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20" w:right="1459" w:hanging="4271"/>
        <w:spacing w:after="0" w:line="382" w:lineRule="auto"/>
        <w:rPr>
          <w:sz w:val="20"/>
          <w:szCs w:val="20"/>
          <w:color w:val="auto"/>
        </w:rPr>
      </w:pPr>
      <w:r>
        <w:rPr>
          <w:rFonts w:ascii="Arial" w:cs="Arial" w:eastAsia="Arial" w:hAnsi="Arial"/>
          <w:sz w:val="16"/>
          <w:szCs w:val="16"/>
          <w:b w:val="1"/>
          <w:bCs w:val="1"/>
          <w:color w:val="auto"/>
        </w:rPr>
        <w:t>As filed with the U.S. Securities and Exchange Commission on October 30, 2020 Registration No. 333</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-16510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FS Development Corp.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211"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ind w:left="940"/>
              <w:spacing w:after="0"/>
              <w:rPr>
                <w:sz w:val="20"/>
                <w:szCs w:val="20"/>
                <w:color w:val="auto"/>
              </w:rPr>
            </w:pPr>
            <w:r>
              <w:rPr>
                <w:rFonts w:ascii="Arial" w:cs="Arial" w:eastAsia="Arial" w:hAnsi="Arial"/>
                <w:sz w:val="16"/>
                <w:szCs w:val="16"/>
                <w:b w:val="1"/>
                <w:bCs w:val="1"/>
                <w:color w:val="auto"/>
              </w:rPr>
              <w:t>Delaware</w:t>
            </w:r>
          </w:p>
        </w:tc>
        <w:tc>
          <w:tcPr>
            <w:tcW w:w="2620" w:type="dxa"/>
            <w:vAlign w:val="bottom"/>
          </w:tcPr>
          <w:p>
            <w:pPr>
              <w:jc w:val="right"/>
              <w:ind w:right="1053"/>
              <w:spacing w:after="0"/>
              <w:rPr>
                <w:sz w:val="20"/>
                <w:szCs w:val="20"/>
                <w:color w:val="auto"/>
              </w:rPr>
            </w:pPr>
            <w:r>
              <w:rPr>
                <w:rFonts w:ascii="Arial" w:cs="Arial" w:eastAsia="Arial" w:hAnsi="Arial"/>
                <w:sz w:val="16"/>
                <w:szCs w:val="16"/>
                <w:b w:val="1"/>
                <w:bCs w:val="1"/>
                <w:color w:val="auto"/>
              </w:rPr>
              <w:t>6770</w:t>
            </w:r>
          </w:p>
        </w:tc>
        <w:tc>
          <w:tcPr>
            <w:tcW w:w="80" w:type="dxa"/>
            <w:vAlign w:val="bottom"/>
          </w:tcPr>
          <w:p>
            <w:pPr>
              <w:spacing w:after="0"/>
              <w:rPr>
                <w:sz w:val="18"/>
                <w:szCs w:val="18"/>
                <w:color w:val="auto"/>
              </w:rPr>
            </w:pPr>
          </w:p>
        </w:tc>
        <w:tc>
          <w:tcPr>
            <w:tcW w:w="2700" w:type="dxa"/>
            <w:vAlign w:val="bottom"/>
          </w:tcPr>
          <w:p>
            <w:pPr>
              <w:jc w:val="right"/>
              <w:ind w:right="873"/>
              <w:spacing w:after="0"/>
              <w:rPr>
                <w:sz w:val="20"/>
                <w:szCs w:val="20"/>
                <w:color w:val="auto"/>
              </w:rPr>
            </w:pPr>
            <w:r>
              <w:rPr>
                <w:rFonts w:ascii="Arial" w:cs="Arial" w:eastAsia="Arial" w:hAnsi="Arial"/>
                <w:sz w:val="16"/>
                <w:szCs w:val="16"/>
                <w:b w:val="1"/>
                <w:bCs w:val="1"/>
                <w:color w:val="auto"/>
              </w:rPr>
              <w:t>85-1612845</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00"/>
              <w:spacing w:after="0" w:line="195" w:lineRule="exact"/>
              <w:rPr>
                <w:sz w:val="20"/>
                <w:szCs w:val="20"/>
                <w:color w:val="auto"/>
              </w:rPr>
            </w:pPr>
            <w:r>
              <w:rPr>
                <w:rFonts w:ascii="Arial" w:cs="Arial" w:eastAsia="Arial" w:hAnsi="Arial"/>
                <w:sz w:val="18"/>
                <w:szCs w:val="18"/>
                <w:color w:val="auto"/>
              </w:rPr>
              <w:t>(State or Other Jurisdiction of</w:t>
            </w:r>
          </w:p>
        </w:tc>
        <w:tc>
          <w:tcPr>
            <w:tcW w:w="100" w:type="dxa"/>
            <w:vAlign w:val="bottom"/>
            <w:vMerge w:val="continue"/>
          </w:tcPr>
          <w:p>
            <w:pPr>
              <w:spacing w:after="0"/>
              <w:rPr>
                <w:sz w:val="16"/>
                <w:szCs w:val="16"/>
                <w:color w:val="auto"/>
              </w:rPr>
            </w:pPr>
          </w:p>
        </w:tc>
        <w:tc>
          <w:tcPr>
            <w:tcW w:w="2620" w:type="dxa"/>
            <w:vAlign w:val="bottom"/>
          </w:tcPr>
          <w:p>
            <w:pPr>
              <w:ind w:left="260"/>
              <w:spacing w:after="0" w:line="195" w:lineRule="exact"/>
              <w:rPr>
                <w:sz w:val="20"/>
                <w:szCs w:val="20"/>
                <w:color w:val="auto"/>
              </w:rPr>
            </w:pPr>
            <w:r>
              <w:rPr>
                <w:rFonts w:ascii="Arial" w:cs="Arial" w:eastAsia="Arial" w:hAnsi="Arial"/>
                <w:sz w:val="18"/>
                <w:szCs w:val="18"/>
                <w:color w:val="auto"/>
              </w:rPr>
              <w:t>(Primary Standard Industrial</w:t>
            </w:r>
          </w:p>
        </w:tc>
        <w:tc>
          <w:tcPr>
            <w:tcW w:w="80" w:type="dxa"/>
            <w:vAlign w:val="bottom"/>
            <w:vMerge w:val="continue"/>
          </w:tcPr>
          <w:p>
            <w:pPr>
              <w:spacing w:after="0"/>
              <w:rPr>
                <w:sz w:val="16"/>
                <w:szCs w:val="16"/>
                <w:color w:val="auto"/>
              </w:rPr>
            </w:pPr>
          </w:p>
        </w:tc>
        <w:tc>
          <w:tcPr>
            <w:tcW w:w="2700" w:type="dxa"/>
            <w:vAlign w:val="bottom"/>
          </w:tcPr>
          <w:p>
            <w:pPr>
              <w:ind w:left="720"/>
              <w:spacing w:after="0" w:line="195" w:lineRule="exact"/>
              <w:rPr>
                <w:sz w:val="20"/>
                <w:szCs w:val="20"/>
                <w:color w:val="auto"/>
              </w:rPr>
            </w:pPr>
            <w:r>
              <w:rPr>
                <w:rFonts w:ascii="Arial" w:cs="Arial" w:eastAsia="Arial" w:hAnsi="Arial"/>
                <w:sz w:val="18"/>
                <w:szCs w:val="18"/>
                <w:color w:val="auto"/>
              </w:rPr>
              <w:t>(I.R.S. Employer</w:t>
            </w: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ind w:left="260"/>
              <w:spacing w:after="0"/>
              <w:rPr>
                <w:sz w:val="20"/>
                <w:szCs w:val="20"/>
                <w:color w:val="auto"/>
              </w:rPr>
            </w:pPr>
            <w:r>
              <w:rPr>
                <w:rFonts w:ascii="Arial" w:cs="Arial" w:eastAsia="Arial" w:hAnsi="Arial"/>
                <w:sz w:val="18"/>
                <w:szCs w:val="18"/>
                <w:color w:val="auto"/>
              </w:rPr>
              <w:t>Classification Code Number)</w:t>
            </w: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Montgomery Street, Suite 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Jim Tananbaum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Montgomery Street, Suite 4500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____________________________</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8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Joel L. Rubinstein</w:t>
            </w:r>
          </w:p>
        </w:tc>
        <w:tc>
          <w:tcPr>
            <w:tcW w:w="3160" w:type="dxa"/>
            <w:vAlign w:val="bottom"/>
          </w:tcPr>
          <w:p>
            <w:pPr>
              <w:jc w:val="center"/>
              <w:ind w:left="850"/>
              <w:spacing w:after="0"/>
              <w:rPr>
                <w:sz w:val="20"/>
                <w:szCs w:val="20"/>
                <w:color w:val="auto"/>
              </w:rPr>
            </w:pPr>
            <w:r>
              <w:rPr>
                <w:rFonts w:ascii="Arial" w:cs="Arial" w:eastAsia="Arial" w:hAnsi="Arial"/>
                <w:sz w:val="18"/>
                <w:szCs w:val="18"/>
                <w:b w:val="1"/>
                <w:bCs w:val="1"/>
                <w:color w:val="auto"/>
                <w:w w:val="91"/>
              </w:rPr>
              <w:t>Mitchell S. Bloom</w:t>
            </w:r>
          </w:p>
        </w:tc>
      </w:tr>
      <w:tr>
        <w:trPr>
          <w:trHeight w:val="216"/>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9"/>
              </w:rPr>
              <w:t>Bryan Luchs</w:t>
            </w:r>
          </w:p>
        </w:tc>
        <w:tc>
          <w:tcPr>
            <w:tcW w:w="31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Jocelyn Arel</w:t>
            </w:r>
          </w:p>
        </w:tc>
      </w:tr>
      <w:tr>
        <w:trPr>
          <w:trHeight w:val="216"/>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94"/>
              </w:rPr>
              <w:t>White &amp; Case LLP</w:t>
            </w:r>
          </w:p>
        </w:tc>
        <w:tc>
          <w:tcPr>
            <w:tcW w:w="3160" w:type="dxa"/>
            <w:vAlign w:val="bottom"/>
          </w:tcPr>
          <w:p>
            <w:pPr>
              <w:jc w:val="center"/>
              <w:ind w:left="850"/>
              <w:spacing w:after="0"/>
              <w:rPr>
                <w:sz w:val="20"/>
                <w:szCs w:val="20"/>
                <w:color w:val="auto"/>
              </w:rPr>
            </w:pPr>
            <w:r>
              <w:rPr>
                <w:rFonts w:ascii="Arial" w:cs="Arial" w:eastAsia="Arial" w:hAnsi="Arial"/>
                <w:sz w:val="18"/>
                <w:szCs w:val="18"/>
                <w:b w:val="1"/>
                <w:bCs w:val="1"/>
                <w:color w:val="auto"/>
                <w:w w:val="93"/>
              </w:rPr>
              <w:t>Laurie A. Burlingame</w:t>
            </w:r>
          </w:p>
        </w:tc>
      </w:tr>
      <w:tr>
        <w:trPr>
          <w:trHeight w:val="216"/>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1221 Avenue of the Americas</w:t>
            </w:r>
          </w:p>
        </w:tc>
        <w:tc>
          <w:tcPr>
            <w:tcW w:w="3160" w:type="dxa"/>
            <w:vAlign w:val="bottom"/>
          </w:tcPr>
          <w:p>
            <w:pPr>
              <w:jc w:val="center"/>
              <w:ind w:left="850"/>
              <w:spacing w:after="0"/>
              <w:rPr>
                <w:sz w:val="20"/>
                <w:szCs w:val="20"/>
                <w:color w:val="auto"/>
              </w:rPr>
            </w:pPr>
            <w:r>
              <w:rPr>
                <w:rFonts w:ascii="Arial" w:cs="Arial" w:eastAsia="Arial" w:hAnsi="Arial"/>
                <w:sz w:val="18"/>
                <w:szCs w:val="18"/>
                <w:b w:val="1"/>
                <w:bCs w:val="1"/>
                <w:color w:val="auto"/>
                <w:w w:val="92"/>
              </w:rPr>
              <w:t>Goodwin Procter LLP</w:t>
            </w:r>
          </w:p>
        </w:tc>
      </w:tr>
      <w:tr>
        <w:trPr>
          <w:trHeight w:val="216"/>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New York, New York 10020</w:t>
            </w:r>
          </w:p>
        </w:tc>
        <w:tc>
          <w:tcPr>
            <w:tcW w:w="3160" w:type="dxa"/>
            <w:vAlign w:val="bottom"/>
          </w:tcPr>
          <w:p>
            <w:pPr>
              <w:jc w:val="center"/>
              <w:ind w:left="850"/>
              <w:spacing w:after="0"/>
              <w:rPr>
                <w:sz w:val="20"/>
                <w:szCs w:val="20"/>
                <w:color w:val="auto"/>
              </w:rPr>
            </w:pPr>
            <w:r>
              <w:rPr>
                <w:rFonts w:ascii="Arial" w:cs="Arial" w:eastAsia="Arial" w:hAnsi="Arial"/>
                <w:sz w:val="18"/>
                <w:szCs w:val="18"/>
                <w:b w:val="1"/>
                <w:bCs w:val="1"/>
                <w:color w:val="auto"/>
                <w:w w:val="91"/>
              </w:rPr>
              <w:t>100 Northern Avenue</w:t>
            </w:r>
          </w:p>
        </w:tc>
      </w:tr>
      <w:tr>
        <w:trPr>
          <w:trHeight w:val="216"/>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92"/>
              </w:rPr>
              <w:t>(212) 819-8200</w:t>
            </w:r>
          </w:p>
        </w:tc>
        <w:tc>
          <w:tcPr>
            <w:tcW w:w="3160" w:type="dxa"/>
            <w:vAlign w:val="bottom"/>
          </w:tcPr>
          <w:p>
            <w:pPr>
              <w:jc w:val="center"/>
              <w:ind w:left="850"/>
              <w:spacing w:after="0"/>
              <w:rPr>
                <w:sz w:val="20"/>
                <w:szCs w:val="20"/>
                <w:color w:val="auto"/>
              </w:rPr>
            </w:pPr>
            <w:r>
              <w:rPr>
                <w:rFonts w:ascii="Arial" w:cs="Arial" w:eastAsia="Arial" w:hAnsi="Arial"/>
                <w:sz w:val="18"/>
                <w:szCs w:val="18"/>
                <w:b w:val="1"/>
                <w:bCs w:val="1"/>
                <w:color w:val="auto"/>
                <w:w w:val="86"/>
              </w:rPr>
              <w:t>Boston, Massachusetts 02210</w:t>
            </w:r>
          </w:p>
        </w:tc>
      </w:tr>
      <w:tr>
        <w:trPr>
          <w:trHeight w:val="234"/>
        </w:trPr>
        <w:tc>
          <w:tcPr>
            <w:tcW w:w="3160" w:type="dxa"/>
            <w:vAlign w:val="bottom"/>
          </w:tcPr>
          <w:p>
            <w:pPr>
              <w:spacing w:after="0"/>
              <w:rPr>
                <w:sz w:val="20"/>
                <w:szCs w:val="20"/>
                <w:color w:val="auto"/>
              </w:rPr>
            </w:pPr>
          </w:p>
        </w:tc>
        <w:tc>
          <w:tcPr>
            <w:tcW w:w="3160" w:type="dxa"/>
            <w:vAlign w:val="bottom"/>
          </w:tcPr>
          <w:p>
            <w:pPr>
              <w:jc w:val="center"/>
              <w:ind w:left="850"/>
              <w:spacing w:after="0"/>
              <w:rPr>
                <w:sz w:val="20"/>
                <w:szCs w:val="20"/>
                <w:color w:val="auto"/>
              </w:rPr>
            </w:pPr>
            <w:r>
              <w:rPr>
                <w:rFonts w:ascii="Arial" w:cs="Arial" w:eastAsia="Arial" w:hAnsi="Arial"/>
                <w:sz w:val="18"/>
                <w:szCs w:val="18"/>
                <w:b w:val="1"/>
                <w:bCs w:val="1"/>
                <w:color w:val="auto"/>
                <w:w w:val="92"/>
              </w:rPr>
              <w:t>(617) 570-1000</w:t>
            </w:r>
          </w:p>
        </w:tc>
      </w:tr>
    </w:tbl>
    <w:p>
      <w:pPr>
        <w:spacing w:after="0" w:line="21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____________________________</w:t>
      </w:r>
    </w:p>
    <w:p>
      <w:pPr>
        <w:spacing w:after="0" w:line="94" w:lineRule="exact"/>
        <w:rPr>
          <w:sz w:val="24"/>
          <w:szCs w:val="24"/>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 and after all conditions under the Merger Agreement to consummate the proposed merger are satisfied or waived.</w:t>
      </w:r>
    </w:p>
    <w:p>
      <w:pPr>
        <w:spacing w:after="0" w:line="49" w:lineRule="exact"/>
        <w:rPr>
          <w:sz w:val="24"/>
          <w:szCs w:val="24"/>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w:t>
      </w:r>
    </w:p>
    <w:p>
      <w:pPr>
        <w:spacing w:after="0" w:line="22" w:lineRule="exact"/>
        <w:rPr>
          <w:sz w:val="24"/>
          <w:szCs w:val="24"/>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spacing w:after="0" w:line="35" w:lineRule="exact"/>
        <w:rPr>
          <w:sz w:val="24"/>
          <w:szCs w:val="24"/>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49" w:lineRule="exact"/>
        <w:rPr>
          <w:sz w:val="24"/>
          <w:szCs w:val="24"/>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and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1240" w:type="dxa"/>
            <w:vAlign w:val="bottom"/>
          </w:tcPr>
          <w:p>
            <w:pPr>
              <w:ind w:left="40"/>
              <w:spacing w:after="0"/>
              <w:rPr>
                <w:sz w:val="20"/>
                <w:szCs w:val="20"/>
                <w:color w:val="auto"/>
              </w:rPr>
            </w:pPr>
            <w:r>
              <w:rPr>
                <w:rFonts w:ascii="Arial" w:cs="Arial" w:eastAsia="Arial" w:hAnsi="Arial"/>
                <w:sz w:val="18"/>
                <w:szCs w:val="18"/>
                <w:color w:val="auto"/>
              </w:rPr>
              <w:t>£</w:t>
            </w:r>
          </w:p>
        </w:tc>
        <w:tc>
          <w:tcPr>
            <w:tcW w:w="3120" w:type="dxa"/>
            <w:vAlign w:val="bottom"/>
          </w:tcPr>
          <w:p>
            <w:pPr>
              <w:ind w:left="1100"/>
              <w:spacing w:after="0"/>
              <w:rPr>
                <w:sz w:val="20"/>
                <w:szCs w:val="20"/>
                <w:color w:val="auto"/>
              </w:rPr>
            </w:pPr>
            <w:r>
              <w:rPr>
                <w:rFonts w:ascii="Arial" w:cs="Arial" w:eastAsia="Arial" w:hAnsi="Arial"/>
                <w:sz w:val="18"/>
                <w:szCs w:val="18"/>
                <w:color w:val="auto"/>
              </w:rPr>
              <w:t>Accelerated filer</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r>
      <w:tr>
        <w:trPr>
          <w:trHeight w:val="284"/>
        </w:trPr>
        <w:tc>
          <w:tcPr>
            <w:tcW w:w="1660" w:type="dxa"/>
            <w:vAlign w:val="bottom"/>
          </w:tcPr>
          <w:p>
            <w:pPr>
              <w:spacing w:after="0"/>
              <w:rPr>
                <w:sz w:val="20"/>
                <w:szCs w:val="20"/>
                <w:color w:val="auto"/>
              </w:rPr>
            </w:pPr>
            <w:r>
              <w:rPr>
                <w:rFonts w:ascii="Arial" w:cs="Arial" w:eastAsia="Arial" w:hAnsi="Arial"/>
                <w:sz w:val="18"/>
                <w:szCs w:val="18"/>
                <w:color w:val="auto"/>
              </w:rPr>
              <w:t>Non-accelerated</w:t>
            </w:r>
          </w:p>
        </w:tc>
        <w:tc>
          <w:tcPr>
            <w:tcW w:w="1240" w:type="dxa"/>
            <w:vAlign w:val="bottom"/>
          </w:tcPr>
          <w:p>
            <w:pPr>
              <w:ind w:left="40"/>
              <w:spacing w:after="0"/>
              <w:rPr>
                <w:sz w:val="20"/>
                <w:szCs w:val="20"/>
                <w:color w:val="auto"/>
              </w:rPr>
            </w:pPr>
            <w:r>
              <w:rPr>
                <w:rFonts w:ascii="Arial" w:cs="Arial" w:eastAsia="Arial" w:hAnsi="Arial"/>
                <w:sz w:val="18"/>
                <w:szCs w:val="18"/>
                <w:color w:val="auto"/>
              </w:rPr>
              <w:t>S</w:t>
            </w:r>
          </w:p>
        </w:tc>
        <w:tc>
          <w:tcPr>
            <w:tcW w:w="3120" w:type="dxa"/>
            <w:vAlign w:val="bottom"/>
          </w:tcPr>
          <w:p>
            <w:pPr>
              <w:ind w:left="1100"/>
              <w:spacing w:after="0"/>
              <w:rPr>
                <w:sz w:val="20"/>
                <w:szCs w:val="20"/>
                <w:color w:val="auto"/>
              </w:rPr>
            </w:pPr>
            <w:r>
              <w:rPr>
                <w:rFonts w:ascii="Arial" w:cs="Arial" w:eastAsia="Arial" w:hAnsi="Arial"/>
                <w:sz w:val="18"/>
                <w:szCs w:val="18"/>
                <w:color w:val="auto"/>
                <w:w w:val="92"/>
              </w:rPr>
              <w:t>Smaller reporting company</w:t>
            </w:r>
          </w:p>
        </w:tc>
        <w:tc>
          <w:tcPr>
            <w:tcW w:w="160" w:type="dxa"/>
            <w:vAlign w:val="bottom"/>
          </w:tcPr>
          <w:p>
            <w:pPr>
              <w:ind w:left="40"/>
              <w:spacing w:after="0"/>
              <w:rPr>
                <w:sz w:val="20"/>
                <w:szCs w:val="20"/>
                <w:color w:val="auto"/>
              </w:rPr>
            </w:pPr>
            <w:r>
              <w:rPr>
                <w:rFonts w:ascii="Arial" w:cs="Arial" w:eastAsia="Arial" w:hAnsi="Arial"/>
                <w:sz w:val="18"/>
                <w:szCs w:val="18"/>
                <w:color w:val="auto"/>
                <w:w w:val="82"/>
              </w:rPr>
              <w:t>S</w:t>
            </w:r>
          </w:p>
        </w:tc>
      </w:tr>
      <w:tr>
        <w:trPr>
          <w:trHeight w:val="283"/>
        </w:trPr>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ind w:left="1100"/>
              <w:spacing w:after="0"/>
              <w:rPr>
                <w:sz w:val="20"/>
                <w:szCs w:val="20"/>
                <w:color w:val="auto"/>
              </w:rPr>
            </w:pPr>
            <w:r>
              <w:rPr>
                <w:rFonts w:ascii="Arial" w:cs="Arial" w:eastAsia="Arial" w:hAnsi="Arial"/>
                <w:sz w:val="18"/>
                <w:szCs w:val="18"/>
                <w:color w:val="auto"/>
                <w:w w:val="93"/>
              </w:rPr>
              <w:t>Emerging growth company</w:t>
            </w:r>
          </w:p>
        </w:tc>
        <w:tc>
          <w:tcPr>
            <w:tcW w:w="160" w:type="dxa"/>
            <w:vAlign w:val="bottom"/>
          </w:tcPr>
          <w:p>
            <w:pPr>
              <w:ind w:left="40"/>
              <w:spacing w:after="0"/>
              <w:rPr>
                <w:sz w:val="20"/>
                <w:szCs w:val="20"/>
                <w:color w:val="auto"/>
              </w:rPr>
            </w:pPr>
            <w:r>
              <w:rPr>
                <w:rFonts w:ascii="Arial" w:cs="Arial" w:eastAsia="Arial" w:hAnsi="Arial"/>
                <w:sz w:val="18"/>
                <w:szCs w:val="18"/>
                <w:color w:val="auto"/>
                <w:w w:val="82"/>
              </w:rPr>
              <w:t>S</w:t>
            </w:r>
          </w:p>
        </w:tc>
      </w:tr>
    </w:tbl>
    <w:p>
      <w:pPr>
        <w:spacing w:after="0" w:line="229" w:lineRule="exact"/>
        <w:rPr>
          <w:sz w:val="24"/>
          <w:szCs w:val="24"/>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49" w:lineRule="exact"/>
        <w:rPr>
          <w:sz w:val="24"/>
          <w:szCs w:val="24"/>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30" w:lineRule="exact"/>
        <w:rPr>
          <w:sz w:val="24"/>
          <w:szCs w:val="24"/>
          <w:color w:val="auto"/>
        </w:rPr>
      </w:pPr>
    </w:p>
    <w:p>
      <w:pPr>
        <w:ind w:left="460"/>
        <w:spacing w:after="0"/>
        <w:tabs>
          <w:tab w:leader="none" w:pos="5560" w:val="left"/>
        </w:tabs>
        <w:rPr>
          <w:sz w:val="20"/>
          <w:szCs w:val="20"/>
          <w:color w:val="auto"/>
        </w:rPr>
      </w:pPr>
      <w:r>
        <w:rPr>
          <w:rFonts w:ascii="Arial" w:cs="Arial" w:eastAsia="Arial" w:hAnsi="Arial"/>
          <w:sz w:val="18"/>
          <w:szCs w:val="18"/>
          <w:color w:val="auto"/>
        </w:rPr>
        <w:t>Exchange Act Rule 13e-4(i) (Cross-Border Issuer Tender Offer)</w:t>
      </w:r>
      <w:r>
        <w:rPr>
          <w:sz w:val="20"/>
          <w:szCs w:val="20"/>
          <w:color w:val="auto"/>
        </w:rPr>
        <w:tab/>
      </w:r>
      <w:r>
        <w:rPr>
          <w:rFonts w:ascii="Arial" w:cs="Arial" w:eastAsia="Arial" w:hAnsi="Arial"/>
          <w:sz w:val="17"/>
          <w:szCs w:val="17"/>
          <w:color w:val="auto"/>
        </w:rPr>
        <w:t>£</w:t>
      </w:r>
    </w:p>
    <w:p>
      <w:pPr>
        <w:spacing w:after="0" w:line="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Exchange Act Rule 14d-1(d) (Cross-Border Third-Party Tender Offer) £</w:t>
      </w:r>
    </w:p>
    <w:p>
      <w:pPr>
        <w:sectPr>
          <w:pgSz w:w="11900" w:h="16838" w:orient="portrait"/>
          <w:cols w:equalWidth="0" w:num="1">
            <w:col w:w="9019"/>
          </w:cols>
          <w:pgMar w:left="1440" w:top="270" w:right="1440"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Proposed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Maximum</w:t>
            </w:r>
          </w:p>
        </w:tc>
        <w:tc>
          <w:tcPr>
            <w:tcW w:w="4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Offering</w:t>
            </w:r>
          </w:p>
        </w:tc>
        <w:tc>
          <w:tcPr>
            <w:tcW w:w="4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Amount of</w:t>
            </w: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Amount to be</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Price Per</w:t>
            </w:r>
          </w:p>
        </w:tc>
        <w:tc>
          <w:tcPr>
            <w:tcW w:w="4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Offering</w:t>
            </w: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Registration</w:t>
            </w:r>
          </w:p>
        </w:tc>
      </w:tr>
      <w:tr>
        <w:trPr>
          <w:trHeight w:val="253"/>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Title of Each Class of Securities to be Registered</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Registered</w:t>
            </w:r>
            <w:r>
              <w:rPr>
                <w:rFonts w:ascii="Arial" w:cs="Arial" w:eastAsia="Arial" w:hAnsi="Arial"/>
                <w:sz w:val="18"/>
                <w:szCs w:val="18"/>
                <w:b w:val="1"/>
                <w:bCs w:val="1"/>
                <w:color w:val="auto"/>
                <w:w w:val="86"/>
                <w:vertAlign w:val="superscript"/>
              </w:rPr>
              <w:t>(2)</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87"/>
              </w:rPr>
              <w:t>Security</w:t>
            </w:r>
            <w:r>
              <w:rPr>
                <w:rFonts w:ascii="Arial" w:cs="Arial" w:eastAsia="Arial" w:hAnsi="Arial"/>
                <w:sz w:val="18"/>
                <w:szCs w:val="18"/>
                <w:b w:val="1"/>
                <w:bCs w:val="1"/>
                <w:color w:val="auto"/>
                <w:w w:val="87"/>
                <w:vertAlign w:val="superscript"/>
              </w:rPr>
              <w:t>(3)</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Price</w:t>
            </w:r>
            <w:r>
              <w:rPr>
                <w:rFonts w:ascii="Arial" w:cs="Arial" w:eastAsia="Arial" w:hAnsi="Arial"/>
                <w:sz w:val="18"/>
                <w:szCs w:val="18"/>
                <w:b w:val="1"/>
                <w:bCs w:val="1"/>
                <w:color w:val="auto"/>
                <w:w w:val="85"/>
                <w:vertAlign w:val="superscript"/>
              </w:rPr>
              <w:t>(1)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6"/>
              </w:rPr>
              <w:t>Fee</w:t>
            </w:r>
          </w:p>
        </w:tc>
      </w:tr>
      <w:tr>
        <w:trPr>
          <w:trHeight w:val="268"/>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21,500,000</w:t>
            </w:r>
            <w:r>
              <w:rPr>
                <w:rFonts w:ascii="Arial" w:cs="Arial" w:eastAsia="Arial" w:hAnsi="Arial"/>
                <w:sz w:val="20"/>
                <w:szCs w:val="20"/>
                <w:color w:val="auto"/>
                <w:w w:val="88"/>
                <w:vertAlign w:val="superscript"/>
              </w:rPr>
              <w:t>(1)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w:t>
            </w:r>
          </w:p>
        </w:tc>
        <w:tc>
          <w:tcPr>
            <w:tcW w:w="12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2"/>
              </w:rPr>
              <w:t>$ 217,150,000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23,692</w:t>
            </w:r>
            <w:r>
              <w:rPr>
                <w:rFonts w:ascii="Arial" w:cs="Arial" w:eastAsia="Arial" w:hAnsi="Arial"/>
                <w:sz w:val="20"/>
                <w:szCs w:val="20"/>
                <w:color w:val="auto"/>
                <w:w w:val="86"/>
                <w:vertAlign w:val="superscript"/>
              </w:rPr>
              <w:t>(4)</w:t>
            </w:r>
          </w:p>
        </w:tc>
      </w:tr>
      <w:tr>
        <w:trPr>
          <w:trHeight w:val="24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8"/>
              </w:rPr>
              <w:t>21,500,000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$ 217,150,000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3"/>
              </w:rPr>
              <w:t>23,692</w:t>
            </w:r>
          </w:p>
        </w:tc>
        <w:tc>
          <w:tcPr>
            <w:tcW w:w="160" w:type="dxa"/>
            <w:vAlign w:val="bottom"/>
          </w:tcPr>
          <w:p>
            <w:pPr>
              <w:spacing w:after="0"/>
              <w:rPr>
                <w:sz w:val="21"/>
                <w:szCs w:val="2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jc w:val="both"/>
        <w:ind w:left="880" w:right="459" w:hanging="426"/>
        <w:spacing w:after="0" w:line="264" w:lineRule="auto"/>
        <w:tabs>
          <w:tab w:leader="none" w:pos="932"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the maximum number of shares of Class A Common Stock, $0.0001 par value per share, of the registrant issuable upon a business combination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involving FS Development Corp. (“</w:t>
      </w:r>
      <w:r>
        <w:rPr>
          <w:rFonts w:ascii="Arial" w:cs="Arial" w:eastAsia="Arial" w:hAnsi="Arial"/>
          <w:sz w:val="16"/>
          <w:szCs w:val="16"/>
          <w:b w:val="1"/>
          <w:bCs w:val="1"/>
          <w:color w:val="auto"/>
        </w:rPr>
        <w:t>FS</w:t>
      </w:r>
      <w:r>
        <w:rPr>
          <w:rFonts w:ascii="Arial" w:cs="Arial" w:eastAsia="Arial" w:hAnsi="Arial"/>
          <w:sz w:val="16"/>
          <w:szCs w:val="16"/>
          <w:color w:val="auto"/>
        </w:rPr>
        <w:t xml:space="preserve"> </w:t>
      </w:r>
      <w:r>
        <w:rPr>
          <w:rFonts w:ascii="Arial" w:cs="Arial" w:eastAsia="Arial" w:hAnsi="Arial"/>
          <w:sz w:val="16"/>
          <w:szCs w:val="16"/>
          <w:b w:val="1"/>
          <w:bCs w:val="1"/>
          <w:color w:val="auto"/>
        </w:rPr>
        <w:t>Development</w:t>
      </w:r>
      <w:r>
        <w:rPr>
          <w:rFonts w:ascii="Arial" w:cs="Arial" w:eastAsia="Arial" w:hAnsi="Arial"/>
          <w:sz w:val="16"/>
          <w:szCs w:val="16"/>
          <w:color w:val="auto"/>
        </w:rPr>
        <w:t>”) and Gemini Therapeutics, Inc. (“</w:t>
      </w:r>
      <w:r>
        <w:rPr>
          <w:rFonts w:ascii="Arial" w:cs="Arial" w:eastAsia="Arial" w:hAnsi="Arial"/>
          <w:sz w:val="16"/>
          <w:szCs w:val="16"/>
          <w:b w:val="1"/>
          <w:bCs w:val="1"/>
          <w:color w:val="auto"/>
        </w:rPr>
        <w:t>Gemini</w:t>
      </w:r>
      <w:r>
        <w:rPr>
          <w:rFonts w:ascii="Arial" w:cs="Arial" w:eastAsia="Arial" w:hAnsi="Arial"/>
          <w:sz w:val="16"/>
          <w:szCs w:val="16"/>
          <w:color w:val="auto"/>
        </w:rPr>
        <w:t>”). This number is based on 21,500,000,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common stock of FS Development that are expected to be issued pursuant to the Business Combination.</w:t>
      </w:r>
    </w:p>
    <w:p>
      <w:pPr>
        <w:jc w:val="both"/>
        <w:ind w:left="880" w:right="459" w:hanging="426"/>
        <w:spacing w:after="0" w:line="264" w:lineRule="auto"/>
        <w:tabs>
          <w:tab w:leader="none" w:pos="91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Securities Act of 1933, as amended (the “Securities Act”), there are also being registered an indeterminable number of additional securities as may be issued to prevent dilution resulting from stock splits, stock dividends or similar transaction.</w:t>
      </w:r>
    </w:p>
    <w:p>
      <w:pPr>
        <w:jc w:val="both"/>
        <w:ind w:left="880" w:right="459" w:hanging="426"/>
        <w:spacing w:after="0" w:line="264" w:lineRule="auto"/>
        <w:tabs>
          <w:tab w:leader="none" w:pos="889"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based on the average of the high and low prices of the shares of common stock of FS Development on the Nasdaq Capital Market on October 26, 2020 ($10.10 per share). This calculation is in accordance with Rule 457(f)(1) of the Securities Act.</w:t>
      </w:r>
    </w:p>
    <w:p>
      <w:pPr>
        <w:ind w:left="880" w:right="479" w:hanging="426"/>
        <w:spacing w:after="0" w:line="264" w:lineRule="auto"/>
        <w:tabs>
          <w:tab w:leader="none" w:pos="93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 under the Securities Act by multiplying the proposed maximum aggregate offering price of securities by 0.0001091.</w:t>
      </w:r>
    </w:p>
    <w:p>
      <w:pPr>
        <w:ind w:left="3240"/>
        <w:spacing w:after="0"/>
        <w:rPr>
          <w:sz w:val="20"/>
          <w:szCs w:val="20"/>
          <w:color w:val="auto"/>
        </w:rPr>
      </w:pPr>
      <w:r>
        <w:rPr>
          <w:rFonts w:ascii="Arial" w:cs="Arial" w:eastAsia="Arial" w:hAnsi="Arial"/>
          <w:sz w:val="18"/>
          <w:szCs w:val="18"/>
          <w:b w:val="1"/>
          <w:bCs w:val="1"/>
          <w:color w:val="auto"/>
        </w:rPr>
        <w:t>____________________________</w:t>
      </w:r>
    </w:p>
    <w:p>
      <w:pPr>
        <w:spacing w:after="0" w:line="14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24130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66675</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340995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D2232A"/>
        </w:rPr>
        <w:t>The information in this preliminary proxy statement/prospectus is not complete and may be changed. These securities may not be issued until the registration statement filed with the Securities and Exchange Commission is effective. This preliminary proxy statement/prospectus is not an offer to sell these securities and it is not soliciting an offer to buy these securities in any jurisdiction where the offer or sale is not permitted.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2232A"/>
        </w:rPr>
        <w:t>PRELIMINARY PROXY STATEMENT/PROSPECTUS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2232A"/>
        </w:rPr>
        <w:t>SUBJECT TO COMPLETION, DATED OCTOBER 30, 2020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of FS Development Corp.:</w:t>
      </w:r>
    </w:p>
    <w:p>
      <w:pPr>
        <w:spacing w:after="0" w:line="15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On behalf of the board of directors of FS Development Corp. (“</w:t>
      </w:r>
      <w:r>
        <w:rPr>
          <w:rFonts w:ascii="Arial" w:cs="Arial" w:eastAsia="Arial" w:hAnsi="Arial"/>
          <w:sz w:val="17"/>
          <w:szCs w:val="17"/>
          <w:b w:val="1"/>
          <w:bCs w:val="1"/>
          <w:color w:val="auto"/>
        </w:rPr>
        <w:t>FS Development</w:t>
      </w:r>
      <w:r>
        <w:rPr>
          <w:rFonts w:ascii="Arial" w:cs="Arial" w:eastAsia="Arial" w:hAnsi="Arial"/>
          <w:sz w:val="17"/>
          <w:szCs w:val="17"/>
          <w:color w:val="auto"/>
        </w:rPr>
        <w:t>”), we are pleased to enclose the proxy statement/prospectus relating to the proposed merger of FSG Merger Sub, Inc., a Delaware corporation and a wholly-owned subsidiary of FS Development (“</w:t>
      </w:r>
      <w:r>
        <w:rPr>
          <w:rFonts w:ascii="Arial" w:cs="Arial" w:eastAsia="Arial" w:hAnsi="Arial"/>
          <w:sz w:val="17"/>
          <w:szCs w:val="17"/>
          <w:b w:val="1"/>
          <w:bCs w:val="1"/>
          <w:color w:val="auto"/>
        </w:rPr>
        <w:t>Merger Sub</w:t>
      </w:r>
      <w:r>
        <w:rPr>
          <w:rFonts w:ascii="Arial" w:cs="Arial" w:eastAsia="Arial" w:hAnsi="Arial"/>
          <w:sz w:val="17"/>
          <w:szCs w:val="17"/>
          <w:color w:val="auto"/>
        </w:rPr>
        <w:t>”) with and into Gemini Therapeutics, Inc., a Delaware corporation (“</w:t>
      </w:r>
      <w:r>
        <w:rPr>
          <w:rFonts w:ascii="Arial" w:cs="Arial" w:eastAsia="Arial" w:hAnsi="Arial"/>
          <w:sz w:val="17"/>
          <w:szCs w:val="17"/>
          <w:b w:val="1"/>
          <w:bCs w:val="1"/>
          <w:color w:val="auto"/>
        </w:rPr>
        <w:t>Gemini</w:t>
      </w:r>
      <w:r>
        <w:rPr>
          <w:rFonts w:ascii="Arial" w:cs="Arial" w:eastAsia="Arial" w:hAnsi="Arial"/>
          <w:sz w:val="17"/>
          <w:szCs w:val="17"/>
          <w:color w:val="auto"/>
        </w:rPr>
        <w:t>”), with Gemini surviving the merger as a wholly-owned subsidiary of FS Development (the “</w:t>
      </w:r>
      <w:r>
        <w:rPr>
          <w:rFonts w:ascii="Arial" w:cs="Arial" w:eastAsia="Arial" w:hAnsi="Arial"/>
          <w:sz w:val="17"/>
          <w:szCs w:val="17"/>
          <w:b w:val="1"/>
          <w:bCs w:val="1"/>
          <w:color w:val="auto"/>
        </w:rPr>
        <w:t>Combined Entity</w:t>
      </w:r>
      <w:r>
        <w:rPr>
          <w:rFonts w:ascii="Arial" w:cs="Arial" w:eastAsia="Arial" w:hAnsi="Arial"/>
          <w:sz w:val="17"/>
          <w:szCs w:val="17"/>
          <w:color w:val="auto"/>
        </w:rPr>
        <w:t>”), pursuant to the terms of a merger agreement, dated October 15, 2020, among FS Development, Merger Sub, Gemini and Shareholder Representative Services LLC (as it may be amended from time to time, the “</w:t>
      </w:r>
      <w:r>
        <w:rPr>
          <w:rFonts w:ascii="Arial" w:cs="Arial" w:eastAsia="Arial" w:hAnsi="Arial"/>
          <w:sz w:val="17"/>
          <w:szCs w:val="17"/>
          <w:b w:val="1"/>
          <w:bCs w:val="1"/>
          <w:color w:val="auto"/>
        </w:rPr>
        <w:t>Merger Agreement</w:t>
      </w:r>
      <w:r>
        <w:rPr>
          <w:rFonts w:ascii="Arial" w:cs="Arial" w:eastAsia="Arial" w:hAnsi="Arial"/>
          <w:sz w:val="17"/>
          <w:szCs w:val="17"/>
          <w:color w:val="auto"/>
        </w:rPr>
        <w:t>” and such merger and the other transactions contemplated by the Merger Agreement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xml:space="preserve">”). In connection with the Business Combination, FS Development will be renamed “Gemini Therapeutics, Inc.” A copy of the Merger Agreement is attached to this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color w:val="auto"/>
        </w:rPr>
        <w:t>.</w:t>
      </w:r>
    </w:p>
    <w:p>
      <w:pPr>
        <w:spacing w:after="0" w:line="100" w:lineRule="exact"/>
        <w:rPr>
          <w:sz w:val="20"/>
          <w:szCs w:val="20"/>
          <w:color w:val="auto"/>
        </w:rPr>
      </w:pPr>
    </w:p>
    <w:p>
      <w:pPr>
        <w:jc w:val="both"/>
        <w:ind w:left="460" w:right="479"/>
        <w:spacing w:after="0" w:line="291" w:lineRule="auto"/>
        <w:rPr>
          <w:sz w:val="20"/>
          <w:szCs w:val="20"/>
          <w:color w:val="auto"/>
        </w:rPr>
      </w:pPr>
      <w:r>
        <w:rPr>
          <w:rFonts w:ascii="Arial" w:cs="Arial" w:eastAsia="Arial" w:hAnsi="Arial"/>
          <w:sz w:val="16"/>
          <w:szCs w:val="16"/>
          <w:color w:val="auto"/>
        </w:rPr>
        <w:t>In connection with the Business Combination and the other matters described herein, you are cordially invited to attend the Special Meeting of Stockholders (the “</w:t>
      </w:r>
      <w:r>
        <w:rPr>
          <w:rFonts w:ascii="Arial" w:cs="Arial" w:eastAsia="Arial" w:hAnsi="Arial"/>
          <w:sz w:val="16"/>
          <w:szCs w:val="16"/>
          <w:b w:val="1"/>
          <w:bCs w:val="1"/>
          <w:color w:val="auto"/>
        </w:rPr>
        <w:t>Special Meeting</w:t>
      </w:r>
      <w:r>
        <w:rPr>
          <w:rFonts w:ascii="Arial" w:cs="Arial" w:eastAsia="Arial" w:hAnsi="Arial"/>
          <w:sz w:val="16"/>
          <w:szCs w:val="16"/>
          <w:color w:val="auto"/>
        </w:rPr>
        <w:t>”) of FS Development. The Special</w:t>
      </w:r>
    </w:p>
    <w:p>
      <w:pPr>
        <w:jc w:val="both"/>
        <w:ind w:left="460" w:right="459"/>
        <w:spacing w:after="0" w:line="265" w:lineRule="auto"/>
        <w:rPr>
          <w:sz w:val="20"/>
          <w:szCs w:val="20"/>
          <w:color w:val="auto"/>
        </w:rPr>
      </w:pPr>
      <w:r>
        <w:rPr>
          <w:rFonts w:ascii="Arial" w:cs="Arial" w:eastAsia="Arial" w:hAnsi="Arial"/>
          <w:sz w:val="17"/>
          <w:szCs w:val="17"/>
          <w:color w:val="auto"/>
        </w:rPr>
        <w:t>Meeting will be held on , 2020, at local time, via a virtual meeting. In light of the novel coronavirus (referred to as “COVID-19”) pandemic and to support the well-being of FS Development’s stockholders, directors and management, the Special Meeting will be completely virtual. You may attend the Special Meeting and vote your shares electronically during the Special Meeting via live webcast by visiting</w:t>
      </w:r>
    </w:p>
    <w:p>
      <w:pPr>
        <w:spacing w:after="0" w:line="1" w:lineRule="exact"/>
        <w:rPr>
          <w:sz w:val="20"/>
          <w:szCs w:val="20"/>
          <w:color w:val="auto"/>
        </w:rPr>
      </w:pPr>
    </w:p>
    <w:p>
      <w:pPr>
        <w:jc w:val="both"/>
        <w:ind w:left="460" w:right="459" w:firstLine="381"/>
        <w:spacing w:after="0" w:line="253"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will need the 12-digit 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25"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At the Special Meeting, FS Development stockholders will be asked to consider and vote upon the following proposals (the “</w:t>
      </w:r>
      <w:r>
        <w:rPr>
          <w:rFonts w:ascii="Arial" w:cs="Arial" w:eastAsia="Arial" w:hAnsi="Arial"/>
          <w:sz w:val="18"/>
          <w:szCs w:val="18"/>
          <w:b w:val="1"/>
          <w:bCs w:val="1"/>
          <w:color w:val="auto"/>
        </w:rPr>
        <w:t>Proposals</w:t>
      </w:r>
      <w:r>
        <w:rPr>
          <w:rFonts w:ascii="Arial" w:cs="Arial" w:eastAsia="Arial" w:hAnsi="Arial"/>
          <w:sz w:val="18"/>
          <w:szCs w:val="18"/>
          <w:color w:val="auto"/>
        </w:rPr>
        <w:t>”):</w:t>
      </w:r>
    </w:p>
    <w:p>
      <w:pPr>
        <w:spacing w:after="0" w:line="103" w:lineRule="exact"/>
        <w:rPr>
          <w:sz w:val="20"/>
          <w:szCs w:val="20"/>
          <w:color w:val="auto"/>
        </w:rPr>
      </w:pPr>
    </w:p>
    <w:p>
      <w:pPr>
        <w:ind w:left="1320" w:right="479" w:hanging="434"/>
        <w:spacing w:after="0" w:line="277" w:lineRule="auto"/>
        <w:tabs>
          <w:tab w:leader="none" w:pos="136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 adopt and approve the Merger Agreement and (b) approve the Business Combination (the “</w:t>
      </w:r>
      <w:r>
        <w:rPr>
          <w:rFonts w:ascii="Arial" w:cs="Arial" w:eastAsia="Arial" w:hAnsi="Arial"/>
          <w:sz w:val="18"/>
          <w:szCs w:val="18"/>
          <w:b w:val="1"/>
          <w:bCs w:val="1"/>
          <w:color w:val="auto"/>
        </w:rPr>
        <w:t>Business Combination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1320" w:right="459" w:hanging="434"/>
        <w:spacing w:after="0" w:line="269" w:lineRule="auto"/>
        <w:tabs>
          <w:tab w:leader="none" w:pos="1313"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approve, assuming the Business Combination Proposal is approved and adopted, for purposes of complying with the applicable provisions of Nasdaq Stock Exchange Listing Rule 5635 (each, a “</w:t>
      </w:r>
      <w:r>
        <w:rPr>
          <w:rFonts w:ascii="Arial" w:cs="Arial" w:eastAsia="Arial" w:hAnsi="Arial"/>
          <w:sz w:val="17"/>
          <w:szCs w:val="17"/>
          <w:b w:val="1"/>
          <w:bCs w:val="1"/>
          <w:color w:val="auto"/>
        </w:rPr>
        <w:t>Nasdaq Listing Rule</w:t>
      </w:r>
      <w:r>
        <w:rPr>
          <w:rFonts w:ascii="Arial" w:cs="Arial" w:eastAsia="Arial" w:hAnsi="Arial"/>
          <w:sz w:val="17"/>
          <w:szCs w:val="17"/>
          <w:color w:val="auto"/>
        </w:rPr>
        <w:t>”), (a) the issuance of up to 21,500,000 newly issued shares of FS Development Class A Common Stock,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in the Business Combination determined as described in more detail under the heading 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Proposal — Acquisition of Gemini; Merger Consideration</w:t>
      </w:r>
      <w:r>
        <w:rPr>
          <w:rFonts w:ascii="Arial" w:cs="Arial" w:eastAsia="Arial" w:hAnsi="Arial"/>
          <w:sz w:val="17"/>
          <w:szCs w:val="17"/>
          <w:color w:val="auto"/>
        </w:rPr>
        <w:t>” and (b)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and sale of 9,506,000 newly issued shares of FS Development Class A Common Stock in a private placement concurrent with the Business Combination (the “</w:t>
      </w:r>
      <w:r>
        <w:rPr>
          <w:rFonts w:ascii="Arial" w:cs="Arial" w:eastAsia="Arial" w:hAnsi="Arial"/>
          <w:sz w:val="17"/>
          <w:szCs w:val="17"/>
          <w:b w:val="1"/>
          <w:bCs w:val="1"/>
          <w:color w:val="auto"/>
        </w:rPr>
        <w:t>PIPE Investment</w:t>
      </w:r>
      <w:r>
        <w:rPr>
          <w:rFonts w:ascii="Arial" w:cs="Arial" w:eastAsia="Arial" w:hAnsi="Arial"/>
          <w:sz w:val="17"/>
          <w:szCs w:val="17"/>
          <w:color w:val="auto"/>
        </w:rPr>
        <w:t>”), to the extent such issuances would require a stockholder vote under the applicable Nasdaq Listing Rule (the “</w:t>
      </w:r>
      <w:r>
        <w:rPr>
          <w:rFonts w:ascii="Arial" w:cs="Arial" w:eastAsia="Arial" w:hAnsi="Arial"/>
          <w:sz w:val="17"/>
          <w:szCs w:val="17"/>
          <w:b w:val="1"/>
          <w:bCs w:val="1"/>
          <w:color w:val="auto"/>
        </w:rPr>
        <w:t>Nasdaq Stock Issuance Proposal</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jc w:val="both"/>
        <w:ind w:left="1320" w:right="459" w:hanging="434"/>
        <w:spacing w:after="0" w:line="257" w:lineRule="auto"/>
        <w:tabs>
          <w:tab w:leader="none" w:pos="13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assuming the Business Combination Proposal is approved and adopted, a proposed second amended and restated certificate of incorporation (the “</w:t>
      </w:r>
      <w:r>
        <w:rPr>
          <w:rFonts w:ascii="Arial" w:cs="Arial" w:eastAsia="Arial" w:hAnsi="Arial"/>
          <w:sz w:val="18"/>
          <w:szCs w:val="18"/>
          <w:b w:val="1"/>
          <w:bCs w:val="1"/>
          <w:color w:val="auto"/>
        </w:rPr>
        <w:t>Proposed Charter</w:t>
      </w:r>
      <w:r>
        <w:rPr>
          <w:rFonts w:ascii="Arial" w:cs="Arial" w:eastAsia="Arial" w:hAnsi="Arial"/>
          <w:sz w:val="18"/>
          <w:szCs w:val="18"/>
          <w:color w:val="auto"/>
        </w:rPr>
        <w:t>”), which will amend and restate the Current Charter, dated August 11, 2020 (the “</w:t>
      </w:r>
      <w:r>
        <w:rPr>
          <w:rFonts w:ascii="Arial" w:cs="Arial" w:eastAsia="Arial" w:hAnsi="Arial"/>
          <w:sz w:val="18"/>
          <w:szCs w:val="18"/>
          <w:b w:val="1"/>
          <w:bCs w:val="1"/>
          <w:color w:val="auto"/>
        </w:rPr>
        <w:t>Current Charter</w:t>
      </w:r>
      <w:r>
        <w:rPr>
          <w:rFonts w:ascii="Arial" w:cs="Arial" w:eastAsia="Arial" w:hAnsi="Arial"/>
          <w:sz w:val="18"/>
          <w:szCs w:val="18"/>
          <w:color w:val="auto"/>
        </w:rPr>
        <w:t>”), which Proposed Charter will be in effect upon the closing of the Business Combination (the “</w:t>
      </w:r>
      <w:r>
        <w:rPr>
          <w:rFonts w:ascii="Arial" w:cs="Arial" w:eastAsia="Arial" w:hAnsi="Arial"/>
          <w:sz w:val="18"/>
          <w:szCs w:val="18"/>
          <w:b w:val="1"/>
          <w:bCs w:val="1"/>
          <w:color w:val="auto"/>
        </w:rPr>
        <w:t>Closing</w:t>
      </w:r>
      <w:r>
        <w:rPr>
          <w:rFonts w:ascii="Arial" w:cs="Arial" w:eastAsia="Arial" w:hAnsi="Arial"/>
          <w:sz w:val="18"/>
          <w:szCs w:val="18"/>
          <w:color w:val="auto"/>
        </w:rPr>
        <w:t>”) (the “</w:t>
      </w:r>
      <w:r>
        <w:rPr>
          <w:rFonts w:ascii="Arial" w:cs="Arial" w:eastAsia="Arial" w:hAnsi="Arial"/>
          <w:sz w:val="18"/>
          <w:szCs w:val="18"/>
          <w:b w:val="1"/>
          <w:bCs w:val="1"/>
          <w:color w:val="auto"/>
        </w:rPr>
        <w:t>Charter Amendment Proposal</w:t>
      </w:r>
      <w:r>
        <w:rPr>
          <w:rFonts w:ascii="Arial" w:cs="Arial" w:eastAsia="Arial" w:hAnsi="Arial"/>
          <w:sz w:val="18"/>
          <w:szCs w:val="18"/>
          <w:color w:val="auto"/>
        </w:rPr>
        <w:t>”);</w:t>
      </w:r>
    </w:p>
    <w:p>
      <w:pPr>
        <w:spacing w:after="0" w:line="120" w:lineRule="exact"/>
        <w:rPr>
          <w:rFonts w:ascii="Arial" w:cs="Arial" w:eastAsia="Arial" w:hAnsi="Arial"/>
          <w:sz w:val="18"/>
          <w:szCs w:val="18"/>
          <w:color w:val="auto"/>
        </w:rPr>
      </w:pPr>
    </w:p>
    <w:p>
      <w:pPr>
        <w:jc w:val="both"/>
        <w:ind w:left="1320" w:right="479" w:hanging="434"/>
        <w:spacing w:after="0" w:line="286" w:lineRule="auto"/>
        <w:tabs>
          <w:tab w:leader="none" w:pos="1446"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approve, on a non-binding advisory basis, the following material differences between the Proposed Charter and the Current Charter, which are being presented in accordance with the requirements of the SEC as five separate sub-proposals (the “</w:t>
      </w:r>
      <w:r>
        <w:rPr>
          <w:rFonts w:ascii="Arial" w:cs="Arial" w:eastAsia="Arial" w:hAnsi="Arial"/>
          <w:sz w:val="17"/>
          <w:szCs w:val="17"/>
          <w:b w:val="1"/>
          <w:bCs w:val="1"/>
          <w:color w:val="auto"/>
        </w:rPr>
        <w:t>Advisory Charter Proposals</w:t>
      </w:r>
      <w:r>
        <w:rPr>
          <w:rFonts w:ascii="Arial" w:cs="Arial" w:eastAsia="Arial" w:hAnsi="Arial"/>
          <w:sz w:val="17"/>
          <w:szCs w:val="17"/>
          <w:color w:val="auto"/>
        </w:rPr>
        <w:t>”):</w:t>
      </w:r>
    </w:p>
    <w:p>
      <w:pPr>
        <w:spacing w:after="0" w:line="80" w:lineRule="exact"/>
        <w:rPr>
          <w:sz w:val="20"/>
          <w:szCs w:val="20"/>
          <w:color w:val="auto"/>
        </w:rPr>
      </w:pPr>
    </w:p>
    <w:p>
      <w:pPr>
        <w:ind w:left="1760" w:hanging="442"/>
        <w:spacing w:after="0"/>
        <w:tabs>
          <w:tab w:leader="none" w:pos="17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Advisory Charter Proposal A </w:t>
      </w:r>
      <w:r>
        <w:rPr>
          <w:rFonts w:ascii="Arial" w:cs="Arial" w:eastAsia="Arial" w:hAnsi="Arial"/>
          <w:sz w:val="16"/>
          <w:szCs w:val="16"/>
          <w:color w:val="auto"/>
        </w:rPr>
        <w:t>— to increase the authorized shares of FS Development Class</w:t>
      </w:r>
    </w:p>
    <w:p>
      <w:pPr>
        <w:spacing w:after="0" w:line="50" w:lineRule="exact"/>
        <w:rPr>
          <w:sz w:val="20"/>
          <w:szCs w:val="20"/>
          <w:color w:val="auto"/>
        </w:rPr>
      </w:pPr>
    </w:p>
    <w:p>
      <w:pPr>
        <w:ind w:left="1760"/>
        <w:spacing w:after="0"/>
        <w:tabs>
          <w:tab w:leader="none" w:pos="3840" w:val="left"/>
        </w:tabs>
        <w:rPr>
          <w:sz w:val="20"/>
          <w:szCs w:val="20"/>
          <w:color w:val="auto"/>
        </w:rPr>
      </w:pPr>
      <w:r>
        <w:rPr>
          <w:rFonts w:ascii="Arial" w:cs="Arial" w:eastAsia="Arial" w:hAnsi="Arial"/>
          <w:sz w:val="18"/>
          <w:szCs w:val="18"/>
          <w:color w:val="auto"/>
        </w:rPr>
        <w:t>A Common Stock to</w:t>
      </w:r>
      <w:r>
        <w:rPr>
          <w:sz w:val="20"/>
          <w:szCs w:val="20"/>
          <w:color w:val="auto"/>
        </w:rPr>
        <w:tab/>
      </w:r>
      <w:r>
        <w:rPr>
          <w:rFonts w:ascii="Arial" w:cs="Arial" w:eastAsia="Arial" w:hAnsi="Arial"/>
          <w:sz w:val="15"/>
          <w:szCs w:val="15"/>
          <w:color w:val="auto"/>
        </w:rPr>
        <w:t>shares;</w:t>
      </w:r>
    </w:p>
    <w:p>
      <w:pPr>
        <w:spacing w:after="0" w:line="139" w:lineRule="exact"/>
        <w:rPr>
          <w:sz w:val="20"/>
          <w:szCs w:val="20"/>
          <w:color w:val="auto"/>
        </w:rPr>
      </w:pPr>
    </w:p>
    <w:p>
      <w:pPr>
        <w:jc w:val="both"/>
        <w:ind w:left="1760" w:right="459" w:hanging="442"/>
        <w:spacing w:after="0" w:line="266" w:lineRule="auto"/>
        <w:tabs>
          <w:tab w:leader="none" w:pos="1718"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B </w:t>
      </w:r>
      <w:r>
        <w:rPr>
          <w:rFonts w:ascii="Arial" w:cs="Arial" w:eastAsia="Arial" w:hAnsi="Arial"/>
          <w:sz w:val="18"/>
          <w:szCs w:val="18"/>
          <w:color w:val="auto"/>
        </w:rPr>
        <w:t>— to increase the authorized shares of “blank check”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the Combined Entity’s board of directors could issue to discourage a takeover attempt to 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1760" w:right="459" w:hanging="442"/>
        <w:spacing w:after="0" w:line="260" w:lineRule="auto"/>
        <w:tabs>
          <w:tab w:leader="none" w:pos="1833"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C </w:t>
      </w:r>
      <w:r>
        <w:rPr>
          <w:rFonts w:ascii="Arial" w:cs="Arial" w:eastAsia="Arial" w:hAnsi="Arial"/>
          <w:sz w:val="18"/>
          <w:szCs w:val="18"/>
          <w:color w:val="auto"/>
        </w:rPr>
        <w:t>— to provide that certain amendments to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Charter will require the approval of at least 66</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the Combined Entity’s then-outstanding shares of capital stock entitled to vote on such amendment;</w:t>
      </w:r>
    </w:p>
    <w:p>
      <w:pPr>
        <w:spacing w:after="0" w:line="112" w:lineRule="exact"/>
        <w:rPr>
          <w:rFonts w:ascii="Arial" w:cs="Arial" w:eastAsia="Arial" w:hAnsi="Arial"/>
          <w:sz w:val="18"/>
          <w:szCs w:val="18"/>
          <w:color w:val="auto"/>
        </w:rPr>
      </w:pPr>
    </w:p>
    <w:p>
      <w:pPr>
        <w:jc w:val="both"/>
        <w:ind w:left="1760" w:right="459" w:hanging="442"/>
        <w:spacing w:after="0" w:line="277" w:lineRule="auto"/>
        <w:tabs>
          <w:tab w:leader="none" w:pos="1880" w:val="left"/>
        </w:tabs>
        <w:numPr>
          <w:ilvl w:val="1"/>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Advisory Charter Proposal D — </w:t>
      </w:r>
      <w:r>
        <w:rPr>
          <w:rFonts w:ascii="Arial" w:cs="Arial" w:eastAsia="Arial" w:hAnsi="Arial"/>
          <w:sz w:val="17"/>
          <w:szCs w:val="17"/>
          <w:color w:val="auto"/>
        </w:rPr>
        <w:t>to make the Combined Entity’s corporate existence</w:t>
      </w:r>
      <w:r>
        <w:rPr>
          <w:rFonts w:ascii="Arial" w:cs="Arial" w:eastAsia="Arial" w:hAnsi="Arial"/>
          <w:sz w:val="17"/>
          <w:szCs w:val="17"/>
          <w:b w:val="1"/>
          <w:bCs w:val="1"/>
          <w:color w:val="auto"/>
        </w:rPr>
        <w:t xml:space="preserve"> </w:t>
      </w:r>
      <w:r>
        <w:rPr>
          <w:rFonts w:ascii="Arial" w:cs="Arial" w:eastAsia="Arial" w:hAnsi="Arial"/>
          <w:sz w:val="17"/>
          <w:szCs w:val="17"/>
          <w:color w:val="auto"/>
        </w:rPr>
        <w:t>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0" w:lineRule="exact"/>
        <w:rPr>
          <w:rFonts w:ascii="Arial" w:cs="Arial" w:eastAsia="Arial" w:hAnsi="Arial"/>
          <w:sz w:val="17"/>
          <w:szCs w:val="17"/>
          <w:color w:val="auto"/>
        </w:rPr>
      </w:pPr>
    </w:p>
    <w:p>
      <w:pPr>
        <w:jc w:val="both"/>
        <w:ind w:left="1760" w:right="459" w:hanging="442"/>
        <w:spacing w:after="0" w:line="254" w:lineRule="auto"/>
        <w:tabs>
          <w:tab w:leader="none" w:pos="1806"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E </w:t>
      </w:r>
      <w:r>
        <w:rPr>
          <w:rFonts w:ascii="Arial" w:cs="Arial" w:eastAsia="Arial" w:hAnsi="Arial"/>
          <w:sz w:val="18"/>
          <w:szCs w:val="18"/>
          <w:color w:val="auto"/>
        </w:rPr>
        <w:t>— to provide that any amendment to the Amended By-laws</w:t>
      </w:r>
      <w:r>
        <w:rPr>
          <w:rFonts w:ascii="Arial" w:cs="Arial" w:eastAsia="Arial" w:hAnsi="Arial"/>
          <w:sz w:val="18"/>
          <w:szCs w:val="18"/>
          <w:b w:val="1"/>
          <w:bCs w:val="1"/>
          <w:color w:val="auto"/>
        </w:rPr>
        <w:t xml:space="preserve"> </w:t>
      </w:r>
      <w:r>
        <w:rPr>
          <w:rFonts w:ascii="Arial" w:cs="Arial" w:eastAsia="Arial" w:hAnsi="Arial"/>
          <w:sz w:val="18"/>
          <w:szCs w:val="18"/>
          <w:color w:val="auto"/>
        </w:rPr>
        <w:t>will require the approval of at least 66</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the Combined Entity’s then-outstanding shares of capital stock entitled to vote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9" w:lineRule="exact"/>
        <w:rPr>
          <w:rFonts w:ascii="Arial" w:cs="Arial" w:eastAsia="Arial" w:hAnsi="Arial"/>
          <w:sz w:val="18"/>
          <w:szCs w:val="18"/>
          <w:color w:val="auto"/>
        </w:rPr>
      </w:pPr>
    </w:p>
    <w:p>
      <w:pPr>
        <w:jc w:val="both"/>
        <w:ind w:left="1320" w:right="459" w:hanging="434"/>
        <w:spacing w:after="0" w:line="259" w:lineRule="auto"/>
        <w:tabs>
          <w:tab w:leader="none" w:pos="1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assuming the Business Combination Proposal is approved and adopted, the 2020 Stock Option and Incentive Plan (the “</w:t>
      </w:r>
      <w:r>
        <w:rPr>
          <w:rFonts w:ascii="Arial" w:cs="Arial" w:eastAsia="Arial" w:hAnsi="Arial"/>
          <w:sz w:val="18"/>
          <w:szCs w:val="18"/>
          <w:b w:val="1"/>
          <w:bCs w:val="1"/>
          <w:color w:val="auto"/>
        </w:rPr>
        <w:t>Equity Incentive Plan</w:t>
      </w:r>
      <w:r>
        <w:rPr>
          <w:rFonts w:ascii="Arial" w:cs="Arial" w:eastAsia="Arial" w:hAnsi="Arial"/>
          <w:sz w:val="18"/>
          <w:szCs w:val="18"/>
          <w:color w:val="auto"/>
        </w:rPr>
        <w:t xml:space="preserve">”), a copy of which is appended to this proxy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which will become effective the day prior to the Closing (the “</w:t>
      </w:r>
      <w:r>
        <w:rPr>
          <w:rFonts w:ascii="Arial" w:cs="Arial" w:eastAsia="Arial" w:hAnsi="Arial"/>
          <w:sz w:val="18"/>
          <w:szCs w:val="18"/>
          <w:b w:val="1"/>
          <w:bCs w:val="1"/>
          <w:color w:val="auto"/>
        </w:rPr>
        <w:t>Incentive Plan Proposal</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jc w:val="both"/>
        <w:ind w:left="1320" w:right="459" w:hanging="434"/>
        <w:spacing w:after="0" w:line="293" w:lineRule="auto"/>
        <w:tabs>
          <w:tab w:leader="none" w:pos="1305"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Arial" w:cs="Arial" w:eastAsia="Arial" w:hAnsi="Arial"/>
          <w:sz w:val="16"/>
          <w:szCs w:val="16"/>
          <w:b w:val="1"/>
          <w:bCs w:val="1"/>
          <w:color w:val="auto"/>
        </w:rPr>
        <w:t>Adjournment Proposal</w:t>
      </w:r>
      <w:r>
        <w:rPr>
          <w:rFonts w:ascii="Arial" w:cs="Arial" w:eastAsia="Arial" w:hAnsi="Arial"/>
          <w:sz w:val="16"/>
          <w:szCs w:val="16"/>
          <w:color w:val="auto"/>
        </w:rPr>
        <w:t>”).</w:t>
      </w:r>
    </w:p>
    <w:p>
      <w:pPr>
        <w:spacing w:after="0" w:line="9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Merger Agreement provides for the merger of Merger Sub with and into Gemini, with Gemini continuing as the as the surviving entity. Subject to the terms and conditions set forth in the Merger Agreement, at the effective time of the Business Combination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103" w:lineRule="exact"/>
        <w:rPr>
          <w:sz w:val="20"/>
          <w:szCs w:val="20"/>
          <w:color w:val="auto"/>
        </w:rPr>
      </w:pPr>
    </w:p>
    <w:p>
      <w:pPr>
        <w:jc w:val="both"/>
        <w:ind w:left="1320" w:right="479" w:hanging="434"/>
        <w:spacing w:after="0" w:line="257" w:lineRule="auto"/>
        <w:tabs>
          <w:tab w:leader="none" w:pos="1333"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shares of Gemini’s Series B Preferred Stock, Series A Preferred Stock and Common Stock (the “</w:t>
      </w:r>
      <w:r>
        <w:rPr>
          <w:rFonts w:ascii="Arial" w:cs="Arial" w:eastAsia="Arial" w:hAnsi="Arial"/>
          <w:sz w:val="18"/>
          <w:szCs w:val="18"/>
          <w:b w:val="1"/>
          <w:bCs w:val="1"/>
          <w:color w:val="auto"/>
        </w:rPr>
        <w:t>Gemini Stock</w:t>
      </w:r>
      <w:r>
        <w:rPr>
          <w:rFonts w:ascii="Arial" w:cs="Arial" w:eastAsia="Arial" w:hAnsi="Arial"/>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receive its Pro Rata Portion (as defined below) of the Merger Consideration; and</w:t>
      </w:r>
    </w:p>
    <w:p>
      <w:pPr>
        <w:spacing w:after="0" w:line="120" w:lineRule="exact"/>
        <w:rPr>
          <w:rFonts w:ascii="Arial" w:cs="Arial" w:eastAsia="Arial" w:hAnsi="Arial"/>
          <w:sz w:val="18"/>
          <w:szCs w:val="18"/>
          <w:color w:val="auto"/>
        </w:rPr>
      </w:pPr>
    </w:p>
    <w:p>
      <w:pPr>
        <w:jc w:val="both"/>
        <w:ind w:left="1320" w:right="459" w:hanging="434"/>
        <w:spacing w:after="0" w:line="279" w:lineRule="auto"/>
        <w:tabs>
          <w:tab w:leader="none" w:pos="1309" w:val="left"/>
        </w:tabs>
        <w:numPr>
          <w:ilvl w:val="0"/>
          <w:numId w:val="8"/>
        </w:numPr>
        <w:rPr>
          <w:rFonts w:ascii="Arial" w:cs="Arial" w:eastAsia="Arial" w:hAnsi="Arial"/>
          <w:sz w:val="17"/>
          <w:szCs w:val="17"/>
          <w:color w:val="auto"/>
        </w:rPr>
      </w:pPr>
      <w:r>
        <w:rPr>
          <w:rFonts w:ascii="Arial" w:cs="Arial" w:eastAsia="Arial" w:hAnsi="Arial"/>
          <w:sz w:val="17"/>
          <w:szCs w:val="17"/>
          <w:color w:val="auto"/>
        </w:rPr>
        <w:t>each option exercisable for Gemini Stock that is outstanding immediately prior to the effective time of the Merger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04" w:lineRule="exact"/>
        <w:rPr>
          <w:sz w:val="20"/>
          <w:szCs w:val="20"/>
          <w:color w:val="auto"/>
        </w:rPr>
      </w:pPr>
    </w:p>
    <w:p>
      <w:pPr>
        <w:jc w:val="both"/>
        <w:ind w:left="460" w:right="479"/>
        <w:spacing w:after="0" w:line="291" w:lineRule="auto"/>
        <w:rPr>
          <w:sz w:val="20"/>
          <w:szCs w:val="20"/>
          <w:color w:val="auto"/>
        </w:rPr>
      </w:pPr>
      <w:r>
        <w:rPr>
          <w:rFonts w:ascii="Arial" w:cs="Arial" w:eastAsia="Arial" w:hAnsi="Arial"/>
          <w:sz w:val="16"/>
          <w:szCs w:val="16"/>
          <w:color w:val="auto"/>
        </w:rPr>
        <w:t>Following completion of the Business Combination and assuming no holders of FS Development Class A Common Stock issued in the FS Development IPO (the “</w:t>
      </w:r>
      <w:r>
        <w:rPr>
          <w:rFonts w:ascii="Arial" w:cs="Arial" w:eastAsia="Arial" w:hAnsi="Arial"/>
          <w:sz w:val="16"/>
          <w:szCs w:val="16"/>
          <w:b w:val="1"/>
          <w:bCs w:val="1"/>
          <w:color w:val="auto"/>
        </w:rPr>
        <w:t>Public Shares</w:t>
      </w:r>
      <w:r>
        <w:rPr>
          <w:rFonts w:ascii="Arial" w:cs="Arial" w:eastAsia="Arial" w:hAnsi="Arial"/>
          <w:sz w:val="16"/>
          <w:szCs w:val="16"/>
          <w:color w:val="auto"/>
        </w:rPr>
        <w:t>”) elect to redeem their shares, FS Development Holdings, LLC (the “</w:t>
      </w:r>
      <w:r>
        <w:rPr>
          <w:rFonts w:ascii="Arial" w:cs="Arial" w:eastAsia="Arial" w:hAnsi="Arial"/>
          <w:sz w:val="16"/>
          <w:szCs w:val="16"/>
          <w:b w:val="1"/>
          <w:bCs w:val="1"/>
          <w:color w:val="auto"/>
        </w:rPr>
        <w:t>Sponsor</w:t>
      </w:r>
      <w:r>
        <w:rPr>
          <w:rFonts w:ascii="Arial" w:cs="Arial" w:eastAsia="Arial" w:hAnsi="Arial"/>
          <w:sz w:val="16"/>
          <w:szCs w:val="16"/>
          <w:color w:val="auto"/>
        </w:rPr>
        <w:t>”), the public stockholders, the PIPE Investment (as defined below) investors and holders of Gemini Stock (the “</w:t>
      </w:r>
      <w:r>
        <w:rPr>
          <w:rFonts w:ascii="Arial" w:cs="Arial" w:eastAsia="Arial" w:hAnsi="Arial"/>
          <w:sz w:val="16"/>
          <w:szCs w:val="16"/>
          <w:b w:val="1"/>
          <w:bCs w:val="1"/>
          <w:color w:val="auto"/>
        </w:rPr>
        <w:t>Gemini Equityholders</w:t>
      </w:r>
      <w:r>
        <w:rPr>
          <w:rFonts w:ascii="Arial" w:cs="Arial" w:eastAsia="Arial" w:hAnsi="Arial"/>
          <w:sz w:val="16"/>
          <w:szCs w:val="16"/>
          <w:color w:val="auto"/>
        </w:rPr>
        <w:t>”) will own approximately 7%, 26%, 21% and 46% of the outstanding common stock of the Combined Entity, respectively. These percentages are calculated based on a number of assumptions (described in the accompanying proxy statement/prospectus) and are subject to adjustment in accordance with the terms of the Merger Agreement.</w:t>
      </w:r>
    </w:p>
    <w:p>
      <w:pPr>
        <w:spacing w:after="0" w:line="8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Approval of the Charter Amendment Proposal requires the affirmative vote of a majority of the issued and outstanding shares of FS Development Class A Common Stock and Class B Common stock (collectively, “</w:t>
      </w:r>
      <w:r>
        <w:rPr>
          <w:rFonts w:ascii="Arial" w:cs="Arial" w:eastAsia="Arial" w:hAnsi="Arial"/>
          <w:sz w:val="17"/>
          <w:szCs w:val="17"/>
          <w:b w:val="1"/>
          <w:bCs w:val="1"/>
          <w:color w:val="auto"/>
        </w:rPr>
        <w:t>FS</w:t>
      </w:r>
      <w:r>
        <w:rPr>
          <w:rFonts w:ascii="Arial" w:cs="Arial" w:eastAsia="Arial" w:hAnsi="Arial"/>
          <w:sz w:val="17"/>
          <w:szCs w:val="17"/>
          <w:color w:val="auto"/>
        </w:rPr>
        <w:t xml:space="preserve"> </w:t>
      </w:r>
      <w:r>
        <w:rPr>
          <w:rFonts w:ascii="Arial" w:cs="Arial" w:eastAsia="Arial" w:hAnsi="Arial"/>
          <w:sz w:val="17"/>
          <w:szCs w:val="17"/>
          <w:b w:val="1"/>
          <w:bCs w:val="1"/>
          <w:color w:val="auto"/>
        </w:rPr>
        <w:t>Development Common Stock</w:t>
      </w:r>
      <w:r>
        <w:rPr>
          <w:rFonts w:ascii="Arial" w:cs="Arial" w:eastAsia="Arial" w:hAnsi="Arial"/>
          <w:sz w:val="17"/>
          <w:szCs w:val="17"/>
          <w:color w:val="auto"/>
        </w:rPr>
        <w:t>”) as of the record date (the “</w:t>
      </w:r>
      <w:r>
        <w:rPr>
          <w:rFonts w:ascii="Arial" w:cs="Arial" w:eastAsia="Arial" w:hAnsi="Arial"/>
          <w:sz w:val="17"/>
          <w:szCs w:val="17"/>
          <w:b w:val="1"/>
          <w:bCs w:val="1"/>
          <w:color w:val="auto"/>
        </w:rPr>
        <w:t>Record Date</w:t>
      </w:r>
      <w:r>
        <w:rPr>
          <w:rFonts w:ascii="Arial" w:cs="Arial" w:eastAsia="Arial" w:hAnsi="Arial"/>
          <w:sz w:val="17"/>
          <w:szCs w:val="17"/>
          <w:color w:val="auto"/>
        </w:rPr>
        <w:t>”) for the Special Meeting, voting</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online or by proxy and entitled to vote thereon at the Special Meeting, voting together as a single class. If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90"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Pursuant to the Current Charter, FS Development is providing its public stockholders with the opportunity to redeem, upon the Closing, the Public Shares then held by them for cash equal to their pro rata share of the aggregate amount on deposit (as of two business days prior to the closing of the Business Combination) in the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that holds the proceeds (including interest but less franchise and income taxes payable) of FS Development’s initial public offering (the “</w:t>
      </w:r>
      <w:r>
        <w:rPr>
          <w:rFonts w:ascii="Arial" w:cs="Arial" w:eastAsia="Arial" w:hAnsi="Arial"/>
          <w:sz w:val="16"/>
          <w:szCs w:val="16"/>
          <w:b w:val="1"/>
          <w:bCs w:val="1"/>
          <w:color w:val="auto"/>
        </w:rPr>
        <w:t>FS Development IPO</w:t>
      </w:r>
      <w:r>
        <w:rPr>
          <w:rFonts w:ascii="Arial" w:cs="Arial" w:eastAsia="Arial" w:hAnsi="Arial"/>
          <w:sz w:val="16"/>
          <w:szCs w:val="16"/>
          <w:color w:val="auto"/>
        </w:rPr>
        <w:t>”). For illustrative</w:t>
      </w:r>
    </w:p>
    <w:p>
      <w:pPr>
        <w:spacing w:after="0" w:line="2" w:lineRule="exact"/>
        <w:rPr>
          <w:sz w:val="20"/>
          <w:szCs w:val="20"/>
          <w:color w:val="auto"/>
        </w:rPr>
      </w:pPr>
    </w:p>
    <w:p>
      <w:pPr>
        <w:jc w:val="both"/>
        <w:ind w:left="460" w:right="459"/>
        <w:spacing w:after="0" w:line="265" w:lineRule="auto"/>
        <w:rPr>
          <w:sz w:val="20"/>
          <w:szCs w:val="20"/>
          <w:color w:val="auto"/>
        </w:rPr>
      </w:pPr>
      <w:r>
        <w:rPr>
          <w:rFonts w:ascii="Arial" w:cs="Arial" w:eastAsia="Arial" w:hAnsi="Arial"/>
          <w:sz w:val="17"/>
          <w:szCs w:val="17"/>
          <w:color w:val="auto"/>
        </w:rPr>
        <w:t xml:space="preserve">purposes, based on funds in the Trust Account of approximately $ million on June 30, 2020, the estimated per share redemption price would have been approximately $ . </w:t>
      </w:r>
      <w:r>
        <w:rPr>
          <w:rFonts w:ascii="Arial" w:cs="Arial" w:eastAsia="Arial" w:hAnsi="Arial"/>
          <w:sz w:val="17"/>
          <w:szCs w:val="17"/>
          <w:b w:val="1"/>
          <w:bCs w:val="1"/>
          <w:color w:val="auto"/>
        </w:rPr>
        <w:t>Public stockholders may elect to redeem</w:t>
      </w:r>
    </w:p>
    <w:p>
      <w:pPr>
        <w:jc w:val="both"/>
        <w:ind w:left="460" w:right="459"/>
        <w:spacing w:after="0" w:line="281" w:lineRule="auto"/>
        <w:rPr>
          <w:sz w:val="20"/>
          <w:szCs w:val="20"/>
          <w:color w:val="auto"/>
        </w:rPr>
      </w:pPr>
      <w:r>
        <w:rPr>
          <w:rFonts w:ascii="Arial" w:cs="Arial" w:eastAsia="Arial" w:hAnsi="Arial"/>
          <w:sz w:val="16"/>
          <w:szCs w:val="16"/>
          <w:b w:val="1"/>
          <w:bCs w:val="1"/>
          <w:color w:val="auto"/>
        </w:rPr>
        <w:t>their shares even if they vote for the Business Combination Proposal</w:t>
      </w:r>
      <w:r>
        <w:rPr>
          <w:rFonts w:ascii="Arial" w:cs="Arial" w:eastAsia="Arial" w:hAnsi="Arial"/>
          <w:sz w:val="16"/>
          <w:szCs w:val="16"/>
          <w:color w:val="auto"/>
        </w:rPr>
        <w:t>. A public stockholder, together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of his, her or its affiliates or any other person with whom it is acting in concert or as a “group” (as defined under Section 13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will be restricted from redeeming in the aggregate his, her or its shares or, if part of such a group, the group’s shares, with respect to 20% or more of the shares of FS Development Class A Common Stock issued in the FS Development IPO. The Sponsor and FS Development’s 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shares of FS Development Common Stock they hold in connection with the Closing. The Sponsor and FS Development’s other initial stockholders have agreed to vote any shares of FS Development Common Stock owned by them in favor of the Business Combination</w:t>
      </w:r>
    </w:p>
    <w:p>
      <w:pPr>
        <w:spacing w:after="0" w:line="7" w:lineRule="exact"/>
        <w:rPr>
          <w:sz w:val="20"/>
          <w:szCs w:val="20"/>
          <w:color w:val="auto"/>
        </w:rPr>
      </w:pPr>
    </w:p>
    <w:p>
      <w:pPr>
        <w:ind w:left="460"/>
        <w:spacing w:after="0"/>
        <w:tabs>
          <w:tab w:leader="none" w:pos="3780" w:val="left"/>
        </w:tabs>
        <w:rPr>
          <w:sz w:val="20"/>
          <w:szCs w:val="20"/>
          <w:color w:val="auto"/>
        </w:rPr>
      </w:pPr>
      <w:r>
        <w:rPr>
          <w:rFonts w:ascii="Arial" w:cs="Arial" w:eastAsia="Arial" w:hAnsi="Arial"/>
          <w:sz w:val="18"/>
          <w:szCs w:val="18"/>
          <w:color w:val="auto"/>
        </w:rPr>
        <w:t>Proposal, which represent approximately</w:t>
      </w:r>
      <w:r>
        <w:rPr>
          <w:sz w:val="20"/>
          <w:szCs w:val="20"/>
          <w:color w:val="auto"/>
        </w:rPr>
        <w:tab/>
      </w:r>
      <w:r>
        <w:rPr>
          <w:rFonts w:ascii="Arial" w:cs="Arial" w:eastAsia="Arial" w:hAnsi="Arial"/>
          <w:sz w:val="16"/>
          <w:szCs w:val="16"/>
          <w:color w:val="auto"/>
        </w:rPr>
        <w:t>% of the voting power of FS Development.</w:t>
      </w:r>
    </w:p>
    <w:p>
      <w:pPr>
        <w:spacing w:after="0" w:line="14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 xml:space="preserve">FS Development is providing this proxy statement/prospectus and accompanying proxy card to FS Development stockholders in connection with the solicitation of proxies to be voted at the Special Meeting and at any adjournments or postponements of the Special Meeting. </w:t>
      </w:r>
      <w:r>
        <w:rPr>
          <w:rFonts w:ascii="Arial" w:cs="Arial" w:eastAsia="Arial" w:hAnsi="Arial"/>
          <w:sz w:val="16"/>
          <w:szCs w:val="16"/>
          <w:b w:val="1"/>
          <w:bCs w:val="1"/>
          <w:color w:val="auto"/>
        </w:rPr>
        <w:t>Whether or not you plan to attend the Special</w:t>
      </w:r>
    </w:p>
    <w:p>
      <w:pPr>
        <w:spacing w:after="0" w:line="2"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b w:val="1"/>
          <w:bCs w:val="1"/>
          <w:color w:val="auto"/>
        </w:rPr>
        <w:t>Meeting, FS Development urges you to read this proxy statement/prospectus (and any documents incorporated into this proxy statement/prospectus by reference) carefully. Please pay particular attention to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w:t>
      </w:r>
    </w:p>
    <w:p>
      <w:pPr>
        <w:spacing w:after="0" w:line="10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b w:val="1"/>
          <w:bCs w:val="1"/>
          <w:color w:val="auto"/>
        </w:rPr>
        <w:t>After careful consideration, the board of directors of FS Development has unanimously approved and adopted the Merger Agreement and the transactions contemplated therein and has determined that each of the Nasdaq Stock Issuance Proposal, Charter Amendment Proposal, Advisory Charter Proposals, Incentive Plan Proposal, and Adjournment Proposal are in the best interests of FS Development and its stockholders and unanimously recommends that you vote or give instruction to vote “FOR” each of those proposals. When you consider the board of directors’ recommendation of these proposals, you should keep in mind that the directors and officers of FS Development have interests in the Business Combination that may conflict with your interests as a stockholder. See the section titled “</w:t>
      </w:r>
      <w:r>
        <w:rPr>
          <w:rFonts w:ascii="Arial" w:cs="Arial" w:eastAsia="Arial" w:hAnsi="Arial"/>
          <w:sz w:val="17"/>
          <w:szCs w:val="17"/>
          <w:b w:val="1"/>
          <w:bCs w:val="1"/>
          <w:i w:val="1"/>
          <w:iCs w:val="1"/>
          <w:color w:val="auto"/>
        </w:rPr>
        <w:t>Business</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Combination Proposal — Interests of FS Development’s Directors and Officers and Others in the Business Combination</w:t>
      </w:r>
      <w:r>
        <w:rPr>
          <w:rFonts w:ascii="Arial" w:cs="Arial" w:eastAsia="Arial" w:hAnsi="Arial"/>
          <w:sz w:val="17"/>
          <w:szCs w:val="17"/>
          <w:b w:val="1"/>
          <w:bCs w:val="1"/>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Each redemption of shares of FS Development Common Stock by FS Development public stockholders will</w:t>
      </w:r>
    </w:p>
    <w:p>
      <w:pPr>
        <w:spacing w:after="0" w:line="35"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decrease the amount in the Trust Account, which held total assets of approximately $ million as of June 30, 2020. FS Development will not redeem Public Shares in an amount that would cause it to have net tangible assets of less than $5,000,001.</w:t>
      </w:r>
    </w:p>
    <w:p>
      <w:pPr>
        <w:spacing w:after="0" w:line="11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color w:val="auto"/>
        </w:rPr>
        <w:t>Your vote is very important. If you are a registered stockholder, please vote your shares as soon as possible to ensure that your vote is counted, regardless of whether you expect to attend the Special Meeting virtually,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Merger Agreement will be consummated only if the Business Combination Proposal, the Nasdaq Stock Issuance Proposal, the Charter Amendment Proposal, and the Incentive Plan Proposal are approved at the Special Meeting. Approval of the Nasdaq Stock Issuance Proposal, the Charter Amendment Proposal, and the Incentive Plan Proposal are conditioned on the approval of the Business Combination Proposal and satisfaction of other closing conditions. The Adjournment Proposal is not conditioned on the approval of any other proposal set forth in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229870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TO EXERCISE YOUR REDEMPTION RIGHTS, YOU MUST DEMAND THAT FS DEVELOPMENT REDEEM YOUR SHARES FOR A PRO RATA PORTION OF THE FUNDS HELD IN THE TRUST ACCOUNT AND TENDER YOUR SHARES TO FS DEVELOPMENT’S TRANSFER AGENT AT LEAST TWO BUSINESS DAYS PRIOR TO THE VOTE AT THE SPECIAL MEETING. YOU MAY TENDER YOUR SHARES BY EITHER DELIVERING YOUR SHARE CERTIFICATE TO THE TRANSFER AGENT OR BY DELIVERING YOUR SHARES ELECTRONICALLY TO THE TRANSFER AGENT USING DEPOSITORY TRUST COMPANY’S DEPOSIT WITHDRAWAL AT CUSTODIAN (“</w:t>
      </w:r>
      <w:r>
        <w:rPr>
          <w:rFonts w:ascii="Arial" w:cs="Arial" w:eastAsia="Arial" w:hAnsi="Arial"/>
          <w:sz w:val="17"/>
          <w:szCs w:val="17"/>
          <w:b w:val="1"/>
          <w:bCs w:val="1"/>
          <w:color w:val="auto"/>
        </w:rPr>
        <w:t>DWAC</w:t>
      </w:r>
      <w:r>
        <w:rPr>
          <w:rFonts w:ascii="Arial" w:cs="Arial" w:eastAsia="Arial" w:hAnsi="Arial"/>
          <w:sz w:val="17"/>
          <w:szCs w:val="17"/>
          <w:color w:val="auto"/>
        </w:rPr>
        <w:t>”)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1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behalf of FS Development’s board of directors, I would like to thank you for your support and look forward to the successful completion of the Business Combination.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297815</wp:posOffset>
            </wp:positionV>
            <wp:extent cx="227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Jim Tananbaum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FS Development Corp.</w:t>
      </w:r>
    </w:p>
    <w:p>
      <w:pPr>
        <w:spacing w:after="0" w:line="221"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The accompanying proxy statement/prospectus is dated</w:t>
            </w:r>
          </w:p>
        </w:tc>
        <w:tc>
          <w:tcPr>
            <w:tcW w:w="3420" w:type="dxa"/>
            <w:vAlign w:val="bottom"/>
          </w:tcPr>
          <w:p>
            <w:pPr>
              <w:ind w:left="540"/>
              <w:spacing w:after="0"/>
              <w:rPr>
                <w:sz w:val="20"/>
                <w:szCs w:val="20"/>
                <w:color w:val="auto"/>
              </w:rPr>
            </w:pPr>
            <w:r>
              <w:rPr>
                <w:rFonts w:ascii="Arial" w:cs="Arial" w:eastAsia="Arial" w:hAnsi="Arial"/>
                <w:sz w:val="18"/>
                <w:szCs w:val="18"/>
                <w:color w:val="auto"/>
                <w:w w:val="97"/>
              </w:rPr>
              <w:t>, 2020 and is first being mailed to the</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w w:val="95"/>
              </w:rPr>
              <w:t>stockholders of FS Development on or about</w:t>
            </w: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 2020.</w:t>
            </w:r>
          </w:p>
        </w:tc>
        <w:tc>
          <w:tcPr>
            <w:tcW w:w="3420" w:type="dxa"/>
            <w:vAlign w:val="bottom"/>
          </w:tcPr>
          <w:p>
            <w:pPr>
              <w:spacing w:after="0"/>
              <w:rPr>
                <w:sz w:val="20"/>
                <w:szCs w:val="20"/>
                <w:color w:val="auto"/>
              </w:rPr>
            </w:pPr>
          </w:p>
        </w:tc>
      </w:tr>
      <w:tr>
        <w:trPr>
          <w:trHeight w:val="392"/>
        </w:trPr>
        <w:tc>
          <w:tcPr>
            <w:tcW w:w="3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FS DEVELOPMENT CORP.</w:t>
      </w:r>
    </w:p>
    <w:p>
      <w:pPr>
        <w:spacing w:after="0" w:line="139" w:lineRule="exact"/>
        <w:rPr>
          <w:sz w:val="20"/>
          <w:szCs w:val="20"/>
          <w:color w:val="auto"/>
        </w:rPr>
      </w:pPr>
    </w:p>
    <w:tbl>
      <w:tblPr>
        <w:tblLayout w:type="fixed"/>
        <w:tblInd w:w="342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of FS Development Corp.: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IS HEREBY GIVEN that a special meeting of stockholders (the “</w:t>
      </w:r>
      <w:r>
        <w:rPr>
          <w:rFonts w:ascii="Arial" w:cs="Arial" w:eastAsia="Arial" w:hAnsi="Arial"/>
          <w:sz w:val="18"/>
          <w:szCs w:val="18"/>
          <w:b w:val="1"/>
          <w:bCs w:val="1"/>
          <w:color w:val="auto"/>
        </w:rPr>
        <w:t>Special Meeting</w:t>
      </w:r>
      <w:r>
        <w:rPr>
          <w:rFonts w:ascii="Arial" w:cs="Arial" w:eastAsia="Arial" w:hAnsi="Arial"/>
          <w:sz w:val="18"/>
          <w:szCs w:val="18"/>
          <w:color w:val="auto"/>
        </w:rPr>
        <w:t>”) of FS</w:t>
      </w:r>
    </w:p>
    <w:p>
      <w:pPr>
        <w:spacing w:after="0" w:line="27"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Development Corp., a Delaware corporation (“FS Development,” “we,” “our” or “us”), will be held on , 2020, at , Eastern time, via live webcast at the following address . You will need the 12-digit</w:t>
      </w:r>
    </w:p>
    <w:p>
      <w:pPr>
        <w:spacing w:after="0" w:line="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 You are cordially invited to attend the Special Meeting for the following purposes:</w:t>
      </w:r>
    </w:p>
    <w:p>
      <w:pPr>
        <w:spacing w:after="0" w:line="109" w:lineRule="exact"/>
        <w:rPr>
          <w:sz w:val="20"/>
          <w:szCs w:val="20"/>
          <w:color w:val="auto"/>
        </w:rPr>
      </w:pPr>
    </w:p>
    <w:p>
      <w:pPr>
        <w:jc w:val="both"/>
        <w:ind w:left="1320" w:right="459" w:hanging="434"/>
        <w:spacing w:after="0" w:line="288" w:lineRule="auto"/>
        <w:tabs>
          <w:tab w:leader="none" w:pos="129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The Business Combination Proposal </w:t>
      </w:r>
      <w:r>
        <w:rPr>
          <w:rFonts w:ascii="Arial" w:cs="Arial" w:eastAsia="Arial" w:hAnsi="Arial"/>
          <w:sz w:val="16"/>
          <w:szCs w:val="16"/>
          <w:color w:val="auto"/>
        </w:rPr>
        <w:t>— To (a) adopt and approve the Merger Agreement, dated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15, 2020 (the “</w:t>
      </w:r>
      <w:r>
        <w:rPr>
          <w:rFonts w:ascii="Arial" w:cs="Arial" w:eastAsia="Arial" w:hAnsi="Arial"/>
          <w:sz w:val="16"/>
          <w:szCs w:val="16"/>
          <w:b w:val="1"/>
          <w:bCs w:val="1"/>
          <w:color w:val="auto"/>
        </w:rPr>
        <w:t>Merger Agreement</w:t>
      </w:r>
      <w:r>
        <w:rPr>
          <w:rFonts w:ascii="Arial" w:cs="Arial" w:eastAsia="Arial" w:hAnsi="Arial"/>
          <w:sz w:val="16"/>
          <w:szCs w:val="16"/>
          <w:color w:val="auto"/>
        </w:rPr>
        <w:t>”), among FS Development, FSG Merger Sub, Inc., a Delaware corporation and a wholly-owned subsidiary of FS Development (“</w:t>
      </w:r>
      <w:r>
        <w:rPr>
          <w:rFonts w:ascii="Arial" w:cs="Arial" w:eastAsia="Arial" w:hAnsi="Arial"/>
          <w:sz w:val="16"/>
          <w:szCs w:val="16"/>
          <w:b w:val="1"/>
          <w:bCs w:val="1"/>
          <w:color w:val="auto"/>
        </w:rPr>
        <w:t>Merger Sub</w:t>
      </w:r>
      <w:r>
        <w:rPr>
          <w:rFonts w:ascii="Arial" w:cs="Arial" w:eastAsia="Arial" w:hAnsi="Arial"/>
          <w:sz w:val="16"/>
          <w:szCs w:val="16"/>
          <w:color w:val="auto"/>
        </w:rPr>
        <w:t>”), Gemini Therapeutics, Inc., a Delaware corporation (“</w:t>
      </w:r>
      <w:r>
        <w:rPr>
          <w:rFonts w:ascii="Arial" w:cs="Arial" w:eastAsia="Arial" w:hAnsi="Arial"/>
          <w:sz w:val="16"/>
          <w:szCs w:val="16"/>
          <w:b w:val="1"/>
          <w:bCs w:val="1"/>
          <w:color w:val="auto"/>
        </w:rPr>
        <w:t>Gemini</w:t>
      </w:r>
      <w:r>
        <w:rPr>
          <w:rFonts w:ascii="Arial" w:cs="Arial" w:eastAsia="Arial" w:hAnsi="Arial"/>
          <w:sz w:val="16"/>
          <w:szCs w:val="16"/>
          <w:color w:val="auto"/>
        </w:rPr>
        <w:t>”), and Shareholder Representative Services LLC pursuant to which Merger Sub will merge with and into Gemini, with Gemini surviving the merger as a wholly-owned subsidiary of FS Development (the “</w:t>
      </w:r>
      <w:r>
        <w:rPr>
          <w:rFonts w:ascii="Arial" w:cs="Arial" w:eastAsia="Arial" w:hAnsi="Arial"/>
          <w:sz w:val="16"/>
          <w:szCs w:val="16"/>
          <w:b w:val="1"/>
          <w:bCs w:val="1"/>
          <w:color w:val="auto"/>
        </w:rPr>
        <w:t>Combined Entity</w:t>
      </w:r>
      <w:r>
        <w:rPr>
          <w:rFonts w:ascii="Arial" w:cs="Arial" w:eastAsia="Arial" w:hAnsi="Arial"/>
          <w:sz w:val="16"/>
          <w:szCs w:val="16"/>
          <w:color w:val="auto"/>
        </w:rPr>
        <w:t>”) and (b) approve such merger and the other transactions contemplated by the Merger Agreement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In connection with the Business Combination, FS Development will be renamed “Gemini Therapeutics, Inc.” Subject to the terms and conditions set forth in the Merger Agreement, at the effective time of the Business Combination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87" w:lineRule="exact"/>
        <w:rPr>
          <w:rFonts w:ascii="Arial" w:cs="Arial" w:eastAsia="Arial" w:hAnsi="Arial"/>
          <w:sz w:val="16"/>
          <w:szCs w:val="16"/>
          <w:color w:val="auto"/>
        </w:rPr>
      </w:pPr>
    </w:p>
    <w:p>
      <w:pPr>
        <w:jc w:val="both"/>
        <w:ind w:left="1760" w:right="479" w:hanging="442"/>
        <w:spacing w:after="0" w:line="275" w:lineRule="auto"/>
        <w:tabs>
          <w:tab w:leader="none" w:pos="1748"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shares of Gemini’s Series B Preferred Stock, Series A Preferred Stock and Common Stock (the “</w:t>
      </w:r>
      <w:r>
        <w:rPr>
          <w:rFonts w:ascii="Arial" w:cs="Arial" w:eastAsia="Arial" w:hAnsi="Arial"/>
          <w:sz w:val="17"/>
          <w:szCs w:val="17"/>
          <w:b w:val="1"/>
          <w:bCs w:val="1"/>
          <w:color w:val="auto"/>
        </w:rPr>
        <w:t>Gemini Stock</w:t>
      </w:r>
      <w:r>
        <w:rPr>
          <w:rFonts w:ascii="Arial" w:cs="Arial" w:eastAsia="Arial" w:hAnsi="Arial"/>
          <w:sz w:val="17"/>
          <w:szCs w:val="17"/>
          <w:color w:val="auto"/>
        </w:rPr>
        <w:t>”) issued and outstanding immediately prior to the Effective Time, whether vested or unvested, will be converted into the right to receive the Merger Consideration (as defined below), with each stockholder of Gemini Stock being entitled to receiving its Pro Rata Portion (as defined below) of the Merger Consideration; and</w:t>
      </w:r>
    </w:p>
    <w:p>
      <w:pPr>
        <w:spacing w:after="0" w:line="108" w:lineRule="exact"/>
        <w:rPr>
          <w:rFonts w:ascii="Arial" w:cs="Arial" w:eastAsia="Arial" w:hAnsi="Arial"/>
          <w:sz w:val="17"/>
          <w:szCs w:val="17"/>
          <w:color w:val="auto"/>
        </w:rPr>
      </w:pPr>
    </w:p>
    <w:p>
      <w:pPr>
        <w:jc w:val="both"/>
        <w:ind w:left="1760" w:right="459" w:hanging="442"/>
        <w:spacing w:after="0" w:line="301" w:lineRule="auto"/>
        <w:tabs>
          <w:tab w:leader="none" w:pos="1734" w:val="left"/>
        </w:tabs>
        <w:numPr>
          <w:ilvl w:val="1"/>
          <w:numId w:val="9"/>
        </w:numPr>
        <w:rPr>
          <w:rFonts w:ascii="Arial" w:cs="Arial" w:eastAsia="Arial" w:hAnsi="Arial"/>
          <w:sz w:val="16"/>
          <w:szCs w:val="16"/>
          <w:color w:val="auto"/>
        </w:rPr>
      </w:pPr>
      <w:r>
        <w:rPr>
          <w:rFonts w:ascii="Arial" w:cs="Arial" w:eastAsia="Arial" w:hAnsi="Arial"/>
          <w:sz w:val="16"/>
          <w:szCs w:val="16"/>
          <w:color w:val="auto"/>
        </w:rPr>
        <w:t>each option exercisable for Gemini Stock that is outstanding immediately prior to the effective time of the Merger shall be assumed and continue in full force and effect on the same terms and conditions as are currently applicable to such options, subject to adjustments to exercise price and number of shares of Common Stock issued upon exercise.</w:t>
      </w:r>
    </w:p>
    <w:p>
      <w:pPr>
        <w:spacing w:after="0" w:line="86" w:lineRule="exact"/>
        <w:rPr>
          <w:sz w:val="20"/>
          <w:szCs w:val="20"/>
          <w:color w:val="auto"/>
        </w:rPr>
      </w:pPr>
    </w:p>
    <w:p>
      <w:pPr>
        <w:ind w:left="1320" w:right="459"/>
        <w:spacing w:after="0" w:line="282" w:lineRule="auto"/>
        <w:rPr>
          <w:sz w:val="20"/>
          <w:szCs w:val="20"/>
          <w:color w:val="auto"/>
        </w:rPr>
      </w:pPr>
      <w:r>
        <w:rPr>
          <w:rFonts w:ascii="Arial" w:cs="Arial" w:eastAsia="Arial" w:hAnsi="Arial"/>
          <w:sz w:val="18"/>
          <w:szCs w:val="18"/>
          <w:color w:val="auto"/>
        </w:rPr>
        <w:t>We refer to this proposal as the “</w:t>
      </w:r>
      <w:r>
        <w:rPr>
          <w:rFonts w:ascii="Arial" w:cs="Arial" w:eastAsia="Arial" w:hAnsi="Arial"/>
          <w:sz w:val="18"/>
          <w:szCs w:val="18"/>
          <w:b w:val="1"/>
          <w:bCs w:val="1"/>
          <w:color w:val="auto"/>
        </w:rPr>
        <w:t>Business Combination Proposal</w:t>
      </w:r>
      <w:r>
        <w:rPr>
          <w:rFonts w:ascii="Arial" w:cs="Arial" w:eastAsia="Arial" w:hAnsi="Arial"/>
          <w:sz w:val="18"/>
          <w:szCs w:val="18"/>
          <w:color w:val="auto"/>
        </w:rPr>
        <w:t xml:space="preserve">.” A copy of the Merger Agreement is attached to the proxy statement/prospectus as </w:t>
      </w:r>
      <w:r>
        <w:rPr>
          <w:rFonts w:ascii="Arial" w:cs="Arial" w:eastAsia="Arial" w:hAnsi="Arial"/>
          <w:sz w:val="18"/>
          <w:szCs w:val="18"/>
          <w:i w:val="1"/>
          <w:iCs w:val="1"/>
          <w:u w:val="single" w:color="auto"/>
          <w:color w:val="auto"/>
        </w:rPr>
        <w:t>Annex A</w:t>
      </w:r>
      <w:r>
        <w:rPr>
          <w:rFonts w:ascii="Arial" w:cs="Arial" w:eastAsia="Arial" w:hAnsi="Arial"/>
          <w:sz w:val="18"/>
          <w:szCs w:val="18"/>
          <w:color w:val="auto"/>
        </w:rPr>
        <w:t>.</w:t>
      </w:r>
    </w:p>
    <w:p>
      <w:pPr>
        <w:spacing w:after="0" w:line="85" w:lineRule="exact"/>
        <w:rPr>
          <w:sz w:val="20"/>
          <w:szCs w:val="20"/>
          <w:color w:val="auto"/>
        </w:rPr>
      </w:pPr>
    </w:p>
    <w:p>
      <w:pPr>
        <w:jc w:val="both"/>
        <w:ind w:left="1320" w:right="459" w:hanging="434"/>
        <w:spacing w:after="0" w:line="288" w:lineRule="auto"/>
        <w:tabs>
          <w:tab w:leader="none" w:pos="13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assuming the Business Combination Proposal is approved and adopted, for purposes of complying with the applicable provisions of Nasdaq Stock Exchange Listing Rule 5635 (each, a “</w:t>
      </w:r>
      <w:r>
        <w:rPr>
          <w:rFonts w:ascii="Arial" w:cs="Arial" w:eastAsia="Arial" w:hAnsi="Arial"/>
          <w:sz w:val="16"/>
          <w:szCs w:val="16"/>
          <w:b w:val="1"/>
          <w:bCs w:val="1"/>
          <w:color w:val="auto"/>
        </w:rPr>
        <w:t>Nasdaq Listing Rule</w:t>
      </w:r>
      <w:r>
        <w:rPr>
          <w:rFonts w:ascii="Arial" w:cs="Arial" w:eastAsia="Arial" w:hAnsi="Arial"/>
          <w:sz w:val="16"/>
          <w:szCs w:val="16"/>
          <w:color w:val="auto"/>
        </w:rPr>
        <w:t>”), (a) the issuance of up to 21,500,000 newly issued shares of FS Development Class A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in the Business Combination determined as described in more detail in the accompanying proxy statement/prospectus under the heading titled “</w:t>
      </w:r>
      <w:r>
        <w:rPr>
          <w:rFonts w:ascii="Arial" w:cs="Arial" w:eastAsia="Arial" w:hAnsi="Arial"/>
          <w:sz w:val="16"/>
          <w:szCs w:val="16"/>
          <w:i w:val="1"/>
          <w:iCs w:val="1"/>
          <w:color w:val="auto"/>
        </w:rPr>
        <w:t>The Business Combination Proposal — 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of Gemini; Merger Consideration</w:t>
      </w:r>
      <w:r>
        <w:rPr>
          <w:rFonts w:ascii="Arial" w:cs="Arial" w:eastAsia="Arial" w:hAnsi="Arial"/>
          <w:sz w:val="16"/>
          <w:szCs w:val="16"/>
          <w:color w:val="auto"/>
        </w:rPr>
        <w:t>” and (b) the issuance and sale of 9,506,000 newly issued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FS Development Class A Common Stock in a private placement concurrent with the Business Combination (the “</w:t>
      </w:r>
      <w:r>
        <w:rPr>
          <w:rFonts w:ascii="Arial" w:cs="Arial" w:eastAsia="Arial" w:hAnsi="Arial"/>
          <w:sz w:val="16"/>
          <w:szCs w:val="16"/>
          <w:b w:val="1"/>
          <w:bCs w:val="1"/>
          <w:color w:val="auto"/>
        </w:rPr>
        <w:t>PIPE Investment</w:t>
      </w:r>
      <w:r>
        <w:rPr>
          <w:rFonts w:ascii="Arial" w:cs="Arial" w:eastAsia="Arial" w:hAnsi="Arial"/>
          <w:sz w:val="16"/>
          <w:szCs w:val="16"/>
          <w:color w:val="auto"/>
        </w:rPr>
        <w:t>”), to the extent such issuances would require a stockholder vote under the applicable Nasdaq Listing Rule (the “</w:t>
      </w:r>
      <w:r>
        <w:rPr>
          <w:rFonts w:ascii="Arial" w:cs="Arial" w:eastAsia="Arial" w:hAnsi="Arial"/>
          <w:sz w:val="16"/>
          <w:szCs w:val="16"/>
          <w:b w:val="1"/>
          <w:bCs w:val="1"/>
          <w:color w:val="auto"/>
        </w:rPr>
        <w:t>Nasdaq Stock Issuance Proposal</w:t>
      </w:r>
      <w:r>
        <w:rPr>
          <w:rFonts w:ascii="Arial" w:cs="Arial" w:eastAsia="Arial" w:hAnsi="Arial"/>
          <w:sz w:val="16"/>
          <w:szCs w:val="16"/>
          <w:color w:val="auto"/>
        </w:rPr>
        <w:t>”);</w:t>
      </w:r>
    </w:p>
    <w:p>
      <w:pPr>
        <w:spacing w:after="0" w:line="100" w:lineRule="exact"/>
        <w:rPr>
          <w:rFonts w:ascii="Arial" w:cs="Arial" w:eastAsia="Arial" w:hAnsi="Arial"/>
          <w:sz w:val="16"/>
          <w:szCs w:val="16"/>
          <w:color w:val="auto"/>
        </w:rPr>
      </w:pPr>
    </w:p>
    <w:p>
      <w:pPr>
        <w:jc w:val="both"/>
        <w:ind w:left="1320" w:right="459" w:hanging="434"/>
        <w:spacing w:after="0" w:line="257" w:lineRule="auto"/>
        <w:tabs>
          <w:tab w:leader="none" w:pos="1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assuming the Business Combination Proposal is approved and adopted, a proposed second amended and restated certificate of incorporation (the “</w:t>
      </w:r>
      <w:r>
        <w:rPr>
          <w:rFonts w:ascii="Arial" w:cs="Arial" w:eastAsia="Arial" w:hAnsi="Arial"/>
          <w:sz w:val="18"/>
          <w:szCs w:val="18"/>
          <w:b w:val="1"/>
          <w:bCs w:val="1"/>
          <w:color w:val="auto"/>
        </w:rPr>
        <w:t>Proposed Charter</w:t>
      </w:r>
      <w:r>
        <w:rPr>
          <w:rFonts w:ascii="Arial" w:cs="Arial" w:eastAsia="Arial" w:hAnsi="Arial"/>
          <w:sz w:val="18"/>
          <w:szCs w:val="18"/>
          <w:color w:val="auto"/>
        </w:rPr>
        <w:t>”), which will amend and restate the Current Charter, dated August 11, 2020 (the “</w:t>
      </w:r>
      <w:r>
        <w:rPr>
          <w:rFonts w:ascii="Arial" w:cs="Arial" w:eastAsia="Arial" w:hAnsi="Arial"/>
          <w:sz w:val="18"/>
          <w:szCs w:val="18"/>
          <w:b w:val="1"/>
          <w:bCs w:val="1"/>
          <w:color w:val="auto"/>
        </w:rPr>
        <w:t>Current Charter</w:t>
      </w:r>
      <w:r>
        <w:rPr>
          <w:rFonts w:ascii="Arial" w:cs="Arial" w:eastAsia="Arial" w:hAnsi="Arial"/>
          <w:sz w:val="18"/>
          <w:szCs w:val="18"/>
          <w:color w:val="auto"/>
        </w:rPr>
        <w:t>”), which Proposed Charter will be in effect upon the closing of the Business Combination (the “</w:t>
      </w:r>
      <w:r>
        <w:rPr>
          <w:rFonts w:ascii="Arial" w:cs="Arial" w:eastAsia="Arial" w:hAnsi="Arial"/>
          <w:sz w:val="18"/>
          <w:szCs w:val="18"/>
          <w:b w:val="1"/>
          <w:bCs w:val="1"/>
          <w:color w:val="auto"/>
        </w:rPr>
        <w:t>Closing</w:t>
      </w:r>
      <w:r>
        <w:rPr>
          <w:rFonts w:ascii="Arial" w:cs="Arial" w:eastAsia="Arial" w:hAnsi="Arial"/>
          <w:sz w:val="18"/>
          <w:szCs w:val="18"/>
          <w:color w:val="auto"/>
        </w:rPr>
        <w:t>”) (the “</w:t>
      </w:r>
      <w:r>
        <w:rPr>
          <w:rFonts w:ascii="Arial" w:cs="Arial" w:eastAsia="Arial" w:hAnsi="Arial"/>
          <w:sz w:val="18"/>
          <w:szCs w:val="18"/>
          <w:b w:val="1"/>
          <w:bCs w:val="1"/>
          <w:color w:val="auto"/>
        </w:rPr>
        <w:t>Charter Amendment Proposal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240030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86" w:lineRule="auto"/>
        <w:tabs>
          <w:tab w:leader="none" w:pos="15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approve, on a non-binding advisory basis, the following material differences between the Proposed Charter and the Current Charter, which are being presented in accordance with the requirements of the SEC as five separate sub-proposals (the “</w:t>
      </w:r>
      <w:r>
        <w:rPr>
          <w:rFonts w:ascii="Arial" w:cs="Arial" w:eastAsia="Arial" w:hAnsi="Arial"/>
          <w:sz w:val="17"/>
          <w:szCs w:val="17"/>
          <w:b w:val="1"/>
          <w:bCs w:val="1"/>
          <w:color w:val="auto"/>
        </w:rPr>
        <w:t>Advisory Charter Proposals</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1760" w:hanging="442"/>
        <w:spacing w:after="0"/>
        <w:tabs>
          <w:tab w:leader="none" w:pos="17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Advisory Charter Proposal A — to increase the authorized shares of Class A Common Stock</w:t>
      </w:r>
    </w:p>
    <w:p>
      <w:pPr>
        <w:spacing w:after="0" w:line="46" w:lineRule="exact"/>
        <w:rPr>
          <w:rFonts w:ascii="Arial" w:cs="Arial" w:eastAsia="Arial" w:hAnsi="Arial"/>
          <w:sz w:val="16"/>
          <w:szCs w:val="16"/>
          <w:color w:val="auto"/>
        </w:rPr>
      </w:pPr>
    </w:p>
    <w:p>
      <w:pPr>
        <w:ind w:left="1760"/>
        <w:spacing w:after="0"/>
        <w:rPr>
          <w:rFonts w:ascii="Arial" w:cs="Arial" w:eastAsia="Arial" w:hAnsi="Arial"/>
          <w:sz w:val="16"/>
          <w:szCs w:val="16"/>
          <w:color w:val="auto"/>
        </w:rPr>
      </w:pPr>
      <w:r>
        <w:rPr>
          <w:rFonts w:ascii="Arial" w:cs="Arial" w:eastAsia="Arial" w:hAnsi="Arial"/>
          <w:sz w:val="18"/>
          <w:szCs w:val="18"/>
          <w:color w:val="auto"/>
        </w:rPr>
        <w:t>to</w:t>
      </w:r>
      <w:r>
        <w:rPr>
          <w:rFonts w:ascii="Arial" w:cs="Arial" w:eastAsia="Arial" w:hAnsi="Arial"/>
          <w:sz w:val="15"/>
          <w:szCs w:val="15"/>
          <w:color w:val="auto"/>
        </w:rPr>
        <w:t>shares;</w:t>
      </w:r>
    </w:p>
    <w:p>
      <w:pPr>
        <w:spacing w:after="0" w:line="143" w:lineRule="exact"/>
        <w:rPr>
          <w:rFonts w:ascii="Arial" w:cs="Arial" w:eastAsia="Arial" w:hAnsi="Arial"/>
          <w:sz w:val="16"/>
          <w:szCs w:val="16"/>
          <w:color w:val="auto"/>
        </w:rPr>
      </w:pPr>
    </w:p>
    <w:p>
      <w:pPr>
        <w:jc w:val="both"/>
        <w:ind w:left="1760" w:right="459" w:hanging="442"/>
        <w:spacing w:after="0" w:line="263" w:lineRule="auto"/>
        <w:tabs>
          <w:tab w:leader="none" w:pos="174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102" w:lineRule="exact"/>
        <w:rPr>
          <w:rFonts w:ascii="Arial" w:cs="Arial" w:eastAsia="Arial" w:hAnsi="Arial"/>
          <w:sz w:val="18"/>
          <w:szCs w:val="18"/>
          <w:color w:val="auto"/>
        </w:rPr>
      </w:pPr>
    </w:p>
    <w:p>
      <w:pPr>
        <w:jc w:val="both"/>
        <w:ind w:left="1760" w:right="459" w:hanging="442"/>
        <w:spacing w:after="0" w:line="263" w:lineRule="auto"/>
        <w:tabs>
          <w:tab w:leader="none" w:pos="18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Advisory Charter Proposal C — to provide that certain amendments to provisions of the Proposed Charter will require the approval of at least 662/3% of the Combined Entity’s then-outstanding shares of capital stock entitled to vote such amendment;</w:t>
      </w:r>
    </w:p>
    <w:p>
      <w:pPr>
        <w:spacing w:after="0" w:line="116" w:lineRule="exact"/>
        <w:rPr>
          <w:rFonts w:ascii="Arial" w:cs="Arial" w:eastAsia="Arial" w:hAnsi="Arial"/>
          <w:sz w:val="18"/>
          <w:szCs w:val="18"/>
          <w:color w:val="auto"/>
        </w:rPr>
      </w:pPr>
    </w:p>
    <w:p>
      <w:pPr>
        <w:jc w:val="both"/>
        <w:ind w:left="1760" w:right="479" w:hanging="442"/>
        <w:spacing w:after="0" w:line="275" w:lineRule="auto"/>
        <w:tabs>
          <w:tab w:leader="none" w:pos="1728" w:val="left"/>
        </w:tabs>
        <w:numPr>
          <w:ilvl w:val="1"/>
          <w:numId w:val="11"/>
        </w:numPr>
        <w:rPr>
          <w:rFonts w:ascii="Arial" w:cs="Arial" w:eastAsia="Arial" w:hAnsi="Arial"/>
          <w:sz w:val="17"/>
          <w:szCs w:val="17"/>
          <w:color w:val="auto"/>
        </w:rPr>
      </w:pPr>
      <w:r>
        <w:rPr>
          <w:rFonts w:ascii="Arial" w:cs="Arial" w:eastAsia="Arial" w:hAnsi="Arial"/>
          <w:sz w:val="17"/>
          <w:szCs w:val="17"/>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8" w:lineRule="exact"/>
        <w:rPr>
          <w:rFonts w:ascii="Arial" w:cs="Arial" w:eastAsia="Arial" w:hAnsi="Arial"/>
          <w:sz w:val="17"/>
          <w:szCs w:val="17"/>
          <w:color w:val="auto"/>
        </w:rPr>
      </w:pPr>
    </w:p>
    <w:p>
      <w:pPr>
        <w:jc w:val="both"/>
        <w:ind w:left="1760" w:right="459" w:hanging="442"/>
        <w:spacing w:after="0" w:line="253" w:lineRule="auto"/>
        <w:tabs>
          <w:tab w:leader="none" w:pos="17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Advisory Charter Proposal E — to provide that any amendment to the Amended By-laws will require the approval of at least 66</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the Combined Entity’s then-outstanding shares of capital stock entitled to vote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11" w:lineRule="exact"/>
        <w:rPr>
          <w:rFonts w:ascii="Arial" w:cs="Arial" w:eastAsia="Arial" w:hAnsi="Arial"/>
          <w:sz w:val="18"/>
          <w:szCs w:val="18"/>
          <w:color w:val="auto"/>
        </w:rPr>
      </w:pPr>
    </w:p>
    <w:p>
      <w:pPr>
        <w:jc w:val="both"/>
        <w:ind w:left="1320" w:right="459" w:hanging="434"/>
        <w:spacing w:after="0" w:line="259"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assuming the Business Combination Proposal is approved and adopted, the 2020 Stock Option and Incentive Plan (the “</w:t>
      </w:r>
      <w:r>
        <w:rPr>
          <w:rFonts w:ascii="Arial" w:cs="Arial" w:eastAsia="Arial" w:hAnsi="Arial"/>
          <w:sz w:val="18"/>
          <w:szCs w:val="18"/>
          <w:b w:val="1"/>
          <w:bCs w:val="1"/>
          <w:color w:val="auto"/>
        </w:rPr>
        <w:t>Equity Incentive Plan</w:t>
      </w:r>
      <w:r>
        <w:rPr>
          <w:rFonts w:ascii="Arial" w:cs="Arial" w:eastAsia="Arial" w:hAnsi="Arial"/>
          <w:sz w:val="18"/>
          <w:szCs w:val="18"/>
          <w:color w:val="auto"/>
        </w:rPr>
        <w:t xml:space="preserve">”), a copy of which is appended to this proxy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which will become effective the day prior to the Closing (the “</w:t>
      </w:r>
      <w:r>
        <w:rPr>
          <w:rFonts w:ascii="Arial" w:cs="Arial" w:eastAsia="Arial" w:hAnsi="Arial"/>
          <w:sz w:val="18"/>
          <w:szCs w:val="18"/>
          <w:b w:val="1"/>
          <w:bCs w:val="1"/>
          <w:color w:val="auto"/>
        </w:rPr>
        <w:t>Incentive Plan Proposal</w:t>
      </w:r>
      <w:r>
        <w:rPr>
          <w:rFonts w:ascii="Arial" w:cs="Arial" w:eastAsia="Arial" w:hAnsi="Arial"/>
          <w:sz w:val="18"/>
          <w:szCs w:val="18"/>
          <w:color w:val="auto"/>
        </w:rPr>
        <w:t>”); and</w:t>
      </w:r>
    </w:p>
    <w:p>
      <w:pPr>
        <w:spacing w:after="0" w:line="119" w:lineRule="exact"/>
        <w:rPr>
          <w:rFonts w:ascii="Arial" w:cs="Arial" w:eastAsia="Arial" w:hAnsi="Arial"/>
          <w:sz w:val="18"/>
          <w:szCs w:val="18"/>
          <w:color w:val="auto"/>
        </w:rPr>
      </w:pPr>
    </w:p>
    <w:p>
      <w:pPr>
        <w:jc w:val="both"/>
        <w:ind w:left="1320" w:right="459" w:hanging="434"/>
        <w:spacing w:after="0" w:line="293" w:lineRule="auto"/>
        <w:tabs>
          <w:tab w:leader="none" w:pos="132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Arial" w:cs="Arial" w:eastAsia="Arial" w:hAnsi="Arial"/>
          <w:sz w:val="16"/>
          <w:szCs w:val="16"/>
          <w:b w:val="1"/>
          <w:bCs w:val="1"/>
          <w:color w:val="auto"/>
        </w:rPr>
        <w:t>Adjournment Proposal</w:t>
      </w:r>
      <w:r>
        <w:rPr>
          <w:rFonts w:ascii="Arial" w:cs="Arial" w:eastAsia="Arial" w:hAnsi="Arial"/>
          <w:sz w:val="16"/>
          <w:szCs w:val="16"/>
          <w:color w:val="auto"/>
        </w:rPr>
        <w:t>”).</w:t>
      </w:r>
    </w:p>
    <w:p>
      <w:pPr>
        <w:spacing w:after="0" w:line="93" w:lineRule="exact"/>
        <w:rPr>
          <w:sz w:val="20"/>
          <w:szCs w:val="20"/>
          <w:color w:val="auto"/>
        </w:rPr>
      </w:pPr>
    </w:p>
    <w:p>
      <w:pPr>
        <w:jc w:val="both"/>
        <w:ind w:left="460" w:right="459"/>
        <w:spacing w:after="0" w:line="256" w:lineRule="auto"/>
        <w:rPr>
          <w:sz w:val="20"/>
          <w:szCs w:val="20"/>
          <w:color w:val="auto"/>
        </w:rPr>
      </w:pPr>
      <w:r>
        <w:rPr>
          <w:rFonts w:ascii="Arial" w:cs="Arial" w:eastAsia="Arial" w:hAnsi="Arial"/>
          <w:sz w:val="18"/>
          <w:szCs w:val="18"/>
          <w:color w:val="auto"/>
        </w:rPr>
        <w:t>Only holders of record of FS Development Common Stock at the close of business on , 2020 (the “</w:t>
      </w:r>
      <w:r>
        <w:rPr>
          <w:rFonts w:ascii="Arial" w:cs="Arial" w:eastAsia="Arial" w:hAnsi="Arial"/>
          <w:sz w:val="18"/>
          <w:szCs w:val="18"/>
          <w:b w:val="1"/>
          <w:bCs w:val="1"/>
          <w:color w:val="auto"/>
        </w:rPr>
        <w:t>Record</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are entitled to notice of the Special Meeting and to vote at the Special Meeting and any adjournments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postponements of the Special Meeting. A complete list of FS Development stockholders of record entitled to vote at the Special Meeting will be available for ten days before the Special Meeting at the principal executive offices of FS Development for inspection by stockholders during ordinary business hours for any purpose germane to the Special Meeting.</w:t>
      </w:r>
    </w:p>
    <w:p>
      <w:pPr>
        <w:spacing w:after="0" w:line="110"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Pursuant to the Current Charter, FS Development is providing its public stockholders with the opportunity to redeem, upon the Closing, Public Shares then held by them for cash equal to their pro rata share of the aggregate amount on deposit (as of two business days prior to the closing of the Business Combination) in the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that holds the proceeds (including interest but less franchise and income taxes payable) of FS Development’s initial public offering (the “</w:t>
      </w:r>
      <w:r>
        <w:rPr>
          <w:rFonts w:ascii="Arial" w:cs="Arial" w:eastAsia="Arial" w:hAnsi="Arial"/>
          <w:sz w:val="16"/>
          <w:szCs w:val="16"/>
          <w:b w:val="1"/>
          <w:bCs w:val="1"/>
          <w:color w:val="auto"/>
        </w:rPr>
        <w:t>FS Development IPO</w:t>
      </w:r>
      <w:r>
        <w:rPr>
          <w:rFonts w:ascii="Arial" w:cs="Arial" w:eastAsia="Arial" w:hAnsi="Arial"/>
          <w:sz w:val="16"/>
          <w:szCs w:val="16"/>
          <w:color w:val="auto"/>
        </w:rPr>
        <w:t>”). For illustrative</w:t>
      </w:r>
    </w:p>
    <w:p>
      <w:pPr>
        <w:spacing w:after="0" w:line="2" w:lineRule="exact"/>
        <w:rPr>
          <w:sz w:val="20"/>
          <w:szCs w:val="20"/>
          <w:color w:val="auto"/>
        </w:rPr>
      </w:pPr>
    </w:p>
    <w:p>
      <w:pPr>
        <w:jc w:val="both"/>
        <w:ind w:left="460" w:right="459"/>
        <w:spacing w:after="0" w:line="265" w:lineRule="auto"/>
        <w:rPr>
          <w:sz w:val="20"/>
          <w:szCs w:val="20"/>
          <w:color w:val="auto"/>
        </w:rPr>
      </w:pPr>
      <w:r>
        <w:rPr>
          <w:rFonts w:ascii="Arial" w:cs="Arial" w:eastAsia="Arial" w:hAnsi="Arial"/>
          <w:sz w:val="17"/>
          <w:szCs w:val="17"/>
          <w:color w:val="auto"/>
        </w:rPr>
        <w:t xml:space="preserve">purposes, based on funds in the Trust Account of approximately $ million on June 30, 2020, the estimated per share redemption price would have been approximately $ . </w:t>
      </w:r>
      <w:r>
        <w:rPr>
          <w:rFonts w:ascii="Arial" w:cs="Arial" w:eastAsia="Arial" w:hAnsi="Arial"/>
          <w:sz w:val="17"/>
          <w:szCs w:val="17"/>
          <w:b w:val="1"/>
          <w:bCs w:val="1"/>
          <w:color w:val="auto"/>
        </w:rPr>
        <w:t>Public stockholders may elect to redeem</w:t>
      </w:r>
    </w:p>
    <w:p>
      <w:pPr>
        <w:jc w:val="both"/>
        <w:ind w:left="460" w:right="459"/>
        <w:spacing w:after="0" w:line="270" w:lineRule="auto"/>
        <w:rPr>
          <w:sz w:val="20"/>
          <w:szCs w:val="20"/>
          <w:color w:val="auto"/>
        </w:rPr>
      </w:pPr>
      <w:r>
        <w:rPr>
          <w:rFonts w:ascii="Arial" w:cs="Arial" w:eastAsia="Arial" w:hAnsi="Arial"/>
          <w:sz w:val="17"/>
          <w:szCs w:val="17"/>
          <w:b w:val="1"/>
          <w:bCs w:val="1"/>
          <w:color w:val="auto"/>
        </w:rPr>
        <w:t>their shares even if they vote for the Business Combination Proposal</w:t>
      </w:r>
      <w:r>
        <w:rPr>
          <w:rFonts w:ascii="Arial" w:cs="Arial" w:eastAsia="Arial" w:hAnsi="Arial"/>
          <w:sz w:val="17"/>
          <w:szCs w:val="17"/>
          <w:color w:val="auto"/>
        </w:rPr>
        <w:t>. A public stockholder, together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of his, her or its affiliates or any other person with whom it is acting in concert or as a “group” (as defined under Section 13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will be restricted from redeeming in the aggregate his, her or its shares or, if part of such a group, the group’s shares, with respect to 20% or more of the shares of FS Development Class A Common Stock issued in the FS Development IPO. The Sponsor and FS Development’s other initial stockholders have agreed to waive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shares of FS Development Common Stock they hold in connection with the Closing. The Sponsor and FS Development’s other initial stockholders have agreed to vote any shares of FS Development Common Stock owned by them in</w:t>
      </w:r>
    </w:p>
    <w:p>
      <w:pPr>
        <w:spacing w:after="0" w:line="4" w:lineRule="exact"/>
        <w:rPr>
          <w:sz w:val="20"/>
          <w:szCs w:val="20"/>
          <w:color w:val="auto"/>
        </w:rPr>
      </w:pPr>
    </w:p>
    <w:p>
      <w:pPr>
        <w:jc w:val="both"/>
        <w:ind w:left="460" w:right="479"/>
        <w:spacing w:after="0" w:line="260" w:lineRule="auto"/>
        <w:rPr>
          <w:sz w:val="20"/>
          <w:szCs w:val="20"/>
          <w:color w:val="auto"/>
        </w:rPr>
      </w:pPr>
      <w:r>
        <w:rPr>
          <w:rFonts w:ascii="Arial" w:cs="Arial" w:eastAsia="Arial" w:hAnsi="Arial"/>
          <w:sz w:val="18"/>
          <w:szCs w:val="18"/>
          <w:color w:val="auto"/>
        </w:rPr>
        <w:t>favor of the Business Combination Proposal, which represent approximately % of the voting power of FS Development.</w:t>
      </w:r>
    </w:p>
    <w:p>
      <w:pPr>
        <w:spacing w:after="0" w:line="11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approval of the Charter Amendment Proposal requires the affirmative vote of a majority of the issued and outstanding shares of FS Development Common Stock as of the Record Date for the Special Meeting, voting 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online or by proxy and entitled to vote thereon at the Special Meeting, voting 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0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June 30, 2020, there was approximately $ million in the Trust Account. Each redemption of shares of FS Development Class A Common Stock by its public stockholders will decrease the amount in the Trust Account. FS Development will not redeem Public Shares in an amount that would cause it to have net tangible assets of less than $5,000,001.</w:t>
      </w:r>
    </w:p>
    <w:p>
      <w:pPr>
        <w:spacing w:after="0" w:line="10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Your attention is directed to the proxy statement/prospectus accompanying this notice (including the annexes thereto) for a more complete description of the proposed Business Combination and related transactions and each of the Proposals. We encourage you to read this proxy statement/prospectus carefully. If you have any questions or need assistance voting your shares, please call us at (415) 877-4887.</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2020</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2168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7"/>
        </w:trPr>
        <w:tc>
          <w:tcPr>
            <w:tcW w:w="1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29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ABOUT THIS PROXY STATEMENT/PROSPECTUS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FREQUENTLY USED TERMS</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QUESTIONS AND ANSWERS ABOUT THE PROPOSALS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 OF THE PROXY STATEMENT/PROSPECTUS</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SUMMARY FINANCIAL AND OTHER DATA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SUMMARY FINANCIAL AND OTHER DATA OF FS DEVELOPMENT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5"/>
        </w:trPr>
        <w:tc>
          <w:tcPr>
            <w:tcW w:w="62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SUMMARY UNAUDITED PRO FORMA CONDENSED COMBINED FINANCIAL</w:t>
              </w:r>
            </w:hyperlink>
          </w:p>
        </w:tc>
        <w:tc>
          <w:tcPr>
            <w:tcW w:w="1020" w:type="dxa"/>
            <w:vAlign w:val="bottom"/>
            <w:tcBorders>
              <w:bottom w:val="single" w:sz="8" w:color="CCEEFF"/>
            </w:tcBorders>
            <w:gridSpan w:val="3"/>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INFORMATION</w:t>
              </w:r>
            </w:hyperlink>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COMPARATIVE SHARE INFORMATION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RISK FACTORS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CAUTIONARY NOTE REGARDING FORWARD-LOOKING STATEMENTS</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SPECIAL MEETING OF FS DEVELOPMENT STOCKHOLDERS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82</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THE BUSINESS COMBINATION PROPOSAL</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89"/>
              </w:rPr>
              <w:t>98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THE NASDAQ STOCK ISSUANCE PROPOSAL</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119</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INFORMATION ABOUT FS DEVELOPMENT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132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EXECUTIVE OFFICERS AND DIRECTORS OF FS DEVELOPMENT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135</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SELECTED FINANCIAL AND OTHER DATA OF FS DEVELOPMENT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141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7280" w:type="dxa"/>
            <w:vAlign w:val="bottom"/>
            <w:gridSpan w:val="7"/>
            <w:shd w:val="clear" w:color="auto" w:fill="CCEEFF"/>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MANAGEMENT’S DISCUSSION AND ANALYSIS OF RESULTS OF FINANCIAL</w:t>
              </w:r>
            </w:hyperlink>
          </w:p>
        </w:tc>
        <w:tc>
          <w:tcPr>
            <w:tcW w:w="820" w:type="dxa"/>
            <w:vAlign w:val="bottom"/>
            <w:shd w:val="clear" w:color="auto" w:fill="CCEEFF"/>
          </w:tcPr>
          <w:p>
            <w:pPr>
              <w:spacing w:after="0"/>
              <w:rPr>
                <w:sz w:val="15"/>
                <w:szCs w:val="15"/>
                <w:color w:val="auto"/>
              </w:rPr>
            </w:pPr>
          </w:p>
        </w:tc>
      </w:tr>
      <w:tr>
        <w:trPr>
          <w:trHeight w:val="257"/>
        </w:trPr>
        <w:tc>
          <w:tcPr>
            <w:tcW w:w="180" w:type="dxa"/>
            <w:vAlign w:val="bottom"/>
            <w:tcBorders>
              <w:top w:val="single" w:sz="8" w:color="0000EE"/>
              <w:bottom w:val="single" w:sz="8" w:color="CCEEFF"/>
            </w:tcBorders>
            <w:shd w:val="clear" w:color="auto" w:fill="CCEEFF"/>
          </w:tcPr>
          <w:p>
            <w:pPr>
              <w:spacing w:after="0"/>
              <w:rPr>
                <w:sz w:val="22"/>
                <w:szCs w:val="22"/>
                <w:color w:val="auto"/>
              </w:rPr>
            </w:pPr>
          </w:p>
        </w:tc>
        <w:tc>
          <w:tcPr>
            <w:tcW w:w="6100" w:type="dxa"/>
            <w:vAlign w:val="bottom"/>
            <w:tcBorders>
              <w:top w:val="single" w:sz="8" w:color="0000EE"/>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CONDITION AND RESULTS OF OPERATIONS OF FS DEVELOPMENT</w:t>
              </w:r>
            </w:hyperlink>
          </w:p>
        </w:tc>
        <w:tc>
          <w:tcPr>
            <w:tcW w:w="10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142</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INFORMATION ABOUT GEMINI</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147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EXECUTIVE OFFICERS AND DIRECTORS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163</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EXECUTIVE COMPENSATION OF GEMINI</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166</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MANAGEMENT AFTER THE BUSINESS COMBINATION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172</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SELECTED CONSOLIDATED FINANCIAL AND OTHER DATA OF GEMINI</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175</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66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8"/>
              </w:rPr>
            </w:pPr>
            <w:hyperlink w:anchor="page188">
              <w:r>
                <w:rPr>
                  <w:rFonts w:ascii="Arial" w:cs="Arial" w:eastAsia="Arial" w:hAnsi="Arial"/>
                  <w:sz w:val="18"/>
                  <w:szCs w:val="18"/>
                  <w:color w:val="0000EE"/>
                  <w:w w:val="98"/>
                </w:rPr>
                <w:t>MANAGEMENT’S DISCUSSION AND ANALYSIS OF FINANCIAL CONDITION AND</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RESULTS OF OPERATIONS OF GEMINI</w:t>
              </w:r>
            </w:hyperlink>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176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DESCRIPTION OF SECURITIES AFTER THE BUSINESS COMBINATION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192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SHARES ELIGIBLE FOR FUTURE SALE</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195</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COMPARISON OF STOCKHOLDER RIGHTS</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197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TICKER SYMBOL, MARKET PRICE AND DIVIDEND POLICY</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206</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SECURITY OWNERSHIP OF CERTAIN BENEFICIAL OWNERS AND MANAGEMENT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207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CERTAIN RELATIONSHIPS AND RELATED PERSON TRANSACTIONS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210</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ADDITIONAL INFORMATION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215</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WHERE YOU CAN FIND MORE INFORMATION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217</w:t>
            </w:r>
          </w:p>
        </w:tc>
      </w:tr>
      <w:tr>
        <w:trPr>
          <w:trHeight w:val="243"/>
        </w:trPr>
        <w:tc>
          <w:tcPr>
            <w:tcW w:w="7280" w:type="dxa"/>
            <w:vAlign w:val="bottom"/>
            <w:gridSpan w:val="7"/>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INDEX TO FINANCIAL STATEMENTS</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88"/>
              </w:rPr>
              <w:t>F-1</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color w:val="auto"/>
              </w:rPr>
            </w:pPr>
            <w:r>
              <w:rPr>
                <w:rFonts w:ascii="Arial" w:cs="Arial" w:eastAsia="Arial" w:hAnsi="Arial"/>
                <w:sz w:val="18"/>
                <w:szCs w:val="18"/>
                <w:color w:val="auto"/>
              </w:rPr>
              <w:t xml:space="preserve">ANNEX A </w:t>
            </w:r>
            <w:hyperlink w:anchor="page276">
              <w:r>
                <w:rPr>
                  <w:rFonts w:ascii="Arial" w:cs="Arial" w:eastAsia="Arial" w:hAnsi="Arial"/>
                  <w:sz w:val="18"/>
                  <w:szCs w:val="18"/>
                  <w:u w:val="single" w:color="auto"/>
                  <w:color w:val="0000EE"/>
                </w:rPr>
                <w:t>Merger Agreement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43"/>
        </w:trPr>
        <w:tc>
          <w:tcPr>
            <w:tcW w:w="7280" w:type="dxa"/>
            <w:vAlign w:val="bottom"/>
            <w:gridSpan w:val="7"/>
          </w:tcPr>
          <w:p>
            <w:pPr>
              <w:spacing w:after="0"/>
              <w:rPr>
                <w:rFonts w:ascii="Arial" w:cs="Arial" w:eastAsia="Arial" w:hAnsi="Arial"/>
                <w:sz w:val="18"/>
                <w:szCs w:val="18"/>
                <w:color w:val="auto"/>
              </w:rPr>
            </w:pPr>
            <w:r>
              <w:rPr>
                <w:rFonts w:ascii="Arial" w:cs="Arial" w:eastAsia="Arial" w:hAnsi="Arial"/>
                <w:sz w:val="18"/>
                <w:szCs w:val="18"/>
                <w:color w:val="auto"/>
              </w:rPr>
              <w:t xml:space="preserve">ANNEX B </w:t>
            </w:r>
            <w:hyperlink w:anchor="page465">
              <w:r>
                <w:rPr>
                  <w:rFonts w:ascii="Arial" w:cs="Arial" w:eastAsia="Arial" w:hAnsi="Arial"/>
                  <w:sz w:val="18"/>
                  <w:szCs w:val="18"/>
                  <w:u w:val="single" w:color="auto"/>
                  <w:color w:val="0000EE"/>
                </w:rPr>
                <w:t>Form of Amended and Restated Certificate of Incorporation of Gemini</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B-1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color w:val="auto"/>
              </w:rPr>
            </w:pPr>
            <w:r>
              <w:rPr>
                <w:rFonts w:ascii="Arial" w:cs="Arial" w:eastAsia="Arial" w:hAnsi="Arial"/>
                <w:sz w:val="18"/>
                <w:szCs w:val="18"/>
                <w:color w:val="auto"/>
              </w:rPr>
              <w:t xml:space="preserve">ANNEX C </w:t>
            </w:r>
            <w:hyperlink w:anchor="page470">
              <w:r>
                <w:rPr>
                  <w:rFonts w:ascii="Arial" w:cs="Arial" w:eastAsia="Arial" w:hAnsi="Arial"/>
                  <w:sz w:val="18"/>
                  <w:szCs w:val="18"/>
                  <w:u w:val="single" w:color="auto"/>
                  <w:color w:val="0000EE"/>
                </w:rPr>
                <w:t>Form of Amended and Restated Bylaws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C-1</w:t>
            </w:r>
          </w:p>
        </w:tc>
      </w:tr>
      <w:tr>
        <w:trPr>
          <w:trHeight w:val="243"/>
        </w:trPr>
        <w:tc>
          <w:tcPr>
            <w:tcW w:w="7280" w:type="dxa"/>
            <w:vAlign w:val="bottom"/>
            <w:gridSpan w:val="7"/>
          </w:tcPr>
          <w:p>
            <w:pPr>
              <w:spacing w:after="0"/>
              <w:rPr>
                <w:rFonts w:ascii="Arial" w:cs="Arial" w:eastAsia="Arial" w:hAnsi="Arial"/>
                <w:sz w:val="18"/>
                <w:szCs w:val="18"/>
                <w:color w:val="auto"/>
              </w:rPr>
            </w:pPr>
            <w:r>
              <w:rPr>
                <w:rFonts w:ascii="Arial" w:cs="Arial" w:eastAsia="Arial" w:hAnsi="Arial"/>
                <w:sz w:val="18"/>
                <w:szCs w:val="18"/>
                <w:color w:val="auto"/>
              </w:rPr>
              <w:t xml:space="preserve">ANNEX D </w:t>
            </w:r>
            <w:hyperlink w:anchor="page486">
              <w:r>
                <w:rPr>
                  <w:rFonts w:ascii="Arial" w:cs="Arial" w:eastAsia="Arial" w:hAnsi="Arial"/>
                  <w:sz w:val="18"/>
                  <w:szCs w:val="18"/>
                  <w:u w:val="single" w:color="auto"/>
                  <w:color w:val="0000EE"/>
                </w:rPr>
                <w:t>Gemini 2020 Stock Option and Incentive Plan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6"/>
              </w:rPr>
              <w:t>D-1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280" w:type="dxa"/>
            <w:vAlign w:val="bottom"/>
            <w:gridSpan w:val="7"/>
            <w:shd w:val="clear" w:color="auto" w:fill="CCEEFF"/>
          </w:tcPr>
          <w:p>
            <w:pPr>
              <w:spacing w:after="0"/>
              <w:rPr>
                <w:rFonts w:ascii="Arial" w:cs="Arial" w:eastAsia="Arial" w:hAnsi="Arial"/>
                <w:sz w:val="18"/>
                <w:szCs w:val="18"/>
                <w:color w:val="auto"/>
              </w:rPr>
            </w:pPr>
            <w:r>
              <w:rPr>
                <w:rFonts w:ascii="Arial" w:cs="Arial" w:eastAsia="Arial" w:hAnsi="Arial"/>
                <w:sz w:val="18"/>
                <w:szCs w:val="18"/>
                <w:color w:val="auto"/>
              </w:rPr>
              <w:t xml:space="preserve">ANNEX E </w:t>
            </w:r>
            <w:hyperlink w:anchor="page498">
              <w:r>
                <w:rPr>
                  <w:rFonts w:ascii="Arial" w:cs="Arial" w:eastAsia="Arial" w:hAnsi="Arial"/>
                  <w:sz w:val="18"/>
                  <w:szCs w:val="18"/>
                  <w:u w:val="single" w:color="auto"/>
                  <w:color w:val="0000EE"/>
                </w:rPr>
                <w:t>Subscription Agreement</w:t>
              </w:r>
            </w:hyperlink>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E-1</w:t>
            </w:r>
          </w:p>
        </w:tc>
      </w:tr>
      <w:tr>
        <w:trPr>
          <w:trHeight w:val="41"/>
        </w:trPr>
        <w:tc>
          <w:tcPr>
            <w:tcW w:w="1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PROXY STATEMENT/PROSPECTUS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document, which forms part of a registration statement on Form S-4 filed with the SEC by FS</w:t>
      </w:r>
    </w:p>
    <w:p>
      <w:pPr>
        <w:spacing w:after="0" w:line="2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Development (File No. 333- ) (the “Registration Statement”), constitutes a prospectus of FS Development under Section 5 of the Securities Act, with respect to the shares of FS Development Class A Common Stock to be issued to Gemini stockholders if the Business Combination described below is consummated. This document also constitutes a notice of meeting and a proxy statement under Section 14(a) of the Exchange Act with respect to the special meeting of FS Development stockholders at which FS Development stockholders will be asked to consider and vote upon a proposal to approve the Business Combination by the approval and adoption of the Merger Agreement, among other matters.</w:t>
      </w:r>
    </w:p>
    <w:p>
      <w:pPr>
        <w:spacing w:after="0" w:line="113"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as of the date set forth on the cover hereof.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the mailing of this proxy statement/prospectus to FS Development Stockholders nor the issuance by FS Development of its FS Development Class A Common Stock in connection with the Business Combination will create any implication to the contrary.</w:t>
      </w:r>
    </w:p>
    <w:p>
      <w:pPr>
        <w:spacing w:after="0" w:line="12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Information contained in this proxy statement/prospectus regarding FS Development has been provided by FS Development and information contained in this proxy statement/prospectus regarding Gemini has been provided by Gemini.</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 xml:space="preserve">FS Development files reports, proxy statements/prospectuses and other information with the SEC as required by the Exchange Act. You can read FS Development’s SEC filings, including this proxy statement/prospectus,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or the proposals to be presented at the special meeting, you should contact us by telephone or in writing: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(415) 877-4887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may also obtain these documents by requesting them in writing or by telephone from our proxy solicitor at: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Morrow Sodali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Stamford CT 06902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Individuals call toll-free (800) 662-5200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Banks and brokers call (203) 658-9400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FSDC.info@investor.morrowsodali.com</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w w:val="92"/>
              </w:rPr>
              <w:t>If you are a stockholder of FS Development and would like to request documents, please do so by</w:t>
            </w:r>
          </w:p>
        </w:tc>
        <w:tc>
          <w:tcPr>
            <w:tcW w:w="840" w:type="dxa"/>
            <w:vAlign w:val="bottom"/>
          </w:tcPr>
          <w:p>
            <w:pPr>
              <w:ind w:left="200"/>
              <w:spacing w:after="0"/>
              <w:rPr>
                <w:sz w:val="20"/>
                <w:szCs w:val="20"/>
                <w:color w:val="auto"/>
              </w:rPr>
            </w:pPr>
            <w:r>
              <w:rPr>
                <w:rFonts w:ascii="Arial" w:cs="Arial" w:eastAsia="Arial" w:hAnsi="Arial"/>
                <w:sz w:val="18"/>
                <w:szCs w:val="18"/>
                <w:color w:val="auto"/>
                <w:w w:val="88"/>
              </w:rPr>
              <w:t>, 2020 to</w:t>
            </w:r>
          </w:p>
        </w:tc>
      </w:tr>
    </w:tbl>
    <w:p>
      <w:pPr>
        <w:jc w:val="both"/>
        <w:ind w:left="460" w:right="479"/>
        <w:spacing w:after="0" w:line="260" w:lineRule="auto"/>
        <w:rPr>
          <w:sz w:val="20"/>
          <w:szCs w:val="20"/>
          <w:color w:val="auto"/>
        </w:rPr>
      </w:pPr>
      <w:r>
        <w:rPr>
          <w:rFonts w:ascii="Arial" w:cs="Arial" w:eastAsia="Arial" w:hAnsi="Arial"/>
          <w:sz w:val="18"/>
          <w:szCs w:val="18"/>
          <w:color w:val="auto"/>
        </w:rPr>
        <w:t>receive them before the FS Development special meeting of stockholders. If you request any documents from us, we will mail them to you by first class mail, or another equally prompt means.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4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Certain information contained in this document relates to or is based on studies, publications, surveys and other data obtained from third-party sources and FS Development’s own internal estimates and research. While we believe these third-party sources to be reliable as of the date of this presentation, we have not independently verified, and make no representation as to the adequacy, fairness, accuracy or completeness of, any information obtained from third-party sources. Finally, while we believe our own internal research is reliable, such research has not been verified by any independent source.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Unless otherwise stated or unless the context otherwise requires, the terms “we,” “us,” “our,” and “FS Development” refer to FS Development Corp.</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document:</w:t>
      </w:r>
    </w:p>
    <w:p>
      <w:pPr>
        <w:spacing w:after="0" w:line="127"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Bylaws</w:t>
      </w:r>
      <w:r>
        <w:rPr>
          <w:rFonts w:ascii="Arial" w:cs="Arial" w:eastAsia="Arial" w:hAnsi="Arial"/>
          <w:sz w:val="18"/>
          <w:szCs w:val="18"/>
          <w:color w:val="auto"/>
        </w:rPr>
        <w:t xml:space="preserve">” means the Amended and Restated Bylaws of Gemini, a Form of which is attached hereto as </w:t>
      </w:r>
      <w:r>
        <w:rPr>
          <w:rFonts w:ascii="Arial" w:cs="Arial" w:eastAsia="Arial" w:hAnsi="Arial"/>
          <w:sz w:val="18"/>
          <w:szCs w:val="18"/>
          <w:u w:val="single" w:color="auto"/>
          <w:color w:val="auto"/>
        </w:rPr>
        <w:t>Annex C</w:t>
      </w:r>
      <w:r>
        <w:rPr>
          <w:rFonts w:ascii="Arial" w:cs="Arial" w:eastAsia="Arial" w:hAnsi="Arial"/>
          <w:sz w:val="18"/>
          <w:szCs w:val="18"/>
          <w:color w:val="auto"/>
        </w:rPr>
        <w:t>.</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FS Development.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business combination pursuant to the Merger Agreement.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131" w:lineRule="exact"/>
        <w:rPr>
          <w:sz w:val="20"/>
          <w:szCs w:val="20"/>
          <w:color w:val="auto"/>
        </w:rPr>
      </w:pPr>
    </w:p>
    <w:p>
      <w:pPr>
        <w:jc w:val="both"/>
        <w:ind w:left="460" w:right="47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Payment Shares</w:t>
      </w:r>
      <w:r>
        <w:rPr>
          <w:rFonts w:ascii="Arial" w:cs="Arial" w:eastAsia="Arial" w:hAnsi="Arial"/>
          <w:sz w:val="16"/>
          <w:szCs w:val="16"/>
          <w:color w:val="auto"/>
        </w:rPr>
        <w:t>” means an aggregate number of shares of FS Development Class A Common Stock equal to the difference between (a) 21,500,000 shares of FS Development Class A Common Stock; minus (b) a number of shares of FS Development Class A Common Stock equal to one half (1/2) of the initial unallocated shares of FS Development Class A Common Stock reserved for issuance under the Equity Incentive Plan (which shall not exceed two and one-half percent (2.5%) of the issued and outstanding shares of FS Development Class A Common Stock as of immediately following the Effective Time as set forth in the capitalization schedule delivered prior to Closing pursuant to the Merger Agreement (and approved by FS Development, such approval not to be unreasonably withheld, conditioned or delayed)).</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3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Entity</w:t>
      </w:r>
      <w:r>
        <w:rPr>
          <w:rFonts w:ascii="Arial" w:cs="Arial" w:eastAsia="Arial" w:hAnsi="Arial"/>
          <w:sz w:val="18"/>
          <w:szCs w:val="18"/>
          <w:color w:val="auto"/>
        </w:rPr>
        <w:t>” means FS Development after the event in which Gemini becomes a wholly-owned subsidiary of FS Development.</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Combined Entity following the Closing.</w:t>
      </w:r>
    </w:p>
    <w:p>
      <w:pPr>
        <w:spacing w:after="0" w:line="144"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Warrant</w:t>
      </w:r>
      <w:r>
        <w:rPr>
          <w:rFonts w:ascii="Arial" w:cs="Arial" w:eastAsia="Arial" w:hAnsi="Arial"/>
          <w:sz w:val="18"/>
          <w:szCs w:val="18"/>
          <w:color w:val="auto"/>
        </w:rPr>
        <w:t>” means the Warrant to Purchase Stock dated February 8, 2019, issued to Silicon Valley Bank, pursuant to which Silicon Valley Bank is entitled to purchase shares of Series A Preferred Stock of Gemini.</w:t>
      </w:r>
    </w:p>
    <w:p>
      <w:pPr>
        <w:spacing w:after="0" w:line="81"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Notes</w:t>
      </w:r>
      <w:r>
        <w:rPr>
          <w:rFonts w:ascii="Arial" w:cs="Arial" w:eastAsia="Arial" w:hAnsi="Arial"/>
          <w:sz w:val="16"/>
          <w:szCs w:val="16"/>
          <w:color w:val="auto"/>
        </w:rPr>
        <w:t>” means those certain Convertible Promissory Notes of Gemini in the aggregate principal amount of $14,000,000, issued on August 21, 2020 to certain Gemini Equityholders pursuant to the Convertible Promissory Note Purchase Agreement dated August 21, 2020 among Gemini and such Gemini Equityholders.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By-laws</w:t>
      </w:r>
      <w:r>
        <w:rPr>
          <w:rFonts w:ascii="Arial" w:cs="Arial" w:eastAsia="Arial" w:hAnsi="Arial"/>
          <w:sz w:val="18"/>
          <w:szCs w:val="18"/>
          <w:color w:val="auto"/>
        </w:rPr>
        <w:t>” means FS Development’s by-laws as currently in effect.</w:t>
      </w:r>
    </w:p>
    <w:p>
      <w:pPr>
        <w:spacing w:after="0" w:line="144"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Charter</w:t>
      </w:r>
      <w:r>
        <w:rPr>
          <w:rFonts w:ascii="Arial" w:cs="Arial" w:eastAsia="Arial" w:hAnsi="Arial"/>
          <w:sz w:val="18"/>
          <w:szCs w:val="18"/>
          <w:color w:val="auto"/>
        </w:rPr>
        <w:t>” means FS Development’s current amended and restated certificate of incorporation as filed with the Secretary of State of the State of Delaware on August 11, 2020.</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Time</w:t>
      </w:r>
      <w:r>
        <w:rPr>
          <w:rFonts w:ascii="Arial" w:cs="Arial" w:eastAsia="Arial" w:hAnsi="Arial"/>
          <w:sz w:val="16"/>
          <w:szCs w:val="16"/>
          <w:color w:val="auto"/>
        </w:rPr>
        <w:t>” means the time at which the Business Combination became effective pursuant to its terms.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Incentive Plan</w:t>
      </w:r>
      <w:r>
        <w:rPr>
          <w:rFonts w:ascii="Arial" w:cs="Arial" w:eastAsia="Arial" w:hAnsi="Arial"/>
          <w:sz w:val="18"/>
          <w:szCs w:val="18"/>
          <w:color w:val="auto"/>
        </w:rPr>
        <w:t>” means the 2020 Stock Option and Incentive Plan.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Act of 1934, as amended from time to time.</w:t>
      </w:r>
    </w:p>
    <w:p>
      <w:pPr>
        <w:spacing w:after="0" w:line="13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Founders Shares</w:t>
      </w:r>
      <w:r>
        <w:rPr>
          <w:rFonts w:ascii="Arial" w:cs="Arial" w:eastAsia="Arial" w:hAnsi="Arial"/>
          <w:sz w:val="18"/>
          <w:szCs w:val="18"/>
          <w:color w:val="auto"/>
        </w:rPr>
        <w:t>” means the outstanding shares of our Class B Common Stock held by the Sponsor, our directors and affiliates of our management team since June 30, 2020.</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 Development</w:t>
      </w:r>
      <w:r>
        <w:rPr>
          <w:rFonts w:ascii="Arial" w:cs="Arial" w:eastAsia="Arial" w:hAnsi="Arial"/>
          <w:sz w:val="18"/>
          <w:szCs w:val="18"/>
          <w:color w:val="auto"/>
        </w:rPr>
        <w:t>” means FS Development Corp.</w:t>
      </w:r>
    </w:p>
    <w:p>
      <w:pPr>
        <w:spacing w:after="0" w:line="13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 Development Class A Common Stock</w:t>
      </w:r>
      <w:r>
        <w:rPr>
          <w:rFonts w:ascii="Arial" w:cs="Arial" w:eastAsia="Arial" w:hAnsi="Arial"/>
          <w:sz w:val="18"/>
          <w:szCs w:val="18"/>
          <w:color w:val="auto"/>
        </w:rPr>
        <w:t>” or “</w:t>
      </w:r>
      <w:r>
        <w:rPr>
          <w:rFonts w:ascii="Arial" w:cs="Arial" w:eastAsia="Arial" w:hAnsi="Arial"/>
          <w:sz w:val="18"/>
          <w:szCs w:val="18"/>
          <w:b w:val="1"/>
          <w:bCs w:val="1"/>
          <w:color w:val="auto"/>
        </w:rPr>
        <w:t>Class A Common Stock</w:t>
      </w:r>
      <w:r>
        <w:rPr>
          <w:rFonts w:ascii="Arial" w:cs="Arial" w:eastAsia="Arial" w:hAnsi="Arial"/>
          <w:sz w:val="18"/>
          <w:szCs w:val="18"/>
          <w:color w:val="auto"/>
        </w:rPr>
        <w:t>” means the shares of Class A Common Stock, par value $0.0001 per share, of FS Development.</w:t>
      </w:r>
    </w:p>
    <w:p>
      <w:pPr>
        <w:spacing w:after="0" w:line="67"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 Development Class B Common Stock</w:t>
      </w:r>
      <w:r>
        <w:rPr>
          <w:rFonts w:ascii="Arial" w:cs="Arial" w:eastAsia="Arial" w:hAnsi="Arial"/>
          <w:sz w:val="18"/>
          <w:szCs w:val="18"/>
          <w:color w:val="auto"/>
        </w:rPr>
        <w:t xml:space="preserve">” </w:t>
      </w:r>
      <w:r>
        <w:rPr>
          <w:rFonts w:ascii="Arial" w:cs="Arial" w:eastAsia="Arial" w:hAnsi="Arial"/>
          <w:sz w:val="18"/>
          <w:szCs w:val="18"/>
          <w:b w:val="1"/>
          <w:bCs w:val="1"/>
          <w:color w:val="auto"/>
        </w:rPr>
        <w:t>or “Class B Common Stock”</w:t>
      </w:r>
      <w:r>
        <w:rPr>
          <w:rFonts w:ascii="Arial" w:cs="Arial" w:eastAsia="Arial" w:hAnsi="Arial"/>
          <w:sz w:val="18"/>
          <w:szCs w:val="18"/>
          <w:color w:val="auto"/>
        </w:rPr>
        <w:t xml:space="preserve"> means the shares of Class B Common Stock, par value $0.0001 per share, of FS Development.</w:t>
      </w:r>
    </w:p>
    <w:p>
      <w:pPr>
        <w:spacing w:after="0" w:line="94"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 Development Common Stock</w:t>
      </w:r>
      <w:r>
        <w:rPr>
          <w:rFonts w:ascii="Arial" w:cs="Arial" w:eastAsia="Arial" w:hAnsi="Arial"/>
          <w:sz w:val="18"/>
          <w:szCs w:val="18"/>
          <w:color w:val="auto"/>
        </w:rPr>
        <w:t>” means, collectively, the FS Development Class A Common Stock and FS Development Class B Common Stock.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 Development IPO</w:t>
      </w:r>
      <w:r>
        <w:rPr>
          <w:rFonts w:ascii="Arial" w:cs="Arial" w:eastAsia="Arial" w:hAnsi="Arial"/>
          <w:sz w:val="18"/>
          <w:szCs w:val="18"/>
          <w:color w:val="auto"/>
        </w:rPr>
        <w:t>” means FS Development’s initial public offering.</w:t>
      </w:r>
    </w:p>
    <w:p>
      <w:pPr>
        <w:spacing w:after="0" w:line="158"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 Development Support Agreement</w:t>
      </w:r>
      <w:r>
        <w:rPr>
          <w:rFonts w:ascii="Arial" w:cs="Arial" w:eastAsia="Arial" w:hAnsi="Arial"/>
          <w:sz w:val="18"/>
          <w:szCs w:val="18"/>
          <w:color w:val="auto"/>
        </w:rPr>
        <w:t>” means the FS Development Support Agreement, dated as of October 15, 2020, by and among FS Development, Gemini, FS Development Holdings, LLC and certain supporting stockholders of FS Development.</w:t>
      </w:r>
    </w:p>
    <w:p>
      <w:pPr>
        <w:spacing w:after="0" w:line="108"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Fully Diluted Company Shares</w:t>
      </w:r>
      <w:r>
        <w:rPr>
          <w:rFonts w:ascii="Arial" w:cs="Arial" w:eastAsia="Arial" w:hAnsi="Arial"/>
          <w:sz w:val="16"/>
          <w:szCs w:val="16"/>
          <w:color w:val="auto"/>
        </w:rPr>
        <w:t>” means the sum, without duplication, of (a) shares of common stock of Gemini (including restricted stock) that are issued and outstanding immediately prior to the Effective Time; plus</w:t>
      </w:r>
    </w:p>
    <w:p>
      <w:pPr>
        <w:spacing w:after="0" w:line="1" w:lineRule="exact"/>
        <w:rPr>
          <w:sz w:val="20"/>
          <w:szCs w:val="20"/>
          <w:color w:val="auto"/>
        </w:rPr>
      </w:pPr>
    </w:p>
    <w:p>
      <w:pPr>
        <w:jc w:val="both"/>
        <w:ind w:left="460" w:right="459" w:hanging="6"/>
        <w:spacing w:after="0" w:line="281" w:lineRule="auto"/>
        <w:tabs>
          <w:tab w:leader="none" w:pos="754"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of preferred stock of Gemini (on an as converted to common stock basis) that are issued and outstanding immediately prior to the Effective Time; plus (c) the aggregate number of shares of common stock of Gemini issuable upon exercise of the Company Warrant as of immediately prior to the Effective Time; plus</w:t>
      </w:r>
    </w:p>
    <w:p>
      <w:pPr>
        <w:spacing w:after="0" w:line="1" w:lineRule="exact"/>
        <w:rPr>
          <w:rFonts w:ascii="Arial" w:cs="Arial" w:eastAsia="Arial" w:hAnsi="Arial"/>
          <w:sz w:val="16"/>
          <w:szCs w:val="16"/>
          <w:color w:val="auto"/>
        </w:rPr>
      </w:pPr>
    </w:p>
    <w:p>
      <w:pPr>
        <w:jc w:val="both"/>
        <w:ind w:left="460" w:right="459" w:hanging="6"/>
        <w:spacing w:after="0" w:line="270" w:lineRule="auto"/>
        <w:tabs>
          <w:tab w:leader="none" w:pos="72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aggregate number of shares of common stock of Gemini issuable upon exercise of options to purchase common stock of Gemini that are vested as of immediately prior to the Effective Time; plus (e) the aggregate number of shares of common stock of Gemini issuable upon exercise of options to purchase common stock of Gemini that are unvested as of immediately prior to the Effective Time; plus (f) the aggregate number of shares of Gemini Series B Preferred Stock (on an as converted to common stock basis) issuable upon the conversion of the Convertible Notes as of immediately prior to the Effective Time.</w:t>
      </w:r>
    </w:p>
    <w:p>
      <w:pPr>
        <w:spacing w:after="0" w:line="93" w:lineRule="exact"/>
        <w:rPr>
          <w:sz w:val="20"/>
          <w:szCs w:val="20"/>
          <w:color w:val="auto"/>
        </w:rPr>
      </w:pPr>
    </w:p>
    <w:p>
      <w:pPr>
        <w:ind w:left="460" w:right="45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Gemini</w:t>
      </w:r>
      <w:r>
        <w:rPr>
          <w:rFonts w:ascii="Arial" w:cs="Arial" w:eastAsia="Arial" w:hAnsi="Arial"/>
          <w:sz w:val="18"/>
          <w:szCs w:val="18"/>
          <w:color w:val="auto"/>
        </w:rPr>
        <w:t>” means Gemini Therapeutics, Inc., a Delaware corporation, which shall refer to the Combined Entity following the Business Combination, as the context requires.</w:t>
      </w:r>
    </w:p>
    <w:p>
      <w:pPr>
        <w:spacing w:after="0" w:line="94" w:lineRule="exact"/>
        <w:rPr>
          <w:sz w:val="20"/>
          <w:szCs w:val="20"/>
          <w:color w:val="auto"/>
        </w:rPr>
      </w:pPr>
    </w:p>
    <w:p>
      <w:pPr>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Gemini Equityholders</w:t>
      </w:r>
      <w:r>
        <w:rPr>
          <w:rFonts w:ascii="Arial" w:cs="Arial" w:eastAsia="Arial" w:hAnsi="Arial"/>
          <w:sz w:val="18"/>
          <w:szCs w:val="18"/>
          <w:color w:val="auto"/>
        </w:rPr>
        <w:t>” refers to the holders of equity interests in Gemini as of the time immediately before the Business Combination.</w:t>
      </w:r>
    </w:p>
    <w:p>
      <w:pPr>
        <w:spacing w:after="0" w:line="94" w:lineRule="exact"/>
        <w:rPr>
          <w:sz w:val="20"/>
          <w:szCs w:val="20"/>
          <w:color w:val="auto"/>
        </w:rPr>
      </w:pPr>
    </w:p>
    <w:p>
      <w:pPr>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means the Closing Payment Shares to be issued as the consideration for the Business Combination.</w:t>
      </w:r>
    </w:p>
    <w:p>
      <w:pPr>
        <w:spacing w:after="0" w:line="81" w:lineRule="exact"/>
        <w:rPr>
          <w:sz w:val="20"/>
          <w:szCs w:val="20"/>
          <w:color w:val="auto"/>
        </w:rPr>
      </w:pPr>
    </w:p>
    <w:p>
      <w:pPr>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Merger Agreement, dated as of October 15, 2020, by and among FS Development, Merger Sub, Gemini and the shareholders Representative.</w:t>
      </w:r>
    </w:p>
    <w:p>
      <w:pPr>
        <w:spacing w:after="0" w:line="94" w:lineRule="exact"/>
        <w:rPr>
          <w:sz w:val="20"/>
          <w:szCs w:val="20"/>
          <w:color w:val="auto"/>
        </w:rPr>
      </w:pPr>
    </w:p>
    <w:p>
      <w:pPr>
        <w:ind w:left="460" w:right="45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Investment</w:t>
      </w:r>
      <w:r>
        <w:rPr>
          <w:rFonts w:ascii="Arial" w:cs="Arial" w:eastAsia="Arial" w:hAnsi="Arial"/>
          <w:sz w:val="18"/>
          <w:szCs w:val="18"/>
          <w:color w:val="auto"/>
        </w:rPr>
        <w:t>” refers to the sale of shares of 9,506,000 newly issued shares of FS Development Class A Common Stock in a private placement concurrent with the Business Combination.</w:t>
      </w:r>
    </w:p>
    <w:p>
      <w:pPr>
        <w:spacing w:after="0" w:line="94" w:lineRule="exact"/>
        <w:rPr>
          <w:sz w:val="20"/>
          <w:szCs w:val="20"/>
          <w:color w:val="auto"/>
        </w:rPr>
      </w:pPr>
    </w:p>
    <w:p>
      <w:pPr>
        <w:ind w:left="460" w:right="479"/>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Portion of the Merger Consideration</w:t>
      </w:r>
      <w:r>
        <w:rPr>
          <w:rFonts w:ascii="Arial" w:cs="Arial" w:eastAsia="Arial" w:hAnsi="Arial"/>
          <w:sz w:val="16"/>
          <w:szCs w:val="16"/>
          <w:color w:val="auto"/>
        </w:rPr>
        <w:t>” means, for each share of Gemini Stock owned by a Gemini Equityholder, the quotient of the Closing Payment Shares divided by the Fully Diluted Company Shares.</w:t>
      </w:r>
    </w:p>
    <w:p>
      <w:pPr>
        <w:spacing w:after="0" w:line="35" w:lineRule="exact"/>
        <w:rPr>
          <w:sz w:val="20"/>
          <w:szCs w:val="20"/>
          <w:color w:val="auto"/>
        </w:rPr>
      </w:pPr>
    </w:p>
    <w:p>
      <w:pPr>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w:t>
      </w:r>
      <w:r>
        <w:rPr>
          <w:rFonts w:ascii="Arial" w:cs="Arial" w:eastAsia="Arial" w:hAnsi="Arial"/>
          <w:sz w:val="18"/>
          <w:szCs w:val="18"/>
          <w:color w:val="auto"/>
        </w:rPr>
        <w:t>” means any of proposals being presented to the FS Development stockholders at the Special Meeting.</w:t>
      </w:r>
    </w:p>
    <w:p>
      <w:pPr>
        <w:spacing w:after="0" w:line="94" w:lineRule="exact"/>
        <w:rPr>
          <w:sz w:val="20"/>
          <w:szCs w:val="20"/>
          <w:color w:val="auto"/>
        </w:rPr>
      </w:pPr>
    </w:p>
    <w:p>
      <w:pPr>
        <w:ind w:left="460" w:right="45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Charter</w:t>
      </w:r>
      <w:r>
        <w:rPr>
          <w:rFonts w:ascii="Arial" w:cs="Arial" w:eastAsia="Arial" w:hAnsi="Arial"/>
          <w:sz w:val="18"/>
          <w:szCs w:val="18"/>
          <w:color w:val="auto"/>
        </w:rPr>
        <w:t xml:space="preserve">” means the Amended and Restated Certificate of Incorporation of Gemini, a Form of which is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Shares</w:t>
      </w:r>
      <w:r>
        <w:rPr>
          <w:rFonts w:ascii="Arial" w:cs="Arial" w:eastAsia="Arial" w:hAnsi="Arial"/>
          <w:sz w:val="17"/>
          <w:szCs w:val="17"/>
          <w:color w:val="auto"/>
        </w:rPr>
        <w:t>” means FS Development Class A Common Stock issued in the FS Development IPO.</w:t>
      </w:r>
    </w:p>
    <w:p>
      <w:pPr>
        <w:spacing w:after="0" w:line="156" w:lineRule="exact"/>
        <w:rPr>
          <w:sz w:val="20"/>
          <w:szCs w:val="20"/>
          <w:color w:val="auto"/>
        </w:rPr>
      </w:pPr>
    </w:p>
    <w:p>
      <w:pPr>
        <w:ind w:left="460" w:right="45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w:t>
      </w:r>
      <w:r>
        <w:rPr>
          <w:rFonts w:ascii="Arial" w:cs="Arial" w:eastAsia="Arial" w:hAnsi="Arial"/>
          <w:sz w:val="17"/>
          <w:szCs w:val="17"/>
          <w:color w:val="auto"/>
        </w:rPr>
        <w:t>” means the right of the holders of FS Development Class A Common Stock to have their shares redeemed in accordance with the procedures set forth in this proxy statement/prospectus.</w:t>
      </w:r>
    </w:p>
    <w:p>
      <w:pPr>
        <w:spacing w:after="0" w:line="72" w:lineRule="exact"/>
        <w:rPr>
          <w:sz w:val="20"/>
          <w:szCs w:val="20"/>
          <w:color w:val="auto"/>
        </w:rPr>
      </w:pPr>
    </w:p>
    <w:p>
      <w:pPr>
        <w:ind w:left="460" w:right="4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Rights Agreement to be entered into in connection with the Closing with certain Gemini Equityholders.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Exchange Commission or any successor organization.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Representative</w:t>
      </w:r>
      <w:r>
        <w:rPr>
          <w:rFonts w:ascii="Arial" w:cs="Arial" w:eastAsia="Arial" w:hAnsi="Arial"/>
          <w:sz w:val="18"/>
          <w:szCs w:val="18"/>
          <w:color w:val="auto"/>
        </w:rPr>
        <w:t>” means Shareholder Representative Services LLC.</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Meeting</w:t>
      </w:r>
      <w:r>
        <w:rPr>
          <w:rFonts w:ascii="Arial" w:cs="Arial" w:eastAsia="Arial" w:hAnsi="Arial"/>
          <w:sz w:val="18"/>
          <w:szCs w:val="18"/>
          <w:color w:val="auto"/>
        </w:rPr>
        <w:t>” means the special meeting of the stockholders of FS Development, to be held on 2020, at , Eastern time, via live webcast at the following address .</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9" w:lineRule="exact"/>
        <w:rPr>
          <w:sz w:val="20"/>
          <w:szCs w:val="20"/>
          <w:color w:val="auto"/>
        </w:rPr>
      </w:pPr>
    </w:p>
    <w:p>
      <w:pPr>
        <w:sectPr>
          <w:pgSz w:w="11900" w:h="16838" w:orient="portrait"/>
          <w:cols w:equalWidth="0" w:num="2">
            <w:col w:w="7940" w:space="560"/>
            <w:col w:w="51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FS Development Holdings, LLC, a Delaware limited liability company.</w:t>
      </w:r>
    </w:p>
    <w:p>
      <w:pPr>
        <w:spacing w:after="0" w:line="158"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Account</w:t>
      </w:r>
      <w:r>
        <w:rPr>
          <w:rFonts w:ascii="Arial" w:cs="Arial" w:eastAsia="Arial" w:hAnsi="Arial"/>
          <w:sz w:val="18"/>
          <w:szCs w:val="18"/>
          <w:color w:val="auto"/>
        </w:rPr>
        <w:t>” means the Trust Account of FS Development, which holds the net proceeds of the FS Development IPO, together with interest earned thereon, less amounts released to pay franchise and income tax obligations.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PROPOSALS</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i w:val="1"/>
          <w:iCs w:val="1"/>
          <w:color w:val="auto"/>
        </w:rPr>
        <w:t>The following questions and answers briefly address some commonly asked questions about the Business Combination and the Special Meeting of FS Development stockholders. The following questions and answers do not include all the information that is important to stockholders of FS Development. We urge the stockholders of FS Development to read carefully this entire proxy statement/prospectus, including the annexes and other documents referred to herein.</w:t>
      </w:r>
    </w:p>
    <w:p>
      <w:pPr>
        <w:spacing w:after="0" w:line="103" w:lineRule="exact"/>
        <w:rPr>
          <w:sz w:val="20"/>
          <w:szCs w:val="20"/>
          <w:color w:val="auto"/>
        </w:rPr>
      </w:pPr>
    </w:p>
    <w:p>
      <w:pPr>
        <w:ind w:left="860" w:hanging="406"/>
        <w:spacing w:after="0"/>
        <w:tabs>
          <w:tab w:leader="none" w:pos="8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jc w:val="both"/>
        <w:ind w:left="880" w:right="459" w:hanging="426"/>
        <w:spacing w:after="0" w:line="272" w:lineRule="auto"/>
        <w:tabs>
          <w:tab w:leader="none" w:pos="874" w:val="left"/>
        </w:tabs>
        <w:numPr>
          <w:ilvl w:val="0"/>
          <w:numId w:val="15"/>
        </w:numPr>
        <w:rPr>
          <w:rFonts w:ascii="Arial" w:cs="Arial" w:eastAsia="Arial" w:hAnsi="Arial"/>
          <w:sz w:val="17"/>
          <w:szCs w:val="17"/>
          <w:color w:val="auto"/>
        </w:rPr>
      </w:pPr>
      <w:r>
        <w:rPr>
          <w:rFonts w:ascii="Arial" w:cs="Arial" w:eastAsia="Arial" w:hAnsi="Arial"/>
          <w:sz w:val="17"/>
          <w:szCs w:val="17"/>
          <w:color w:val="auto"/>
        </w:rPr>
        <w:t>FS Development stockholders are being asked to consider and vote upon a proposal to approve and adopt the Merger Agreement, among other proposals. FS Development has entered into the Merger Agreement as a result of which Merger Sub, a wholly-owned subsidiary of FS Development, shall merge with and into Gemini with Gemini surviving such merger, and as a result of which Gemini will become a wholly-owned subsidiary of FS Development. We refer to this merger as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xml:space="preserve">.” FS Development urges its stockholders to read the Merger Agreement in its entirety, which is attached to this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jc w:val="both"/>
        <w:ind w:left="880" w:right="479"/>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YOUR VOTE IS IMPORTANT. YOU ARE ENCOURAGED TO SUBMIT YOUR PROXY AS SOON AS POSSIBLE AFTER CAREFULLY REVIEWING THIS PROXY STATEMENT/PROSPECTUS AND ITS ANNEXES AND CAREFULLY CONSIDERING EACH OF THE PROPOSALS BEING PRESENTED AT THE MEETING.</w:t>
      </w:r>
    </w:p>
    <w:p>
      <w:pPr>
        <w:spacing w:after="0" w:line="99" w:lineRule="exact"/>
        <w:rPr>
          <w:sz w:val="20"/>
          <w:szCs w:val="20"/>
          <w:color w:val="auto"/>
        </w:rPr>
      </w:pPr>
    </w:p>
    <w:p>
      <w:pPr>
        <w:ind w:left="880" w:hanging="426"/>
        <w:spacing w:after="0"/>
        <w:tabs>
          <w:tab w:leader="none" w:pos="8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Why is FS Development proposing the Business Combination?</w:t>
      </w:r>
    </w:p>
    <w:p>
      <w:pPr>
        <w:spacing w:after="0" w:line="135" w:lineRule="exact"/>
        <w:rPr>
          <w:sz w:val="20"/>
          <w:szCs w:val="20"/>
          <w:color w:val="auto"/>
        </w:rPr>
      </w:pPr>
    </w:p>
    <w:p>
      <w:pPr>
        <w:jc w:val="both"/>
        <w:ind w:left="880" w:right="479" w:hanging="426"/>
        <w:spacing w:after="0" w:line="263" w:lineRule="auto"/>
        <w:tabs>
          <w:tab w:leader="none" w:pos="10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FS Development was formed for the purpose of effecting a merger, capital stock exchange, asset acquisition, stock purchase, reorganization or other similar business combination with one or more operating businesses.</w:t>
      </w:r>
    </w:p>
    <w:p>
      <w:pPr>
        <w:spacing w:after="0" w:line="8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Based on its due diligence investigations of Gemini and the industries in which it operates, including the financial and other information provided by Gemini in the course of FS Development’s due diligence investigations, the Board believes that the Business Combination with Gemini is in the best interests of FS Development and its stockholders.</w:t>
      </w:r>
    </w:p>
    <w:p>
      <w:pPr>
        <w:spacing w:after="0" w:line="106"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The Business Combination Proposal — Board’s Reasons for Approval of the Business Combination</w:t>
      </w:r>
      <w:r>
        <w:rPr>
          <w:rFonts w:ascii="Arial" w:cs="Arial" w:eastAsia="Arial" w:hAnsi="Arial"/>
          <w:sz w:val="18"/>
          <w:szCs w:val="18"/>
          <w:color w:val="auto"/>
        </w:rPr>
        <w:t>” for a discussion of the factors considered by the Board in making its decision.</w:t>
      </w:r>
    </w:p>
    <w:p>
      <w:pPr>
        <w:spacing w:after="0" w:line="72" w:lineRule="exact"/>
        <w:rPr>
          <w:sz w:val="20"/>
          <w:szCs w:val="20"/>
          <w:color w:val="auto"/>
        </w:rPr>
      </w:pPr>
    </w:p>
    <w:p>
      <w:pPr>
        <w:ind w:left="880" w:hanging="426"/>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matters will be considered at the Special Meeting?</w:t>
      </w:r>
    </w:p>
    <w:p>
      <w:pPr>
        <w:spacing w:after="0" w:line="135" w:lineRule="exact"/>
        <w:rPr>
          <w:sz w:val="20"/>
          <w:szCs w:val="20"/>
          <w:color w:val="auto"/>
        </w:rPr>
      </w:pPr>
    </w:p>
    <w:p>
      <w:pPr>
        <w:ind w:left="880" w:right="479" w:hanging="426"/>
        <w:spacing w:after="0" w:line="277" w:lineRule="auto"/>
        <w:tabs>
          <w:tab w:leader="none" w:pos="8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is a list of proposals upon which FS Development stockholders will be asked to vote at the Special Meeting:</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47"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The Business Combination Proposa</w:t>
      </w:r>
      <w:r>
        <w:rPr>
          <w:rFonts w:ascii="Arial" w:cs="Arial" w:eastAsia="Arial" w:hAnsi="Arial"/>
          <w:sz w:val="18"/>
          <w:szCs w:val="18"/>
          <w:color w:val="auto"/>
        </w:rPr>
        <w:t>l — To adopt and approve the Merger Agreement and approve</w:t>
      </w:r>
      <w:r>
        <w:rPr>
          <w:rFonts w:ascii="Arial" w:cs="Arial" w:eastAsia="Arial" w:hAnsi="Arial"/>
          <w:sz w:val="18"/>
          <w:szCs w:val="18"/>
          <w:i w:val="1"/>
          <w:iCs w:val="1"/>
          <w:color w:val="auto"/>
        </w:rPr>
        <w:t xml:space="preserve"> </w:t>
      </w:r>
      <w:r>
        <w:rPr>
          <w:rFonts w:ascii="Arial" w:cs="Arial" w:eastAsia="Arial" w:hAnsi="Arial"/>
          <w:sz w:val="18"/>
          <w:szCs w:val="18"/>
          <w:color w:val="auto"/>
        </w:rPr>
        <w:t>the Business Combination.</w:t>
      </w:r>
    </w:p>
    <w:p>
      <w:pPr>
        <w:spacing w:after="0" w:line="75" w:lineRule="exact"/>
        <w:rPr>
          <w:rFonts w:ascii="Arial" w:cs="Arial" w:eastAsia="Arial" w:hAnsi="Arial"/>
          <w:sz w:val="18"/>
          <w:szCs w:val="18"/>
          <w:color w:val="auto"/>
        </w:rPr>
      </w:pPr>
    </w:p>
    <w:p>
      <w:pPr>
        <w:jc w:val="both"/>
        <w:ind w:left="1320" w:right="459" w:hanging="434"/>
        <w:spacing w:after="0" w:line="271" w:lineRule="auto"/>
        <w:tabs>
          <w:tab w:leader="none" w:pos="1333"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The Nasdaq Stock Issuance Proposal </w:t>
      </w:r>
      <w:r>
        <w:rPr>
          <w:rFonts w:ascii="Arial" w:cs="Arial" w:eastAsia="Arial" w:hAnsi="Arial"/>
          <w:sz w:val="17"/>
          <w:szCs w:val="17"/>
          <w:color w:val="auto"/>
        </w:rPr>
        <w:t>— To approve, assuming the Business Combination Proposal</w:t>
      </w:r>
      <w:r>
        <w:rPr>
          <w:rFonts w:ascii="Arial" w:cs="Arial" w:eastAsia="Arial" w:hAnsi="Arial"/>
          <w:sz w:val="17"/>
          <w:szCs w:val="17"/>
          <w:i w:val="1"/>
          <w:iCs w:val="1"/>
          <w:color w:val="auto"/>
        </w:rPr>
        <w:t xml:space="preserve"> </w:t>
      </w:r>
      <w:r>
        <w:rPr>
          <w:rFonts w:ascii="Arial" w:cs="Arial" w:eastAsia="Arial" w:hAnsi="Arial"/>
          <w:sz w:val="17"/>
          <w:szCs w:val="17"/>
          <w:color w:val="auto"/>
        </w:rPr>
        <w:t>is approved and adopted, for purposes of complying with the applicable provisions of Nasdaq Stock Exchange Listing Rule 5635 (each, a “</w:t>
      </w:r>
      <w:r>
        <w:rPr>
          <w:rFonts w:ascii="Arial" w:cs="Arial" w:eastAsia="Arial" w:hAnsi="Arial"/>
          <w:sz w:val="17"/>
          <w:szCs w:val="17"/>
          <w:b w:val="1"/>
          <w:bCs w:val="1"/>
          <w:color w:val="auto"/>
        </w:rPr>
        <w:t>Nasdaq Listing Rule</w:t>
      </w:r>
      <w:r>
        <w:rPr>
          <w:rFonts w:ascii="Arial" w:cs="Arial" w:eastAsia="Arial" w:hAnsi="Arial"/>
          <w:sz w:val="17"/>
          <w:szCs w:val="17"/>
          <w:color w:val="auto"/>
        </w:rPr>
        <w:t>”), (a) the issuance of up to 21,500,000 newly issued shares of Class A Common Stock in the Business Combination determined as described in more detail under the heading titled “</w:t>
      </w:r>
      <w:r>
        <w:rPr>
          <w:rFonts w:ascii="Arial" w:cs="Arial" w:eastAsia="Arial" w:hAnsi="Arial"/>
          <w:sz w:val="17"/>
          <w:szCs w:val="17"/>
          <w:i w:val="1"/>
          <w:iCs w:val="1"/>
          <w:color w:val="auto"/>
        </w:rPr>
        <w:t>The Business Combination Proposal —</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 of Gemini; Merger Consideration</w:t>
      </w:r>
      <w:r>
        <w:rPr>
          <w:rFonts w:ascii="Arial" w:cs="Arial" w:eastAsia="Arial" w:hAnsi="Arial"/>
          <w:sz w:val="17"/>
          <w:szCs w:val="17"/>
          <w:color w:val="auto"/>
        </w:rPr>
        <w:t>” and (b) the issuance and sale of 9,506,000 newly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shares of Class A Common Stock in the PIPE Investment, to the extent such issuances would require a stockholder vote under the applicable Nasdaq Listing Rule.</w:t>
      </w:r>
    </w:p>
    <w:p>
      <w:pPr>
        <w:spacing w:after="0" w:line="83" w:lineRule="exact"/>
        <w:rPr>
          <w:rFonts w:ascii="Arial" w:cs="Arial" w:eastAsia="Arial" w:hAnsi="Arial"/>
          <w:sz w:val="17"/>
          <w:szCs w:val="17"/>
          <w:color w:val="auto"/>
        </w:rPr>
      </w:pPr>
    </w:p>
    <w:p>
      <w:pPr>
        <w:jc w:val="both"/>
        <w:ind w:left="1320" w:right="459" w:hanging="434"/>
        <w:spacing w:after="0" w:line="259" w:lineRule="auto"/>
        <w:tabs>
          <w:tab w:leader="none" w:pos="1333"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The Charter Amendment Proposal </w:t>
      </w:r>
      <w:r>
        <w:rPr>
          <w:rFonts w:ascii="Arial" w:cs="Arial" w:eastAsia="Arial" w:hAnsi="Arial"/>
          <w:sz w:val="18"/>
          <w:szCs w:val="18"/>
          <w:color w:val="auto"/>
        </w:rPr>
        <w:t>— To approve, assuming the Business Combination Proposal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and adopted, a proposed second amended and restated certificate of incorporation (the “</w:t>
      </w:r>
      <w:r>
        <w:rPr>
          <w:rFonts w:ascii="Arial" w:cs="Arial" w:eastAsia="Arial" w:hAnsi="Arial"/>
          <w:sz w:val="18"/>
          <w:szCs w:val="18"/>
          <w:b w:val="1"/>
          <w:bCs w:val="1"/>
          <w:color w:val="auto"/>
        </w:rPr>
        <w:t>Proposed Charter</w:t>
      </w:r>
      <w:r>
        <w:rPr>
          <w:rFonts w:ascii="Arial" w:cs="Arial" w:eastAsia="Arial" w:hAnsi="Arial"/>
          <w:sz w:val="18"/>
          <w:szCs w:val="18"/>
          <w:color w:val="auto"/>
        </w:rPr>
        <w:t>”), which will amend and restate the Current Charter, which Proposed Charter will be in effect upon the Closing.</w:t>
      </w:r>
    </w:p>
    <w:p>
      <w:pPr>
        <w:spacing w:after="0" w:line="105" w:lineRule="exact"/>
        <w:rPr>
          <w:rFonts w:ascii="Arial" w:cs="Arial" w:eastAsia="Arial" w:hAnsi="Arial"/>
          <w:sz w:val="18"/>
          <w:szCs w:val="18"/>
          <w:color w:val="auto"/>
        </w:rPr>
      </w:pPr>
    </w:p>
    <w:p>
      <w:pPr>
        <w:jc w:val="both"/>
        <w:ind w:left="1320" w:right="479" w:hanging="434"/>
        <w:spacing w:after="0" w:line="286" w:lineRule="auto"/>
        <w:tabs>
          <w:tab w:leader="none" w:pos="1414"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The Advisory Charter Proposals </w:t>
      </w:r>
      <w:r>
        <w:rPr>
          <w:rFonts w:ascii="Arial" w:cs="Arial" w:eastAsia="Arial" w:hAnsi="Arial"/>
          <w:sz w:val="17"/>
          <w:szCs w:val="17"/>
          <w:color w:val="auto"/>
        </w:rPr>
        <w:t>— To approve, on a non-binding advisory basis,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differences between the Proposed Charter and the Current Charter, which are being presented in accordance with the requirements of the SEC as five separate sub-proposals:</w:t>
      </w:r>
    </w:p>
    <w:p>
      <w:pPr>
        <w:spacing w:after="0" w:line="70" w:lineRule="exact"/>
        <w:rPr>
          <w:rFonts w:ascii="Arial" w:cs="Arial" w:eastAsia="Arial" w:hAnsi="Arial"/>
          <w:sz w:val="17"/>
          <w:szCs w:val="17"/>
          <w:color w:val="auto"/>
        </w:rPr>
      </w:pPr>
    </w:p>
    <w:p>
      <w:pPr>
        <w:ind w:left="1760" w:right="479" w:hanging="442"/>
        <w:spacing w:after="0" w:line="277" w:lineRule="auto"/>
        <w:tabs>
          <w:tab w:leader="none" w:pos="1778" w:val="left"/>
        </w:tabs>
        <w:numPr>
          <w:ilvl w:val="2"/>
          <w:numId w:val="19"/>
        </w:numPr>
        <w:rPr>
          <w:rFonts w:ascii="Arial" w:cs="Arial" w:eastAsia="Arial" w:hAnsi="Arial"/>
          <w:sz w:val="18"/>
          <w:szCs w:val="18"/>
          <w:color w:val="auto"/>
        </w:rPr>
      </w:pPr>
      <w:r>
        <w:rPr>
          <w:rFonts w:ascii="Arial" w:cs="Arial" w:eastAsia="Arial" w:hAnsi="Arial"/>
          <w:sz w:val="18"/>
          <w:szCs w:val="18"/>
          <w:color w:val="auto"/>
        </w:rPr>
        <w:t>Advisory Charter Proposal A — to increase the authorized shares of Class A Common Stock to shares;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760" w:right="459" w:hanging="442"/>
        <w:spacing w:after="0" w:line="263" w:lineRule="auto"/>
        <w:tabs>
          <w:tab w:leader="none" w:pos="1749" w:val="left"/>
        </w:tabs>
        <w:numPr>
          <w:ilvl w:val="2"/>
          <w:numId w:val="20"/>
        </w:numPr>
        <w:rPr>
          <w:rFonts w:ascii="Arial" w:cs="Arial" w:eastAsia="Arial" w:hAnsi="Arial"/>
          <w:sz w:val="18"/>
          <w:szCs w:val="18"/>
          <w:color w:val="auto"/>
        </w:rPr>
      </w:pPr>
      <w:r>
        <w:rPr>
          <w:rFonts w:ascii="Arial" w:cs="Arial" w:eastAsia="Arial" w:hAnsi="Arial"/>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116" w:lineRule="exact"/>
        <w:rPr>
          <w:rFonts w:ascii="Arial" w:cs="Arial" w:eastAsia="Arial" w:hAnsi="Arial"/>
          <w:sz w:val="18"/>
          <w:szCs w:val="18"/>
          <w:color w:val="auto"/>
        </w:rPr>
      </w:pPr>
    </w:p>
    <w:p>
      <w:pPr>
        <w:jc w:val="both"/>
        <w:ind w:left="1760" w:right="459" w:hanging="442"/>
        <w:spacing w:after="0" w:line="263" w:lineRule="auto"/>
        <w:tabs>
          <w:tab w:leader="none" w:pos="1874" w:val="left"/>
        </w:tabs>
        <w:numPr>
          <w:ilvl w:val="2"/>
          <w:numId w:val="20"/>
        </w:numPr>
        <w:rPr>
          <w:rFonts w:ascii="Arial" w:cs="Arial" w:eastAsia="Arial" w:hAnsi="Arial"/>
          <w:sz w:val="18"/>
          <w:szCs w:val="18"/>
          <w:color w:val="auto"/>
        </w:rPr>
      </w:pPr>
      <w:r>
        <w:rPr>
          <w:rFonts w:ascii="Arial" w:cs="Arial" w:eastAsia="Arial" w:hAnsi="Arial"/>
          <w:sz w:val="18"/>
          <w:szCs w:val="18"/>
          <w:color w:val="auto"/>
        </w:rPr>
        <w:t>Advisory Charter Proposal C — to provide that certain amendments to provisions of the Proposed Charter will require the approval of at least 66 2⁄3% of the Combined Entity’s then-outstanding shares of capital stock entitled to vote such amendment;</w:t>
      </w:r>
    </w:p>
    <w:p>
      <w:pPr>
        <w:spacing w:after="0" w:line="116" w:lineRule="exact"/>
        <w:rPr>
          <w:rFonts w:ascii="Arial" w:cs="Arial" w:eastAsia="Arial" w:hAnsi="Arial"/>
          <w:sz w:val="18"/>
          <w:szCs w:val="18"/>
          <w:color w:val="auto"/>
        </w:rPr>
      </w:pPr>
    </w:p>
    <w:p>
      <w:pPr>
        <w:jc w:val="both"/>
        <w:ind w:left="1760" w:right="479" w:hanging="442"/>
        <w:spacing w:after="0" w:line="275" w:lineRule="auto"/>
        <w:tabs>
          <w:tab w:leader="none" w:pos="1728" w:val="left"/>
        </w:tabs>
        <w:numPr>
          <w:ilvl w:val="2"/>
          <w:numId w:val="20"/>
        </w:numPr>
        <w:rPr>
          <w:rFonts w:ascii="Arial" w:cs="Arial" w:eastAsia="Arial" w:hAnsi="Arial"/>
          <w:sz w:val="17"/>
          <w:szCs w:val="17"/>
          <w:color w:val="auto"/>
        </w:rPr>
      </w:pPr>
      <w:r>
        <w:rPr>
          <w:rFonts w:ascii="Arial" w:cs="Arial" w:eastAsia="Arial" w:hAnsi="Arial"/>
          <w:sz w:val="17"/>
          <w:szCs w:val="17"/>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95" w:lineRule="exact"/>
        <w:rPr>
          <w:rFonts w:ascii="Arial" w:cs="Arial" w:eastAsia="Arial" w:hAnsi="Arial"/>
          <w:sz w:val="17"/>
          <w:szCs w:val="17"/>
          <w:color w:val="auto"/>
        </w:rPr>
      </w:pPr>
    </w:p>
    <w:p>
      <w:pPr>
        <w:jc w:val="both"/>
        <w:ind w:left="1760" w:right="459" w:hanging="442"/>
        <w:spacing w:after="0" w:line="255" w:lineRule="auto"/>
        <w:tabs>
          <w:tab w:leader="none" w:pos="1758" w:val="left"/>
        </w:tabs>
        <w:numPr>
          <w:ilvl w:val="2"/>
          <w:numId w:val="20"/>
        </w:numPr>
        <w:rPr>
          <w:rFonts w:ascii="Arial" w:cs="Arial" w:eastAsia="Arial" w:hAnsi="Arial"/>
          <w:sz w:val="18"/>
          <w:szCs w:val="18"/>
          <w:color w:val="auto"/>
        </w:rPr>
      </w:pPr>
      <w:r>
        <w:rPr>
          <w:rFonts w:ascii="Arial" w:cs="Arial" w:eastAsia="Arial" w:hAnsi="Arial"/>
          <w:sz w:val="18"/>
          <w:szCs w:val="18"/>
          <w:color w:val="auto"/>
        </w:rPr>
        <w:t>Advisory Charter Proposal E — to provide that any amendment to the Amended By-laws will require the approval of at least 66 2⁄3% of the Combined Entity’s then-outstanding shares of capital stock entitled to vote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24" w:lineRule="exact"/>
        <w:rPr>
          <w:rFonts w:ascii="Arial" w:cs="Arial" w:eastAsia="Arial" w:hAnsi="Arial"/>
          <w:sz w:val="18"/>
          <w:szCs w:val="18"/>
          <w:color w:val="auto"/>
        </w:rPr>
      </w:pPr>
    </w:p>
    <w:p>
      <w:pPr>
        <w:jc w:val="both"/>
        <w:ind w:left="1320" w:right="459" w:hanging="434"/>
        <w:spacing w:after="0" w:line="259" w:lineRule="auto"/>
        <w:tabs>
          <w:tab w:leader="none" w:pos="13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Incentive Plan Proposal — to approve, assuming the Business Combination Proposal is approved and adopted, the 2020 Stock Option and Incentive Plan (the “</w:t>
      </w:r>
      <w:r>
        <w:rPr>
          <w:rFonts w:ascii="Arial" w:cs="Arial" w:eastAsia="Arial" w:hAnsi="Arial"/>
          <w:sz w:val="18"/>
          <w:szCs w:val="18"/>
          <w:b w:val="1"/>
          <w:bCs w:val="1"/>
          <w:color w:val="auto"/>
        </w:rPr>
        <w:t>Equity Incentive Plan</w:t>
      </w:r>
      <w:r>
        <w:rPr>
          <w:rFonts w:ascii="Arial" w:cs="Arial" w:eastAsia="Arial" w:hAnsi="Arial"/>
          <w:sz w:val="18"/>
          <w:szCs w:val="18"/>
          <w:color w:val="auto"/>
        </w:rPr>
        <w:t xml:space="preserve">”), a copy of which is appended to this proxy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which will become effective as of the date immediately preceding the date of the Closing.</w:t>
      </w:r>
    </w:p>
    <w:p>
      <w:pPr>
        <w:spacing w:after="0" w:line="119" w:lineRule="exact"/>
        <w:rPr>
          <w:rFonts w:ascii="Arial" w:cs="Arial" w:eastAsia="Arial" w:hAnsi="Arial"/>
          <w:sz w:val="18"/>
          <w:szCs w:val="18"/>
          <w:color w:val="auto"/>
        </w:rPr>
      </w:pPr>
    </w:p>
    <w:p>
      <w:pPr>
        <w:jc w:val="both"/>
        <w:ind w:left="1320" w:right="459" w:hanging="434"/>
        <w:spacing w:after="0" w:line="255" w:lineRule="auto"/>
        <w:tabs>
          <w:tab w:leader="none" w:pos="13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Adjournment Proposal — 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or the Incentive Plan Proposal, or we determine that one or more of the closing conditions under the Business Combination is not satisfied or waived.</w:t>
      </w:r>
    </w:p>
    <w:p>
      <w:pPr>
        <w:spacing w:after="0" w:line="107" w:lineRule="exact"/>
        <w:rPr>
          <w:rFonts w:ascii="Arial" w:cs="Arial" w:eastAsia="Arial" w:hAnsi="Arial"/>
          <w:sz w:val="18"/>
          <w:szCs w:val="18"/>
          <w:color w:val="auto"/>
        </w:rPr>
      </w:pPr>
    </w:p>
    <w:p>
      <w:pPr>
        <w:ind w:left="880" w:hanging="426"/>
        <w:spacing w:after="0"/>
        <w:tabs>
          <w:tab w:leader="none" w:pos="8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Special Meeting take place?</w:t>
      </w:r>
    </w:p>
    <w:p>
      <w:pPr>
        <w:spacing w:after="0" w:line="162" w:lineRule="exact"/>
        <w:rPr>
          <w:sz w:val="20"/>
          <w:szCs w:val="20"/>
          <w:color w:val="auto"/>
        </w:rPr>
      </w:pPr>
    </w:p>
    <w:p>
      <w:pPr>
        <w:jc w:val="both"/>
        <w:ind w:left="880" w:right="459" w:hanging="431"/>
        <w:spacing w:after="0" w:line="263" w:lineRule="auto"/>
        <w:tabs>
          <w:tab w:leader="none" w:pos="860" w:val="left"/>
        </w:tabs>
        <w:rPr>
          <w:sz w:val="20"/>
          <w:szCs w:val="20"/>
          <w:color w:val="auto"/>
        </w:rPr>
      </w:pPr>
      <w:r>
        <w:rPr>
          <w:rFonts w:ascii="Arial" w:cs="Arial" w:eastAsia="Arial" w:hAnsi="Arial"/>
          <w:sz w:val="18"/>
          <w:szCs w:val="18"/>
          <w:color w:val="auto"/>
        </w:rPr>
        <w:t>A:</w:t>
        <w:tab/>
        <w:t>The FS Development Special Meeting will be held on , 2020, at local time, via live webcast at the following address: , or such other date, time and place to which such meeting may be adjourned or postponed, to consider and vote upon the proposals.</w:t>
      </w:r>
    </w:p>
    <w:p>
      <w:pPr>
        <w:spacing w:after="0" w:line="112" w:lineRule="exact"/>
        <w:rPr>
          <w:sz w:val="20"/>
          <w:szCs w:val="20"/>
          <w:color w:val="auto"/>
        </w:rPr>
      </w:pPr>
    </w:p>
    <w:p>
      <w:pPr>
        <w:ind w:left="880" w:hanging="426"/>
        <w:spacing w:after="0"/>
        <w:tabs>
          <w:tab w:leader="none" w:pos="8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important</w:t>
      </w:r>
      <w:r>
        <w:rPr>
          <w:rFonts w:ascii="Arial" w:cs="Arial" w:eastAsia="Arial" w:hAnsi="Arial"/>
          <w:sz w:val="18"/>
          <w:szCs w:val="18"/>
          <w:color w:val="auto"/>
        </w:rPr>
        <w:t>?</w:t>
      </w:r>
    </w:p>
    <w:p>
      <w:pPr>
        <w:spacing w:after="0" w:line="148" w:lineRule="exact"/>
        <w:rPr>
          <w:sz w:val="20"/>
          <w:szCs w:val="20"/>
          <w:color w:val="auto"/>
        </w:rPr>
      </w:pPr>
    </w:p>
    <w:p>
      <w:pPr>
        <w:ind w:left="960" w:hanging="506"/>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Yes. The Business Combination cannot be completed unless the Merger Agreement is adopted by the</w:t>
      </w:r>
    </w:p>
    <w:p>
      <w:pPr>
        <w:spacing w:after="0" w:line="46" w:lineRule="exact"/>
        <w:rPr>
          <w:sz w:val="20"/>
          <w:szCs w:val="20"/>
          <w:color w:val="auto"/>
        </w:rPr>
      </w:pPr>
    </w:p>
    <w:p>
      <w:pPr>
        <w:jc w:val="both"/>
        <w:ind w:left="880" w:right="459"/>
        <w:spacing w:after="0" w:line="251" w:lineRule="auto"/>
        <w:rPr>
          <w:sz w:val="20"/>
          <w:szCs w:val="20"/>
          <w:color w:val="auto"/>
        </w:rPr>
      </w:pPr>
      <w:r>
        <w:rPr>
          <w:rFonts w:ascii="Arial" w:cs="Arial" w:eastAsia="Arial" w:hAnsi="Arial"/>
          <w:sz w:val="18"/>
          <w:szCs w:val="18"/>
          <w:color w:val="auto"/>
        </w:rPr>
        <w:t>FS Development stockholders holding a majority of the votes cast on such proposal and the other condition precedent proposals achieve the necessary vote outlined below. Only FS Development stockholders as of the close of business on , 2020, the record date for the Special Meeting (the “</w:t>
      </w:r>
      <w:r>
        <w:rPr>
          <w:rFonts w:ascii="Arial" w:cs="Arial" w:eastAsia="Arial" w:hAnsi="Arial"/>
          <w:sz w:val="18"/>
          <w:szCs w:val="18"/>
          <w:b w:val="1"/>
          <w:bCs w:val="1"/>
          <w:color w:val="auto"/>
        </w:rPr>
        <w:t>Record</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are entitled to vote at the Special Meeting. The Board unanimously recommends that such FS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Business Combination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Nasdaq Stock Issuance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Charter Amendment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each of the Advisory Charter Proposals, “</w:t>
      </w:r>
      <w:r>
        <w:rPr>
          <w:rFonts w:ascii="Arial" w:cs="Arial" w:eastAsia="Arial" w:hAnsi="Arial"/>
          <w:sz w:val="18"/>
          <w:szCs w:val="18"/>
          <w:b w:val="1"/>
          <w:bCs w:val="1"/>
          <w:color w:val="auto"/>
        </w:rPr>
        <w:t>FOR</w:t>
      </w:r>
      <w:r>
        <w:rPr>
          <w:rFonts w:ascii="Arial" w:cs="Arial" w:eastAsia="Arial" w:hAnsi="Arial"/>
          <w:sz w:val="18"/>
          <w:szCs w:val="18"/>
          <w:color w:val="auto"/>
        </w:rPr>
        <w:t>” the approval of the Incentive Plan Proposal and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 if presented.</w:t>
      </w:r>
    </w:p>
    <w:p>
      <w:pPr>
        <w:spacing w:after="0" w:line="126" w:lineRule="exact"/>
        <w:rPr>
          <w:sz w:val="20"/>
          <w:szCs w:val="20"/>
          <w:color w:val="auto"/>
        </w:rPr>
      </w:pPr>
    </w:p>
    <w:p>
      <w:pPr>
        <w:ind w:left="880" w:right="459" w:hanging="426"/>
        <w:spacing w:after="0" w:line="282" w:lineRule="auto"/>
        <w:tabs>
          <w:tab w:leader="none" w:pos="967"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71" w:lineRule="exact"/>
        <w:rPr>
          <w:sz w:val="20"/>
          <w:szCs w:val="20"/>
          <w:color w:val="auto"/>
        </w:rPr>
      </w:pPr>
    </w:p>
    <w:p>
      <w:pPr>
        <w:jc w:val="both"/>
        <w:ind w:left="880" w:right="459" w:hanging="426"/>
        <w:spacing w:after="0" w:line="25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FS Development believes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broker to vote your shares in accordance with directions you provide.</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ind w:left="880" w:hanging="426"/>
        <w:spacing w:after="0"/>
        <w:tabs>
          <w:tab w:leader="none" w:pos="8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Special Meeting?</w:t>
      </w:r>
    </w:p>
    <w:p>
      <w:pPr>
        <w:spacing w:after="0" w:line="135" w:lineRule="exact"/>
        <w:rPr>
          <w:sz w:val="20"/>
          <w:szCs w:val="20"/>
          <w:color w:val="auto"/>
        </w:rPr>
      </w:pPr>
    </w:p>
    <w:p>
      <w:pPr>
        <w:jc w:val="both"/>
        <w:ind w:left="880" w:right="459" w:hanging="426"/>
        <w:spacing w:after="0" w:line="257" w:lineRule="auto"/>
        <w:tabs>
          <w:tab w:leader="none" w:pos="8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of the Charter Amendment Proposal requires the affirmative vote of a majority of the issued and outstanding shares of FS Development Common Stock voting together as a single class as of the Record Date. Accordingly, a FS Development stockholder’s failure to vote by proxy or to vote in person at the Special Meeting or an abstention will have the same effect as a vote “AGAINST” the Charter Amendment Proposal.</w:t>
      </w:r>
    </w:p>
    <w:p>
      <w:pPr>
        <w:spacing w:after="0" w:line="106" w:lineRule="exact"/>
        <w:rPr>
          <w:rFonts w:ascii="Arial" w:cs="Arial" w:eastAsia="Arial" w:hAnsi="Arial"/>
          <w:sz w:val="18"/>
          <w:szCs w:val="18"/>
          <w:color w:val="auto"/>
        </w:rPr>
      </w:pPr>
    </w:p>
    <w:p>
      <w:pPr>
        <w:jc w:val="both"/>
        <w:ind w:left="880" w:right="459"/>
        <w:spacing w:after="0" w:line="289" w:lineRule="auto"/>
        <w:rPr>
          <w:rFonts w:ascii="Arial" w:cs="Arial" w:eastAsia="Arial" w:hAnsi="Arial"/>
          <w:sz w:val="18"/>
          <w:szCs w:val="18"/>
          <w:color w:val="auto"/>
        </w:rPr>
      </w:pPr>
      <w:r>
        <w:rPr>
          <w:rFonts w:ascii="Arial" w:cs="Arial" w:eastAsia="Arial" w:hAnsi="Arial"/>
          <w:sz w:val="16"/>
          <w:szCs w:val="16"/>
          <w:color w:val="auto"/>
        </w:rPr>
        <w:t>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 A FS Development stockholder’s failure to vote by proxy or to vote in person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or the Adjournment Proposal.</w:t>
      </w:r>
    </w:p>
    <w:p>
      <w:pPr>
        <w:spacing w:after="0" w:line="68" w:lineRule="exact"/>
        <w:rPr>
          <w:sz w:val="20"/>
          <w:szCs w:val="20"/>
          <w:color w:val="auto"/>
        </w:rPr>
      </w:pPr>
    </w:p>
    <w:p>
      <w:pPr>
        <w:ind w:left="880" w:hanging="426"/>
        <w:spacing w:after="0"/>
        <w:tabs>
          <w:tab w:leader="none" w:pos="8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r>
        <w:rPr>
          <w:rFonts w:ascii="Arial" w:cs="Arial" w:eastAsia="Arial" w:hAnsi="Arial"/>
          <w:sz w:val="18"/>
          <w:szCs w:val="18"/>
          <w:color w:val="auto"/>
        </w:rPr>
        <w:t>?</w:t>
      </w:r>
    </w:p>
    <w:p>
      <w:pPr>
        <w:spacing w:after="0" w:line="135" w:lineRule="exact"/>
        <w:rPr>
          <w:sz w:val="20"/>
          <w:szCs w:val="20"/>
          <w:color w:val="auto"/>
        </w:rPr>
      </w:pPr>
    </w:p>
    <w:p>
      <w:pPr>
        <w:jc w:val="both"/>
        <w:ind w:left="880" w:right="459" w:hanging="426"/>
        <w:spacing w:after="0" w:line="287" w:lineRule="auto"/>
        <w:tabs>
          <w:tab w:leader="none" w:pos="8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Unless the Business Combination Proposal is approved, the Nasdaq Stock Issuance Proposal, the Charter Amendment Proposal, the Advisory Charter Proposals, and the Incentive Plan Proposal will not be presented to the stockholders of FS Development at the Special Meeting. The approval of the Business Combination Proposal, the Nasdaq Stock Issuance Proposal, the Charter Amendment Proposal, and the Incentive Plan Proposal are preconditions to the Closing. The Adjournment Proposal is not conditioned on the approval of any other proposal set forth in this proxy statement/prospectus. It is important for you to note that in the event that the Business Combination Proposal does not receive the requisite vote for approval, then we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its public stockholders.</w:t>
      </w:r>
    </w:p>
    <w:p>
      <w:pPr>
        <w:spacing w:after="0" w:line="87" w:lineRule="exact"/>
        <w:rPr>
          <w:sz w:val="20"/>
          <w:szCs w:val="20"/>
          <w:color w:val="auto"/>
        </w:rPr>
      </w:pPr>
    </w:p>
    <w:p>
      <w:pPr>
        <w:ind w:left="880" w:hanging="426"/>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r>
        <w:rPr>
          <w:rFonts w:ascii="Arial" w:cs="Arial" w:eastAsia="Arial" w:hAnsi="Arial"/>
          <w:sz w:val="18"/>
          <w:szCs w:val="18"/>
          <w:color w:val="auto"/>
        </w:rPr>
        <w:t>?</w:t>
      </w:r>
    </w:p>
    <w:p>
      <w:pPr>
        <w:spacing w:after="0" w:line="135" w:lineRule="exact"/>
        <w:rPr>
          <w:sz w:val="20"/>
          <w:szCs w:val="20"/>
          <w:color w:val="auto"/>
        </w:rPr>
      </w:pPr>
    </w:p>
    <w:p>
      <w:pPr>
        <w:jc w:val="both"/>
        <w:ind w:left="880" w:right="459" w:hanging="426"/>
        <w:spacing w:after="0" w:line="270" w:lineRule="auto"/>
        <w:tabs>
          <w:tab w:leader="none" w:pos="101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There are a number of closing conditions in the Merger Agreement, including the approval by the stockholders of FS Development of the Business Combination Proposal, the Nasdaq Stock Issuance Proposal, the Charter Amendment Proposal, and the Incentive Plan Proposal. The Nasdaq Stock Issuance Proposal, the Charter Amendment Proposal, and the Incentive Plan Proposal are subject to and conditioned on the approval of the Business Combination Proposal. The Business Combination Proposal is subject to and conditioned on the approval of the Nasdaq Stock Issuance Proposal, the Charter Amendment Proposal, and the Incentive Plan Proposal. For a summary of the conditions that must be satisfied or waived prior to the Closing of the Business Combination, see the section titled “</w:t>
      </w:r>
      <w:r>
        <w:rPr>
          <w:rFonts w:ascii="Arial" w:cs="Arial" w:eastAsia="Arial" w:hAnsi="Arial"/>
          <w:sz w:val="17"/>
          <w:szCs w:val="17"/>
          <w:i w:val="1"/>
          <w:iCs w:val="1"/>
          <w:color w:val="auto"/>
        </w:rPr>
        <w:t>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 — The Merger Agreement</w:t>
      </w:r>
      <w:r>
        <w:rPr>
          <w:rFonts w:ascii="Arial" w:cs="Arial" w:eastAsia="Arial" w:hAnsi="Arial"/>
          <w:sz w:val="17"/>
          <w:szCs w:val="17"/>
          <w:color w:val="auto"/>
        </w:rPr>
        <w:t>.”</w:t>
      </w:r>
    </w:p>
    <w:p>
      <w:pPr>
        <w:spacing w:after="0" w:line="82" w:lineRule="exact"/>
        <w:rPr>
          <w:sz w:val="20"/>
          <w:szCs w:val="20"/>
          <w:color w:val="auto"/>
        </w:rPr>
      </w:pPr>
    </w:p>
    <w:p>
      <w:pPr>
        <w:ind w:left="880" w:hanging="426"/>
        <w:spacing w:after="0"/>
        <w:tabs>
          <w:tab w:leader="none" w:pos="8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r>
        <w:rPr>
          <w:rFonts w:ascii="Arial" w:cs="Arial" w:eastAsia="Arial" w:hAnsi="Arial"/>
          <w:sz w:val="18"/>
          <w:szCs w:val="18"/>
          <w:color w:val="auto"/>
        </w:rPr>
        <w:t>?</w:t>
      </w:r>
    </w:p>
    <w:p>
      <w:pPr>
        <w:spacing w:after="0" w:line="148" w:lineRule="exact"/>
        <w:rPr>
          <w:sz w:val="20"/>
          <w:szCs w:val="20"/>
          <w:color w:val="auto"/>
        </w:rPr>
      </w:pPr>
    </w:p>
    <w:p>
      <w:pPr>
        <w:jc w:val="both"/>
        <w:ind w:left="880" w:right="459" w:hanging="426"/>
        <w:spacing w:after="0" w:line="283" w:lineRule="auto"/>
        <w:tabs>
          <w:tab w:leader="none" w:pos="8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the closing of the Business Combination, Merger Sub will merge with and into Gemini, with Gemini surviving such merger as the surviving entity. Upon Closing, Gemini will become a wholly-owned subsidiary of FS Development. In connection with the Business Combination, the cash held in the Trust Account after giving effect to any redemption of shares by FS Development’s public stockholders and the proceeds from the PIPE Investment will be used to pay (i) FS Development stockholders who properly exercise their redemption rights, (ii) the underwriters their deferred underwriting commissions from the FS Development IPO, (iii) 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 (iv) unpaid franchise and income taxes of FS Development, and</w:t>
      </w:r>
    </w:p>
    <w:p>
      <w:pPr>
        <w:spacing w:after="0" w:line="4" w:lineRule="exact"/>
        <w:rPr>
          <w:rFonts w:ascii="Arial" w:cs="Arial" w:eastAsia="Arial" w:hAnsi="Arial"/>
          <w:sz w:val="16"/>
          <w:szCs w:val="16"/>
          <w:color w:val="auto"/>
        </w:rPr>
      </w:pPr>
    </w:p>
    <w:p>
      <w:pPr>
        <w:ind w:left="880" w:right="459" w:firstLine="6"/>
        <w:spacing w:after="0" w:line="260" w:lineRule="auto"/>
        <w:tabs>
          <w:tab w:leader="none" w:pos="11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general corporate purposes including, but not limited to, working capital for operations, capital expenditures and future potential acquisitions.</w:t>
      </w:r>
    </w:p>
    <w:p>
      <w:pPr>
        <w:spacing w:after="0" w:line="87" w:lineRule="exact"/>
        <w:rPr>
          <w:sz w:val="20"/>
          <w:szCs w:val="20"/>
          <w:color w:val="auto"/>
        </w:rPr>
      </w:pPr>
    </w:p>
    <w:p>
      <w:pPr>
        <w:ind w:left="880" w:right="479" w:hanging="426"/>
        <w:spacing w:after="0" w:line="282" w:lineRule="auto"/>
        <w:tabs>
          <w:tab w:leader="none" w:pos="91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FS Development and Gemini Equityholders hold in the Combined Entity after the Closing</w:t>
      </w:r>
      <w:r>
        <w:rPr>
          <w:rFonts w:ascii="Arial" w:cs="Arial" w:eastAsia="Arial" w:hAnsi="Arial"/>
          <w:sz w:val="18"/>
          <w:szCs w:val="18"/>
          <w:color w:val="auto"/>
        </w:rPr>
        <w:t>?</w:t>
      </w:r>
    </w:p>
    <w:p>
      <w:pPr>
        <w:spacing w:after="0" w:line="71" w:lineRule="exact"/>
        <w:rPr>
          <w:sz w:val="20"/>
          <w:szCs w:val="20"/>
          <w:color w:val="auto"/>
        </w:rPr>
      </w:pPr>
    </w:p>
    <w:p>
      <w:pPr>
        <w:jc w:val="both"/>
        <w:ind w:left="880" w:right="459" w:hanging="426"/>
        <w:spacing w:after="0" w:line="263" w:lineRule="auto"/>
        <w:tabs>
          <w:tab w:leader="none" w:pos="112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anticipated that, upon completion of the Business Combination, FS Development’s public stockholders (other than the PIPE Investment investors) will retain an ownership interest of approximately 26% in the</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 w:name="page19"/>
    <w:bookmarkEnd w:id="1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(i) the redemption of any shares by FS Development’s public stockholders, or (ii) the issuance of any shares upon Closing under the Equity Incentive Plan, which is intended to be adopted following Closing. If the actual facts are different than these assumptions (which they are likely to be), the percentage ownership retained by FS Development’s existing stockholders in the Combined Entity will be different.</w:t>
      </w:r>
    </w:p>
    <w:p>
      <w:pPr>
        <w:spacing w:after="0" w:line="118"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for further information.</w:t>
      </w:r>
    </w:p>
    <w:p>
      <w:pPr>
        <w:spacing w:after="0" w:line="85" w:lineRule="exact"/>
        <w:rPr>
          <w:sz w:val="20"/>
          <w:szCs w:val="20"/>
          <w:color w:val="auto"/>
        </w:rPr>
      </w:pPr>
    </w:p>
    <w:p>
      <w:pPr>
        <w:ind w:left="880" w:right="479" w:hanging="426"/>
        <w:spacing w:after="0" w:line="282" w:lineRule="auto"/>
        <w:tabs>
          <w:tab w:leader="none" w:pos="90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Did the Board obtain a third-party valuation or fairness opinion in determining whether or not to proceed with the Business Combination?</w:t>
      </w:r>
    </w:p>
    <w:p>
      <w:pPr>
        <w:spacing w:after="0" w:line="98" w:lineRule="exact"/>
        <w:rPr>
          <w:rFonts w:ascii="Arial" w:cs="Arial" w:eastAsia="Arial" w:hAnsi="Arial"/>
          <w:sz w:val="18"/>
          <w:szCs w:val="18"/>
          <w:b w:val="1"/>
          <w:bCs w:val="1"/>
          <w:color w:val="auto"/>
        </w:rPr>
      </w:pPr>
    </w:p>
    <w:p>
      <w:pPr>
        <w:jc w:val="both"/>
        <w:ind w:left="880" w:right="479" w:hanging="426"/>
        <w:spacing w:after="0" w:line="271" w:lineRule="auto"/>
        <w:tabs>
          <w:tab w:leader="none" w:pos="8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Board did not obtain a third-party valuation or fairness opinion in connection with its determination to approve the Business Combination. The Board believes that based upon the financial skills and background of its directors, it was qualified to conclude that the Business Combination was fair from a financial perspective to its stockholders. The Board also determined, without seeking a valuation from a financial advisor, that Gemini’s fair market value was at least 80% of FS Development’s net assets, excluding any taxes payable on interest earned. Accordingly, investors will be relying on the judgment of the Board as described above in valuing Gemini’s business and assuming the risk that the Board may not have properly valued such business.</w:t>
      </w:r>
    </w:p>
    <w:p>
      <w:pPr>
        <w:spacing w:after="0" w:line="107" w:lineRule="exact"/>
        <w:rPr>
          <w:sz w:val="20"/>
          <w:szCs w:val="20"/>
          <w:color w:val="auto"/>
        </w:rPr>
      </w:pPr>
    </w:p>
    <w:p>
      <w:pPr>
        <w:ind w:left="880" w:right="479" w:hanging="426"/>
        <w:spacing w:after="0" w:line="282" w:lineRule="auto"/>
        <w:tabs>
          <w:tab w:leader="none" w:pos="103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Why is FS Development providing stockholders with the opportunity to vote on the Business Combination</w:t>
      </w:r>
      <w:r>
        <w:rPr>
          <w:rFonts w:ascii="Arial" w:cs="Arial" w:eastAsia="Arial" w:hAnsi="Arial"/>
          <w:sz w:val="18"/>
          <w:szCs w:val="18"/>
          <w:color w:val="auto"/>
        </w:rPr>
        <w:t>?</w:t>
      </w:r>
    </w:p>
    <w:p>
      <w:pPr>
        <w:spacing w:after="0" w:line="85" w:lineRule="exact"/>
        <w:rPr>
          <w:sz w:val="20"/>
          <w:szCs w:val="20"/>
          <w:color w:val="auto"/>
        </w:rPr>
      </w:pPr>
    </w:p>
    <w:p>
      <w:pPr>
        <w:jc w:val="both"/>
        <w:ind w:left="880" w:right="459" w:hanging="426"/>
        <w:spacing w:after="0" w:line="271" w:lineRule="auto"/>
        <w:tabs>
          <w:tab w:leader="none" w:pos="10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Under the Current Charter, FS Development must provide all holders of its Public Shares with the opportunity to have their Public Shares redeemed upon the consummation of FS Development’s initial business combination either in conjunction with a tender offer or in conjunction with a stockholder vote. For business and other reasons, FS Development has elected to provide its stockholders with the opportunity to have their Public Shares redeemed in connection with a stockholder vote rather than a tender offer. Therefore, FS Development is seeking to obtain the approval of its stockholders of the Business Combination Proposal in order to allow its public stockholders to effectuate redemptions of their Public Shares in connection with the Closing.</w:t>
      </w:r>
    </w:p>
    <w:p>
      <w:pPr>
        <w:spacing w:after="0" w:line="107" w:lineRule="exact"/>
        <w:rPr>
          <w:sz w:val="20"/>
          <w:szCs w:val="20"/>
          <w:color w:val="auto"/>
        </w:rPr>
      </w:pPr>
    </w:p>
    <w:p>
      <w:pPr>
        <w:ind w:left="880" w:right="479" w:hanging="426"/>
        <w:spacing w:after="0" w:line="312" w:lineRule="auto"/>
        <w:tabs>
          <w:tab w:leader="none" w:pos="90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Are there any arrangements to help ensure that the Combined Company will have sufficient funds, together with the proceeds in its Trust Account, to fund the Business Combination?</w:t>
      </w:r>
    </w:p>
    <w:p>
      <w:pPr>
        <w:spacing w:after="0" w:line="76" w:lineRule="exact"/>
        <w:rPr>
          <w:sz w:val="20"/>
          <w:szCs w:val="20"/>
          <w:color w:val="auto"/>
        </w:rPr>
      </w:pPr>
    </w:p>
    <w:p>
      <w:pPr>
        <w:jc w:val="both"/>
        <w:ind w:left="880" w:right="459" w:hanging="426"/>
        <w:spacing w:after="0" w:line="275" w:lineRule="auto"/>
        <w:tabs>
          <w:tab w:leader="none" w:pos="962" w:val="left"/>
        </w:tabs>
        <w:numPr>
          <w:ilvl w:val="0"/>
          <w:numId w:val="42"/>
        </w:numPr>
        <w:rPr>
          <w:rFonts w:ascii="Arial" w:cs="Arial" w:eastAsia="Arial" w:hAnsi="Arial"/>
          <w:sz w:val="17"/>
          <w:szCs w:val="17"/>
          <w:color w:val="auto"/>
        </w:rPr>
      </w:pPr>
      <w:r>
        <w:rPr>
          <w:rFonts w:ascii="Arial" w:cs="Arial" w:eastAsia="Arial" w:hAnsi="Arial"/>
          <w:sz w:val="17"/>
          <w:szCs w:val="17"/>
          <w:color w:val="auto"/>
        </w:rPr>
        <w:t>Yes. On October 15, 2020, FS Development entered into Subscription Agreements with the investors named therein providing for the issuance by FS Development of 9,506,000 shares of FS Development Class A Common Stock through the PIPE Investment (subject to certain conditions, including that all conditions precedent to the Closing will have been satisfied or waived (other than those conditions are to be satisfied at Closing) for gross proceeds to FS Development of $95,060,000.</w:t>
      </w:r>
    </w:p>
    <w:p>
      <w:pPr>
        <w:spacing w:after="0" w:line="95"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To the extent not utilized to consummate the Business Combination, the proceeds from the Trust Account will be used for general corporate purposes, including, but not limited to, working capital for operations, capital expenditures and future acquisitions. FS Development will agree that it (or its successor) will file with the SEC a registration statement registering the resale of the shares purchased in the PIPE Investment and maintain an effective registration statement under the Securities Act covering such securities and certain other securities of the Combined Entity.</w:t>
      </w:r>
    </w:p>
    <w:p>
      <w:pPr>
        <w:spacing w:after="0" w:line="106" w:lineRule="exact"/>
        <w:rPr>
          <w:sz w:val="20"/>
          <w:szCs w:val="20"/>
          <w:color w:val="auto"/>
        </w:rPr>
      </w:pPr>
    </w:p>
    <w:p>
      <w:pPr>
        <w:ind w:left="880" w:hanging="426"/>
        <w:spacing w:after="0"/>
        <w:tabs>
          <w:tab w:leader="none" w:pos="8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at the Special Meeting?</w:t>
      </w:r>
    </w:p>
    <w:p>
      <w:pPr>
        <w:spacing w:after="0" w:line="162" w:lineRule="exact"/>
        <w:rPr>
          <w:sz w:val="20"/>
          <w:szCs w:val="20"/>
          <w:color w:val="auto"/>
        </w:rPr>
      </w:pPr>
    </w:p>
    <w:p>
      <w:pPr>
        <w:jc w:val="both"/>
        <w:ind w:left="880" w:right="459" w:hanging="426"/>
        <w:spacing w:after="0" w:line="263" w:lineRule="auto"/>
        <w:tabs>
          <w:tab w:leader="none" w:pos="10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FS Development stockholders are entitled to one vote at the Special Meeting for each share of FS Development Common Stock held as of the Record Date. As of the close of business on the Record Date, there were outstanding shares of FS Development Common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right="479" w:hanging="426"/>
        <w:spacing w:after="0" w:line="282" w:lineRule="auto"/>
        <w:tabs>
          <w:tab w:leader="none" w:pos="1048"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May FS Development, the Sponsor or FS Development’s directors, officers, advisors or their affiliates purchase shares in connection with the Business Combination?</w:t>
      </w:r>
    </w:p>
    <w:p>
      <w:pPr>
        <w:spacing w:after="0" w:line="98" w:lineRule="exact"/>
        <w:rPr>
          <w:sz w:val="20"/>
          <w:szCs w:val="20"/>
          <w:color w:val="auto"/>
        </w:rPr>
      </w:pPr>
    </w:p>
    <w:p>
      <w:pPr>
        <w:jc w:val="both"/>
        <w:ind w:left="880" w:right="459" w:hanging="426"/>
        <w:spacing w:after="0" w:line="286" w:lineRule="auto"/>
        <w:tabs>
          <w:tab w:leader="none" w:pos="9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 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96" w:lineRule="exact"/>
        <w:rPr>
          <w:sz w:val="20"/>
          <w:szCs w:val="20"/>
          <w:color w:val="auto"/>
        </w:rPr>
      </w:pPr>
    </w:p>
    <w:p>
      <w:pPr>
        <w:ind w:left="880" w:hanging="426"/>
        <w:spacing w:after="0"/>
        <w:tabs>
          <w:tab w:leader="none" w:pos="8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Special Meeting?</w:t>
      </w:r>
    </w:p>
    <w:p>
      <w:pPr>
        <w:spacing w:after="0" w:line="148" w:lineRule="exact"/>
        <w:rPr>
          <w:sz w:val="20"/>
          <w:szCs w:val="20"/>
          <w:color w:val="auto"/>
        </w:rPr>
      </w:pPr>
    </w:p>
    <w:p>
      <w:pPr>
        <w:jc w:val="both"/>
        <w:ind w:left="880" w:right="459" w:hanging="426"/>
        <w:spacing w:after="0" w:line="291" w:lineRule="auto"/>
        <w:tabs>
          <w:tab w:leader="none" w:pos="941" w:val="left"/>
        </w:tabs>
        <w:numPr>
          <w:ilvl w:val="0"/>
          <w:numId w:val="48"/>
        </w:numPr>
        <w:rPr>
          <w:rFonts w:ascii="Arial" w:cs="Arial" w:eastAsia="Arial" w:hAnsi="Arial"/>
          <w:sz w:val="16"/>
          <w:szCs w:val="16"/>
          <w:color w:val="auto"/>
        </w:rPr>
      </w:pPr>
      <w:r>
        <w:rPr>
          <w:rFonts w:ascii="Arial" w:cs="Arial" w:eastAsia="Arial" w:hAnsi="Arial"/>
          <w:sz w:val="16"/>
          <w:szCs w:val="16"/>
          <w:color w:val="auto"/>
        </w:rPr>
        <w:t>Holders of a majority in voting power of FS Development Common Stock issued and outstanding and entitled to vote at the Special Meeting constitute a quorum. In the absence of a quorum, the chairman of</w:t>
      </w:r>
    </w:p>
    <w:p>
      <w:pPr>
        <w:ind w:left="880"/>
        <w:spacing w:after="0"/>
        <w:tabs>
          <w:tab w:leader="none" w:pos="7840" w:val="left"/>
        </w:tabs>
        <w:rPr>
          <w:sz w:val="20"/>
          <w:szCs w:val="20"/>
          <w:color w:val="auto"/>
        </w:rPr>
      </w:pPr>
      <w:r>
        <w:rPr>
          <w:rFonts w:ascii="Arial" w:cs="Arial" w:eastAsia="Arial" w:hAnsi="Arial"/>
          <w:sz w:val="18"/>
          <w:szCs w:val="18"/>
          <w:color w:val="auto"/>
        </w:rPr>
        <w:t>the meeting has power to adjourn the Special Meeting. As of the Record Date,</w:t>
      </w:r>
      <w:r>
        <w:rPr>
          <w:sz w:val="20"/>
          <w:szCs w:val="20"/>
          <w:color w:val="auto"/>
        </w:rPr>
        <w:tab/>
      </w:r>
      <w:r>
        <w:rPr>
          <w:rFonts w:ascii="Arial" w:cs="Arial" w:eastAsia="Arial" w:hAnsi="Arial"/>
          <w:sz w:val="16"/>
          <w:szCs w:val="16"/>
          <w:color w:val="auto"/>
        </w:rPr>
        <w:t>shares of</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FS Development Common Stock would be required to achieve a quorum.</w:t>
      </w:r>
    </w:p>
    <w:p>
      <w:pPr>
        <w:spacing w:after="0" w:line="139" w:lineRule="exact"/>
        <w:rPr>
          <w:sz w:val="20"/>
          <w:szCs w:val="20"/>
          <w:color w:val="auto"/>
        </w:rPr>
      </w:pPr>
    </w:p>
    <w:p>
      <w:pPr>
        <w:ind w:left="880" w:hanging="426"/>
        <w:spacing w:after="0"/>
        <w:tabs>
          <w:tab w:leader="none" w:pos="8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Sponsor, directors and officers vote?</w:t>
      </w:r>
    </w:p>
    <w:p>
      <w:pPr>
        <w:spacing w:after="0" w:line="162" w:lineRule="exact"/>
        <w:rPr>
          <w:sz w:val="20"/>
          <w:szCs w:val="20"/>
          <w:color w:val="auto"/>
        </w:rPr>
      </w:pPr>
    </w:p>
    <w:p>
      <w:pPr>
        <w:jc w:val="both"/>
        <w:ind w:left="880" w:right="459" w:hanging="426"/>
        <w:spacing w:after="0" w:line="254" w:lineRule="auto"/>
        <w:tabs>
          <w:tab w:leader="none" w:pos="8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Sponsor, as FS Development’s initial stockholder, has agreed to vote its Founders Shares (as well as any Public Shares purchased during or after the FS Development IPO) in favor of the Business Combination. As of the date of this proxy statement/prospectus, the Sponsor owns approximately 21.7%% of the issued and outstanding shares of FS Development Common Stock, including all of the Founders Shares, and will be able to vote all such shares at the Special Meeting. Accordingly, it is more likely that the necessary stockholder approval will be received than would be the case if the Sponsor agreed to vote their Founders Shares in accordance with the majority of the votes cast by FS Development’s public stockholders.</w:t>
      </w:r>
    </w:p>
    <w:p>
      <w:pPr>
        <w:spacing w:after="0" w:line="107" w:lineRule="exact"/>
        <w:rPr>
          <w:sz w:val="20"/>
          <w:szCs w:val="20"/>
          <w:color w:val="auto"/>
        </w:rPr>
      </w:pPr>
    </w:p>
    <w:p>
      <w:pPr>
        <w:ind w:left="880" w:right="479" w:hanging="426"/>
        <w:spacing w:after="0" w:line="282" w:lineRule="auto"/>
        <w:tabs>
          <w:tab w:leader="none" w:pos="115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interests do FS Development’s current officers and directors have in the Business Combination?</w:t>
      </w:r>
    </w:p>
    <w:p>
      <w:pPr>
        <w:spacing w:after="0" w:line="98" w:lineRule="exact"/>
        <w:rPr>
          <w:sz w:val="20"/>
          <w:szCs w:val="20"/>
          <w:color w:val="auto"/>
        </w:rPr>
      </w:pPr>
    </w:p>
    <w:p>
      <w:pPr>
        <w:jc w:val="both"/>
        <w:ind w:left="880" w:right="459" w:hanging="426"/>
        <w:spacing w:after="0" w:line="263" w:lineRule="auto"/>
        <w:tabs>
          <w:tab w:leader="none" w:pos="8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Sponsor, members of the Board and its executive officers have interests in the Business Combination that are different from or in addition to (and which may conflict with) your interest. These interests include, among other things:</w:t>
      </w:r>
    </w:p>
    <w:p>
      <w:pPr>
        <w:spacing w:after="0" w:line="116" w:lineRule="exact"/>
        <w:rPr>
          <w:rFonts w:ascii="Arial" w:cs="Arial" w:eastAsia="Arial" w:hAnsi="Arial"/>
          <w:sz w:val="18"/>
          <w:szCs w:val="18"/>
          <w:color w:val="auto"/>
        </w:rPr>
      </w:pPr>
    </w:p>
    <w:p>
      <w:pPr>
        <w:jc w:val="both"/>
        <w:ind w:left="1320" w:right="459" w:hanging="434"/>
        <w:spacing w:after="0" w:line="287" w:lineRule="auto"/>
        <w:tabs>
          <w:tab w:leader="none" w:pos="1594" w:val="left"/>
        </w:tabs>
        <w:numPr>
          <w:ilvl w:val="1"/>
          <w:numId w:val="52"/>
        </w:numPr>
        <w:rPr>
          <w:rFonts w:ascii="Arial" w:cs="Arial" w:eastAsia="Arial" w:hAnsi="Arial"/>
          <w:sz w:val="16"/>
          <w:szCs w:val="16"/>
          <w:color w:val="auto"/>
        </w:rPr>
      </w:pPr>
      <w:r>
        <w:rPr>
          <w:rFonts w:ascii="Arial" w:cs="Arial" w:eastAsia="Arial" w:hAnsi="Arial"/>
          <w:sz w:val="16"/>
          <w:szCs w:val="16"/>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pacing w:after="0" w:line="86" w:lineRule="exact"/>
        <w:rPr>
          <w:rFonts w:ascii="Arial" w:cs="Arial" w:eastAsia="Arial" w:hAnsi="Arial"/>
          <w:sz w:val="16"/>
          <w:szCs w:val="16"/>
          <w:color w:val="auto"/>
        </w:rPr>
      </w:pPr>
    </w:p>
    <w:p>
      <w:pPr>
        <w:jc w:val="both"/>
        <w:ind w:left="1320" w:right="459" w:hanging="434"/>
        <w:spacing w:after="0" w:line="259" w:lineRule="auto"/>
        <w:tabs>
          <w:tab w:leader="none" w:pos="1473"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There will be no liquidating distributions from the Trust Account with respect to the Founders Shares if FS Development fails to complete a business combination within the required period. FS Development’s initial stockholders purchased the Founders Shares prior to the FS Development IPO for an aggregate purchase price of $25,000.</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73" w:lineRule="auto"/>
        <w:tabs>
          <w:tab w:leader="none" w:pos="1405" w:val="left"/>
        </w:tabs>
        <w:numPr>
          <w:ilvl w:val="0"/>
          <w:numId w:val="53"/>
        </w:numPr>
        <w:rPr>
          <w:rFonts w:ascii="Arial" w:cs="Arial" w:eastAsia="Arial" w:hAnsi="Arial"/>
          <w:sz w:val="17"/>
          <w:szCs w:val="17"/>
          <w:color w:val="auto"/>
        </w:rPr>
      </w:pPr>
      <w:r>
        <w:rPr>
          <w:rFonts w:ascii="Arial" w:cs="Arial" w:eastAsia="Arial" w:hAnsi="Arial"/>
          <w:sz w:val="17"/>
          <w:szCs w:val="17"/>
          <w:color w:val="auto"/>
        </w:rPr>
        <w:t>Simultaneously with the closing of the FS Development IPO, FS Development consummated the sale of 441,500 shares of FS Development Class A Common Stock at a price of $10.00 per share in a private placement to the Sponsor. If FS Development does not consummate a business combination transaction by August 14, 2022, then the proceeds from the sale of the private placement shares will be part of the liquidating distribution to the public stockholders and the shares held by FS Development’s initial stockholders will be worthless.</w:t>
      </w:r>
    </w:p>
    <w:p>
      <w:pPr>
        <w:spacing w:after="0" w:line="110" w:lineRule="exact"/>
        <w:rPr>
          <w:rFonts w:ascii="Arial" w:cs="Arial" w:eastAsia="Arial" w:hAnsi="Arial"/>
          <w:sz w:val="17"/>
          <w:szCs w:val="17"/>
          <w:color w:val="auto"/>
        </w:rPr>
      </w:pPr>
    </w:p>
    <w:p>
      <w:pPr>
        <w:jc w:val="both"/>
        <w:ind w:left="1320" w:right="459" w:hanging="434"/>
        <w:spacing w:after="0" w:line="275" w:lineRule="auto"/>
        <w:tabs>
          <w:tab w:leader="none" w:pos="152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8" w:lineRule="exact"/>
        <w:rPr>
          <w:rFonts w:ascii="Arial" w:cs="Arial" w:eastAsia="Arial" w:hAnsi="Arial"/>
          <w:sz w:val="17"/>
          <w:szCs w:val="17"/>
          <w:color w:val="auto"/>
        </w:rPr>
      </w:pPr>
    </w:p>
    <w:p>
      <w:pPr>
        <w:ind w:left="1300" w:hanging="414"/>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FS Development’s initial stockholders and officers and directors have agreed to waive their rights to</w:t>
      </w:r>
    </w:p>
    <w:p>
      <w:pPr>
        <w:spacing w:after="0" w:line="46" w:lineRule="exact"/>
        <w:rPr>
          <w:sz w:val="20"/>
          <w:szCs w:val="20"/>
          <w:color w:val="auto"/>
        </w:rPr>
      </w:pPr>
    </w:p>
    <w:p>
      <w:pPr>
        <w:ind w:left="1320" w:right="459"/>
        <w:spacing w:after="0" w:line="260" w:lineRule="auto"/>
        <w:rPr>
          <w:sz w:val="20"/>
          <w:szCs w:val="20"/>
          <w:color w:val="auto"/>
        </w:rPr>
      </w:pPr>
      <w:r>
        <w:rPr>
          <w:rFonts w:ascii="Arial" w:cs="Arial" w:eastAsia="Arial" w:hAnsi="Arial"/>
          <w:sz w:val="18"/>
          <w:szCs w:val="18"/>
          <w:color w:val="auto"/>
        </w:rPr>
        <w:t>liquidating distributions from the Trust Account with respect to their Founders Shares if FS Development fails to complete a business combination by August 14, 2022.</w:t>
      </w:r>
    </w:p>
    <w:p>
      <w:pPr>
        <w:spacing w:after="0" w:line="104" w:lineRule="exact"/>
        <w:rPr>
          <w:sz w:val="20"/>
          <w:szCs w:val="20"/>
          <w:color w:val="auto"/>
        </w:rPr>
      </w:pPr>
    </w:p>
    <w:p>
      <w:pPr>
        <w:jc w:val="both"/>
        <w:ind w:left="1320" w:right="459" w:hanging="434"/>
        <w:spacing w:after="0" w:line="271" w:lineRule="auto"/>
        <w:tabs>
          <w:tab w:leader="none" w:pos="1419"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10" w:lineRule="exact"/>
        <w:rPr>
          <w:rFonts w:ascii="Arial" w:cs="Arial" w:eastAsia="Arial" w:hAnsi="Arial"/>
          <w:sz w:val="17"/>
          <w:szCs w:val="17"/>
          <w:color w:val="auto"/>
        </w:rPr>
      </w:pPr>
    </w:p>
    <w:p>
      <w:pPr>
        <w:jc w:val="both"/>
        <w:ind w:left="1320" w:right="459" w:hanging="434"/>
        <w:spacing w:after="0" w:line="254" w:lineRule="auto"/>
        <w:tabs>
          <w:tab w:leader="none" w:pos="13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27" w:lineRule="exact"/>
        <w:rPr>
          <w:rFonts w:ascii="Arial" w:cs="Arial" w:eastAsia="Arial" w:hAnsi="Arial"/>
          <w:sz w:val="18"/>
          <w:szCs w:val="18"/>
          <w:color w:val="auto"/>
        </w:rPr>
      </w:pPr>
    </w:p>
    <w:p>
      <w:pPr>
        <w:ind w:left="1320" w:right="459" w:hanging="434"/>
        <w:spacing w:after="0" w:line="308" w:lineRule="auto"/>
        <w:tabs>
          <w:tab w:leader="none" w:pos="1459"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Following the Closing, FS Development will continue to indemnify FS Development’s existing directors and officers and will maintain a directors’ and officers’ liability insurance policy.</w:t>
      </w:r>
    </w:p>
    <w:p>
      <w:pPr>
        <w:spacing w:after="0" w:line="65" w:lineRule="exact"/>
        <w:rPr>
          <w:rFonts w:ascii="Arial" w:cs="Arial" w:eastAsia="Arial" w:hAnsi="Arial"/>
          <w:sz w:val="17"/>
          <w:szCs w:val="17"/>
          <w:color w:val="auto"/>
        </w:rPr>
      </w:pPr>
    </w:p>
    <w:p>
      <w:pPr>
        <w:jc w:val="both"/>
        <w:ind w:left="1320" w:right="459" w:hanging="434"/>
        <w:spacing w:after="0" w:line="254" w:lineRule="auto"/>
        <w:tabs>
          <w:tab w:leader="none" w:pos="1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27"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These interests may influence FS Development’s directors in making their recommendation that you vote in favor of the approval of the Business Combination.</w:t>
      </w:r>
    </w:p>
    <w:p>
      <w:pPr>
        <w:spacing w:after="0" w:line="99" w:lineRule="exact"/>
        <w:rPr>
          <w:sz w:val="20"/>
          <w:szCs w:val="20"/>
          <w:color w:val="auto"/>
        </w:rPr>
      </w:pPr>
    </w:p>
    <w:p>
      <w:pPr>
        <w:ind w:left="880" w:hanging="426"/>
        <w:spacing w:after="0"/>
        <w:tabs>
          <w:tab w:leader="none" w:pos="88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sell my shares of FS Development Common Stock before the Special Meeting?</w:t>
      </w:r>
    </w:p>
    <w:p>
      <w:pPr>
        <w:spacing w:after="0" w:line="171" w:lineRule="exact"/>
        <w:rPr>
          <w:sz w:val="20"/>
          <w:szCs w:val="20"/>
          <w:color w:val="auto"/>
        </w:rPr>
      </w:pPr>
    </w:p>
    <w:p>
      <w:pPr>
        <w:jc w:val="both"/>
        <w:ind w:left="880" w:right="459" w:hanging="426"/>
        <w:spacing w:after="0" w:line="291" w:lineRule="auto"/>
        <w:tabs>
          <w:tab w:leader="none" w:pos="107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Record Date is earlier than the date of the Special Meeting. If you transfer your shares of FS Development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Closing. If you transfer your shares of FS Development Common Stock prior to the Record Date, you will have no right to vote those shares at the Special Meeting or redeem those shares for a pro rata portion of the proceeds held in our Trust Account.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vote against the Business Combination Proposal?</w:t>
      </w:r>
    </w:p>
    <w:p>
      <w:pPr>
        <w:spacing w:after="0" w:line="162" w:lineRule="exact"/>
        <w:rPr>
          <w:sz w:val="20"/>
          <w:szCs w:val="20"/>
          <w:color w:val="auto"/>
        </w:rPr>
      </w:pPr>
    </w:p>
    <w:p>
      <w:pPr>
        <w:jc w:val="both"/>
        <w:ind w:left="880" w:right="459" w:hanging="431"/>
        <w:spacing w:after="0" w:line="259" w:lineRule="auto"/>
        <w:tabs>
          <w:tab w:leader="none" w:pos="860" w:val="left"/>
        </w:tabs>
        <w:rPr>
          <w:sz w:val="20"/>
          <w:szCs w:val="20"/>
          <w:color w:val="auto"/>
        </w:rPr>
      </w:pPr>
      <w:r>
        <w:rPr>
          <w:rFonts w:ascii="Arial" w:cs="Arial" w:eastAsia="Arial" w:hAnsi="Arial"/>
          <w:sz w:val="18"/>
          <w:szCs w:val="18"/>
          <w:color w:val="auto"/>
        </w:rPr>
        <w:t>A:</w:t>
        <w:tab/>
        <w:t>Pursuant to the Current Charter, if the Business Combination Proposal is not approved and FS Development does not otherwise consummate an alternative business combination by August 14, 2022, FS Development will be required to dissolve and liquidate its Trust Account by returning the then remaining funds in such account to the public stockholders.</w:t>
      </w:r>
    </w:p>
    <w:p>
      <w:pPr>
        <w:spacing w:after="0" w:line="115" w:lineRule="exact"/>
        <w:rPr>
          <w:sz w:val="20"/>
          <w:szCs w:val="20"/>
          <w:color w:val="auto"/>
        </w:rPr>
      </w:pPr>
    </w:p>
    <w:p>
      <w:pPr>
        <w:ind w:left="880" w:hanging="426"/>
        <w:spacing w:after="0"/>
        <w:tabs>
          <w:tab w:leader="none" w:pos="8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48" w:lineRule="exact"/>
        <w:rPr>
          <w:sz w:val="20"/>
          <w:szCs w:val="20"/>
          <w:color w:val="auto"/>
        </w:rPr>
      </w:pPr>
    </w:p>
    <w:p>
      <w:pPr>
        <w:ind w:left="880" w:hanging="426"/>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Pursuant to the Current Charter, holders of Public Shares may elect to have their shares redeemed for cash</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at the applicable redemption price per share calculated in accordance with the Current Charter. As of June</w:t>
      </w:r>
    </w:p>
    <w:p>
      <w:pPr>
        <w:spacing w:after="0" w:line="248" w:lineRule="exact"/>
        <w:rPr>
          <w:sz w:val="20"/>
          <w:szCs w:val="20"/>
          <w:color w:val="auto"/>
        </w:rPr>
      </w:pPr>
    </w:p>
    <w:p>
      <w:pPr>
        <w:ind w:left="880" w:right="479"/>
        <w:spacing w:after="0" w:line="274" w:lineRule="auto"/>
        <w:rPr>
          <w:sz w:val="20"/>
          <w:szCs w:val="20"/>
          <w:color w:val="auto"/>
        </w:rPr>
      </w:pPr>
      <w:r>
        <w:rPr>
          <w:rFonts w:ascii="Arial" w:cs="Arial" w:eastAsia="Arial" w:hAnsi="Arial"/>
          <w:sz w:val="17"/>
          <w:szCs w:val="17"/>
          <w:color w:val="auto"/>
        </w:rPr>
        <w:t>30, 2020, based on funds in the Trust Account of approximately $ million, this would have amounted to approximately $ per share. If a holder exercises its redemption rights, then such holder</w:t>
      </w:r>
    </w:p>
    <w:p>
      <w:pPr>
        <w:jc w:val="both"/>
        <w:ind w:left="880" w:right="479"/>
        <w:spacing w:after="0" w:line="253" w:lineRule="auto"/>
        <w:rPr>
          <w:sz w:val="20"/>
          <w:szCs w:val="20"/>
          <w:color w:val="auto"/>
        </w:rPr>
      </w:pPr>
      <w:r>
        <w:rPr>
          <w:rFonts w:ascii="Arial" w:cs="Arial" w:eastAsia="Arial" w:hAnsi="Arial"/>
          <w:sz w:val="18"/>
          <w:szCs w:val="18"/>
          <w:color w:val="auto"/>
        </w:rPr>
        <w:t>will be exchanging its Public Shares for cash. Such a holder will be entitled to receive cash for its Public Shares only if it properly demands redemption and delivers its shares (either physically or electronically) to FS Development’s transfer agent prior to the Special Meeting. See the section titled “</w:t>
      </w:r>
      <w:r>
        <w:rPr>
          <w:rFonts w:ascii="Arial" w:cs="Arial" w:eastAsia="Arial" w:hAnsi="Arial"/>
          <w:sz w:val="18"/>
          <w:szCs w:val="18"/>
          <w:i w:val="1"/>
          <w:iCs w:val="1"/>
          <w:color w:val="auto"/>
        </w:rPr>
        <w:t>Special Meeting</w:t>
      </w:r>
      <w:r>
        <w:rPr>
          <w:rFonts w:ascii="Arial" w:cs="Arial" w:eastAsia="Arial" w:hAnsi="Arial"/>
          <w:sz w:val="18"/>
          <w:szCs w:val="18"/>
          <w:color w:val="auto"/>
        </w:rPr>
        <w:t xml:space="preserve"> </w:t>
      </w:r>
      <w:r>
        <w:rPr>
          <w:rFonts w:ascii="Arial" w:cs="Arial" w:eastAsia="Arial" w:hAnsi="Arial"/>
          <w:sz w:val="18"/>
          <w:szCs w:val="18"/>
          <w:i w:val="1"/>
          <w:iCs w:val="1"/>
          <w:color w:val="auto"/>
        </w:rPr>
        <w:t>of FS Development Stockholders — Redemption Rights</w:t>
      </w:r>
      <w:r>
        <w:rPr>
          <w:rFonts w:ascii="Arial" w:cs="Arial" w:eastAsia="Arial" w:hAnsi="Arial"/>
          <w:sz w:val="18"/>
          <w:szCs w:val="18"/>
          <w:color w:val="auto"/>
        </w:rPr>
        <w:t>” for the procedures to be followed if you wish to</w:t>
      </w:r>
      <w:r>
        <w:rPr>
          <w:rFonts w:ascii="Arial" w:cs="Arial" w:eastAsia="Arial" w:hAnsi="Arial"/>
          <w:sz w:val="18"/>
          <w:szCs w:val="18"/>
          <w:i w:val="1"/>
          <w:iCs w:val="1"/>
          <w:color w:val="auto"/>
        </w:rPr>
        <w:t xml:space="preserve"> </w:t>
      </w:r>
      <w:r>
        <w:rPr>
          <w:rFonts w:ascii="Arial" w:cs="Arial" w:eastAsia="Arial" w:hAnsi="Arial"/>
          <w:sz w:val="18"/>
          <w:szCs w:val="18"/>
          <w:color w:val="auto"/>
        </w:rPr>
        <w:t>redeem your shares for cash.</w:t>
      </w:r>
    </w:p>
    <w:p>
      <w:pPr>
        <w:spacing w:after="0" w:line="119" w:lineRule="exact"/>
        <w:rPr>
          <w:sz w:val="20"/>
          <w:szCs w:val="20"/>
          <w:color w:val="auto"/>
        </w:rPr>
      </w:pPr>
    </w:p>
    <w:p>
      <w:pPr>
        <w:ind w:left="880" w:hanging="426"/>
        <w:spacing w:after="0"/>
        <w:tabs>
          <w:tab w:leader="none" w:pos="8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Will how I vote affect my ability to exercise redemption rights?</w:t>
      </w:r>
    </w:p>
    <w:p>
      <w:pPr>
        <w:spacing w:after="0" w:line="162" w:lineRule="exact"/>
        <w:rPr>
          <w:sz w:val="20"/>
          <w:szCs w:val="20"/>
          <w:color w:val="auto"/>
        </w:rPr>
      </w:pPr>
    </w:p>
    <w:p>
      <w:pPr>
        <w:jc w:val="both"/>
        <w:ind w:left="880" w:right="459" w:hanging="426"/>
        <w:spacing w:after="0" w:line="293" w:lineRule="auto"/>
        <w:tabs>
          <w:tab w:leader="none" w:pos="11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You may exercise your redemption rights whether you vote your Public Shares “FOR” or “AGAINST” the Business Combination Proposal or any other proposal described by this proxy statement/prospectus. As a result, the Merger Agreement can be approved by stockholders who will redeem their shares and no longer remain stockholders, leaving stockholders who choose not to redeem their shares holding shares in a company with a potentially less liquid trading market, fewer stockholders, potentially less cash and the potential inability to meet the listing standards of the Nasdaq Capital Market.</w:t>
      </w:r>
    </w:p>
    <w:p>
      <w:pPr>
        <w:spacing w:after="0" w:line="79" w:lineRule="exact"/>
        <w:rPr>
          <w:sz w:val="20"/>
          <w:szCs w:val="20"/>
          <w:color w:val="auto"/>
        </w:rPr>
      </w:pPr>
    </w:p>
    <w:p>
      <w:pPr>
        <w:ind w:left="880" w:hanging="426"/>
        <w:spacing w:after="0"/>
        <w:tabs>
          <w:tab w:leader="none" w:pos="8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62" w:lineRule="exact"/>
        <w:rPr>
          <w:sz w:val="20"/>
          <w:szCs w:val="20"/>
          <w:color w:val="auto"/>
        </w:rPr>
      </w:pPr>
    </w:p>
    <w:p>
      <w:pPr>
        <w:jc w:val="both"/>
        <w:ind w:left="880" w:right="479" w:hanging="431"/>
        <w:spacing w:after="0" w:line="271" w:lineRule="auto"/>
        <w:tabs>
          <w:tab w:leader="none" w:pos="8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 xml:space="preserve">In order to exercise your redemption rights, you must prior to 5:00 PM, Eastern time, on , 2020 (two (2) business days before the Special Meeting), tender your shares physically or electronically and submit a request in writing that FS Development redeem your Public Shares for cash to </w:t>
      </w:r>
      <w:r>
        <w:rPr>
          <w:rFonts w:ascii="Arial" w:cs="Arial" w:eastAsia="Arial" w:hAnsi="Arial"/>
          <w:sz w:val="17"/>
          <w:szCs w:val="17"/>
          <w:b w:val="1"/>
          <w:bCs w:val="1"/>
          <w:color w:val="auto"/>
        </w:rPr>
        <w:t>Continental</w:t>
      </w:r>
    </w:p>
    <w:p>
      <w:pPr>
        <w:ind w:left="880"/>
        <w:spacing w:after="0"/>
        <w:rPr>
          <w:sz w:val="20"/>
          <w:szCs w:val="20"/>
          <w:color w:val="auto"/>
        </w:rPr>
      </w:pPr>
      <w:r>
        <w:rPr>
          <w:rFonts w:ascii="Arial" w:cs="Arial" w:eastAsia="Arial" w:hAnsi="Arial"/>
          <w:sz w:val="18"/>
          <w:szCs w:val="18"/>
          <w:b w:val="1"/>
          <w:bCs w:val="1"/>
          <w:color w:val="auto"/>
        </w:rPr>
        <w:t>Stock Transfer &amp; Trust Company, our transfer agent, at the following address:</w:t>
      </w: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One State Street Plaza, 30</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Floor</w:t>
      </w:r>
    </w:p>
    <w:p>
      <w:pPr>
        <w:ind w:left="1320"/>
        <w:spacing w:after="0"/>
        <w:rPr>
          <w:sz w:val="20"/>
          <w:szCs w:val="20"/>
          <w:color w:val="auto"/>
        </w:rPr>
      </w:pPr>
      <w:r>
        <w:rPr>
          <w:rFonts w:ascii="Arial" w:cs="Arial" w:eastAsia="Arial" w:hAnsi="Arial"/>
          <w:sz w:val="18"/>
          <w:szCs w:val="18"/>
          <w:b w:val="1"/>
          <w:bCs w:val="1"/>
          <w:color w:val="auto"/>
        </w:rPr>
        <w:t>New York, New York 10004</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Attn: Mark Zimkind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E-mail: mzimkind@continentalstock.com</w:t>
      </w:r>
    </w:p>
    <w:p>
      <w:pPr>
        <w:spacing w:after="0" w:line="126"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b w:val="1"/>
          <w:bCs w:val="1"/>
          <w:color w:val="auto"/>
        </w:rPr>
        <w:t xml:space="preserve">In the written request to redeem your Public Share for cash to Continental Stock Transfer &amp; Trust Company, please provide a </w:t>
      </w:r>
      <w:r>
        <w:rPr>
          <w:rFonts w:ascii="Arial" w:cs="Arial" w:eastAsia="Arial" w:hAnsi="Arial"/>
          <w:sz w:val="17"/>
          <w:szCs w:val="17"/>
          <w:color w:val="auto"/>
        </w:rPr>
        <w:t>“Stockholder Certification” if you are not acting in concert or as a “group”</w:t>
      </w:r>
      <w:r>
        <w:rPr>
          <w:rFonts w:ascii="Arial" w:cs="Arial" w:eastAsia="Arial" w:hAnsi="Arial"/>
          <w:sz w:val="17"/>
          <w:szCs w:val="17"/>
          <w:b w:val="1"/>
          <w:bCs w:val="1"/>
          <w:color w:val="auto"/>
        </w:rPr>
        <w:t xml:space="preserve"> </w:t>
      </w:r>
      <w:r>
        <w:rPr>
          <w:rFonts w:ascii="Arial" w:cs="Arial" w:eastAsia="Arial" w:hAnsi="Arial"/>
          <w:sz w:val="17"/>
          <w:szCs w:val="17"/>
          <w:color w:val="auto"/>
        </w:rPr>
        <w:t>(as defined in Section 13d-3 of the Exchange Act) with any other stockholder with respect to shares of FS Development Class A Common Stock. Notwithstanding the foregoing, a holder of the Public Shares, together with any affiliate of his or any other person with whom he is acting in concert or as a “group” (as defined in Section 13d-3 of the Exchange Act) will be restricted from seeking redemption rights with respect to an aggregate of 20% or more of the shares of FS Development Class A Common Stock issued in the FS Development IPO, which is referred to as the “20% threshold” in this proxy statement/prospectus. Accordingly, all Public Shares in excess of the 20% threshold beneficially owned by a public stockholder or group will not be redeemed for cash.</w:t>
      </w:r>
    </w:p>
    <w:p>
      <w:pPr>
        <w:spacing w:after="0" w:line="113"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79"/>
        <w:spacing w:after="0" w:line="272" w:lineRule="auto"/>
        <w:rPr>
          <w:sz w:val="20"/>
          <w:szCs w:val="20"/>
          <w:color w:val="auto"/>
        </w:rPr>
      </w:pPr>
      <w:r>
        <w:rPr>
          <w:rFonts w:ascii="Arial" w:cs="Arial" w:eastAsia="Arial" w:hAnsi="Arial"/>
          <w:sz w:val="17"/>
          <w:szCs w:val="17"/>
          <w:color w:val="auto"/>
        </w:rPr>
        <w:t>Any demand for redemption, once made, may be withdrawn at any time until the deadline for exercising redemption requests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under the question “Who can help answer my questions?” below.</w:t>
      </w:r>
    </w:p>
    <w:p>
      <w:pPr>
        <w:spacing w:after="0" w:line="106" w:lineRule="exact"/>
        <w:rPr>
          <w:sz w:val="20"/>
          <w:szCs w:val="20"/>
          <w:color w:val="auto"/>
        </w:rPr>
      </w:pPr>
    </w:p>
    <w:p>
      <w:pPr>
        <w:ind w:left="880" w:hanging="426"/>
        <w:spacing w:after="0"/>
        <w:tabs>
          <w:tab w:leader="none" w:pos="8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62" w:lineRule="exact"/>
        <w:rPr>
          <w:sz w:val="20"/>
          <w:szCs w:val="20"/>
          <w:color w:val="auto"/>
        </w:rPr>
      </w:pPr>
    </w:p>
    <w:p>
      <w:pPr>
        <w:jc w:val="both"/>
        <w:ind w:left="880" w:right="459" w:hanging="426"/>
        <w:spacing w:after="0" w:line="267" w:lineRule="auto"/>
        <w:tabs>
          <w:tab w:leader="none" w:pos="11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U.S. federal income tax consequences of FS Development stockholders who exercise their redemption rights to receive cash in exchange for their Public Shares depend on the stockholder’s particular facts and circumstances. Such stockholder generally will be required to treat the transaction as a sale of such shares and recognize gain or loss upon the redemption in an amount equal to the difference, if any, between the amount of cash received and the tax basis of the Public Shares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Public Shares, and any remaining amount will be treated as gain realized on the sale or other disposition of Public Shares. These tax consequences are described in more detail in the section titled “</w:t>
      </w:r>
      <w:r>
        <w:rPr>
          <w:rFonts w:ascii="Arial" w:cs="Arial" w:eastAsia="Arial" w:hAnsi="Arial"/>
          <w:sz w:val="17"/>
          <w:szCs w:val="17"/>
          <w:i w:val="1"/>
          <w:iCs w:val="1"/>
          <w:color w:val="auto"/>
        </w:rPr>
        <w:t>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 Proposal — The Merger Agreement </w:t>
      </w:r>
      <w:r>
        <w:rPr>
          <w:rFonts w:ascii="Arial" w:cs="Arial" w:eastAsia="Arial" w:hAnsi="Arial"/>
          <w:sz w:val="17"/>
          <w:szCs w:val="17"/>
          <w:color w:val="auto"/>
        </w:rPr>
        <w:t>—</w:t>
      </w:r>
      <w:r>
        <w:rPr>
          <w:rFonts w:ascii="Arial" w:cs="Arial" w:eastAsia="Arial" w:hAnsi="Arial"/>
          <w:sz w:val="17"/>
          <w:szCs w:val="17"/>
          <w:i w:val="1"/>
          <w:iCs w:val="1"/>
          <w:color w:val="auto"/>
        </w:rPr>
        <w:t xml:space="preserve"> Certain Material U.S. Federal Income Tax Considerations of the Redemption</w:t>
      </w:r>
      <w:r>
        <w:rPr>
          <w:rFonts w:ascii="Arial" w:cs="Arial" w:eastAsia="Arial" w:hAnsi="Arial"/>
          <w:sz w:val="17"/>
          <w:szCs w:val="17"/>
          <w:color w:val="auto"/>
        </w:rPr>
        <w:t>.” We urge you to consult your tax advisor regarding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of exercising your redemption rights.</w:t>
      </w:r>
    </w:p>
    <w:p>
      <w:pPr>
        <w:spacing w:after="0" w:line="103" w:lineRule="exact"/>
        <w:rPr>
          <w:sz w:val="20"/>
          <w:szCs w:val="20"/>
          <w:color w:val="auto"/>
        </w:rPr>
      </w:pPr>
    </w:p>
    <w:p>
      <w:pPr>
        <w:ind w:left="880" w:hanging="426"/>
        <w:spacing w:after="0"/>
        <w:tabs>
          <w:tab w:leader="none" w:pos="8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dissenter rights if I object to the proposed Business Combination?</w:t>
      </w:r>
    </w:p>
    <w:p>
      <w:pPr>
        <w:spacing w:after="0" w:line="162" w:lineRule="exact"/>
        <w:rPr>
          <w:sz w:val="20"/>
          <w:szCs w:val="20"/>
          <w:color w:val="auto"/>
        </w:rPr>
      </w:pPr>
    </w:p>
    <w:p>
      <w:pPr>
        <w:jc w:val="both"/>
        <w:ind w:left="880" w:right="459" w:hanging="426"/>
        <w:spacing w:after="0" w:line="287" w:lineRule="auto"/>
        <w:tabs>
          <w:tab w:leader="none" w:pos="938"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FS Development stockholders are not entitled to exercise dissenters’ rights under Delaware law in connection with the Business Combination. Dissenters’ rights are unavailable under Delaware law in connection with the Business Combination to holders of FS Development Class A Common Stock because it is currently listed on a national securities exchange and such holders are not required to receive any consideration (other than continuing to hold their shares of FS Development Class A Common Stock, which will become an equal number of shares of Common Stock of the Combined Entity after giving effect to the Business Combination). Holders of FS Development Class A Common Stock may vote against the Business Combination Proposal or redeem their Public Shares if they are not in favor of the adoption of the Merger Agreement or the Business Combination. Dissenters’ rights are unavailable under Delaware law in connection with the Business Combination to holders of FS Development Class B Common Stock because they have agreed to vote in favor of the Business Combination.</w:t>
      </w:r>
    </w:p>
    <w:p>
      <w:pPr>
        <w:spacing w:after="0" w:line="100" w:lineRule="exact"/>
        <w:rPr>
          <w:sz w:val="20"/>
          <w:szCs w:val="20"/>
          <w:color w:val="auto"/>
        </w:rPr>
      </w:pPr>
    </w:p>
    <w:p>
      <w:pPr>
        <w:ind w:left="880" w:hanging="426"/>
        <w:spacing w:after="0"/>
        <w:tabs>
          <w:tab w:leader="none" w:pos="8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held in the Trust Account upon Closing?</w:t>
      </w:r>
    </w:p>
    <w:p>
      <w:pPr>
        <w:spacing w:after="0" w:line="148" w:lineRule="exact"/>
        <w:rPr>
          <w:sz w:val="20"/>
          <w:szCs w:val="20"/>
          <w:color w:val="auto"/>
        </w:rPr>
      </w:pPr>
    </w:p>
    <w:p>
      <w:pPr>
        <w:ind w:left="860" w:hanging="406"/>
        <w:spacing w:after="0"/>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Business Combination is consummated, the funds held in the Trust Account will be released to pay:</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FS Development stockholders who properly exercise their redemption rights;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underwriters their deferred underwriting commissions;</w:t>
      </w:r>
    </w:p>
    <w:p>
      <w:pPr>
        <w:spacing w:after="0" w:line="144" w:lineRule="exact"/>
        <w:rPr>
          <w:rFonts w:ascii="Arial" w:cs="Arial" w:eastAsia="Arial" w:hAnsi="Arial"/>
          <w:sz w:val="18"/>
          <w:szCs w:val="18"/>
          <w:color w:val="auto"/>
        </w:rPr>
      </w:pPr>
    </w:p>
    <w:p>
      <w:pPr>
        <w:jc w:val="both"/>
        <w:ind w:left="1320" w:right="459" w:hanging="434"/>
        <w:spacing w:after="0" w:line="259" w:lineRule="auto"/>
        <w:tabs>
          <w:tab w:leader="none" w:pos="1338" w:val="left"/>
        </w:tabs>
        <w:numPr>
          <w:ilvl w:val="1"/>
          <w:numId w:val="68"/>
        </w:numPr>
        <w:rPr>
          <w:rFonts w:ascii="Arial" w:cs="Arial" w:eastAsia="Arial" w:hAnsi="Arial"/>
          <w:sz w:val="18"/>
          <w:szCs w:val="18"/>
          <w:color w:val="auto"/>
        </w:rPr>
      </w:pPr>
      <w:r>
        <w:rPr>
          <w:rFonts w:ascii="Arial" w:cs="Arial" w:eastAsia="Arial" w:hAnsi="Arial"/>
          <w:sz w:val="18"/>
          <w:szCs w:val="18"/>
          <w:color w:val="auto"/>
        </w:rPr>
        <w:t>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unpaid franchise and income taxes of FS Development;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65"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general corporate purposes including, but not limited to, working capital for operations, capital expenditures and future potential acquisitions.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62" w:lineRule="exact"/>
        <w:rPr>
          <w:sz w:val="20"/>
          <w:szCs w:val="20"/>
          <w:color w:val="auto"/>
        </w:rPr>
      </w:pPr>
    </w:p>
    <w:p>
      <w:pPr>
        <w:jc w:val="both"/>
        <w:ind w:left="880" w:right="459" w:hanging="426"/>
        <w:spacing w:after="0" w:line="263" w:lineRule="auto"/>
        <w:tabs>
          <w:tab w:leader="none" w:pos="9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are certain circumstances under which the Merger Agreement may be terminated. See the section titled “</w:t>
      </w:r>
      <w:r>
        <w:rPr>
          <w:rFonts w:ascii="Arial" w:cs="Arial" w:eastAsia="Arial" w:hAnsi="Arial"/>
          <w:sz w:val="18"/>
          <w:szCs w:val="18"/>
          <w:i w:val="1"/>
          <w:iCs w:val="1"/>
          <w:color w:val="auto"/>
        </w:rPr>
        <w:t>The Business Combination Proposal — The Merger Agreement — Termination</w:t>
      </w:r>
      <w:r>
        <w:rPr>
          <w:rFonts w:ascii="Arial" w:cs="Arial" w:eastAsia="Arial" w:hAnsi="Arial"/>
          <w:sz w:val="18"/>
          <w:szCs w:val="18"/>
          <w:color w:val="auto"/>
        </w:rPr>
        <w:t>” for information regarding the parties’ specific termination rights.</w:t>
      </w:r>
    </w:p>
    <w:p>
      <w:pPr>
        <w:spacing w:after="0" w:line="116"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6"/>
          <w:szCs w:val="16"/>
          <w:color w:val="auto"/>
        </w:rPr>
        <w:t>If, as a result of the termination of the Merger Agreement or otherwise, FS Development is unable to complete the Business Combination or another initial business combination transaction by August 14, 2022, the Current Charter provides that it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the DGCL to provide for claims of creditors and the requirements of other applicable law.</w:t>
      </w:r>
    </w:p>
    <w:p>
      <w:pPr>
        <w:spacing w:after="0" w:line="93" w:lineRule="exact"/>
        <w:rPr>
          <w:sz w:val="20"/>
          <w:szCs w:val="20"/>
          <w:color w:val="auto"/>
        </w:rPr>
      </w:pPr>
    </w:p>
    <w:p>
      <w:pPr>
        <w:jc w:val="both"/>
        <w:ind w:left="880" w:right="479"/>
        <w:spacing w:after="0" w:line="255" w:lineRule="auto"/>
        <w:rPr>
          <w:sz w:val="20"/>
          <w:szCs w:val="20"/>
          <w:color w:val="auto"/>
        </w:rPr>
      </w:pPr>
      <w:r>
        <w:rPr>
          <w:rFonts w:ascii="Arial" w:cs="Arial" w:eastAsia="Arial" w:hAnsi="Arial"/>
          <w:sz w:val="18"/>
          <w:szCs w:val="18"/>
          <w:color w:val="auto"/>
        </w:rPr>
        <w:t>FS Development expects that the amount of any distribution its public stockholders will be entitled to receive upon its dissolution will be approximately the same as the amount they would have received if they had redeemed their shares in connection with the Business Combination, subject in each case to FS Development’s obligations under the DGCL to provide for claims of creditors and other requirements of applicable law. Holders of Founders Shares have waived any right to any liquidating distribution with respect to those shares.</w:t>
      </w:r>
    </w:p>
    <w:p>
      <w:pPr>
        <w:spacing w:after="0" w:line="121" w:lineRule="exact"/>
        <w:rPr>
          <w:sz w:val="20"/>
          <w:szCs w:val="20"/>
          <w:color w:val="auto"/>
        </w:rPr>
      </w:pPr>
    </w:p>
    <w:p>
      <w:pPr>
        <w:ind w:left="880" w:hanging="426"/>
        <w:spacing w:after="0"/>
        <w:tabs>
          <w:tab w:leader="none" w:pos="8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completed?</w:t>
      </w:r>
    </w:p>
    <w:p>
      <w:pPr>
        <w:spacing w:after="0" w:line="162" w:lineRule="exact"/>
        <w:rPr>
          <w:sz w:val="20"/>
          <w:szCs w:val="20"/>
          <w:color w:val="auto"/>
        </w:rPr>
      </w:pPr>
    </w:p>
    <w:p>
      <w:pPr>
        <w:jc w:val="both"/>
        <w:ind w:left="880" w:right="459" w:hanging="426"/>
        <w:spacing w:after="0" w:line="255" w:lineRule="auto"/>
        <w:tabs>
          <w:tab w:leader="none" w:pos="893"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Closing is expected to take place (a) the second business day following the satisfaction or waiver of the conditions described below under the section titled </w:t>
      </w:r>
      <w:r>
        <w:rPr>
          <w:rFonts w:ascii="Arial" w:cs="Arial" w:eastAsia="Arial" w:hAnsi="Arial"/>
          <w:sz w:val="18"/>
          <w:szCs w:val="18"/>
          <w:i w:val="1"/>
          <w:iCs w:val="1"/>
          <w:color w:val="auto"/>
        </w:rPr>
        <w:t>“The Business Combination Proposal —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 — Conditions to Closing”</w:t>
      </w:r>
      <w:r>
        <w:rPr>
          <w:rFonts w:ascii="Arial" w:cs="Arial" w:eastAsia="Arial" w:hAnsi="Arial"/>
          <w:sz w:val="18"/>
          <w:szCs w:val="18"/>
          <w:color w:val="auto"/>
        </w:rPr>
        <w:t>; or (b) such other date as agreed to by FS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Gemini in writing, in each case, subject to the satisfaction or waiver of the closing conditions. The Merger Agreement may be terminated by either FS Development or Gemini if the Closing has not occurred by April 15, 2021, subject to certain exceptions.</w:t>
      </w:r>
    </w:p>
    <w:p>
      <w:pPr>
        <w:spacing w:after="0" w:line="111" w:lineRule="exact"/>
        <w:rPr>
          <w:rFonts w:ascii="Arial" w:cs="Arial" w:eastAsia="Arial" w:hAnsi="Arial"/>
          <w:sz w:val="18"/>
          <w:szCs w:val="18"/>
          <w:color w:val="auto"/>
        </w:rPr>
      </w:pPr>
    </w:p>
    <w:p>
      <w:pPr>
        <w:ind w:left="880" w:right="479"/>
        <w:spacing w:after="0" w:line="308" w:lineRule="auto"/>
        <w:rPr>
          <w:rFonts w:ascii="Arial" w:cs="Arial" w:eastAsia="Arial" w:hAnsi="Arial"/>
          <w:sz w:val="18"/>
          <w:szCs w:val="18"/>
          <w:color w:val="auto"/>
        </w:rPr>
      </w:pPr>
      <w:r>
        <w:rPr>
          <w:rFonts w:ascii="Arial" w:cs="Arial" w:eastAsia="Arial" w:hAnsi="Arial"/>
          <w:sz w:val="17"/>
          <w:szCs w:val="17"/>
          <w:color w:val="auto"/>
        </w:rPr>
        <w:t>For a description of the conditions to the completion of the Business Combination, see the section titled “</w:t>
      </w:r>
      <w:r>
        <w:rPr>
          <w:rFonts w:ascii="Arial" w:cs="Arial" w:eastAsia="Arial" w:hAnsi="Arial"/>
          <w:sz w:val="17"/>
          <w:szCs w:val="17"/>
          <w:i w:val="1"/>
          <w:iCs w:val="1"/>
          <w:color w:val="auto"/>
        </w:rPr>
        <w:t>The Business Combination Proposal — The Merger Agreement — Conditions to Closing.</w:t>
      </w:r>
      <w:r>
        <w:rPr>
          <w:rFonts w:ascii="Arial" w:cs="Arial" w:eastAsia="Arial" w:hAnsi="Arial"/>
          <w:sz w:val="17"/>
          <w:szCs w:val="17"/>
          <w:color w:val="auto"/>
        </w:rPr>
        <w:t>”</w:t>
      </w:r>
    </w:p>
    <w:p>
      <w:pPr>
        <w:spacing w:after="0" w:line="75" w:lineRule="exact"/>
        <w:rPr>
          <w:sz w:val="20"/>
          <w:szCs w:val="20"/>
          <w:color w:val="auto"/>
        </w:rPr>
      </w:pPr>
    </w:p>
    <w:p>
      <w:pPr>
        <w:ind w:left="880" w:hanging="426"/>
        <w:spacing w:after="0"/>
        <w:tabs>
          <w:tab w:leader="none" w:pos="8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62" w:lineRule="exact"/>
        <w:rPr>
          <w:sz w:val="20"/>
          <w:szCs w:val="20"/>
          <w:color w:val="auto"/>
        </w:rPr>
      </w:pPr>
    </w:p>
    <w:p>
      <w:pPr>
        <w:jc w:val="both"/>
        <w:ind w:left="880" w:right="459" w:hanging="426"/>
        <w:spacing w:after="0" w:line="296" w:lineRule="auto"/>
        <w:tabs>
          <w:tab w:leader="none" w:pos="857" w:val="left"/>
        </w:tabs>
        <w:numPr>
          <w:ilvl w:val="0"/>
          <w:numId w:val="74"/>
        </w:numPr>
        <w:rPr>
          <w:rFonts w:ascii="Arial" w:cs="Arial" w:eastAsia="Arial" w:hAnsi="Arial"/>
          <w:sz w:val="16"/>
          <w:szCs w:val="16"/>
          <w:color w:val="auto"/>
        </w:rPr>
      </w:pPr>
      <w:r>
        <w:rPr>
          <w:rFonts w:ascii="Arial" w:cs="Arial" w:eastAsia="Arial" w:hAnsi="Arial"/>
          <w:sz w:val="16"/>
          <w:szCs w:val="16"/>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7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8"/>
          <w:szCs w:val="18"/>
          <w:b w:val="1"/>
          <w:bCs w:val="1"/>
          <w:color w:val="auto"/>
        </w:rPr>
        <w:t>Q:</w:t>
        <w:tab/>
        <w:t>How do I vote?</w:t>
      </w:r>
    </w:p>
    <w:p>
      <w:pPr>
        <w:spacing w:after="0" w:line="162" w:lineRule="exact"/>
        <w:rPr>
          <w:sz w:val="20"/>
          <w:szCs w:val="20"/>
          <w:color w:val="auto"/>
        </w:rPr>
      </w:pPr>
    </w:p>
    <w:p>
      <w:pPr>
        <w:ind w:left="460"/>
        <w:spacing w:after="0"/>
        <w:tabs>
          <w:tab w:leader="none" w:pos="860" w:val="left"/>
          <w:tab w:leader="none" w:pos="6420" w:val="left"/>
        </w:tabs>
        <w:rPr>
          <w:sz w:val="20"/>
          <w:szCs w:val="20"/>
          <w:color w:val="auto"/>
        </w:rPr>
      </w:pPr>
      <w:r>
        <w:rPr>
          <w:rFonts w:ascii="Arial" w:cs="Arial" w:eastAsia="Arial" w:hAnsi="Arial"/>
          <w:sz w:val="18"/>
          <w:szCs w:val="18"/>
          <w:color w:val="auto"/>
        </w:rPr>
        <w:t>A.</w:t>
        <w:tab/>
        <w:t>If you were a holder of record of FS Development Common Stock on</w:t>
      </w:r>
      <w:r>
        <w:rPr>
          <w:sz w:val="20"/>
          <w:szCs w:val="20"/>
          <w:color w:val="auto"/>
        </w:rPr>
        <w:tab/>
      </w:r>
      <w:r>
        <w:rPr>
          <w:rFonts w:ascii="Arial" w:cs="Arial" w:eastAsia="Arial" w:hAnsi="Arial"/>
          <w:sz w:val="16"/>
          <w:szCs w:val="16"/>
          <w:color w:val="auto"/>
        </w:rPr>
        <w:t>, 2020, the Record Date, you</w:t>
      </w:r>
    </w:p>
    <w:p>
      <w:pPr>
        <w:spacing w:after="0" w:line="23"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may vote with respect to the applicable proposals in person or online at the Special Meeting or by completing, signing, dating and returning the enclosed proxy card in the postage-paid envelope provided. If you choose to participate in the Special Meeting, you can vote your shares electronically during the Special Meeting via live webcast by visiting. You will need the 12-digit meeting control number that is printed on your proxy card to enter the Special Meeting. FS Development recommends that you log in at least 15 minutes before the Special Meeting to ensure you are logged in when the Special Meeting starts.</w:t>
      </w:r>
    </w:p>
    <w:p>
      <w:pPr>
        <w:spacing w:after="0" w:line="96"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 xml:space="preserve">Special Meeting in person or online. However, since you are not the stockholder of record, you may not vote your shares in person or online at the Special Meeting unless you first request and obtain a valid legal proxy from your broker or other agent. You must then e-mail a copy (a legible photograph is sufficient) of your legal proxy to </w:t>
      </w:r>
      <w:r>
        <w:rPr>
          <w:rFonts w:ascii="Arial" w:cs="Arial" w:eastAsia="Arial" w:hAnsi="Arial"/>
          <w:sz w:val="17"/>
          <w:szCs w:val="17"/>
          <w:b w:val="1"/>
          <w:bCs w:val="1"/>
          <w:color w:val="auto"/>
        </w:rPr>
        <w:t>Continental Stock Transfer &amp; Trust Company (“CST”) at</w:t>
      </w:r>
      <w:r>
        <w:rPr>
          <w:rFonts w:ascii="Arial" w:cs="Arial" w:eastAsia="Arial" w:hAnsi="Arial"/>
          <w:sz w:val="17"/>
          <w:szCs w:val="17"/>
          <w:color w:val="auto"/>
        </w:rPr>
        <w:t xml:space="preserve"> </w:t>
      </w:r>
      <w:r>
        <w:rPr>
          <w:rFonts w:ascii="Arial" w:cs="Arial" w:eastAsia="Arial" w:hAnsi="Arial"/>
          <w:sz w:val="17"/>
          <w:szCs w:val="17"/>
          <w:b w:val="1"/>
          <w:bCs w:val="1"/>
          <w:color w:val="auto"/>
        </w:rPr>
        <w:t>proxy@continentalstock.com. Beneficial owners who e-mail a valid legal proxy will be issued a 12-digit meeting control number that will allow them to register to attend and participate in the Special Meeting. Beneficial owners who wish to attend the special meeting in person or online should contact CST no later than , 2020 to obtain this information</w:t>
      </w:r>
      <w:r>
        <w:rPr>
          <w:rFonts w:ascii="Arial" w:cs="Arial" w:eastAsia="Arial" w:hAnsi="Arial"/>
          <w:sz w:val="17"/>
          <w:szCs w:val="17"/>
          <w:color w:val="auto"/>
        </w:rPr>
        <w:t>.</w:t>
      </w:r>
    </w:p>
    <w:p>
      <w:pPr>
        <w:spacing w:after="0" w:line="107" w:lineRule="exact"/>
        <w:rPr>
          <w:sz w:val="20"/>
          <w:szCs w:val="20"/>
          <w:color w:val="auto"/>
        </w:rPr>
      </w:pPr>
    </w:p>
    <w:p>
      <w:pPr>
        <w:ind w:left="880" w:hanging="426"/>
        <w:spacing w:after="0"/>
        <w:tabs>
          <w:tab w:leader="none" w:pos="8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abstain from voting or fail to vote at the Special Meeting?</w:t>
      </w:r>
    </w:p>
    <w:p>
      <w:pPr>
        <w:spacing w:after="0" w:line="162" w:lineRule="exact"/>
        <w:rPr>
          <w:sz w:val="20"/>
          <w:szCs w:val="20"/>
          <w:color w:val="auto"/>
        </w:rPr>
      </w:pPr>
    </w:p>
    <w:p>
      <w:pPr>
        <w:jc w:val="both"/>
        <w:ind w:left="880" w:right="459" w:hanging="426"/>
        <w:spacing w:after="0" w:line="254" w:lineRule="auto"/>
        <w:tabs>
          <w:tab w:leader="none" w:pos="8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the Special Meeting, FS Development will count a properly executed proxy card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and the Adjournment Proposal.</w:t>
      </w:r>
    </w:p>
    <w:p>
      <w:pPr>
        <w:spacing w:after="0" w:line="110" w:lineRule="exact"/>
        <w:rPr>
          <w:sz w:val="20"/>
          <w:szCs w:val="20"/>
          <w:color w:val="auto"/>
        </w:rPr>
      </w:pPr>
    </w:p>
    <w:p>
      <w:pPr>
        <w:ind w:left="880" w:hanging="426"/>
        <w:spacing w:after="0"/>
        <w:tabs>
          <w:tab w:leader="none" w:pos="8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sign and return my proxy card without indicating how I wish to vote?</w:t>
      </w:r>
    </w:p>
    <w:p>
      <w:pPr>
        <w:spacing w:after="0" w:line="162" w:lineRule="exact"/>
        <w:rPr>
          <w:sz w:val="20"/>
          <w:szCs w:val="20"/>
          <w:color w:val="auto"/>
        </w:rPr>
      </w:pPr>
    </w:p>
    <w:p>
      <w:pPr>
        <w:jc w:val="both"/>
        <w:ind w:left="880" w:right="479" w:hanging="426"/>
        <w:spacing w:after="0" w:line="259" w:lineRule="auto"/>
        <w:tabs>
          <w:tab w:leader="none" w:pos="974"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Signed and dated proxies received by FS Development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115" w:lineRule="exact"/>
        <w:rPr>
          <w:sz w:val="20"/>
          <w:szCs w:val="20"/>
          <w:color w:val="auto"/>
        </w:rPr>
      </w:pPr>
    </w:p>
    <w:p>
      <w:pPr>
        <w:ind w:left="860" w:hanging="406"/>
        <w:spacing w:after="0"/>
        <w:tabs>
          <w:tab w:leader="none" w:pos="8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the Special Meeting?</w:t>
      </w:r>
    </w:p>
    <w:p>
      <w:pPr>
        <w:spacing w:after="0" w:line="148" w:lineRule="exact"/>
        <w:rPr>
          <w:sz w:val="20"/>
          <w:szCs w:val="20"/>
          <w:color w:val="auto"/>
        </w:rPr>
      </w:pPr>
    </w:p>
    <w:p>
      <w:pPr>
        <w:ind w:left="880" w:hanging="426"/>
        <w:spacing w:after="0"/>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You may attend the Special Meeting and vote your shares in person or online during the Special Meeting</w:t>
      </w:r>
    </w:p>
    <w:p>
      <w:pPr>
        <w:spacing w:after="0" w:line="46" w:lineRule="exact"/>
        <w:rPr>
          <w:sz w:val="20"/>
          <w:szCs w:val="20"/>
          <w:color w:val="auto"/>
        </w:rPr>
      </w:pPr>
    </w:p>
    <w:p>
      <w:pPr>
        <w:jc w:val="both"/>
        <w:ind w:left="880" w:right="459"/>
        <w:spacing w:after="0" w:line="288" w:lineRule="auto"/>
        <w:rPr>
          <w:sz w:val="20"/>
          <w:szCs w:val="20"/>
          <w:color w:val="auto"/>
        </w:rPr>
      </w:pPr>
      <w:r>
        <w:rPr>
          <w:rFonts w:ascii="Arial" w:cs="Arial" w:eastAsia="Arial" w:hAnsi="Arial"/>
          <w:sz w:val="16"/>
          <w:szCs w:val="16"/>
          <w:color w:val="auto"/>
        </w:rPr>
        <w:t>via live webcast by visiting . As a registered stockholder, you received a proxy card from CST, which contains instructions on how to attend the Special Meeting in person or online, including the URL address, along with your 12-digit meeting control number. You will need the 12-digit meeting control number that is printed on your proxy card to enter the Special Meeting. If you do not have your 12-digit meeting control number, contact CST at 917-262-2373 or e-mail CST at proxy@continentalstock.com. Please note that you will not be able to physically attend the special meeting in person, but may attend the Special Meeting in person or online by following the instructions below.</w:t>
      </w:r>
    </w:p>
    <w:p>
      <w:pPr>
        <w:spacing w:after="0" w:line="101" w:lineRule="exact"/>
        <w:rPr>
          <w:sz w:val="20"/>
          <w:szCs w:val="20"/>
          <w:color w:val="auto"/>
        </w:rPr>
      </w:pPr>
    </w:p>
    <w:p>
      <w:pPr>
        <w:jc w:val="both"/>
        <w:ind w:left="880" w:right="479"/>
        <w:spacing w:after="0" w:line="272" w:lineRule="auto"/>
        <w:rPr>
          <w:sz w:val="20"/>
          <w:szCs w:val="20"/>
          <w:color w:val="auto"/>
        </w:rPr>
      </w:pPr>
      <w:r>
        <w:rPr>
          <w:rFonts w:ascii="Arial" w:cs="Arial" w:eastAsia="Arial" w:hAnsi="Arial"/>
          <w:sz w:val="17"/>
          <w:szCs w:val="17"/>
          <w:color w:val="auto"/>
        </w:rPr>
        <w:t>You can pre-register to attend the Special Meeting in person or online starting , 2020. Enter the URL address into your browser, and enter your 12-digit meeting control number, name and email address. Once you pre-register you can vote or enter questions in the chat box. Prior to or at the start of the Special Meeting you will need to re-log in using your 12-digit meeting control number and will also be prompted to enter your 12-digit meeting control number if you vote in person or online during the Special Meeting. FS Development recommends that you log in at least 15 minutes before the Special Meeting to ensure you are logged in when the Special Meeting starts.</w:t>
      </w:r>
    </w:p>
    <w:p>
      <w:pPr>
        <w:spacing w:after="0" w:line="110" w:lineRule="exact"/>
        <w:rPr>
          <w:sz w:val="20"/>
          <w:szCs w:val="20"/>
          <w:color w:val="auto"/>
        </w:rPr>
      </w:pPr>
    </w:p>
    <w:p>
      <w:pPr>
        <w:jc w:val="both"/>
        <w:ind w:left="880" w:right="479"/>
        <w:spacing w:after="0" w:line="257" w:lineRule="auto"/>
        <w:rPr>
          <w:sz w:val="20"/>
          <w:szCs w:val="20"/>
          <w:color w:val="auto"/>
        </w:rPr>
      </w:pPr>
      <w:r>
        <w:rPr>
          <w:rFonts w:ascii="Arial" w:cs="Arial" w:eastAsia="Arial" w:hAnsi="Arial"/>
          <w:sz w:val="18"/>
          <w:szCs w:val="18"/>
          <w:color w:val="auto"/>
        </w:rPr>
        <w:t>If your shares are held in “street name,” you may attend the Special Meeting. You will need to contact CST at the number or email address above, to receive a 12-digit meeting control number and gain access to the Special Meeting or otherwise contact your broker, bank, or other nominee as soon as possible, to do so. Please allow up to 72 hours prior to the Special Meeting for processing your 12-digit meeting control number.</w:t>
      </w:r>
    </w:p>
    <w:p>
      <w:pPr>
        <w:spacing w:after="0" w:line="107" w:lineRule="exact"/>
        <w:rPr>
          <w:sz w:val="20"/>
          <w:szCs w:val="20"/>
          <w:color w:val="auto"/>
        </w:rPr>
      </w:pPr>
    </w:p>
    <w:p>
      <w:pPr>
        <w:ind w:left="880"/>
        <w:spacing w:after="0"/>
        <w:tabs>
          <w:tab w:leader="none" w:pos="8480" w:val="left"/>
        </w:tabs>
        <w:rPr>
          <w:sz w:val="20"/>
          <w:szCs w:val="20"/>
          <w:color w:val="auto"/>
        </w:rPr>
      </w:pPr>
      <w:r>
        <w:rPr>
          <w:rFonts w:ascii="Arial" w:cs="Arial" w:eastAsia="Arial" w:hAnsi="Arial"/>
          <w:sz w:val="18"/>
          <w:szCs w:val="18"/>
          <w:color w:val="auto"/>
        </w:rPr>
        <w:t>If you do not have Internet capabilities, you can listen only to the Special Meeting by dialing</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880"/>
        <w:spacing w:after="0"/>
        <w:tabs>
          <w:tab w:leader="none" w:pos="3680" w:val="left"/>
        </w:tabs>
        <w:rPr>
          <w:sz w:val="20"/>
          <w:szCs w:val="20"/>
          <w:color w:val="auto"/>
        </w:rPr>
      </w:pPr>
      <w:r>
        <w:rPr>
          <w:rFonts w:ascii="Arial" w:cs="Arial" w:eastAsia="Arial" w:hAnsi="Arial"/>
          <w:sz w:val="18"/>
          <w:szCs w:val="18"/>
          <w:color w:val="auto"/>
        </w:rPr>
        <w:t>when prompted enter the pin #</w:t>
      </w:r>
      <w:r>
        <w:rPr>
          <w:sz w:val="20"/>
          <w:szCs w:val="20"/>
          <w:color w:val="auto"/>
        </w:rPr>
        <w:tab/>
      </w:r>
      <w:r>
        <w:rPr>
          <w:rFonts w:ascii="Arial" w:cs="Arial" w:eastAsia="Arial" w:hAnsi="Arial"/>
          <w:sz w:val="16"/>
          <w:szCs w:val="16"/>
          <w:color w:val="auto"/>
        </w:rPr>
        <w:t>. This is listen only, you will not be able to vote or enter questions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during the Special Meeting.</w:t>
      </w:r>
    </w:p>
    <w:p>
      <w:pPr>
        <w:spacing w:after="0" w:line="139" w:lineRule="exact"/>
        <w:rPr>
          <w:sz w:val="20"/>
          <w:szCs w:val="20"/>
          <w:color w:val="auto"/>
        </w:rPr>
      </w:pPr>
    </w:p>
    <w:p>
      <w:pPr>
        <w:ind w:left="880" w:hanging="426"/>
        <w:spacing w:after="0"/>
        <w:tabs>
          <w:tab w:leader="none" w:pos="8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If I am not going to attend the Special Meeting, should I return my proxy card instead?</w:t>
      </w:r>
    </w:p>
    <w:p>
      <w:pPr>
        <w:spacing w:after="0" w:line="162" w:lineRule="exact"/>
        <w:rPr>
          <w:sz w:val="20"/>
          <w:szCs w:val="20"/>
          <w:color w:val="auto"/>
        </w:rPr>
      </w:pPr>
    </w:p>
    <w:p>
      <w:pPr>
        <w:jc w:val="both"/>
        <w:ind w:left="880" w:right="479" w:hanging="426"/>
        <w:spacing w:after="0" w:line="263" w:lineRule="auto"/>
        <w:tabs>
          <w:tab w:leader="none" w:pos="11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Yes. Whether you plan to attend the Special Meeting or not, please read the enclosed proxy statement/prospectus carefully, and vote your shares by completing, signing, dating and returning the enclosed proxy card in the postage-paid envelope provided.</w:t>
      </w:r>
    </w:p>
    <w:p>
      <w:pPr>
        <w:spacing w:after="0" w:line="103"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 xml:space="preserve">In order to exercise your redemption rights, you must properly demand redemption and deliver your shares (either physically or electronically) to our transfer agent at least two business days prior to the Special Meeting. See “— </w:t>
      </w:r>
      <w:r>
        <w:rPr>
          <w:rFonts w:ascii="Arial" w:cs="Arial" w:eastAsia="Arial" w:hAnsi="Arial"/>
          <w:sz w:val="18"/>
          <w:szCs w:val="18"/>
          <w:i w:val="1"/>
          <w:iCs w:val="1"/>
          <w:color w:val="auto"/>
        </w:rPr>
        <w:t>How do I exercise my redemption rights</w:t>
      </w:r>
      <w:r>
        <w:rPr>
          <w:rFonts w:ascii="Arial" w:cs="Arial" w:eastAsia="Arial" w:hAnsi="Arial"/>
          <w:sz w:val="18"/>
          <w:szCs w:val="18"/>
          <w:color w:val="auto"/>
        </w:rPr>
        <w:t>” above.</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 w:name="page26"/>
    <w:bookmarkEnd w:id="2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62" w:lineRule="exact"/>
        <w:rPr>
          <w:sz w:val="20"/>
          <w:szCs w:val="20"/>
          <w:color w:val="auto"/>
        </w:rPr>
      </w:pPr>
    </w:p>
    <w:p>
      <w:pPr>
        <w:jc w:val="both"/>
        <w:ind w:left="880" w:right="459" w:hanging="426"/>
        <w:spacing w:after="0" w:line="263"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Yes. If you are a stockholder of record of FS Development Common Stock as of the close of business on the Record Date, you can change or revoke your proxy before it is voted at the meeting in one of the following ways:</w:t>
      </w:r>
    </w:p>
    <w:p>
      <w:pPr>
        <w:spacing w:after="0" w:line="116" w:lineRule="exact"/>
        <w:rPr>
          <w:rFonts w:ascii="Arial" w:cs="Arial" w:eastAsia="Arial" w:hAnsi="Arial"/>
          <w:sz w:val="18"/>
          <w:szCs w:val="18"/>
          <w:color w:val="auto"/>
        </w:rPr>
      </w:pPr>
    </w:p>
    <w:p>
      <w:pPr>
        <w:ind w:left="1740" w:hanging="422"/>
        <w:spacing w:after="0"/>
        <w:tabs>
          <w:tab w:leader="none" w:pos="1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submit a new proxy card bearing a later date;</w:t>
      </w:r>
    </w:p>
    <w:p>
      <w:pPr>
        <w:spacing w:after="0" w:line="144" w:lineRule="exact"/>
        <w:rPr>
          <w:rFonts w:ascii="Arial" w:cs="Arial" w:eastAsia="Arial" w:hAnsi="Arial"/>
          <w:sz w:val="18"/>
          <w:szCs w:val="18"/>
          <w:color w:val="auto"/>
        </w:rPr>
      </w:pPr>
    </w:p>
    <w:p>
      <w:pPr>
        <w:jc w:val="both"/>
        <w:ind w:left="1760" w:right="479" w:hanging="442"/>
        <w:spacing w:after="0" w:line="263" w:lineRule="auto"/>
        <w:tabs>
          <w:tab w:leader="none" w:pos="1764" w:val="left"/>
        </w:tabs>
        <w:numPr>
          <w:ilvl w:val="1"/>
          <w:numId w:val="84"/>
        </w:numPr>
        <w:rPr>
          <w:rFonts w:ascii="Arial" w:cs="Arial" w:eastAsia="Arial" w:hAnsi="Arial"/>
          <w:sz w:val="18"/>
          <w:szCs w:val="18"/>
          <w:color w:val="auto"/>
        </w:rPr>
      </w:pPr>
      <w:r>
        <w:rPr>
          <w:rFonts w:ascii="Arial" w:cs="Arial" w:eastAsia="Arial" w:hAnsi="Arial"/>
          <w:sz w:val="18"/>
          <w:szCs w:val="18"/>
          <w:color w:val="auto"/>
        </w:rPr>
        <w:t>give written notice of your revocation to FS Development’s Corporate Secretary, which notice must be received by FS Development’s Corporate Secretary prior to the vote at the Special Meeting; or</w:t>
      </w:r>
    </w:p>
    <w:p>
      <w:pPr>
        <w:spacing w:after="0" w:line="116" w:lineRule="exact"/>
        <w:rPr>
          <w:rFonts w:ascii="Arial" w:cs="Arial" w:eastAsia="Arial" w:hAnsi="Arial"/>
          <w:sz w:val="18"/>
          <w:szCs w:val="18"/>
          <w:color w:val="auto"/>
        </w:rPr>
      </w:pPr>
    </w:p>
    <w:p>
      <w:pPr>
        <w:jc w:val="both"/>
        <w:ind w:left="1760" w:right="459" w:hanging="442"/>
        <w:spacing w:after="0" w:line="286" w:lineRule="auto"/>
        <w:tabs>
          <w:tab w:leader="none" w:pos="1818" w:val="left"/>
        </w:tabs>
        <w:numPr>
          <w:ilvl w:val="1"/>
          <w:numId w:val="84"/>
        </w:numPr>
        <w:rPr>
          <w:rFonts w:ascii="Arial" w:cs="Arial" w:eastAsia="Arial" w:hAnsi="Arial"/>
          <w:sz w:val="17"/>
          <w:szCs w:val="17"/>
          <w:color w:val="auto"/>
        </w:rPr>
      </w:pPr>
      <w:r>
        <w:rPr>
          <w:rFonts w:ascii="Arial" w:cs="Arial" w:eastAsia="Arial" w:hAnsi="Arial"/>
          <w:sz w:val="17"/>
          <w:szCs w:val="17"/>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98"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99" w:lineRule="exact"/>
        <w:rPr>
          <w:sz w:val="20"/>
          <w:szCs w:val="20"/>
          <w:color w:val="auto"/>
        </w:rPr>
      </w:pPr>
    </w:p>
    <w:p>
      <w:pPr>
        <w:ind w:left="880" w:hanging="426"/>
        <w:spacing w:after="0"/>
        <w:tabs>
          <w:tab w:leader="none" w:pos="8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62" w:lineRule="exact"/>
        <w:rPr>
          <w:sz w:val="20"/>
          <w:szCs w:val="20"/>
          <w:color w:val="auto"/>
        </w:rPr>
      </w:pPr>
    </w:p>
    <w:p>
      <w:pPr>
        <w:jc w:val="both"/>
        <w:ind w:left="880" w:right="459" w:hanging="426"/>
        <w:spacing w:after="0" w:line="254" w:lineRule="auto"/>
        <w:tabs>
          <w:tab w:leader="none" w:pos="10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23" w:lineRule="exact"/>
        <w:rPr>
          <w:sz w:val="20"/>
          <w:szCs w:val="20"/>
          <w:color w:val="auto"/>
        </w:rPr>
      </w:pPr>
    </w:p>
    <w:p>
      <w:pPr>
        <w:ind w:left="880" w:hanging="426"/>
        <w:spacing w:after="0"/>
        <w:tabs>
          <w:tab w:leader="none" w:pos="8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148" w:lineRule="exact"/>
        <w:rPr>
          <w:sz w:val="20"/>
          <w:szCs w:val="20"/>
          <w:color w:val="auto"/>
        </w:rPr>
      </w:pPr>
    </w:p>
    <w:p>
      <w:pPr>
        <w:jc w:val="both"/>
        <w:ind w:left="880" w:right="459" w:hanging="426"/>
        <w:spacing w:after="0" w:line="287" w:lineRule="auto"/>
        <w:tabs>
          <w:tab w:leader="none" w:pos="961" w:val="left"/>
        </w:tabs>
        <w:numPr>
          <w:ilvl w:val="0"/>
          <w:numId w:val="88"/>
        </w:numPr>
        <w:rPr>
          <w:rFonts w:ascii="Arial" w:cs="Arial" w:eastAsia="Arial" w:hAnsi="Arial"/>
          <w:sz w:val="16"/>
          <w:szCs w:val="16"/>
          <w:color w:val="auto"/>
        </w:rPr>
      </w:pPr>
      <w:r>
        <w:rPr>
          <w:rFonts w:ascii="Arial" w:cs="Arial" w:eastAsia="Arial" w:hAnsi="Arial"/>
          <w:sz w:val="16"/>
          <w:szCs w:val="16"/>
          <w:color w:val="auto"/>
        </w:rPr>
        <w:t>FS Development will pay the cost of soliciting proxies for the Special Meeting. FS Development has engaged Morrow Sodali LLC, which we refer to as “Morrow Sodali LLC,” to assist in the solicitation of proxies for the Special Meeting. FS Development has agreed to pay Morrow Sodali LLC a fee of $ 22,500, plus disbursements. FS Development will reimburse Morrow Sodali LLC for reasonable out-of-pocket expenses and will indemnify Morrow Sodali LLC and its affiliates against certain claims, liabilities, losses, damages and expenses. FS Development will also reimburse banks, brokers and other custodians, nominees and fiduciaries representing beneficial owners of shares of FS Development Common Stock for their expenses in forwarding soliciting materials to beneficial owners of the FS Development Common Stock and in obtaining voting instructions from those owners. FS Development’s directors, officers and employees may also solicit proxies by telephone, by facsimile, by mail, on the Internet or in person. They will not be paid any additional amounts for soliciting proxies.</w:t>
      </w:r>
    </w:p>
    <w:p>
      <w:pPr>
        <w:spacing w:after="0" w:line="100" w:lineRule="exact"/>
        <w:rPr>
          <w:sz w:val="20"/>
          <w:szCs w:val="20"/>
          <w:color w:val="auto"/>
        </w:rPr>
      </w:pPr>
    </w:p>
    <w:p>
      <w:pPr>
        <w:ind w:left="880" w:right="479" w:hanging="426"/>
        <w:spacing w:after="0" w:line="282" w:lineRule="auto"/>
        <w:tabs>
          <w:tab w:leader="none" w:pos="88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that I should consider as a FS Development stockholder in deciding how to vote or whether to exercise my redemption rights?</w:t>
      </w:r>
    </w:p>
    <w:p>
      <w:pPr>
        <w:spacing w:after="0" w:line="98" w:lineRule="exact"/>
        <w:rPr>
          <w:sz w:val="20"/>
          <w:szCs w:val="20"/>
          <w:color w:val="auto"/>
        </w:rPr>
      </w:pPr>
    </w:p>
    <w:p>
      <w:pPr>
        <w:ind w:left="880" w:right="479" w:hanging="426"/>
        <w:spacing w:after="0" w:line="277" w:lineRule="auto"/>
        <w:tabs>
          <w:tab w:leader="none" w:pos="856"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Yes. You should read and carefully consider the risk factors set forth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this proxy statement/prospectus.</w:t>
      </w:r>
    </w:p>
    <w:p>
      <w:pPr>
        <w:spacing w:after="0" w:line="85" w:lineRule="exact"/>
        <w:rPr>
          <w:sz w:val="20"/>
          <w:szCs w:val="20"/>
          <w:color w:val="auto"/>
        </w:rPr>
      </w:pPr>
    </w:p>
    <w:p>
      <w:pPr>
        <w:ind w:left="880" w:hanging="426"/>
        <w:spacing w:after="0"/>
        <w:tabs>
          <w:tab w:leader="none" w:pos="8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62" w:lineRule="exact"/>
        <w:rPr>
          <w:sz w:val="20"/>
          <w:szCs w:val="20"/>
          <w:color w:val="auto"/>
        </w:rPr>
      </w:pPr>
    </w:p>
    <w:p>
      <w:pPr>
        <w:ind w:left="880" w:right="479" w:hanging="426"/>
        <w:spacing w:after="0" w:line="277" w:lineRule="auto"/>
        <w:tabs>
          <w:tab w:leader="none" w:pos="120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you have questions about the proposals or if you need additional copies of this proxy statement/prospectus or the enclosed proxy card, please call us at (415) 877-4887.</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may also contact our proxy solicitor at: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Morrow Sodali LLC,</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Individuals call toll-free (800) 662-5200</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Banks and brokers call (203) 658-9400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FSDC.info@investor.morrowsodali.com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To obtain timely delivery, FS Development stockholders must request the materials no later than five (5) business days prior to the Special Meeting.</w:t>
      </w:r>
    </w:p>
    <w:p>
      <w:pPr>
        <w:spacing w:after="0" w:line="103" w:lineRule="exact"/>
        <w:rPr>
          <w:sz w:val="20"/>
          <w:szCs w:val="20"/>
          <w:color w:val="auto"/>
        </w:rPr>
      </w:pPr>
    </w:p>
    <w:p>
      <w:pPr>
        <w:jc w:val="both"/>
        <w:ind w:left="880" w:right="479"/>
        <w:spacing w:after="0" w:line="308" w:lineRule="auto"/>
        <w:rPr>
          <w:sz w:val="20"/>
          <w:szCs w:val="20"/>
          <w:color w:val="auto"/>
        </w:rPr>
      </w:pPr>
      <w:r>
        <w:rPr>
          <w:rFonts w:ascii="Arial" w:cs="Arial" w:eastAsia="Arial" w:hAnsi="Arial"/>
          <w:sz w:val="17"/>
          <w:szCs w:val="17"/>
          <w:color w:val="auto"/>
        </w:rPr>
        <w:t>You may also obtain additional information about FS Development from documents filed with the SEC by following the instructions in the section 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79"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 xml:space="preserve">If you intend to seek redemption of your Public Shares, you will need to send a letter demanding redemption and deliver your stock (either physically or electronically) to FS Development’s transfer agent prior to the Special Meeting in accordance with the procedures detailed under the question “— </w:t>
      </w:r>
      <w:r>
        <w:rPr>
          <w:rFonts w:ascii="Arial" w:cs="Arial" w:eastAsia="Arial" w:hAnsi="Arial"/>
          <w:sz w:val="18"/>
          <w:szCs w:val="18"/>
          <w:i w:val="1"/>
          <w:iCs w:val="1"/>
          <w:color w:val="auto"/>
        </w:rPr>
        <w:t>How do I</w:t>
      </w:r>
      <w:r>
        <w:rPr>
          <w:rFonts w:ascii="Arial" w:cs="Arial" w:eastAsia="Arial" w:hAnsi="Arial"/>
          <w:sz w:val="18"/>
          <w:szCs w:val="18"/>
          <w:color w:val="auto"/>
        </w:rPr>
        <w:t xml:space="preserve"> </w:t>
      </w:r>
      <w:r>
        <w:rPr>
          <w:rFonts w:ascii="Arial" w:cs="Arial" w:eastAsia="Arial" w:hAnsi="Arial"/>
          <w:sz w:val="18"/>
          <w:szCs w:val="18"/>
          <w:i w:val="1"/>
          <w:iCs w:val="1"/>
          <w:color w:val="auto"/>
        </w:rPr>
        <w:t>exercise my redemption rights</w:t>
      </w:r>
      <w:r>
        <w:rPr>
          <w:rFonts w:ascii="Arial" w:cs="Arial" w:eastAsia="Arial" w:hAnsi="Arial"/>
          <w:sz w:val="18"/>
          <w:szCs w:val="18"/>
          <w:color w:val="auto"/>
        </w:rPr>
        <w:t>” If you have questions regarding the certification of your 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your stock, please contact:</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Continental Stock Transfer &amp; Trust Company</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State Street Plaza,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88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Mark Zimkind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mzimkind@continentalstock.com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8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0879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162" w:lineRule="exact"/>
        <w:rPr>
          <w:sz w:val="20"/>
          <w:szCs w:val="20"/>
          <w:color w:val="auto"/>
        </w:rPr>
      </w:pPr>
    </w:p>
    <w:p>
      <w:pPr>
        <w:jc w:val="both"/>
        <w:ind w:left="540" w:right="559"/>
        <w:spacing w:after="0" w:line="296" w:lineRule="auto"/>
        <w:rPr>
          <w:sz w:val="20"/>
          <w:szCs w:val="20"/>
          <w:color w:val="auto"/>
        </w:rPr>
      </w:pPr>
      <w:r>
        <w:rPr>
          <w:rFonts w:ascii="Arial" w:cs="Arial" w:eastAsia="Arial" w:hAnsi="Arial"/>
          <w:sz w:val="16"/>
          <w:szCs w:val="16"/>
          <w:i w:val="1"/>
          <w:iCs w:val="1"/>
          <w:color w:val="auto"/>
        </w:rPr>
        <w:t>This summary, together with the section titled, “Questions and Answers About the Proposals” summarizes certain information contained in this proxy statement/prospectus and may not contain all of the information that is important to you. To better understand the Business Combination and the Proposals to be considered at the Special Meeting, you should read this entire proxy statement/prospectus carefully, including the annexes. See also the section titled “Where You Can Find More Information.”</w:t>
      </w:r>
    </w:p>
    <w:p>
      <w:pPr>
        <w:spacing w:after="0" w:line="67"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Summary of the Proxy Statement/Prospectus to the “Combined Entity” refer to FS Development and its consolidated subsidiaries after giving effect to the Business Combination. References to the “Company,” “FS Development”, “we”, “us” or “our” generally refer to FS Development Corp.</w:t>
      </w:r>
    </w:p>
    <w:p>
      <w:pPr>
        <w:spacing w:after="0" w:line="106"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i w:val="1"/>
          <w:iCs w:val="1"/>
          <w:color w:val="auto"/>
        </w:rPr>
        <w:t>Unless otherwise specified, all share calculations assume no exercise of redemption rights by the Company’s public stockholders.</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Parties to the Business Combination</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FS Development Corp.</w:t>
      </w:r>
    </w:p>
    <w:p>
      <w:pPr>
        <w:spacing w:after="0" w:line="144" w:lineRule="exact"/>
        <w:rPr>
          <w:sz w:val="20"/>
          <w:szCs w:val="20"/>
          <w:color w:val="auto"/>
        </w:rPr>
      </w:pPr>
    </w:p>
    <w:p>
      <w:pPr>
        <w:jc w:val="both"/>
        <w:ind w:left="540" w:right="559"/>
        <w:spacing w:after="0" w:line="301" w:lineRule="auto"/>
        <w:rPr>
          <w:sz w:val="20"/>
          <w:szCs w:val="20"/>
          <w:color w:val="auto"/>
        </w:rPr>
      </w:pPr>
      <w:r>
        <w:rPr>
          <w:rFonts w:ascii="Arial" w:cs="Arial" w:eastAsia="Arial" w:hAnsi="Arial"/>
          <w:sz w:val="16"/>
          <w:szCs w:val="16"/>
          <w:color w:val="auto"/>
        </w:rPr>
        <w:t>FS Development is a blank check company incorporated on June 25, 2020 as a Delaware corporation for the purpose of effecting a merger, capital stock exchange, asset acquisition, stock purchase, reorganization or similar business combination involving FS Development and one or more businesses. Upon the Closing, we intend to change our name from “FS Development Corp.” to “Gemini Therapeutics, Inc.”</w:t>
      </w:r>
    </w:p>
    <w:p>
      <w:pPr>
        <w:spacing w:after="0" w:line="90"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The mailing address of our principal executive office is 600 Montgomery Street, Suite 4500, San Francisco, CA 94111.</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Merger Sub</w:t>
      </w:r>
    </w:p>
    <w:p>
      <w:pPr>
        <w:spacing w:after="0" w:line="158"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FSG Merger Sub, Inc. is a Delaware corporation and wholly-owned subsidiary of FS Development, which was formed on October 9, 2020 to consummate the Business Combination. Following the Business Combination, Gemini will merge with Merger Sub with Gemini surviving the merger. As a result, Gemini will become a wholly-owned subsidiary of the Combined Entity.</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Gemini Therapeutics, Inc.</w:t>
      </w:r>
    </w:p>
    <w:p>
      <w:pPr>
        <w:spacing w:after="0" w:line="158"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Gemini is a clinical-stage precision medicine company developing novel therapeutic compounds to treat genetically defined, AMD. Its lead candidate, GEM103, is a recombinant form of the CFH and is designed to address both complement hyperactivity and restore retinal health. Variations in the gene that encodes CFH strongly correlate with an increased risk for developing AMD.</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Below is a summary of Gemini’s product candidate pipeline as of October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additional information about Gemini, see the section titled “</w:t>
      </w:r>
      <w:r>
        <w:rPr>
          <w:rFonts w:ascii="Arial" w:cs="Arial" w:eastAsia="Arial" w:hAnsi="Arial"/>
          <w:sz w:val="18"/>
          <w:szCs w:val="18"/>
          <w:i w:val="1"/>
          <w:iCs w:val="1"/>
          <w:color w:val="auto"/>
        </w:rPr>
        <w:t>Information about Gemini</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79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837946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Proposals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Business Combination Proposal</w:t>
      </w:r>
    </w:p>
    <w:p>
      <w:pPr>
        <w:spacing w:after="0" w:line="158"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FS Development and Gemini have agreed to a Business Combination under the terms of the Merger Agreement. Pursuant to the terms and subject to the conditions set forth in the Merger Agreement, at the Closing, Merger Sub will merge with and into Gemini, with Gemini continuing as the surviving entity and becoming a wholly-owned subsidiary of FS Development. See the section titled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Merger Agreement</w:t>
      </w:r>
    </w:p>
    <w:p>
      <w:pPr>
        <w:spacing w:after="0" w:line="131" w:lineRule="exact"/>
        <w:rPr>
          <w:sz w:val="20"/>
          <w:szCs w:val="20"/>
          <w:color w:val="auto"/>
        </w:rPr>
      </w:pPr>
    </w:p>
    <w:p>
      <w:pPr>
        <w:jc w:val="both"/>
        <w:ind w:left="540" w:right="559"/>
        <w:spacing w:after="0" w:line="296" w:lineRule="auto"/>
        <w:rPr>
          <w:sz w:val="20"/>
          <w:szCs w:val="20"/>
          <w:color w:val="auto"/>
        </w:rPr>
      </w:pPr>
      <w:r>
        <w:rPr>
          <w:rFonts w:ascii="Arial" w:cs="Arial" w:eastAsia="Arial" w:hAnsi="Arial"/>
          <w:sz w:val="16"/>
          <w:szCs w:val="16"/>
          <w:color w:val="auto"/>
        </w:rPr>
        <w:t>On October 15, 2020, FS Development entered into the Merger Agreement by and among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(the “</w:t>
      </w:r>
      <w:r>
        <w:rPr>
          <w:rFonts w:ascii="Arial" w:cs="Arial" w:eastAsia="Arial" w:hAnsi="Arial"/>
          <w:sz w:val="16"/>
          <w:szCs w:val="16"/>
          <w:b w:val="1"/>
          <w:bCs w:val="1"/>
          <w:color w:val="auto"/>
        </w:rPr>
        <w:t>Merger</w:t>
      </w:r>
      <w:r>
        <w:rPr>
          <w:rFonts w:ascii="Arial" w:cs="Arial" w:eastAsia="Arial" w:hAnsi="Arial"/>
          <w:sz w:val="16"/>
          <w:szCs w:val="16"/>
          <w:color w:val="auto"/>
        </w:rPr>
        <w:t>”). Upon the Closing, it is anticipated that FS Development will change its name to “Gemini Therapeutics, Inc.”</w:t>
      </w:r>
    </w:p>
    <w:p>
      <w:pPr>
        <w:spacing w:after="0" w:line="67" w:lineRule="exact"/>
        <w:rPr>
          <w:sz w:val="20"/>
          <w:szCs w:val="20"/>
          <w:color w:val="auto"/>
        </w:rPr>
      </w:pPr>
    </w:p>
    <w:p>
      <w:pPr>
        <w:jc w:val="both"/>
        <w:ind w:left="540" w:right="559"/>
        <w:spacing w:after="0" w:line="301" w:lineRule="auto"/>
        <w:rPr>
          <w:sz w:val="20"/>
          <w:szCs w:val="20"/>
          <w:color w:val="auto"/>
        </w:rPr>
      </w:pPr>
      <w:r>
        <w:rPr>
          <w:rFonts w:ascii="Arial" w:cs="Arial" w:eastAsia="Arial" w:hAnsi="Arial"/>
          <w:sz w:val="16"/>
          <w:szCs w:val="16"/>
          <w:color w:val="auto"/>
        </w:rPr>
        <w:t xml:space="preserve">Under the Merger Agreement, FS Development has agreed to acquire all of the outstanding equity interests of Gemini in exchange for up to 21,500,000 shares of FS Development Class A Common Stock, which amount will be determined as described in more detail under the heading titled </w:t>
      </w:r>
      <w:r>
        <w:rPr>
          <w:rFonts w:ascii="Arial" w:cs="Arial" w:eastAsia="Arial" w:hAnsi="Arial"/>
          <w:sz w:val="16"/>
          <w:szCs w:val="16"/>
          <w:i w:val="1"/>
          <w:iCs w:val="1"/>
          <w:color w:val="auto"/>
        </w:rPr>
        <w:t>“The Business Combination 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 Acquisition of Gemini; Merger Consideration”</w:t>
      </w:r>
      <w:r>
        <w:rPr>
          <w:rFonts w:ascii="Arial" w:cs="Arial" w:eastAsia="Arial" w:hAnsi="Arial"/>
          <w:sz w:val="16"/>
          <w:szCs w:val="16"/>
          <w:color w:val="auto"/>
        </w:rPr>
        <w:t>, to be paid at the effective time of the Merger.</w:t>
      </w:r>
    </w:p>
    <w:p>
      <w:pPr>
        <w:spacing w:after="0" w:line="76"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Pursuant to the Merger Agreement, at or prior to the effective time of the Merger, each option exercisable for Gemini equity that is outstanding immediately prior to the effective time of the Merger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of FS Development Class A Common Stock to be placed into escrow for indemnification purposes, as further described in the Merger Agreement.</w:t>
      </w:r>
    </w:p>
    <w:p>
      <w:pPr>
        <w:spacing w:after="0" w:line="83"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For additional information and a summary of the terms of the Merger Agreement and the other agreements executed, or to be executed, in connection with the Business Combination, see the section 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 — The Merger Agreement</w:t>
      </w:r>
      <w:r>
        <w:rPr>
          <w:rFonts w:ascii="Arial" w:cs="Arial" w:eastAsia="Arial" w:hAnsi="Arial"/>
          <w:sz w:val="18"/>
          <w:szCs w:val="18"/>
          <w:color w:val="auto"/>
        </w:rPr>
        <w: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Classified Board of Directors</w:t>
      </w:r>
    </w:p>
    <w:p>
      <w:pPr>
        <w:spacing w:after="0" w:line="131" w:lineRule="exact"/>
        <w:rPr>
          <w:sz w:val="20"/>
          <w:szCs w:val="20"/>
          <w:color w:val="auto"/>
        </w:rPr>
      </w:pPr>
    </w:p>
    <w:p>
      <w:pPr>
        <w:jc w:val="both"/>
        <w:ind w:left="540" w:right="559"/>
        <w:spacing w:after="0" w:line="275" w:lineRule="auto"/>
        <w:rPr>
          <w:sz w:val="20"/>
          <w:szCs w:val="20"/>
          <w:color w:val="auto"/>
        </w:rPr>
      </w:pPr>
      <w:r>
        <w:rPr>
          <w:rFonts w:ascii="Arial" w:cs="Arial" w:eastAsia="Arial" w:hAnsi="Arial"/>
          <w:sz w:val="17"/>
          <w:szCs w:val="17"/>
          <w:color w:val="auto"/>
        </w:rPr>
        <w:t>The Combined Entity’s board of directors will consist of seven members upon the Closing. In accordance with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9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1260" w:type="dxa"/>
            <w:vAlign w:val="bottom"/>
          </w:tcPr>
          <w:p>
            <w:pPr>
              <w:ind w:left="300"/>
              <w:spacing w:after="0"/>
              <w:rPr>
                <w:sz w:val="20"/>
                <w:szCs w:val="20"/>
                <w:color w:val="auto"/>
              </w:rPr>
            </w:pPr>
            <w:r>
              <w:rPr>
                <w:rFonts w:ascii="Arial" w:cs="Arial" w:eastAsia="Arial" w:hAnsi="Arial"/>
                <w:sz w:val="18"/>
                <w:szCs w:val="18"/>
                <w:color w:val="auto"/>
              </w:rPr>
              <w:t>, and</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2800" w:type="dxa"/>
            <w:vAlign w:val="bottom"/>
          </w:tcPr>
          <w:p>
            <w:pPr>
              <w:jc w:val="right"/>
              <w:spacing w:after="0"/>
              <w:rPr>
                <w:sz w:val="20"/>
                <w:szCs w:val="20"/>
                <w:color w:val="auto"/>
              </w:rPr>
            </w:pPr>
            <w:r>
              <w:rPr>
                <w:rFonts w:ascii="Arial" w:cs="Arial" w:eastAsia="Arial" w:hAnsi="Arial"/>
                <w:sz w:val="18"/>
                <w:szCs w:val="18"/>
                <w:color w:val="auto"/>
              </w:rPr>
              <w:t>, and their terms will expire at the</w:t>
            </w:r>
          </w:p>
        </w:tc>
      </w:tr>
      <w:tr>
        <w:trPr>
          <w:trHeight w:val="230"/>
        </w:trPr>
        <w:tc>
          <w:tcPr>
            <w:tcW w:w="240" w:type="dxa"/>
            <w:vAlign w:val="bottom"/>
          </w:tcPr>
          <w:p>
            <w:pPr>
              <w:spacing w:after="0"/>
              <w:rPr>
                <w:sz w:val="20"/>
                <w:szCs w:val="20"/>
                <w:color w:val="auto"/>
              </w:rPr>
            </w:pP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w w:val="92"/>
              </w:rPr>
              <w:t>annual meeting of stockholders to be held in 2021;</w:t>
            </w:r>
          </w:p>
        </w:tc>
        <w:tc>
          <w:tcPr>
            <w:tcW w:w="5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240"/>
              <w:spacing w:after="0"/>
              <w:rPr>
                <w:sz w:val="20"/>
                <w:szCs w:val="20"/>
                <w:color w:val="auto"/>
              </w:rPr>
            </w:pPr>
            <w:r>
              <w:rPr>
                <w:rFonts w:ascii="Arial" w:cs="Arial" w:eastAsia="Arial" w:hAnsi="Arial"/>
                <w:sz w:val="18"/>
                <w:szCs w:val="18"/>
                <w:color w:val="auto"/>
              </w:rPr>
              <w:t>the Class II directors will be</w:t>
            </w:r>
          </w:p>
        </w:tc>
        <w:tc>
          <w:tcPr>
            <w:tcW w:w="1260" w:type="dxa"/>
            <w:vAlign w:val="bottom"/>
          </w:tcPr>
          <w:p>
            <w:pPr>
              <w:ind w:left="320"/>
              <w:spacing w:after="0"/>
              <w:rPr>
                <w:sz w:val="20"/>
                <w:szCs w:val="20"/>
                <w:color w:val="auto"/>
              </w:rPr>
            </w:pPr>
            <w:r>
              <w:rPr>
                <w:rFonts w:ascii="Arial" w:cs="Arial" w:eastAsia="Arial" w:hAnsi="Arial"/>
                <w:sz w:val="18"/>
                <w:szCs w:val="18"/>
                <w:color w:val="auto"/>
              </w:rPr>
              <w:t>, and</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spacing w:after="0"/>
              <w:rPr>
                <w:sz w:val="20"/>
                <w:szCs w:val="20"/>
                <w:color w:val="auto"/>
              </w:rPr>
            </w:pPr>
            <w:r>
              <w:rPr>
                <w:rFonts w:ascii="Arial" w:cs="Arial" w:eastAsia="Arial" w:hAnsi="Arial"/>
                <w:sz w:val="18"/>
                <w:szCs w:val="18"/>
                <w:color w:val="auto"/>
              </w:rPr>
              <w:t>, and their terms will expire at the</w:t>
            </w:r>
          </w:p>
        </w:tc>
      </w:tr>
      <w:tr>
        <w:trPr>
          <w:trHeight w:val="230"/>
        </w:trPr>
        <w:tc>
          <w:tcPr>
            <w:tcW w:w="240" w:type="dxa"/>
            <w:vAlign w:val="bottom"/>
          </w:tcPr>
          <w:p>
            <w:pPr>
              <w:spacing w:after="0"/>
              <w:rPr>
                <w:sz w:val="20"/>
                <w:szCs w:val="20"/>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w w:val="96"/>
              </w:rPr>
              <w:t>annual meeting of stockholders to be held in 2022; and</w:t>
            </w:r>
          </w:p>
        </w:tc>
        <w:tc>
          <w:tcPr>
            <w:tcW w:w="280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rPr>
              <w:t>the Class III directors will be</w:t>
            </w:r>
          </w:p>
        </w:tc>
        <w:tc>
          <w:tcPr>
            <w:tcW w:w="1260" w:type="dxa"/>
            <w:vAlign w:val="bottom"/>
          </w:tcPr>
          <w:p>
            <w:pPr>
              <w:ind w:left="360"/>
              <w:spacing w:after="0"/>
              <w:rPr>
                <w:sz w:val="20"/>
                <w:szCs w:val="20"/>
                <w:color w:val="auto"/>
              </w:rPr>
            </w:pPr>
            <w:r>
              <w:rPr>
                <w:rFonts w:ascii="Arial" w:cs="Arial" w:eastAsia="Arial" w:hAnsi="Arial"/>
                <w:sz w:val="18"/>
                <w:szCs w:val="18"/>
                <w:color w:val="auto"/>
              </w:rPr>
              <w:t>, and</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800" w:type="dxa"/>
            <w:vAlign w:val="bottom"/>
          </w:tcPr>
          <w:p>
            <w:pPr>
              <w:jc w:val="right"/>
              <w:spacing w:after="0"/>
              <w:rPr>
                <w:sz w:val="20"/>
                <w:szCs w:val="20"/>
                <w:color w:val="auto"/>
              </w:rPr>
            </w:pPr>
            <w:r>
              <w:rPr>
                <w:rFonts w:ascii="Arial" w:cs="Arial" w:eastAsia="Arial" w:hAnsi="Arial"/>
                <w:sz w:val="18"/>
                <w:szCs w:val="18"/>
                <w:color w:val="auto"/>
              </w:rPr>
              <w:t>, and their terms will expire at the</w:t>
            </w:r>
          </w:p>
        </w:tc>
      </w:tr>
      <w:tr>
        <w:trPr>
          <w:trHeight w:val="230"/>
        </w:trPr>
        <w:tc>
          <w:tcPr>
            <w:tcW w:w="240" w:type="dxa"/>
            <w:vAlign w:val="bottom"/>
          </w:tcPr>
          <w:p>
            <w:pPr>
              <w:spacing w:after="0"/>
              <w:rPr>
                <w:sz w:val="20"/>
                <w:szCs w:val="20"/>
                <w:color w:val="auto"/>
              </w:rPr>
            </w:pP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w w:val="92"/>
              </w:rPr>
              <w:t>annual meeting of stockholders to be held in 2023.</w:t>
            </w:r>
          </w:p>
        </w:tc>
        <w:tc>
          <w:tcPr>
            <w:tcW w:w="5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121" w:lineRule="exact"/>
        <w:rPr>
          <w:sz w:val="20"/>
          <w:szCs w:val="20"/>
          <w:color w:val="auto"/>
        </w:rPr>
      </w:pPr>
    </w:p>
    <w:p>
      <w:pPr>
        <w:jc w:val="both"/>
        <w:ind w:left="540" w:right="559"/>
        <w:spacing w:after="0" w:line="279" w:lineRule="auto"/>
        <w:rPr>
          <w:sz w:val="20"/>
          <w:szCs w:val="20"/>
          <w:color w:val="auto"/>
        </w:rPr>
      </w:pPr>
      <w:r>
        <w:rPr>
          <w:rFonts w:ascii="Arial" w:cs="Arial" w:eastAsia="Arial" w:hAnsi="Arial"/>
          <w:sz w:val="17"/>
          <w:szCs w:val="17"/>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Board’s Reasons for the Business Combination</w:t>
      </w:r>
    </w:p>
    <w:p>
      <w:pPr>
        <w:spacing w:after="0" w:line="144" w:lineRule="exact"/>
        <w:rPr>
          <w:sz w:val="20"/>
          <w:szCs w:val="20"/>
          <w:color w:val="auto"/>
        </w:rPr>
      </w:pPr>
    </w:p>
    <w:p>
      <w:pPr>
        <w:jc w:val="both"/>
        <w:ind w:left="540" w:right="559"/>
        <w:spacing w:after="0" w:line="301" w:lineRule="auto"/>
        <w:rPr>
          <w:sz w:val="20"/>
          <w:szCs w:val="20"/>
          <w:color w:val="auto"/>
        </w:rPr>
      </w:pPr>
      <w:r>
        <w:rPr>
          <w:rFonts w:ascii="Arial" w:cs="Arial" w:eastAsia="Arial" w:hAnsi="Arial"/>
          <w:sz w:val="16"/>
          <w:szCs w:val="16"/>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ectPr>
          <w:pgSz w:w="11900" w:h="16838" w:orient="portrait"/>
          <w:cols w:equalWidth="0" w:num="1">
            <w:col w:w="9019"/>
          </w:cols>
          <w:pgMar w:left="1440" w:top="274" w:right="1440" w:bottom="1440" w:gutter="0" w:footer="0" w:header="0"/>
          <w:type w:val="continuous"/>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62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59"/>
        <w:spacing w:after="0" w:line="277" w:lineRule="auto"/>
        <w:rPr>
          <w:sz w:val="20"/>
          <w:szCs w:val="20"/>
          <w:color w:val="auto"/>
        </w:rPr>
      </w:pPr>
      <w:r>
        <w:rPr>
          <w:rFonts w:ascii="Arial" w:cs="Arial" w:eastAsia="Arial" w:hAnsi="Arial"/>
          <w:sz w:val="18"/>
          <w:szCs w:val="18"/>
          <w:color w:val="auto"/>
        </w:rPr>
        <w:t>In particular, the Board considered the following positive factors, although not weighted or in any order of significance:</w:t>
      </w:r>
    </w:p>
    <w:p>
      <w:pPr>
        <w:spacing w:after="0" w:line="103" w:lineRule="exact"/>
        <w:rPr>
          <w:sz w:val="20"/>
          <w:szCs w:val="20"/>
          <w:color w:val="auto"/>
        </w:rPr>
      </w:pPr>
    </w:p>
    <w:p>
      <w:pPr>
        <w:jc w:val="both"/>
        <w:ind w:left="1400" w:right="559" w:hanging="424"/>
        <w:spacing w:after="0" w:line="288" w:lineRule="auto"/>
        <w:tabs>
          <w:tab w:leader="none" w:pos="1526" w:val="left"/>
        </w:tabs>
        <w:numPr>
          <w:ilvl w:val="0"/>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Pioneering precision medicine approach targeting trial enrichment with genetically-defined patients. </w:t>
      </w:r>
      <w:r>
        <w:rPr>
          <w:rFonts w:ascii="Arial" w:cs="Arial" w:eastAsia="Arial" w:hAnsi="Arial"/>
          <w:sz w:val="16"/>
          <w:szCs w:val="16"/>
          <w:color w:val="auto"/>
        </w:rPr>
        <w:t>Gemini’s lead program, GEM103, targets a genetically-defined subset of age-related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macular degeneration (“</w:t>
      </w:r>
      <w:r>
        <w:rPr>
          <w:rFonts w:ascii="Arial" w:cs="Arial" w:eastAsia="Arial" w:hAnsi="Arial"/>
          <w:sz w:val="16"/>
          <w:szCs w:val="16"/>
          <w:b w:val="1"/>
          <w:bCs w:val="1"/>
          <w:color w:val="auto"/>
        </w:rPr>
        <w:t>AMD</w:t>
      </w:r>
      <w:r>
        <w:rPr>
          <w:rFonts w:ascii="Arial" w:cs="Arial" w:eastAsia="Arial" w:hAnsi="Arial"/>
          <w:sz w:val="16"/>
          <w:szCs w:val="16"/>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87" w:lineRule="exact"/>
        <w:rPr>
          <w:rFonts w:ascii="Arial" w:cs="Arial" w:eastAsia="Arial" w:hAnsi="Arial"/>
          <w:sz w:val="16"/>
          <w:szCs w:val="16"/>
          <w:color w:val="auto"/>
        </w:rPr>
      </w:pPr>
    </w:p>
    <w:p>
      <w:pPr>
        <w:jc w:val="both"/>
        <w:ind w:left="1400" w:right="559" w:hanging="424"/>
        <w:spacing w:after="0" w:line="269" w:lineRule="auto"/>
        <w:tabs>
          <w:tab w:leader="none" w:pos="1485"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Supporting Phase 1 study data in advanced dry AMD patients. </w:t>
      </w:r>
      <w:r>
        <w:rPr>
          <w:rFonts w:ascii="Arial" w:cs="Arial" w:eastAsia="Arial" w:hAnsi="Arial"/>
          <w:sz w:val="17"/>
          <w:szCs w:val="17"/>
          <w:color w:val="auto"/>
        </w:rPr>
        <w:t>Gemini conducted a single-ascending dose Phase 1 study to assess the safety of GEM103 in advanced dry AMD patients. In Gemini’s Phase 1 study, — GEM103 was well tolerated, with no adverse drug reactions, no ocular inflammation, no anti-drug antibodies, and no dose-limiting toxicities, when dosed up to 500 micrograms as a single intravitreal dose. In addition to meeting the primary endpoint of safety, the Phase 1 study data support the mechanism of action of the drug in the ocular compartment, as evidenced by sustained supraphysiological CFH levels, and apparent reductions in a pro-inflammatory biomarker related to complement activation in several subjects. The Board thus believes Gemini is well positioned for the ongoing Phase 2a trial to demonstrate multiple dose safety and tolerability to support initiation of pivotal trials in genetically-defined dry AMD patients; exploratory endpoints may provide additional biomarker signals or in those patients with bilateral dry AMD, initial evidence of a clinical benefit.</w:t>
      </w:r>
    </w:p>
    <w:p>
      <w:pPr>
        <w:spacing w:after="0" w:line="111" w:lineRule="exact"/>
        <w:rPr>
          <w:rFonts w:ascii="Arial" w:cs="Arial" w:eastAsia="Arial" w:hAnsi="Arial"/>
          <w:sz w:val="17"/>
          <w:szCs w:val="17"/>
          <w:color w:val="auto"/>
        </w:rPr>
      </w:pPr>
    </w:p>
    <w:p>
      <w:pPr>
        <w:jc w:val="both"/>
        <w:ind w:left="1400" w:right="559" w:hanging="424"/>
        <w:spacing w:after="0" w:line="253" w:lineRule="auto"/>
        <w:tabs>
          <w:tab w:leader="none" w:pos="1607"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Better understood biology, with some de-risking of GEM103 development. </w:t>
      </w:r>
      <w:r>
        <w:rPr>
          <w:rFonts w:ascii="Arial" w:cs="Arial" w:eastAsia="Arial" w:hAnsi="Arial"/>
          <w:sz w:val="18"/>
          <w:szCs w:val="18"/>
          <w:color w:val="auto"/>
        </w:rPr>
        <w:t>GEM103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recombinant and functionally identical to endogenous complement factor H. As endogenous proteins generally have better understood biological functions and are generally considered to be associated with lower safety risks, the Board believes GEM103 has a lower risk than non-endogenous proteins of failing to show efficacy, for example when targeting patients with loss-of-function CFH variants, and has a lower risk of rare unexpected safety issues due to the endogenous nature of CFH. In addition, given also the GEM103 Phase 1 safety, pharmacokinetic and exploratory biomarker data, the Board believes Gemini’s lead program has seen some de-risking ahead of receipt of GEM103 Phase 2a trial data, which are expected in the first half of 2021.</w:t>
      </w:r>
    </w:p>
    <w:p>
      <w:pPr>
        <w:spacing w:after="0" w:line="126" w:lineRule="exact"/>
        <w:rPr>
          <w:rFonts w:ascii="Arial" w:cs="Arial" w:eastAsia="Arial" w:hAnsi="Arial"/>
          <w:sz w:val="18"/>
          <w:szCs w:val="18"/>
          <w:color w:val="auto"/>
        </w:rPr>
      </w:pPr>
    </w:p>
    <w:p>
      <w:pPr>
        <w:jc w:val="both"/>
        <w:ind w:left="1400" w:right="559" w:hanging="424"/>
        <w:spacing w:after="0" w:line="293" w:lineRule="auto"/>
        <w:tabs>
          <w:tab w:leader="none" w:pos="1445" w:val="left"/>
        </w:tabs>
        <w:numPr>
          <w:ilvl w:val="0"/>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Vast market opportunity in dry AMD. </w:t>
      </w:r>
      <w:r>
        <w:rPr>
          <w:rFonts w:ascii="Arial" w:cs="Arial" w:eastAsia="Arial" w:hAnsi="Arial"/>
          <w:sz w:val="16"/>
          <w:szCs w:val="16"/>
          <w:color w:val="auto"/>
        </w:rPr>
        <w:t>Third-party reports indicate there are approximately 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83" w:lineRule="exact"/>
        <w:rPr>
          <w:rFonts w:ascii="Arial" w:cs="Arial" w:eastAsia="Arial" w:hAnsi="Arial"/>
          <w:sz w:val="16"/>
          <w:szCs w:val="16"/>
          <w:color w:val="auto"/>
        </w:rPr>
      </w:pPr>
    </w:p>
    <w:p>
      <w:pPr>
        <w:jc w:val="both"/>
        <w:ind w:left="1400" w:right="559" w:hanging="424"/>
        <w:spacing w:after="0" w:line="273" w:lineRule="auto"/>
        <w:tabs>
          <w:tab w:leader="none" w:pos="1391"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address an area of high unmet medical need. </w:t>
      </w:r>
      <w:r>
        <w:rPr>
          <w:rFonts w:ascii="Arial" w:cs="Arial" w:eastAsia="Arial" w:hAnsi="Arial"/>
          <w:sz w:val="17"/>
          <w:szCs w:val="17"/>
          <w:color w:val="auto"/>
        </w:rPr>
        <w:t>Dry AMD, Gemini’s lead indication,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10" w:lineRule="exact"/>
        <w:rPr>
          <w:rFonts w:ascii="Arial" w:cs="Arial" w:eastAsia="Arial" w:hAnsi="Arial"/>
          <w:sz w:val="17"/>
          <w:szCs w:val="17"/>
          <w:color w:val="auto"/>
        </w:rPr>
      </w:pPr>
    </w:p>
    <w:p>
      <w:pPr>
        <w:jc w:val="both"/>
        <w:ind w:left="1400" w:right="559" w:hanging="424"/>
        <w:spacing w:after="0" w:line="311" w:lineRule="auto"/>
        <w:tabs>
          <w:tab w:leader="none" w:pos="1499" w:val="left"/>
        </w:tabs>
        <w:numPr>
          <w:ilvl w:val="0"/>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screening. </w:t>
      </w:r>
      <w:r>
        <w:rPr>
          <w:rFonts w:ascii="Arial" w:cs="Arial" w:eastAsia="Arial" w:hAnsi="Arial"/>
          <w:sz w:val="16"/>
          <w:szCs w:val="16"/>
          <w:color w:val="auto"/>
        </w:rPr>
        <w:t>Gemini has a proprietary genetic screening process that enables it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identify genetically-defined dry AMD patients who may be most likely to benefit from GEM103. The Board believes this proprietary approach provides a competitive advantage to Gemini.</w:t>
      </w:r>
    </w:p>
    <w:p>
      <w:pPr>
        <w:spacing w:after="0" w:line="81" w:lineRule="exact"/>
        <w:rPr>
          <w:rFonts w:ascii="Arial" w:cs="Arial" w:eastAsia="Arial" w:hAnsi="Arial"/>
          <w:sz w:val="16"/>
          <w:szCs w:val="16"/>
          <w:color w:val="auto"/>
        </w:rPr>
      </w:pPr>
    </w:p>
    <w:p>
      <w:pPr>
        <w:jc w:val="both"/>
        <w:ind w:left="1400" w:right="559" w:hanging="424"/>
        <w:spacing w:after="0" w:line="272" w:lineRule="auto"/>
        <w:tabs>
          <w:tab w:leader="none" w:pos="1458" w:val="left"/>
        </w:tabs>
        <w:numPr>
          <w:ilvl w:val="0"/>
          <w:numId w:val="9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Multiple pipeline opportunities led by a Phase 2a clinical stage program. </w:t>
      </w:r>
      <w:r>
        <w:rPr>
          <w:rFonts w:ascii="Arial" w:cs="Arial" w:eastAsia="Arial" w:hAnsi="Arial"/>
          <w:sz w:val="17"/>
          <w:szCs w:val="17"/>
          <w:color w:val="auto"/>
        </w:rPr>
        <w:t>Gemini’s pipeline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consists of multiple programs that include lead clinical candidate GEM103 in both dry and wet AMD, plus additional programs in a AMD, plus one preclinical program in a systemic renal indication. The Board believes that the data generated in Gemini’s Phase 1 study of GEM103 demonstrate sustained supraphysiologic concentrations of CFH in aqueous humor, supporting further clinical development dry AMD. Future demonstration of efficacy and safety in dry AMD, could ultimately lead to market confidence in Gemini’s</w:t>
      </w:r>
    </w:p>
    <w:p>
      <w:pPr>
        <w:sectPr>
          <w:pgSz w:w="11900" w:h="16838" w:orient="portrait"/>
          <w:cols w:equalWidth="0" w:num="1">
            <w:col w:w="9019"/>
          </w:cols>
          <w:pgMar w:left="1440" w:top="274" w:right="1440"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1400" w:right="559"/>
        <w:spacing w:after="0" w:line="263" w:lineRule="auto"/>
        <w:rPr>
          <w:sz w:val="20"/>
          <w:szCs w:val="20"/>
          <w:color w:val="auto"/>
        </w:rPr>
      </w:pPr>
      <w:r>
        <w:rPr>
          <w:rFonts w:ascii="Arial" w:cs="Arial" w:eastAsia="Arial" w:hAnsi="Arial"/>
          <w:sz w:val="18"/>
          <w:szCs w:val="18"/>
          <w:color w:val="auto"/>
        </w:rPr>
        <w:t>precision approach and its expansion into commercial opportunities in patients with more complex AMD disease, including anti-vascular endothelial growth factor (“</w:t>
      </w:r>
      <w:r>
        <w:rPr>
          <w:rFonts w:ascii="Arial" w:cs="Arial" w:eastAsia="Arial" w:hAnsi="Arial"/>
          <w:sz w:val="18"/>
          <w:szCs w:val="18"/>
          <w:b w:val="1"/>
          <w:bCs w:val="1"/>
          <w:color w:val="auto"/>
        </w:rPr>
        <w:t>anti-VEGF</w:t>
      </w:r>
      <w:r>
        <w:rPr>
          <w:rFonts w:ascii="Arial" w:cs="Arial" w:eastAsia="Arial" w:hAnsi="Arial"/>
          <w:sz w:val="18"/>
          <w:szCs w:val="18"/>
          <w:color w:val="auto"/>
        </w:rPr>
        <w:t>”) treated wet AMD with concomitant geographic atrophy.</w:t>
      </w:r>
    </w:p>
    <w:p>
      <w:pPr>
        <w:spacing w:after="0" w:line="116" w:lineRule="exact"/>
        <w:rPr>
          <w:sz w:val="20"/>
          <w:szCs w:val="20"/>
          <w:color w:val="auto"/>
        </w:rPr>
      </w:pPr>
    </w:p>
    <w:p>
      <w:pPr>
        <w:jc w:val="both"/>
        <w:ind w:left="1400" w:right="559" w:hanging="424"/>
        <w:spacing w:after="0" w:line="275" w:lineRule="auto"/>
        <w:tabs>
          <w:tab w:leader="none" w:pos="1404"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Diversified risk profile from multimodality approach. </w:t>
      </w:r>
      <w:r>
        <w:rPr>
          <w:rFonts w:ascii="Arial" w:cs="Arial" w:eastAsia="Arial" w:hAnsi="Arial"/>
          <w:sz w:val="17"/>
          <w:szCs w:val="17"/>
          <w:color w:val="auto"/>
        </w:rPr>
        <w:t>Gemini’s therapeutic candidates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recombinant proteins, adeno-associated virus — (“</w:t>
      </w:r>
      <w:r>
        <w:rPr>
          <w:rFonts w:ascii="Arial" w:cs="Arial" w:eastAsia="Arial" w:hAnsi="Arial"/>
          <w:sz w:val="17"/>
          <w:szCs w:val="17"/>
          <w:b w:val="1"/>
          <w:bCs w:val="1"/>
          <w:color w:val="auto"/>
        </w:rPr>
        <w:t>AAV</w:t>
      </w:r>
      <w:r>
        <w:rPr>
          <w:rFonts w:ascii="Arial" w:cs="Arial" w:eastAsia="Arial" w:hAnsi="Arial"/>
          <w:sz w:val="17"/>
          <w:szCs w:val="17"/>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95" w:lineRule="exact"/>
        <w:rPr>
          <w:rFonts w:ascii="Arial" w:cs="Arial" w:eastAsia="Arial" w:hAnsi="Arial"/>
          <w:sz w:val="17"/>
          <w:szCs w:val="17"/>
          <w:color w:val="auto"/>
        </w:rPr>
      </w:pPr>
    </w:p>
    <w:p>
      <w:pPr>
        <w:jc w:val="both"/>
        <w:ind w:left="1400" w:right="559" w:hanging="424"/>
        <w:spacing w:after="0" w:line="271" w:lineRule="auto"/>
        <w:tabs>
          <w:tab w:leader="none" w:pos="1593"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Near-term catalysts. </w:t>
      </w:r>
      <w:r>
        <w:rPr>
          <w:rFonts w:ascii="Arial" w:cs="Arial" w:eastAsia="Arial" w:hAnsi="Arial"/>
          <w:sz w:val="17"/>
          <w:szCs w:val="17"/>
          <w:color w:val="auto"/>
        </w:rPr>
        <w:t>Gemini has initiated a Phase 2a trial of GEM103 in dry AMD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anticipates multiple dose clinical safety, tolerability and exploratory biomarker data in the first half of 2021. In addition, Gemini is currently conducting investigational new drug (“</w:t>
      </w:r>
      <w:r>
        <w:rPr>
          <w:rFonts w:ascii="Arial" w:cs="Arial" w:eastAsia="Arial" w:hAnsi="Arial"/>
          <w:sz w:val="17"/>
          <w:szCs w:val="17"/>
          <w:b w:val="1"/>
          <w:bCs w:val="1"/>
          <w:color w:val="auto"/>
        </w:rPr>
        <w:t>IND</w:t>
      </w:r>
      <w:r>
        <w:rPr>
          <w:rFonts w:ascii="Arial" w:cs="Arial" w:eastAsia="Arial" w:hAnsi="Arial"/>
          <w:sz w:val="17"/>
          <w:szCs w:val="17"/>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10" w:lineRule="exact"/>
        <w:rPr>
          <w:rFonts w:ascii="Arial" w:cs="Arial" w:eastAsia="Arial" w:hAnsi="Arial"/>
          <w:sz w:val="17"/>
          <w:szCs w:val="17"/>
          <w:color w:val="auto"/>
        </w:rPr>
      </w:pPr>
    </w:p>
    <w:p>
      <w:pPr>
        <w:ind w:left="1400" w:right="559" w:hanging="424"/>
        <w:spacing w:after="0" w:line="277" w:lineRule="auto"/>
        <w:tabs>
          <w:tab w:leader="none" w:pos="1391"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The Board believes that Gemini has a proven and experienced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that will effectively lead the company after the Business Combination.</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512"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Backed by top-tier healthcare investors. </w:t>
      </w:r>
      <w:r>
        <w:rPr>
          <w:rFonts w:ascii="Arial" w:cs="Arial" w:eastAsia="Arial" w:hAnsi="Arial"/>
          <w:sz w:val="18"/>
          <w:szCs w:val="18"/>
          <w:color w:val="auto"/>
        </w:rPr>
        <w:t>Gemini’s existing investors include Atlas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Lightstone Ventures, OrbiMed, and Wu Capital, who we believe provide additional validation to Gemini’s clinical and business strategies.</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607"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analysis conducted by FS Development. </w:t>
      </w:r>
      <w:r>
        <w:rPr>
          <w:rFonts w:ascii="Arial" w:cs="Arial" w:eastAsia="Arial" w:hAnsi="Arial"/>
          <w:sz w:val="18"/>
          <w:szCs w:val="18"/>
          <w:color w:val="auto"/>
        </w:rPr>
        <w:t>The financial analysis conducted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FS Development’s management team and reviewed by the Board supported the equity valuation of Gemini.</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Accounting Treatment</w:t>
      </w:r>
    </w:p>
    <w:p>
      <w:pPr>
        <w:spacing w:after="0" w:line="158" w:lineRule="exact"/>
        <w:rPr>
          <w:sz w:val="20"/>
          <w:szCs w:val="20"/>
          <w:color w:val="auto"/>
        </w:rPr>
      </w:pPr>
    </w:p>
    <w:p>
      <w:pPr>
        <w:jc w:val="both"/>
        <w:ind w:left="540" w:right="559"/>
        <w:spacing w:after="0" w:line="269" w:lineRule="auto"/>
        <w:rPr>
          <w:sz w:val="20"/>
          <w:szCs w:val="20"/>
          <w:color w:val="auto"/>
        </w:rPr>
      </w:pPr>
      <w:r>
        <w:rPr>
          <w:rFonts w:ascii="Arial" w:cs="Arial" w:eastAsia="Arial" w:hAnsi="Arial"/>
          <w:sz w:val="17"/>
          <w:szCs w:val="17"/>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Equityholders comprising a relative majority of the voting power of the Combined Entity, Gemini’s operations prior to the Merger comprising the only ongoing operations of the Combined Entity, and Gemini’s senior management comprising the senior management of the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Dissenter Rights</w:t>
      </w:r>
    </w:p>
    <w:p>
      <w:pPr>
        <w:spacing w:after="0" w:line="158"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Dissenter rights are not available to FS Development stockholders in connection with the Business Combination.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Impact of the Business Combination on FS Development’s Public Float</w:t>
      </w:r>
    </w:p>
    <w:p>
      <w:pPr>
        <w:spacing w:after="0" w:line="144" w:lineRule="exact"/>
        <w:rPr>
          <w:sz w:val="20"/>
          <w:szCs w:val="20"/>
          <w:color w:val="auto"/>
        </w:rPr>
      </w:pPr>
    </w:p>
    <w:p>
      <w:pPr>
        <w:jc w:val="both"/>
        <w:ind w:left="540" w:right="559"/>
        <w:spacing w:after="0" w:line="269" w:lineRule="auto"/>
        <w:rPr>
          <w:sz w:val="20"/>
          <w:szCs w:val="20"/>
          <w:color w:val="auto"/>
        </w:rPr>
      </w:pPr>
      <w:r>
        <w:rPr>
          <w:rFonts w:ascii="Arial" w:cs="Arial" w:eastAsia="Arial" w:hAnsi="Arial"/>
          <w:sz w:val="17"/>
          <w:szCs w:val="17"/>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the FS Development’s existing stockholders in the Combined Entity will be different.</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71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4" w:right="1440" w:bottom="831" w:gutter="0" w:footer="0" w:header="0"/>
        </w:sectPr>
      </w:pPr>
    </w:p>
    <w:p>
      <w:pPr>
        <w:spacing w:after="0" w:line="370"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The following tables illustrate varying ownership levels in FS Development assuming the factors mentioned above:</w:t>
      </w:r>
    </w:p>
    <w:p>
      <w:pPr>
        <w:spacing w:after="0" w:line="130"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2"/>
              </w:rPr>
              <w:t>No redemption</w:t>
            </w: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Maximum redemption</w:t>
            </w:r>
          </w:p>
        </w:tc>
      </w:tr>
      <w:tr>
        <w:trPr>
          <w:trHeight w:val="210"/>
        </w:trPr>
        <w:tc>
          <w:tcPr>
            <w:tcW w:w="3660" w:type="dxa"/>
            <w:vAlign w:val="bottom"/>
          </w:tcPr>
          <w:p>
            <w:pPr>
              <w:spacing w:after="0"/>
              <w:rPr>
                <w:sz w:val="18"/>
                <w:szCs w:val="18"/>
                <w:color w:val="auto"/>
              </w:rPr>
            </w:pPr>
          </w:p>
        </w:tc>
        <w:tc>
          <w:tcPr>
            <w:tcW w:w="1320" w:type="dxa"/>
            <w:vAlign w:val="bottom"/>
            <w:gridSpan w:val="3"/>
          </w:tcPr>
          <w:p>
            <w:pPr>
              <w:jc w:val="center"/>
              <w:ind w:left="613"/>
              <w:spacing w:after="0"/>
              <w:rPr>
                <w:sz w:val="20"/>
                <w:szCs w:val="20"/>
                <w:color w:val="auto"/>
              </w:rPr>
            </w:pPr>
            <w:r>
              <w:rPr>
                <w:rFonts w:ascii="Arial" w:cs="Arial" w:eastAsia="Arial" w:hAnsi="Arial"/>
                <w:sz w:val="16"/>
                <w:szCs w:val="16"/>
                <w:b w:val="1"/>
                <w:bCs w:val="1"/>
                <w:color w:val="auto"/>
                <w:w w:val="88"/>
              </w:rPr>
              <w:t>scenario</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left="613"/>
              <w:spacing w:after="0"/>
              <w:rPr>
                <w:sz w:val="20"/>
                <w:szCs w:val="20"/>
                <w:color w:val="auto"/>
              </w:rPr>
            </w:pPr>
            <w:r>
              <w:rPr>
                <w:rFonts w:ascii="Arial" w:cs="Arial" w:eastAsia="Arial" w:hAnsi="Arial"/>
                <w:sz w:val="16"/>
                <w:szCs w:val="16"/>
                <w:b w:val="1"/>
                <w:bCs w:val="1"/>
                <w:color w:val="auto"/>
                <w:w w:val="88"/>
              </w:rPr>
              <w:t>scenario</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6"/>
        </w:trPr>
        <w:tc>
          <w:tcPr>
            <w:tcW w:w="3660" w:type="dxa"/>
            <w:vAlign w:val="bottom"/>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660" w:type="dxa"/>
            <w:vAlign w:val="bottom"/>
          </w:tcPr>
          <w:p>
            <w:pPr>
              <w:spacing w:after="0"/>
              <w:rPr>
                <w:sz w:val="20"/>
                <w:szCs w:val="20"/>
                <w:color w:val="auto"/>
              </w:rPr>
            </w:pPr>
          </w:p>
        </w:tc>
        <w:tc>
          <w:tcPr>
            <w:tcW w:w="1320" w:type="dxa"/>
            <w:vAlign w:val="bottom"/>
            <w:gridSpan w:val="3"/>
          </w:tcPr>
          <w:p>
            <w:pPr>
              <w:ind w:left="220"/>
              <w:spacing w:after="0"/>
              <w:rPr>
                <w:sz w:val="20"/>
                <w:szCs w:val="20"/>
                <w:color w:val="auto"/>
              </w:rPr>
            </w:pPr>
            <w:r>
              <w:rPr>
                <w:rFonts w:ascii="Arial" w:cs="Arial" w:eastAsia="Arial" w:hAnsi="Arial"/>
                <w:sz w:val="16"/>
                <w:szCs w:val="16"/>
                <w:b w:val="1"/>
                <w:bCs w:val="1"/>
                <w:color w:val="auto"/>
              </w:rPr>
              <w:t>Shares</w:t>
            </w:r>
          </w:p>
        </w:tc>
        <w:tc>
          <w:tcPr>
            <w:tcW w:w="520" w:type="dxa"/>
            <w:vAlign w:val="bottom"/>
          </w:tcPr>
          <w:p>
            <w:pPr>
              <w:jc w:val="right"/>
              <w:ind w:right="15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ind w:left="240"/>
              <w:spacing w:after="0"/>
              <w:rPr>
                <w:sz w:val="20"/>
                <w:szCs w:val="20"/>
                <w:color w:val="auto"/>
              </w:rPr>
            </w:pPr>
            <w:r>
              <w:rPr>
                <w:rFonts w:ascii="Arial" w:cs="Arial" w:eastAsia="Arial" w:hAnsi="Arial"/>
                <w:sz w:val="16"/>
                <w:szCs w:val="16"/>
                <w:b w:val="1"/>
                <w:bCs w:val="1"/>
                <w:color w:val="auto"/>
              </w:rPr>
              <w:t>Shares</w:t>
            </w:r>
          </w:p>
        </w:tc>
        <w:tc>
          <w:tcPr>
            <w:tcW w:w="520" w:type="dxa"/>
            <w:vAlign w:val="bottom"/>
          </w:tcPr>
          <w:p>
            <w:pPr>
              <w:jc w:val="right"/>
              <w:ind w:right="21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r>
      <w:tr>
        <w:trPr>
          <w:trHeight w:val="46"/>
        </w:trPr>
        <w:tc>
          <w:tcPr>
            <w:tcW w:w="3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FS Development Corp. public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25.945%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w w:val="99"/>
              </w:rPr>
              <w:t>FS Development Corp. Sponsor and Directors</w:t>
            </w:r>
          </w:p>
        </w:tc>
        <w:tc>
          <w:tcPr>
            <w:tcW w:w="940" w:type="dxa"/>
            <w:vAlign w:val="bottom"/>
          </w:tcPr>
          <w:p>
            <w:pPr>
              <w:jc w:val="right"/>
              <w:spacing w:after="0"/>
              <w:rPr>
                <w:sz w:val="20"/>
                <w:szCs w:val="20"/>
                <w:color w:val="auto"/>
              </w:rPr>
            </w:pPr>
            <w:r>
              <w:rPr>
                <w:rFonts w:ascii="Arial" w:cs="Arial" w:eastAsia="Arial" w:hAnsi="Arial"/>
                <w:sz w:val="18"/>
                <w:szCs w:val="18"/>
                <w:color w:val="auto"/>
              </w:rPr>
              <w:t>3,460,250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3,460,250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9.77%</w:t>
            </w:r>
          </w:p>
        </w:tc>
      </w:tr>
      <w:tr>
        <w:trPr>
          <w:trHeight w:val="41"/>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Gemini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60.75%</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PIPE – Gemini Stockholders</w:t>
            </w:r>
          </w:p>
        </w:tc>
        <w:tc>
          <w:tcPr>
            <w:tcW w:w="940" w:type="dxa"/>
            <w:vAlign w:val="bottom"/>
          </w:tcPr>
          <w:p>
            <w:pPr>
              <w:jc w:val="right"/>
              <w:spacing w:after="0"/>
              <w:rPr>
                <w:sz w:val="20"/>
                <w:szCs w:val="20"/>
                <w:color w:val="auto"/>
              </w:rPr>
            </w:pPr>
            <w:r>
              <w:rPr>
                <w:rFonts w:ascii="Arial" w:cs="Arial" w:eastAsia="Arial" w:hAnsi="Arial"/>
                <w:sz w:val="18"/>
                <w:szCs w:val="18"/>
                <w:color w:val="auto"/>
              </w:rPr>
              <w:t>1,560,000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1,560,000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4.41%</w:t>
            </w:r>
          </w:p>
        </w:tc>
      </w:tr>
      <w:tr>
        <w:trPr>
          <w:trHeight w:val="40"/>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 FS Development Corp.</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57"/>
        </w:trPr>
        <w:tc>
          <w:tcPr>
            <w:tcW w:w="3660" w:type="dxa"/>
            <w:vAlign w:val="bottom"/>
          </w:tcPr>
          <w:p>
            <w:pPr>
              <w:spacing w:after="0"/>
              <w:rPr>
                <w:sz w:val="20"/>
                <w:szCs w:val="20"/>
                <w:color w:val="auto"/>
              </w:rPr>
            </w:pPr>
            <w:r>
              <w:rPr>
                <w:rFonts w:ascii="Arial" w:cs="Arial" w:eastAsia="Arial" w:hAnsi="Arial"/>
                <w:sz w:val="18"/>
                <w:szCs w:val="18"/>
                <w:color w:val="auto"/>
              </w:rPr>
              <w:t>PIPE – Other Investors</w:t>
            </w:r>
          </w:p>
        </w:tc>
        <w:tc>
          <w:tcPr>
            <w:tcW w:w="940" w:type="dxa"/>
            <w:vAlign w:val="bottom"/>
          </w:tcPr>
          <w:p>
            <w:pPr>
              <w:jc w:val="right"/>
              <w:spacing w:after="0"/>
              <w:rPr>
                <w:sz w:val="20"/>
                <w:szCs w:val="20"/>
                <w:color w:val="auto"/>
              </w:rPr>
            </w:pPr>
            <w:r>
              <w:rPr>
                <w:rFonts w:ascii="Arial" w:cs="Arial" w:eastAsia="Arial" w:hAnsi="Arial"/>
                <w:sz w:val="18"/>
                <w:szCs w:val="18"/>
                <w:color w:val="auto"/>
              </w:rPr>
              <w:t>6,446,000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6,446,000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18.21%</w:t>
            </w:r>
          </w:p>
        </w:tc>
      </w:tr>
      <w:tr>
        <w:trPr>
          <w:trHeight w:val="27"/>
        </w:trPr>
        <w:tc>
          <w:tcPr>
            <w:tcW w:w="3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46,541,250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35,388,875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0" w:right="559"/>
        <w:spacing w:after="0" w:line="287" w:lineRule="auto"/>
        <w:rPr>
          <w:sz w:val="20"/>
          <w:szCs w:val="20"/>
          <w:color w:val="auto"/>
        </w:rPr>
      </w:pPr>
      <w:r>
        <w:rPr>
          <w:rFonts w:ascii="Arial" w:cs="Arial" w:eastAsia="Arial" w:hAnsi="Arial"/>
          <w:sz w:val="16"/>
          <w:szCs w:val="16"/>
          <w:color w:val="auto"/>
        </w:rPr>
        <w:t>Upon Closing, the Board anticipates having seven directors, with each Class I director having an initial term that expires at the Combined Entity’s annual meeting of stockholders in 2021, each Class II director having an initial term that expires at the Combined Entity’s annual meeting of stockholders in 2022, and each Class</w:t>
      </w:r>
    </w:p>
    <w:p>
      <w:pPr>
        <w:spacing w:after="0" w:line="2" w:lineRule="exact"/>
        <w:rPr>
          <w:sz w:val="20"/>
          <w:szCs w:val="20"/>
          <w:color w:val="auto"/>
        </w:rPr>
      </w:pPr>
    </w:p>
    <w:p>
      <w:pPr>
        <w:jc w:val="both"/>
        <w:ind w:left="540" w:right="559" w:firstLine="4"/>
        <w:spacing w:after="0" w:line="253" w:lineRule="auto"/>
        <w:tabs>
          <w:tab w:leader="none" w:pos="7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director having an initial term that expires at the Combined Entity’s annual meeting of stockholders in 2023, or in each case until their respective successors are duly elected and qualified, or until their earlier resignation, removal or death. See the section 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 for additional information.</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Nasdaq Stock Issuance Proposal</w:t>
      </w:r>
    </w:p>
    <w:p>
      <w:pPr>
        <w:spacing w:after="0" w:line="144"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 xml:space="preserve">As the consideration for the Business Combination, FS Development is obligated to issue up to 21,500,000 shares of FS Development Class A Common Stock to the Gemini Equityholders, which amount will be determined as described in more detail under the heading titled </w:t>
      </w:r>
      <w:r>
        <w:rPr>
          <w:rFonts w:ascii="Arial" w:cs="Arial" w:eastAsia="Arial" w:hAnsi="Arial"/>
          <w:sz w:val="18"/>
          <w:szCs w:val="18"/>
          <w:i w:val="1"/>
          <w:iCs w:val="1"/>
          <w:color w:val="auto"/>
        </w:rPr>
        <w:t>“The Business Combination Proposal —</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 of Gemini; Merger Consideration”</w:t>
      </w:r>
      <w:r>
        <w:rPr>
          <w:rFonts w:ascii="Arial" w:cs="Arial" w:eastAsia="Arial" w:hAnsi="Arial"/>
          <w:sz w:val="18"/>
          <w:szCs w:val="18"/>
          <w:color w:val="auto"/>
        </w:rPr>
        <w:t>. In addition, in connection with the Business Combination, FS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entered into the Subscription Agreements with investors to purchase 9,506,000 shares of Class A Common Stock for an aggregate amount of $95,060,000, subject to certain conditions, including that all conditions precedent to the Closing will have been satisfied or waived (other than those conditions that are to be satisfied at Closing).</w:t>
      </w:r>
    </w:p>
    <w:p>
      <w:pPr>
        <w:spacing w:after="0" w:line="124"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 xml:space="preserve">FS Development stockholders will be asked to approve, for purposes of complying with the Nasdaq Listing Rules, the issuance of up to 21,500,000 newly issued shares of FS Development Class A Common Stock pursuant to the Business Combination, which amount will be determined as described in more detail under the heading titled </w:t>
      </w:r>
      <w:r>
        <w:rPr>
          <w:rFonts w:ascii="Arial" w:cs="Arial" w:eastAsia="Arial" w:hAnsi="Arial"/>
          <w:sz w:val="17"/>
          <w:szCs w:val="17"/>
          <w:i w:val="1"/>
          <w:iCs w:val="1"/>
          <w:color w:val="auto"/>
        </w:rPr>
        <w:t>“The Business Combination Proposal — Acquisition of Gemini; Merger Consideration”</w:t>
      </w:r>
      <w:r>
        <w:rPr>
          <w:rFonts w:ascii="Arial" w:cs="Arial" w:eastAsia="Arial" w:hAnsi="Arial"/>
          <w:sz w:val="17"/>
          <w:szCs w:val="17"/>
          <w:color w:val="auto"/>
        </w:rPr>
        <w:t>, and 9,506,000 newly issued shares of FS Development Class A Common Stock in the PIPE Investment. See the section titled “</w:t>
      </w:r>
      <w:r>
        <w:rPr>
          <w:rFonts w:ascii="Arial" w:cs="Arial" w:eastAsia="Arial" w:hAnsi="Arial"/>
          <w:sz w:val="17"/>
          <w:szCs w:val="17"/>
          <w:i w:val="1"/>
          <w:iCs w:val="1"/>
          <w:color w:val="auto"/>
        </w:rPr>
        <w:t>The Nasdaq Stock Issuance Proposal</w:t>
      </w:r>
      <w:r>
        <w:rPr>
          <w:rFonts w:ascii="Arial" w:cs="Arial" w:eastAsia="Arial" w:hAnsi="Arial"/>
          <w:sz w:val="17"/>
          <w:szCs w:val="17"/>
          <w:color w:val="auto"/>
        </w:rPr>
        <w: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Charter Amendment Proposal</w:t>
      </w:r>
    </w:p>
    <w:p>
      <w:pPr>
        <w:spacing w:after="0" w:line="158"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 xml:space="preserve">FS Development stockholders will be asked to approve and adopt, subject to and conditional on (but with immediate effect therefrom) approval of the Business Combination Proposal, the Nasdaq Stock Issuance Proposal, the Incentive Plan Proposal and the Closing, an amendment and restatement of the Current Charter, as set out in the Proposed Charter appended to this proxy statement/prospectus as </w:t>
      </w:r>
      <w:r>
        <w:rPr>
          <w:rFonts w:ascii="Arial" w:cs="Arial" w:eastAsia="Arial" w:hAnsi="Arial"/>
          <w:sz w:val="18"/>
          <w:szCs w:val="18"/>
          <w:i w:val="1"/>
          <w:iCs w:val="1"/>
          <w:u w:val="single" w:color="auto"/>
          <w:color w:val="auto"/>
        </w:rPr>
        <w:t>Annex B</w:t>
      </w:r>
      <w:r>
        <w:rPr>
          <w:rFonts w:ascii="Arial" w:cs="Arial" w:eastAsia="Arial" w:hAnsi="Arial"/>
          <w:sz w:val="18"/>
          <w:szCs w:val="18"/>
          <w:color w:val="auto"/>
        </w:rPr>
        <w:t>. See the section titled “</w:t>
      </w:r>
      <w:r>
        <w:rPr>
          <w:rFonts w:ascii="Arial" w:cs="Arial" w:eastAsia="Arial" w:hAnsi="Arial"/>
          <w:sz w:val="18"/>
          <w:szCs w:val="18"/>
          <w:i w:val="1"/>
          <w:iCs w:val="1"/>
          <w:color w:val="auto"/>
        </w:rPr>
        <w:t>The Charter Amendment Proposal</w:t>
      </w:r>
      <w:r>
        <w:rPr>
          <w:rFonts w:ascii="Arial" w:cs="Arial" w:eastAsia="Arial" w:hAnsi="Arial"/>
          <w:sz w:val="18"/>
          <w:szCs w:val="18"/>
          <w:color w:val="auto"/>
        </w:rPr>
        <w: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Charter Amendment Advisory Proposals</w:t>
      </w:r>
    </w:p>
    <w:p>
      <w:pPr>
        <w:spacing w:after="0" w:line="144"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Arial" w:cs="Arial" w:eastAsia="Arial" w:hAnsi="Arial"/>
          <w:sz w:val="18"/>
          <w:szCs w:val="18"/>
          <w:b w:val="1"/>
          <w:bCs w:val="1"/>
          <w:color w:val="auto"/>
        </w:rPr>
        <w:t>Advisory Charter</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w:t>
      </w:r>
      <w:r>
        <w:rPr>
          <w:rFonts w:ascii="Arial" w:cs="Arial" w:eastAsia="Arial" w:hAnsi="Arial"/>
          <w:sz w:val="18"/>
          <w:szCs w:val="18"/>
          <w:color w:val="auto"/>
        </w:rPr>
        <w:t>”):</w:t>
      </w:r>
    </w:p>
    <w:p>
      <w:pPr>
        <w:spacing w:after="0" w:line="115" w:lineRule="exact"/>
        <w:rPr>
          <w:sz w:val="20"/>
          <w:szCs w:val="20"/>
          <w:color w:val="auto"/>
        </w:rPr>
      </w:pPr>
    </w:p>
    <w:p>
      <w:pPr>
        <w:ind w:left="1400" w:right="559" w:hanging="424"/>
        <w:spacing w:after="0" w:line="282" w:lineRule="auto"/>
        <w:tabs>
          <w:tab w:leader="none" w:pos="1419"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A </w:t>
      </w:r>
      <w:r>
        <w:rPr>
          <w:rFonts w:ascii="Arial" w:cs="Arial" w:eastAsia="Arial" w:hAnsi="Arial"/>
          <w:sz w:val="18"/>
          <w:szCs w:val="18"/>
          <w:color w:val="auto"/>
        </w:rPr>
        <w:t>— to increase the authorized shares of FS Development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to shares;</w:t>
      </w:r>
    </w:p>
    <w:p>
      <w:pPr>
        <w:spacing w:after="0" w:line="94" w:lineRule="exact"/>
        <w:rPr>
          <w:rFonts w:ascii="Arial" w:cs="Arial" w:eastAsia="Arial" w:hAnsi="Arial"/>
          <w:sz w:val="18"/>
          <w:szCs w:val="18"/>
          <w:color w:val="auto"/>
        </w:rPr>
      </w:pPr>
    </w:p>
    <w:p>
      <w:pPr>
        <w:jc w:val="both"/>
        <w:ind w:left="1400" w:right="559" w:hanging="424"/>
        <w:spacing w:after="0" w:line="266" w:lineRule="auto"/>
        <w:tabs>
          <w:tab w:leader="none" w:pos="1412"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B </w:t>
      </w:r>
      <w:r>
        <w:rPr>
          <w:rFonts w:ascii="Arial" w:cs="Arial" w:eastAsia="Arial" w:hAnsi="Arial"/>
          <w:sz w:val="18"/>
          <w:szCs w:val="18"/>
          <w:color w:val="auto"/>
        </w:rPr>
        <w:t>— to increase the authorized shares of “blank check”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the Combined Entity’s board of directors could issue to discourage a takeover attempt to 10,000,000 shares;</w:t>
      </w:r>
    </w:p>
    <w:p>
      <w:pPr>
        <w:spacing w:after="0" w:line="94" w:lineRule="exact"/>
        <w:rPr>
          <w:rFonts w:ascii="Arial" w:cs="Arial" w:eastAsia="Arial" w:hAnsi="Arial"/>
          <w:sz w:val="18"/>
          <w:szCs w:val="18"/>
          <w:color w:val="auto"/>
        </w:rPr>
      </w:pPr>
    </w:p>
    <w:p>
      <w:pPr>
        <w:jc w:val="both"/>
        <w:ind w:left="1400" w:right="559" w:hanging="424"/>
        <w:spacing w:after="0" w:line="266" w:lineRule="auto"/>
        <w:tabs>
          <w:tab w:leader="none" w:pos="1541"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C </w:t>
      </w:r>
      <w:r>
        <w:rPr>
          <w:rFonts w:ascii="Arial" w:cs="Arial" w:eastAsia="Arial" w:hAnsi="Arial"/>
          <w:sz w:val="18"/>
          <w:szCs w:val="18"/>
          <w:color w:val="auto"/>
        </w:rPr>
        <w:t>— to provide that certain amendments to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Charter will require the approval of at least 662/3% of the Combined Entity’s then-outstanding shares of capital stock entitled to vote on such amendment;</w:t>
      </w:r>
    </w:p>
    <w:p>
      <w:pPr>
        <w:sectPr>
          <w:pgSz w:w="11900" w:h="16838" w:orient="portrait"/>
          <w:cols w:equalWidth="0" w:num="1">
            <w:col w:w="9019"/>
          </w:cols>
          <w:pgMar w:left="1440" w:top="274" w:right="1440" w:bottom="831"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31" w:gutter="0" w:footer="0" w:header="0"/>
          <w:type w:val="continuous"/>
        </w:sectPr>
      </w:pPr>
    </w:p>
    <w:bookmarkStart w:id="32" w:name="page33"/>
    <w:bookmarkEnd w:id="3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804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780478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8" w:lineRule="auto"/>
        <w:tabs>
          <w:tab w:leader="none" w:pos="139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D — </w:t>
      </w:r>
      <w:r>
        <w:rPr>
          <w:rFonts w:ascii="Arial" w:cs="Arial" w:eastAsia="Arial" w:hAnsi="Arial"/>
          <w:sz w:val="18"/>
          <w:szCs w:val="18"/>
          <w:color w:val="auto"/>
        </w:rPr>
        <w:t>to make the Combined Entity’s corporate existence perpetual</w:t>
      </w:r>
      <w:r>
        <w:rPr>
          <w:rFonts w:ascii="Arial" w:cs="Arial" w:eastAsia="Arial" w:hAnsi="Arial"/>
          <w:sz w:val="18"/>
          <w:szCs w:val="18"/>
          <w:b w:val="1"/>
          <w:bCs w:val="1"/>
          <w:color w:val="auto"/>
        </w:rPr>
        <w:t xml:space="preserve"> </w:t>
      </w:r>
      <w:r>
        <w:rPr>
          <w:rFonts w:ascii="Arial" w:cs="Arial" w:eastAsia="Arial" w:hAnsi="Arial"/>
          <w:sz w:val="18"/>
          <w:szCs w:val="18"/>
          <w:color w:val="auto"/>
        </w:rPr>
        <w:t>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5" w:lineRule="exact"/>
        <w:rPr>
          <w:rFonts w:ascii="Arial" w:cs="Arial" w:eastAsia="Arial" w:hAnsi="Arial"/>
          <w:sz w:val="18"/>
          <w:szCs w:val="18"/>
          <w:color w:val="auto"/>
        </w:rPr>
      </w:pPr>
    </w:p>
    <w:p>
      <w:pPr>
        <w:jc w:val="both"/>
        <w:ind w:left="1400" w:right="559" w:hanging="424"/>
        <w:spacing w:after="0" w:line="254" w:lineRule="auto"/>
        <w:tabs>
          <w:tab w:leader="none" w:pos="1419"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E </w:t>
      </w:r>
      <w:r>
        <w:rPr>
          <w:rFonts w:ascii="Arial" w:cs="Arial" w:eastAsia="Arial" w:hAnsi="Arial"/>
          <w:sz w:val="18"/>
          <w:szCs w:val="18"/>
          <w:color w:val="auto"/>
        </w:rPr>
        <w:t>— to provide that any amendment to the Amended By-laws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 the approval of at least 66 </w:t>
      </w:r>
      <w:r>
        <w:rPr>
          <w:rFonts w:ascii="Arial" w:cs="Arial" w:eastAsia="Arial" w:hAnsi="Arial"/>
          <w:sz w:val="20"/>
          <w:szCs w:val="20"/>
          <w:color w:val="auto"/>
          <w:vertAlign w:val="superscript"/>
        </w:rPr>
        <w:t>2</w:t>
      </w:r>
      <w:r>
        <w:rPr>
          <w:rFonts w:ascii="Arial" w:cs="Arial" w:eastAsia="Arial" w:hAnsi="Arial"/>
          <w:sz w:val="18"/>
          <w:szCs w:val="18"/>
          <w:color w:val="auto"/>
        </w:rPr>
        <w:t>⁄</w:t>
      </w:r>
      <w:r>
        <w:rPr>
          <w:rFonts w:ascii="Arial" w:cs="Arial" w:eastAsia="Arial" w:hAnsi="Arial"/>
          <w:sz w:val="20"/>
          <w:szCs w:val="20"/>
          <w:color w:val="auto"/>
          <w:vertAlign w:val="subscript"/>
        </w:rPr>
        <w:t>3</w:t>
      </w:r>
      <w:r>
        <w:rPr>
          <w:rFonts w:ascii="Arial" w:cs="Arial" w:eastAsia="Arial" w:hAnsi="Arial"/>
          <w:sz w:val="18"/>
          <w:szCs w:val="18"/>
          <w:color w:val="auto"/>
        </w:rPr>
        <w:t>% of the Combined Entity’s then-outstanding shares of capital stock entitled to vote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Incentive Plan Proposal</w:t>
      </w:r>
    </w:p>
    <w:p>
      <w:pPr>
        <w:spacing w:after="0" w:line="144"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FS Development is proposing that its stockholders approve and adopt the Equity Incentive Plan of the Combined Entity, which will become effective as of the date immediately preceding the date of the Closing and will have the following principal features:</w:t>
      </w:r>
    </w:p>
    <w:p>
      <w:pPr>
        <w:spacing w:after="0" w:line="112" w:lineRule="exact"/>
        <w:rPr>
          <w:sz w:val="20"/>
          <w:szCs w:val="20"/>
          <w:color w:val="auto"/>
        </w:rPr>
      </w:pPr>
    </w:p>
    <w:p>
      <w:pPr>
        <w:jc w:val="both"/>
        <w:ind w:left="1400" w:right="559" w:hanging="424"/>
        <w:spacing w:after="0" w:line="272" w:lineRule="auto"/>
        <w:tabs>
          <w:tab w:leader="none" w:pos="1445"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Types of Awards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Equity Incentive Plan provides for the grant of incentive stock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non-qualified stock options, stock appreciation rights, restricted stock awards, restricted stock unit awards, unrestricted stock awards, and dividend equivalent rights, or collectively, stock awards, all of which may be granted to employees, including officers, non-employee directors and consultants of the Combined Entity and its affiliates. Additionally, the Equity Incentive Plan provides for the grant of performance-based cash awards. Incentive stock options may be granted only to employees. All other awards may be granted to employees, including officers, and to non-employee directors and consultants.</w:t>
      </w:r>
    </w:p>
    <w:p>
      <w:pPr>
        <w:spacing w:after="0" w:line="104" w:lineRule="exact"/>
        <w:rPr>
          <w:rFonts w:ascii="Arial" w:cs="Arial" w:eastAsia="Arial" w:hAnsi="Arial"/>
          <w:sz w:val="17"/>
          <w:szCs w:val="17"/>
          <w:color w:val="auto"/>
        </w:rPr>
      </w:pPr>
    </w:p>
    <w:p>
      <w:pPr>
        <w:jc w:val="both"/>
        <w:ind w:left="1400" w:right="559" w:hanging="424"/>
        <w:spacing w:after="0" w:line="273" w:lineRule="auto"/>
        <w:tabs>
          <w:tab w:leader="none" w:pos="1431"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Shares Available for Awards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Initially, the aggregate number of shares of Common Stock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issued pursuant to stock awards under the Equity Incentive Plan after the Equity Incentive Plan becomes effective will not exceed shares. Additionally,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90" w:lineRule="exact"/>
        <w:rPr>
          <w:rFonts w:ascii="Arial" w:cs="Arial" w:eastAsia="Arial" w:hAnsi="Arial"/>
          <w:sz w:val="17"/>
          <w:szCs w:val="17"/>
          <w:color w:val="auto"/>
        </w:rPr>
      </w:pPr>
    </w:p>
    <w:p>
      <w:pPr>
        <w:jc w:val="both"/>
        <w:ind w:left="1400" w:right="559" w:hanging="424"/>
        <w:spacing w:after="0" w:line="258" w:lineRule="auto"/>
        <w:tabs>
          <w:tab w:leader="none" w:pos="1512"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Non-Employee Director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value of all awards awarded under the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and all other cash compensation paid by the Combined Entity to any non-employee director in any calendar year for services as a non-employee director will not exceed $750,000, or $1,000,000 for the year in which a non-employee director is first appointed or elected to the Combined Entity’s board of directors.</w:t>
      </w:r>
    </w:p>
    <w:p>
      <w:pPr>
        <w:spacing w:after="0" w:line="120" w:lineRule="exact"/>
        <w:rPr>
          <w:sz w:val="20"/>
          <w:szCs w:val="20"/>
          <w:color w:val="auto"/>
        </w:rPr>
      </w:pPr>
    </w:p>
    <w:p>
      <w:pPr>
        <w:jc w:val="both"/>
        <w:ind w:left="540" w:right="559"/>
        <w:spacing w:after="0" w:line="342" w:lineRule="auto"/>
        <w:rPr>
          <w:sz w:val="20"/>
          <w:szCs w:val="20"/>
          <w:color w:val="auto"/>
        </w:rPr>
      </w:pPr>
      <w:r>
        <w:rPr>
          <w:rFonts w:ascii="Arial" w:cs="Arial" w:eastAsia="Arial" w:hAnsi="Arial"/>
          <w:sz w:val="16"/>
          <w:szCs w:val="16"/>
          <w:color w:val="auto"/>
        </w:rPr>
        <w:t>A summary of the Equity Incentive Plan is set forth in the “</w:t>
      </w:r>
      <w:r>
        <w:rPr>
          <w:rFonts w:ascii="Arial" w:cs="Arial" w:eastAsia="Arial" w:hAnsi="Arial"/>
          <w:sz w:val="16"/>
          <w:szCs w:val="16"/>
          <w:i w:val="1"/>
          <w:iCs w:val="1"/>
          <w:color w:val="auto"/>
        </w:rPr>
        <w:t>The Incentive Plan Proposal</w:t>
      </w:r>
      <w:r>
        <w:rPr>
          <w:rFonts w:ascii="Arial" w:cs="Arial" w:eastAsia="Arial" w:hAnsi="Arial"/>
          <w:sz w:val="16"/>
          <w:szCs w:val="16"/>
          <w:color w:val="auto"/>
        </w:rPr>
        <w:t xml:space="preserve">” section of this proxy statement/prospectus and a complete copy of the Equity Incentive Plan is attached hereto as </w:t>
      </w:r>
      <w:r>
        <w:rPr>
          <w:rFonts w:ascii="Arial" w:cs="Arial" w:eastAsia="Arial" w:hAnsi="Arial"/>
          <w:sz w:val="16"/>
          <w:szCs w:val="16"/>
          <w:i w:val="1"/>
          <w:iCs w:val="1"/>
          <w:u w:val="single" w:color="auto"/>
          <w:color w:val="auto"/>
        </w:rPr>
        <w:t>Annex D</w:t>
      </w:r>
      <w:r>
        <w:rPr>
          <w:rFonts w:ascii="Arial" w:cs="Arial" w:eastAsia="Arial" w:hAnsi="Arial"/>
          <w:sz w:val="16"/>
          <w:szCs w:val="16"/>
          <w:color w:val="auto"/>
        </w:rPr>
        <w:t>.</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Date, Time and Place of Special Meeting</w:t>
      </w:r>
    </w:p>
    <w:p>
      <w:pPr>
        <w:spacing w:after="0" w:line="162" w:lineRule="exact"/>
        <w:rPr>
          <w:sz w:val="20"/>
          <w:szCs w:val="20"/>
          <w:color w:val="auto"/>
        </w:rPr>
      </w:pPr>
    </w:p>
    <w:p>
      <w:pPr>
        <w:jc w:val="both"/>
        <w:ind w:left="540" w:right="559"/>
        <w:spacing w:after="0" w:line="258" w:lineRule="auto"/>
        <w:rPr>
          <w:sz w:val="20"/>
          <w:szCs w:val="20"/>
          <w:color w:val="auto"/>
        </w:rPr>
      </w:pPr>
      <w:r>
        <w:rPr>
          <w:rFonts w:ascii="Arial" w:cs="Arial" w:eastAsia="Arial" w:hAnsi="Arial"/>
          <w:sz w:val="18"/>
          <w:szCs w:val="18"/>
          <w:color w:val="auto"/>
        </w:rPr>
        <w:t>The Special Meeting will be held on , 2020, at , Eastern time, conducted via live webcast at the following address . You will need the 12-digit meeting control number that is printed on your</w:t>
      </w:r>
    </w:p>
    <w:p>
      <w:pPr>
        <w:spacing w:after="0" w:line="1"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Only holders of record of issued and outstanding FS Development Common Stock as of the close of business</w:t>
      </w:r>
    </w:p>
    <w:p>
      <w:pPr>
        <w:spacing w:after="0" w:line="46" w:lineRule="exact"/>
        <w:rPr>
          <w:sz w:val="20"/>
          <w:szCs w:val="20"/>
          <w:color w:val="auto"/>
        </w:rPr>
      </w:pPr>
    </w:p>
    <w:p>
      <w:pPr>
        <w:jc w:val="both"/>
        <w:ind w:left="540" w:right="559"/>
        <w:spacing w:after="0" w:line="302" w:lineRule="auto"/>
        <w:rPr>
          <w:sz w:val="20"/>
          <w:szCs w:val="20"/>
          <w:color w:val="auto"/>
        </w:rPr>
      </w:pPr>
      <w:r>
        <w:rPr>
          <w:rFonts w:ascii="Arial" w:cs="Arial" w:eastAsia="Arial" w:hAnsi="Arial"/>
          <w:sz w:val="16"/>
          <w:szCs w:val="16"/>
          <w:color w:val="auto"/>
        </w:rPr>
        <w:t>on , 2020, the Record Date for the Special Meeting, are entitled to notice of, and to vote at, the Special Meeting or any adjournment or postponement of the Special Meeting. You may cast one vote for each share of FS Development Common Stock that you owned as of the close of business on the Record Date.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24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Proxy Solicitation</w:t>
      </w:r>
    </w:p>
    <w:p>
      <w:pPr>
        <w:spacing w:after="0" w:line="162" w:lineRule="exact"/>
        <w:rPr>
          <w:sz w:val="20"/>
          <w:szCs w:val="20"/>
          <w:color w:val="auto"/>
        </w:rPr>
      </w:pPr>
    </w:p>
    <w:p>
      <w:pPr>
        <w:jc w:val="both"/>
        <w:ind w:left="540" w:right="559"/>
        <w:spacing w:after="0" w:line="279" w:lineRule="auto"/>
        <w:rPr>
          <w:sz w:val="20"/>
          <w:szCs w:val="20"/>
          <w:color w:val="auto"/>
        </w:rPr>
      </w:pPr>
      <w:r>
        <w:rPr>
          <w:rFonts w:ascii="Arial" w:cs="Arial" w:eastAsia="Arial" w:hAnsi="Arial"/>
          <w:sz w:val="17"/>
          <w:szCs w:val="17"/>
          <w:color w:val="auto"/>
        </w:rPr>
        <w:t>Proxies may be solicited by mail. We have engaged Morrow Sodali LLC to assist in the solicitation of proxies. If a stockholder grants a proxy, it may still vote its shares online if it revokes its proxy before the Special Meeting. A stockholder may also change its vote by submitting a later-dated proxy as described in the section titled “</w:t>
      </w:r>
      <w:r>
        <w:rPr>
          <w:rFonts w:ascii="Arial" w:cs="Arial" w:eastAsia="Arial" w:hAnsi="Arial"/>
          <w:sz w:val="17"/>
          <w:szCs w:val="17"/>
          <w:i w:val="1"/>
          <w:iCs w:val="1"/>
          <w:color w:val="auto"/>
        </w:rPr>
        <w:t>Special Meeting of FS Development Stockholders — Revoking Your Proxy</w:t>
      </w:r>
      <w:r>
        <w:rPr>
          <w:rFonts w:ascii="Arial" w:cs="Arial" w:eastAsia="Arial" w:hAnsi="Arial"/>
          <w:sz w:val="17"/>
          <w:szCs w:val="17"/>
          <w:color w:val="auto"/>
        </w:rPr>
        <w: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62"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A quorum of FS Development stockholders is necessary to hold a valid meeting. A quorum will be present at the Special Meeting if the holders of a majority of the FS Development Common Stock outstanding and entitled to vote at the Special Meeting is represented in person, online or by proxy at the Special Meeting. Abstentions will count as present for the purposes of establishing a quorum. Broker non-votes will not be counted for purposes of establishing a quorum.</w:t>
      </w:r>
    </w:p>
    <w:p>
      <w:pPr>
        <w:spacing w:after="0" w:line="107" w:lineRule="exact"/>
        <w:rPr>
          <w:sz w:val="20"/>
          <w:szCs w:val="20"/>
          <w:color w:val="auto"/>
        </w:rPr>
      </w:pPr>
    </w:p>
    <w:p>
      <w:pPr>
        <w:jc w:val="both"/>
        <w:ind w:left="540" w:right="559"/>
        <w:spacing w:after="0" w:line="301" w:lineRule="auto"/>
        <w:rPr>
          <w:sz w:val="20"/>
          <w:szCs w:val="20"/>
          <w:color w:val="auto"/>
        </w:rPr>
      </w:pPr>
      <w:r>
        <w:rPr>
          <w:rFonts w:ascii="Arial" w:cs="Arial" w:eastAsia="Arial" w:hAnsi="Arial"/>
          <w:sz w:val="16"/>
          <w:szCs w:val="16"/>
          <w:color w:val="auto"/>
        </w:rPr>
        <w:t>The approval of the Charter Amendment Proposal requires the affirmative vote of a majority of the issued and outstanding FS Development Common Stock voting together as a single class as of the Record Date. Accordingly, a FS Development stockholder’s failure to vote by proxy or to vote in person at the Special Meeting or an abstention will have the same effect as a vote “AGAINST” the Charter Amendment Proposal.</w:t>
      </w:r>
    </w:p>
    <w:p>
      <w:pPr>
        <w:spacing w:after="0" w:line="90" w:lineRule="exact"/>
        <w:rPr>
          <w:sz w:val="20"/>
          <w:szCs w:val="20"/>
          <w:color w:val="auto"/>
        </w:rPr>
      </w:pPr>
    </w:p>
    <w:p>
      <w:pPr>
        <w:jc w:val="both"/>
        <w:ind w:left="540" w:right="559"/>
        <w:spacing w:after="0" w:line="289" w:lineRule="auto"/>
        <w:rPr>
          <w:sz w:val="20"/>
          <w:szCs w:val="20"/>
          <w:color w:val="auto"/>
        </w:rPr>
      </w:pPr>
      <w:r>
        <w:rPr>
          <w:rFonts w:ascii="Arial" w:cs="Arial" w:eastAsia="Arial" w:hAnsi="Arial"/>
          <w:sz w:val="16"/>
          <w:szCs w:val="16"/>
          <w:color w:val="auto"/>
        </w:rPr>
        <w:t>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online or by proxy and entitled to vote thereon at the Special Meeting, voting together a single class. A FS Development stockholder’s failure to vote by proxy or to vote in person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and the Adjournment Proposal.</w:t>
      </w:r>
    </w:p>
    <w:p>
      <w:pPr>
        <w:spacing w:after="0" w:line="99"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6"/>
          <w:szCs w:val="16"/>
          <w:color w:val="auto"/>
        </w:rPr>
        <w:t>Approval of the Nasdaq Stock Issuance Proposal, the Charter Amendment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Unless the Business Combination Proposal is approved, the Nasdaq Stock Issuance Proposal, the Charter Amendment Proposal, and the Incentive Plan Proposal will not be presented to the stockholders of FS Development at the Special Meeting. The Adjournment Proposal is not conditioned on any other Proposal and does not require the approval of any other Proposal to be effective. It is important for you to note that in the event the Business Combination Proposal, the Nasdaq Stock Issuance Proposal, the Charter Amendment Proposal, and the Incentive Plan Proposal do not receive the requisite vote for approval, then FS Development will not consummate the Business Combination. If FS Development does not consummate the Business Combination and fails to complete an initial business combination by August 14, 2022, it will be required to dissolve and liquidate its Trust Account by returning the then remaining funds in such account to its public stockholders.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Recommendation to FS Development Stockholders</w:t>
      </w:r>
    </w:p>
    <w:p>
      <w:pPr>
        <w:spacing w:after="0" w:line="144" w:lineRule="exact"/>
        <w:rPr>
          <w:sz w:val="20"/>
          <w:szCs w:val="20"/>
          <w:color w:val="auto"/>
        </w:rPr>
      </w:pPr>
    </w:p>
    <w:p>
      <w:pPr>
        <w:jc w:val="both"/>
        <w:ind w:left="540" w:right="559"/>
        <w:spacing w:after="0" w:line="266" w:lineRule="auto"/>
        <w:rPr>
          <w:sz w:val="20"/>
          <w:szCs w:val="20"/>
          <w:color w:val="auto"/>
        </w:rPr>
      </w:pPr>
      <w:r>
        <w:rPr>
          <w:rFonts w:ascii="Arial" w:cs="Arial" w:eastAsia="Arial" w:hAnsi="Arial"/>
          <w:sz w:val="18"/>
          <w:szCs w:val="18"/>
          <w:b w:val="1"/>
          <w:bCs w:val="1"/>
          <w:color w:val="auto"/>
        </w:rPr>
        <w:t>The Board believes that the Proposals to be presented at the Special Meeting are in the best interests of FS Development and its stockholders and unanimously recommends that FS Development stockholders vote “FOR” the Proposals.</w:t>
      </w:r>
    </w:p>
    <w:p>
      <w:pPr>
        <w:spacing w:after="0" w:line="11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When you consider the recommendation of the Board in favor of approval of these Proposals, you should keep in mind that FS Development directors and officers have interests in the Business Combination that are different from or in addition to (and which may conflict with) your interests as a stockholder. These interests include, among other things:</w:t>
      </w:r>
    </w:p>
    <w:p>
      <w:pPr>
        <w:spacing w:after="0" w:line="119" w:lineRule="exact"/>
        <w:rPr>
          <w:sz w:val="20"/>
          <w:szCs w:val="20"/>
          <w:color w:val="auto"/>
        </w:rPr>
      </w:pPr>
    </w:p>
    <w:p>
      <w:pPr>
        <w:jc w:val="both"/>
        <w:ind w:left="1400" w:right="559" w:hanging="424"/>
        <w:spacing w:after="0" w:line="272" w:lineRule="auto"/>
        <w:tabs>
          <w:tab w:leader="none" w:pos="1485" w:val="left"/>
        </w:tabs>
        <w:numPr>
          <w:ilvl w:val="0"/>
          <w:numId w:val="99"/>
        </w:numPr>
        <w:rPr>
          <w:rFonts w:ascii="Arial" w:cs="Arial" w:eastAsia="Arial" w:hAnsi="Arial"/>
          <w:sz w:val="17"/>
          <w:szCs w:val="17"/>
          <w:color w:val="auto"/>
        </w:rPr>
      </w:pPr>
      <w:r>
        <w:rPr>
          <w:rFonts w:ascii="Arial" w:cs="Arial" w:eastAsia="Arial" w:hAnsi="Arial"/>
          <w:sz w:val="17"/>
          <w:szCs w:val="17"/>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FS Development’s taxes (less up to $100,000 of interest to pay dissolution expenses), divided by the number of then outstanding</w:t>
      </w:r>
    </w:p>
    <w:p>
      <w:pPr>
        <w:sectPr>
          <w:pgSz w:w="11900" w:h="16838" w:orient="portrait"/>
          <w:cols w:equalWidth="0" w:num="1">
            <w:col w:w="9019"/>
          </w:cols>
          <w:pgMar w:left="1440" w:top="274" w:right="1440"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763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1400" w:right="559"/>
        <w:spacing w:after="0" w:line="255" w:lineRule="auto"/>
        <w:rPr>
          <w:sz w:val="20"/>
          <w:szCs w:val="20"/>
          <w:color w:val="auto"/>
        </w:rPr>
      </w:pPr>
      <w:r>
        <w:rPr>
          <w:rFonts w:ascii="Arial" w:cs="Arial" w:eastAsia="Arial" w:hAnsi="Arial"/>
          <w:sz w:val="18"/>
          <w:szCs w:val="18"/>
          <w:color w:val="auto"/>
        </w:rPr>
        <w:t>Public Shares, which redemption will completely extinguish public stockholders’ rights as stockholders (including the right to receive further liquidating distributions, if any), and (iii)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pacing w:after="0" w:line="125" w:lineRule="exact"/>
        <w:rPr>
          <w:sz w:val="20"/>
          <w:szCs w:val="20"/>
          <w:color w:val="auto"/>
        </w:rPr>
      </w:pPr>
    </w:p>
    <w:p>
      <w:pPr>
        <w:jc w:val="both"/>
        <w:ind w:left="1400" w:right="559" w:hanging="424"/>
        <w:spacing w:after="0" w:line="259" w:lineRule="auto"/>
        <w:tabs>
          <w:tab w:leader="none" w:pos="148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There will be no liquidating distributions from the Trust Account with respect to the Founders Shares if FS Development fails to complete a business combination within the required period. FS Development’s initial stockholders purchased the Founders Shares prior to the FS Development IPO for an aggregate purchase price of $25,000.</w:t>
      </w:r>
    </w:p>
    <w:p>
      <w:pPr>
        <w:spacing w:after="0" w:line="105" w:lineRule="exact"/>
        <w:rPr>
          <w:rFonts w:ascii="Arial" w:cs="Arial" w:eastAsia="Arial" w:hAnsi="Arial"/>
          <w:sz w:val="18"/>
          <w:szCs w:val="18"/>
          <w:color w:val="auto"/>
        </w:rPr>
      </w:pPr>
    </w:p>
    <w:p>
      <w:pPr>
        <w:jc w:val="both"/>
        <w:ind w:left="1400" w:right="559" w:hanging="424"/>
        <w:spacing w:after="0" w:line="273" w:lineRule="auto"/>
        <w:tabs>
          <w:tab w:leader="none" w:pos="141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Simultaneously with the closing of the FS Development IPO, FS Development consummated the sale of 441,500 shares of FS Development Class A common stock at a price of $10.00 per share in a private placement to the Sponsor. If FS Development does not consummate a business combination transaction by August 14, 2022, then the proceeds from the sale of the private placement shares will be part of the liquidating distribution to the public stockholders and the shares held by FS Development’s initial stockholders will be worthless.</w:t>
      </w:r>
    </w:p>
    <w:p>
      <w:pPr>
        <w:spacing w:after="0" w:line="110" w:lineRule="exact"/>
        <w:rPr>
          <w:rFonts w:ascii="Arial" w:cs="Arial" w:eastAsia="Arial" w:hAnsi="Arial"/>
          <w:sz w:val="17"/>
          <w:szCs w:val="17"/>
          <w:color w:val="auto"/>
        </w:rPr>
      </w:pPr>
    </w:p>
    <w:p>
      <w:pPr>
        <w:jc w:val="both"/>
        <w:ind w:left="1400" w:right="559" w:hanging="424"/>
        <w:spacing w:after="0" w:line="275" w:lineRule="auto"/>
        <w:tabs>
          <w:tab w:leader="none" w:pos="152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8" w:lineRule="exact"/>
        <w:rPr>
          <w:rFonts w:ascii="Arial" w:cs="Arial" w:eastAsia="Arial" w:hAnsi="Arial"/>
          <w:sz w:val="17"/>
          <w:szCs w:val="17"/>
          <w:color w:val="auto"/>
        </w:rPr>
      </w:pPr>
    </w:p>
    <w:p>
      <w:pPr>
        <w:jc w:val="both"/>
        <w:ind w:left="1400" w:right="559" w:hanging="424"/>
        <w:spacing w:after="0" w:line="286" w:lineRule="auto"/>
        <w:tabs>
          <w:tab w:leader="none" w:pos="140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FS Development’s initial stockholders and officers and directors have agreed to waive their rights to liquidating distributions from the Trust Account with respect to their Founders Shares if FS Development fails to complete a business combination by August 14, 2022.</w:t>
      </w:r>
    </w:p>
    <w:p>
      <w:pPr>
        <w:spacing w:after="0" w:line="84" w:lineRule="exact"/>
        <w:rPr>
          <w:rFonts w:ascii="Arial" w:cs="Arial" w:eastAsia="Arial" w:hAnsi="Arial"/>
          <w:sz w:val="17"/>
          <w:szCs w:val="17"/>
          <w:color w:val="auto"/>
        </w:rPr>
      </w:pPr>
    </w:p>
    <w:p>
      <w:pPr>
        <w:jc w:val="both"/>
        <w:ind w:left="1400" w:right="559" w:hanging="424"/>
        <w:spacing w:after="0" w:line="271" w:lineRule="auto"/>
        <w:tabs>
          <w:tab w:leader="none" w:pos="144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10" w:lineRule="exact"/>
        <w:rPr>
          <w:rFonts w:ascii="Arial" w:cs="Arial" w:eastAsia="Arial" w:hAnsi="Arial"/>
          <w:sz w:val="17"/>
          <w:szCs w:val="17"/>
          <w:color w:val="auto"/>
        </w:rPr>
      </w:pPr>
    </w:p>
    <w:p>
      <w:pPr>
        <w:jc w:val="both"/>
        <w:ind w:left="1400" w:right="559" w:hanging="424"/>
        <w:spacing w:after="0" w:line="272" w:lineRule="auto"/>
        <w:tabs>
          <w:tab w:leader="none" w:pos="148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09" w:lineRule="exact"/>
        <w:rPr>
          <w:rFonts w:ascii="Arial" w:cs="Arial" w:eastAsia="Arial" w:hAnsi="Arial"/>
          <w:sz w:val="17"/>
          <w:szCs w:val="17"/>
          <w:color w:val="auto"/>
        </w:rPr>
      </w:pPr>
    </w:p>
    <w:p>
      <w:pPr>
        <w:jc w:val="both"/>
        <w:ind w:left="1400" w:right="559" w:hanging="424"/>
        <w:spacing w:after="0" w:line="263" w:lineRule="auto"/>
        <w:tabs>
          <w:tab w:leader="none" w:pos="152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Following the consummation of the Business Combination, FS Development will continue to indemnify FS Development’s existing directors and officers and will maintain a directors’ and officers’ liability insurance policy.</w:t>
      </w:r>
    </w:p>
    <w:p>
      <w:pPr>
        <w:spacing w:after="0" w:line="102" w:lineRule="exact"/>
        <w:rPr>
          <w:rFonts w:ascii="Arial" w:cs="Arial" w:eastAsia="Arial" w:hAnsi="Arial"/>
          <w:sz w:val="18"/>
          <w:szCs w:val="18"/>
          <w:color w:val="auto"/>
        </w:rPr>
      </w:pPr>
    </w:p>
    <w:p>
      <w:pPr>
        <w:jc w:val="both"/>
        <w:ind w:left="1400" w:right="559" w:hanging="424"/>
        <w:spacing w:after="0" w:line="272" w:lineRule="auto"/>
        <w:tabs>
          <w:tab w:leader="none" w:pos="151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In evaluating the proposals set forth in this proxy statement/prospectus, you should carefully read this proxy statement/prospectus, including the annexes, and especially consider the factors discussed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13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901382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Exchange Listing</w:t>
      </w:r>
    </w:p>
    <w:p>
      <w:pPr>
        <w:spacing w:after="0" w:line="162"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FS Development’s Class A Common Stock is publicly traded on Nasdaq, under the symbol “FSDC.” FS Development intends to apply to list the common stock of the Combined Entity on Nasdaq under the symbol “GMNI”, upon the Closing.</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6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 xml:space="preserve">The following tables summarizes the sources and uses for funding the Business Combination based on (i) the assumption that there will be no redemptions and (ii) the assumption that there will be maximum redemptions. See section 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for further information.</w:t>
      </w:r>
    </w:p>
    <w:p>
      <w:pPr>
        <w:spacing w:after="0" w:line="106" w:lineRule="exact"/>
        <w:rPr>
          <w:sz w:val="20"/>
          <w:szCs w:val="20"/>
          <w:color w:val="auto"/>
        </w:rPr>
      </w:pPr>
    </w:p>
    <w:p>
      <w:pPr>
        <w:ind w:left="940" w:hanging="396"/>
        <w:spacing w:after="0"/>
        <w:tabs>
          <w:tab w:leader="none" w:pos="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redemptions</w:t>
      </w:r>
    </w:p>
    <w:p>
      <w:pPr>
        <w:spacing w:after="0" w:line="284"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60" w:type="dxa"/>
            <w:vAlign w:val="bottom"/>
          </w:tcPr>
          <w:p>
            <w:pPr>
              <w:ind w:left="500"/>
              <w:spacing w:after="0"/>
              <w:rPr>
                <w:sz w:val="20"/>
                <w:szCs w:val="20"/>
                <w:color w:val="auto"/>
              </w:rPr>
            </w:pPr>
            <w:r>
              <w:rPr>
                <w:rFonts w:ascii="Arial" w:cs="Arial" w:eastAsia="Arial" w:hAnsi="Arial"/>
                <w:sz w:val="14"/>
                <w:szCs w:val="14"/>
                <w:b w:val="1"/>
                <w:bCs w:val="1"/>
                <w:color w:val="auto"/>
              </w:rPr>
              <w:t>Sources of Funds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tcPr>
          <w:p>
            <w:pPr>
              <w:ind w:left="1920"/>
              <w:spacing w:after="0"/>
              <w:rPr>
                <w:sz w:val="20"/>
                <w:szCs w:val="20"/>
                <w:color w:val="auto"/>
              </w:rPr>
            </w:pPr>
            <w:r>
              <w:rPr>
                <w:rFonts w:ascii="Arial" w:cs="Arial" w:eastAsia="Arial" w:hAnsi="Arial"/>
                <w:sz w:val="14"/>
                <w:szCs w:val="14"/>
                <w:b w:val="1"/>
                <w:bCs w:val="1"/>
                <w:color w:val="auto"/>
              </w:rPr>
              <w:t>Uses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Existing Cash in Trust Account</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120,750</w:t>
            </w:r>
          </w:p>
        </w:tc>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Gemini Equityholders’ Retained Equity</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Arial" w:cs="Arial" w:eastAsia="Arial" w:hAnsi="Arial"/>
                <w:sz w:val="16"/>
                <w:szCs w:val="16"/>
                <w:color w:val="auto"/>
              </w:rPr>
              <w:t>PIPE Investment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95,060</w:t>
            </w:r>
          </w:p>
        </w:tc>
        <w:tc>
          <w:tcPr>
            <w:tcW w:w="3160" w:type="dxa"/>
            <w:vAlign w:val="bottom"/>
          </w:tcPr>
          <w:p>
            <w:pPr>
              <w:ind w:left="100"/>
              <w:spacing w:after="0"/>
              <w:rPr>
                <w:sz w:val="20"/>
                <w:szCs w:val="20"/>
                <w:color w:val="auto"/>
              </w:rPr>
            </w:pPr>
            <w:r>
              <w:rPr>
                <w:rFonts w:ascii="Arial" w:cs="Arial" w:eastAsia="Arial" w:hAnsi="Arial"/>
                <w:sz w:val="16"/>
                <w:szCs w:val="16"/>
                <w:color w:val="auto"/>
              </w:rPr>
              <w:t>Remaining Cash on Balance Sheet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196,360</w:t>
            </w: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215,000</w:t>
            </w:r>
          </w:p>
        </w:tc>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Value</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gridSpan w:val="2"/>
          </w:tcPr>
          <w:p>
            <w:pPr>
              <w:spacing w:after="0" w:line="122" w:lineRule="exact"/>
              <w:rPr>
                <w:sz w:val="20"/>
                <w:szCs w:val="20"/>
                <w:color w:val="auto"/>
              </w:rPr>
            </w:pPr>
            <w:r>
              <w:rPr>
                <w:rFonts w:ascii="Arial" w:cs="Arial" w:eastAsia="Arial" w:hAnsi="Arial"/>
                <w:sz w:val="14"/>
                <w:szCs w:val="14"/>
                <w:color w:val="auto"/>
              </w:rPr>
              <w:t>Total Sources</w:t>
            </w:r>
          </w:p>
        </w:tc>
        <w:tc>
          <w:tcPr>
            <w:tcW w:w="260" w:type="dxa"/>
            <w:vAlign w:val="bottom"/>
          </w:tcPr>
          <w:p>
            <w:pPr>
              <w:spacing w:after="0"/>
              <w:rPr>
                <w:sz w:val="12"/>
                <w:szCs w:val="12"/>
                <w:color w:val="auto"/>
              </w:rPr>
            </w:pPr>
          </w:p>
        </w:tc>
        <w:tc>
          <w:tcPr>
            <w:tcW w:w="160" w:type="dxa"/>
            <w:vAlign w:val="bottom"/>
            <w:tcBorders>
              <w:top w:val="single" w:sz="8" w:color="auto"/>
            </w:tcBorders>
          </w:tcPr>
          <w:p>
            <w:pPr>
              <w:jc w:val="right"/>
              <w:ind w:right="9"/>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430,810</w:t>
            </w:r>
          </w:p>
        </w:tc>
        <w:tc>
          <w:tcPr>
            <w:tcW w:w="3160" w:type="dxa"/>
            <w:vAlign w:val="bottom"/>
          </w:tcPr>
          <w:p>
            <w:pPr>
              <w:ind w:left="100"/>
              <w:spacing w:after="0" w:line="122" w:lineRule="exact"/>
              <w:rPr>
                <w:sz w:val="20"/>
                <w:szCs w:val="20"/>
                <w:color w:val="auto"/>
              </w:rPr>
            </w:pPr>
            <w:r>
              <w:rPr>
                <w:rFonts w:ascii="Arial" w:cs="Arial" w:eastAsia="Arial" w:hAnsi="Arial"/>
                <w:sz w:val="14"/>
                <w:szCs w:val="14"/>
                <w:color w:val="auto"/>
              </w:rPr>
              <w:t>Total Uses</w:t>
            </w:r>
          </w:p>
        </w:tc>
        <w:tc>
          <w:tcPr>
            <w:tcW w:w="2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430,810</w:t>
            </w:r>
          </w:p>
        </w:tc>
        <w:tc>
          <w:tcPr>
            <w:tcW w:w="0" w:type="dxa"/>
            <w:vAlign w:val="bottom"/>
          </w:tcPr>
          <w:p>
            <w:pPr>
              <w:spacing w:after="0"/>
              <w:rPr>
                <w:sz w:val="1"/>
                <w:szCs w:val="1"/>
                <w:color w:val="auto"/>
              </w:rPr>
            </w:pPr>
          </w:p>
        </w:tc>
      </w:tr>
      <w:tr>
        <w:trPr>
          <w:trHeight w:val="88"/>
        </w:trPr>
        <w:tc>
          <w:tcPr>
            <w:tcW w:w="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(ii) Maximum redemptions</w:t>
      </w:r>
    </w:p>
    <w:p>
      <w:pPr>
        <w:spacing w:after="0" w:line="271"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60" w:type="dxa"/>
            <w:vAlign w:val="bottom"/>
          </w:tcPr>
          <w:p>
            <w:pPr>
              <w:ind w:left="500"/>
              <w:spacing w:after="0"/>
              <w:rPr>
                <w:sz w:val="20"/>
                <w:szCs w:val="20"/>
                <w:color w:val="auto"/>
              </w:rPr>
            </w:pPr>
            <w:r>
              <w:rPr>
                <w:rFonts w:ascii="Arial" w:cs="Arial" w:eastAsia="Arial" w:hAnsi="Arial"/>
                <w:sz w:val="14"/>
                <w:szCs w:val="14"/>
                <w:b w:val="1"/>
                <w:bCs w:val="1"/>
                <w:color w:val="auto"/>
              </w:rPr>
              <w:t>Sources of Funds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tcPr>
          <w:p>
            <w:pPr>
              <w:ind w:left="1920"/>
              <w:spacing w:after="0"/>
              <w:rPr>
                <w:sz w:val="20"/>
                <w:szCs w:val="20"/>
                <w:color w:val="auto"/>
              </w:rPr>
            </w:pPr>
            <w:r>
              <w:rPr>
                <w:rFonts w:ascii="Arial" w:cs="Arial" w:eastAsia="Arial" w:hAnsi="Arial"/>
                <w:sz w:val="14"/>
                <w:szCs w:val="14"/>
                <w:b w:val="1"/>
                <w:bCs w:val="1"/>
                <w:color w:val="auto"/>
              </w:rPr>
              <w:t>Uses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Existing Cash in Trust Account</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Gemini Equityholders’ Retained Equity</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Arial" w:cs="Arial" w:eastAsia="Arial" w:hAnsi="Arial"/>
                <w:sz w:val="16"/>
                <w:szCs w:val="16"/>
                <w:color w:val="auto"/>
              </w:rPr>
              <w:t>PIPE Investment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95,060</w:t>
            </w:r>
          </w:p>
        </w:tc>
        <w:tc>
          <w:tcPr>
            <w:tcW w:w="3160" w:type="dxa"/>
            <w:vAlign w:val="bottom"/>
          </w:tcPr>
          <w:p>
            <w:pPr>
              <w:ind w:left="100"/>
              <w:spacing w:after="0"/>
              <w:rPr>
                <w:sz w:val="20"/>
                <w:szCs w:val="20"/>
                <w:color w:val="auto"/>
              </w:rPr>
            </w:pPr>
            <w:r>
              <w:rPr>
                <w:rFonts w:ascii="Arial" w:cs="Arial" w:eastAsia="Arial" w:hAnsi="Arial"/>
                <w:sz w:val="16"/>
                <w:szCs w:val="16"/>
                <w:color w:val="auto"/>
              </w:rPr>
              <w:t>Remaining Cash on Balance Sheet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80,610</w:t>
            </w: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215,000</w:t>
            </w:r>
          </w:p>
        </w:tc>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Value</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gridSpan w:val="2"/>
          </w:tcPr>
          <w:p>
            <w:pPr>
              <w:spacing w:after="0" w:line="122" w:lineRule="exact"/>
              <w:rPr>
                <w:sz w:val="20"/>
                <w:szCs w:val="20"/>
                <w:color w:val="auto"/>
              </w:rPr>
            </w:pPr>
            <w:r>
              <w:rPr>
                <w:rFonts w:ascii="Arial" w:cs="Arial" w:eastAsia="Arial" w:hAnsi="Arial"/>
                <w:sz w:val="14"/>
                <w:szCs w:val="14"/>
                <w:color w:val="auto"/>
              </w:rPr>
              <w:t>Total Sources</w:t>
            </w:r>
          </w:p>
        </w:tc>
        <w:tc>
          <w:tcPr>
            <w:tcW w:w="260" w:type="dxa"/>
            <w:vAlign w:val="bottom"/>
          </w:tcPr>
          <w:p>
            <w:pPr>
              <w:spacing w:after="0"/>
              <w:rPr>
                <w:sz w:val="12"/>
                <w:szCs w:val="12"/>
                <w:color w:val="auto"/>
              </w:rPr>
            </w:pPr>
          </w:p>
        </w:tc>
        <w:tc>
          <w:tcPr>
            <w:tcW w:w="160" w:type="dxa"/>
            <w:vAlign w:val="bottom"/>
            <w:tcBorders>
              <w:top w:val="single" w:sz="8" w:color="auto"/>
            </w:tcBorders>
          </w:tcPr>
          <w:p>
            <w:pPr>
              <w:jc w:val="right"/>
              <w:ind w:right="9"/>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315,060</w:t>
            </w:r>
          </w:p>
        </w:tc>
        <w:tc>
          <w:tcPr>
            <w:tcW w:w="3160" w:type="dxa"/>
            <w:vAlign w:val="bottom"/>
          </w:tcPr>
          <w:p>
            <w:pPr>
              <w:ind w:left="100"/>
              <w:spacing w:after="0" w:line="122" w:lineRule="exact"/>
              <w:rPr>
                <w:sz w:val="20"/>
                <w:szCs w:val="20"/>
                <w:color w:val="auto"/>
              </w:rPr>
            </w:pPr>
            <w:r>
              <w:rPr>
                <w:rFonts w:ascii="Arial" w:cs="Arial" w:eastAsia="Arial" w:hAnsi="Arial"/>
                <w:sz w:val="14"/>
                <w:szCs w:val="14"/>
                <w:color w:val="auto"/>
              </w:rPr>
              <w:t>Total Uses</w:t>
            </w:r>
          </w:p>
        </w:tc>
        <w:tc>
          <w:tcPr>
            <w:tcW w:w="2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315,060</w:t>
            </w:r>
          </w:p>
        </w:tc>
        <w:tc>
          <w:tcPr>
            <w:tcW w:w="0" w:type="dxa"/>
            <w:vAlign w:val="bottom"/>
          </w:tcPr>
          <w:p>
            <w:pPr>
              <w:spacing w:after="0"/>
              <w:rPr>
                <w:sz w:val="1"/>
                <w:szCs w:val="1"/>
                <w:color w:val="auto"/>
              </w:rPr>
            </w:pPr>
          </w:p>
        </w:tc>
      </w:tr>
      <w:tr>
        <w:trPr>
          <w:trHeight w:val="88"/>
        </w:trPr>
        <w:tc>
          <w:tcPr>
            <w:tcW w:w="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Comparison of Stockholder Rights</w:t>
      </w:r>
    </w:p>
    <w:p>
      <w:pPr>
        <w:spacing w:after="0" w:line="162" w:lineRule="exact"/>
        <w:rPr>
          <w:sz w:val="20"/>
          <w:szCs w:val="20"/>
          <w:color w:val="auto"/>
        </w:rPr>
      </w:pPr>
    </w:p>
    <w:p>
      <w:pPr>
        <w:jc w:val="both"/>
        <w:ind w:left="540" w:right="559"/>
        <w:spacing w:after="0" w:line="308" w:lineRule="auto"/>
        <w:rPr>
          <w:sz w:val="20"/>
          <w:szCs w:val="20"/>
          <w:color w:val="auto"/>
        </w:rPr>
      </w:pPr>
      <w:r>
        <w:rPr>
          <w:rFonts w:ascii="Arial" w:cs="Arial" w:eastAsia="Arial" w:hAnsi="Arial"/>
          <w:sz w:val="17"/>
          <w:szCs w:val="17"/>
          <w:color w:val="auto"/>
        </w:rPr>
        <w:t>Following the Closing, the rights of the Combined Entity’s Stockholders will be governed by the Proposed Charter and the Amended By-laws. See the section titled “</w:t>
      </w:r>
      <w:r>
        <w:rPr>
          <w:rFonts w:ascii="Arial" w:cs="Arial" w:eastAsia="Arial" w:hAnsi="Arial"/>
          <w:sz w:val="17"/>
          <w:szCs w:val="17"/>
          <w:i w:val="1"/>
          <w:iCs w:val="1"/>
          <w:color w:val="auto"/>
        </w:rPr>
        <w:t>Comparison of Stockholder Rights</w:t>
      </w:r>
      <w:r>
        <w:rPr>
          <w:rFonts w:ascii="Arial" w:cs="Arial" w:eastAsia="Arial" w:hAnsi="Arial"/>
          <w:sz w:val="17"/>
          <w:szCs w:val="17"/>
          <w:color w:val="auto"/>
        </w:rPr>
        <w:t>.”</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Emerging Growth Company</w:t>
      </w:r>
    </w:p>
    <w:p>
      <w:pPr>
        <w:spacing w:after="0" w:line="158" w:lineRule="exact"/>
        <w:rPr>
          <w:sz w:val="20"/>
          <w:szCs w:val="20"/>
          <w:color w:val="auto"/>
        </w:rPr>
      </w:pPr>
    </w:p>
    <w:p>
      <w:pPr>
        <w:jc w:val="both"/>
        <w:ind w:left="540" w:right="559"/>
        <w:spacing w:after="0" w:line="287" w:lineRule="auto"/>
        <w:rPr>
          <w:sz w:val="20"/>
          <w:szCs w:val="20"/>
          <w:color w:val="auto"/>
        </w:rPr>
      </w:pPr>
      <w:r>
        <w:rPr>
          <w:rFonts w:ascii="Arial" w:cs="Arial" w:eastAsia="Arial" w:hAnsi="Arial"/>
          <w:sz w:val="16"/>
          <w:szCs w:val="16"/>
          <w:color w:val="auto"/>
        </w:rPr>
        <w:t>Section 102(b)(1) of the Jumpstart Our Business Startups Act of 2012 (the “</w:t>
      </w:r>
      <w:r>
        <w:rPr>
          <w:rFonts w:ascii="Arial" w:cs="Arial" w:eastAsia="Arial" w:hAnsi="Arial"/>
          <w:sz w:val="16"/>
          <w:szCs w:val="16"/>
          <w:b w:val="1"/>
          <w:bCs w:val="1"/>
          <w:color w:val="auto"/>
        </w:rPr>
        <w:t>JOBS Act</w:t>
      </w:r>
      <w:r>
        <w:rPr>
          <w:rFonts w:ascii="Arial" w:cs="Arial" w:eastAsia="Arial" w:hAnsi="Arial"/>
          <w:sz w:val="16"/>
          <w:szCs w:val="16"/>
          <w:color w:val="auto"/>
        </w:rPr>
        <w: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jc w:val="both"/>
        <w:ind w:left="540" w:right="559" w:firstLine="4"/>
        <w:spacing w:after="0" w:line="270" w:lineRule="auto"/>
        <w:tabs>
          <w:tab w:leader="none" w:pos="80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following the fifth anniversary of the closing of our initial public offering, (b) in which we have total annual gross revenue of at least $1.07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ectPr>
          <w:pgSz w:w="11900" w:h="16838" w:orient="portrait"/>
          <w:cols w:equalWidth="0" w:num="1">
            <w:col w:w="9019"/>
          </w:cols>
          <w:pgMar w:left="1440" w:top="274" w:right="1440" w:bottom="1440" w:gutter="0" w:footer="0" w:header="0"/>
          <w:type w:val="continuous"/>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15817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158178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Smaller Reporting Company</w:t>
      </w:r>
    </w:p>
    <w:p>
      <w:pPr>
        <w:spacing w:after="0" w:line="162"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10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86106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AND OTHER DATA OF GEMINI</w:t>
      </w:r>
    </w:p>
    <w:p>
      <w:pPr>
        <w:spacing w:after="0" w:line="162" w:lineRule="exact"/>
        <w:rPr>
          <w:sz w:val="20"/>
          <w:szCs w:val="20"/>
          <w:color w:val="auto"/>
        </w:rPr>
      </w:pPr>
    </w:p>
    <w:p>
      <w:pPr>
        <w:jc w:val="both"/>
        <w:ind w:left="540" w:right="559"/>
        <w:spacing w:after="0" w:line="287" w:lineRule="auto"/>
        <w:rPr>
          <w:sz w:val="20"/>
          <w:szCs w:val="20"/>
          <w:color w:val="auto"/>
        </w:rPr>
      </w:pPr>
      <w:r>
        <w:rPr>
          <w:rFonts w:ascii="Arial" w:cs="Arial" w:eastAsia="Arial" w:hAnsi="Arial"/>
          <w:sz w:val="16"/>
          <w:szCs w:val="16"/>
          <w:color w:val="auto"/>
        </w:rPr>
        <w:t>The following tables summarize Gemini’s financial and other data. Gemini has derived the summary statements of operations data for the years ended December 31, 2018 and 2019 and the balance sheet data as of December 31, 2019 from its audited financial statements included elsewhere in this proxy statement/prospectus. The summary statements of operations data for the six months ended June 30, 2019 and 2020 and the summary balance sheet data as of June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00" w:lineRule="exact"/>
        <w:rPr>
          <w:sz w:val="20"/>
          <w:szCs w:val="20"/>
          <w:color w:val="auto"/>
        </w:rPr>
      </w:pPr>
    </w:p>
    <w:p>
      <w:pPr>
        <w:jc w:val="both"/>
        <w:ind w:left="540" w:right="559"/>
        <w:spacing w:after="0" w:line="311" w:lineRule="auto"/>
        <w:rPr>
          <w:sz w:val="20"/>
          <w:szCs w:val="20"/>
          <w:color w:val="auto"/>
        </w:rPr>
      </w:pPr>
      <w:r>
        <w:rPr>
          <w:rFonts w:ascii="Arial" w:cs="Arial" w:eastAsia="Arial" w:hAnsi="Arial"/>
          <w:sz w:val="16"/>
          <w:szCs w:val="16"/>
          <w:color w:val="auto"/>
        </w:rPr>
        <w:t>You should read this data together with Gemini’s financial statements and related notes included elsewhere in this proxy statement/prospectus and the sections titled “</w:t>
      </w:r>
      <w:r>
        <w:rPr>
          <w:rFonts w:ascii="Arial" w:cs="Arial" w:eastAsia="Arial" w:hAnsi="Arial"/>
          <w:sz w:val="16"/>
          <w:szCs w:val="16"/>
          <w:i w:val="1"/>
          <w:iCs w:val="1"/>
          <w:color w:val="auto"/>
        </w:rPr>
        <w:t>Selected Financial and Other Data of Gemini</w:t>
      </w:r>
      <w:r>
        <w:rPr>
          <w:rFonts w:ascii="Arial" w:cs="Arial" w:eastAsia="Arial" w:hAnsi="Arial"/>
          <w:sz w:val="16"/>
          <w:szCs w:val="16"/>
          <w:color w:val="auto"/>
        </w:rPr>
        <w:t>” and “</w:t>
      </w:r>
      <w:r>
        <w:rPr>
          <w:rFonts w:ascii="Arial" w:cs="Arial" w:eastAsia="Arial" w:hAnsi="Arial"/>
          <w:sz w:val="16"/>
          <w:szCs w:val="16"/>
          <w:i w:val="1"/>
          <w:iCs w:val="1"/>
          <w:color w:val="auto"/>
        </w:rPr>
        <w:t>Management’s Discussion and Analysis of Financial Condition and Results of Operations of Gemini</w:t>
      </w:r>
      <w:r>
        <w:rPr>
          <w:rFonts w:ascii="Arial" w:cs="Arial" w:eastAsia="Arial" w:hAnsi="Arial"/>
          <w:sz w:val="16"/>
          <w:szCs w:val="16"/>
          <w:color w:val="auto"/>
        </w:rPr>
        <w:t>.”</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Statements of Operations and Comprehensive Loss Data:</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8"/>
          </w:tcPr>
          <w:p>
            <w:pPr>
              <w:ind w:left="40"/>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4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14,651</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34,472</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18,151</w:t>
            </w:r>
          </w:p>
        </w:tc>
        <w:tc>
          <w:tcPr>
            <w:tcW w:w="80" w:type="dxa"/>
            <w:vAlign w:val="bottom"/>
          </w:tcPr>
          <w:p>
            <w:pPr>
              <w:spacing w:after="0"/>
              <w:rPr>
                <w:sz w:val="21"/>
                <w:szCs w:val="21"/>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13,745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20,191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41,225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3460" w:type="dxa"/>
            <w:vAlign w:val="bottom"/>
            <w:gridSpan w:val="2"/>
            <w:vMerge w:val="continue"/>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(20,167</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(41,400</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(20,997</w:t>
            </w:r>
          </w:p>
        </w:tc>
        <w:tc>
          <w:tcPr>
            <w:tcW w:w="80" w:type="dxa"/>
            <w:vAlign w:val="bottom"/>
            <w:vMerge w:val="continue"/>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(16,519</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5"/>
              </w:rPr>
              <w:t>Net loss attributable to common stockholders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
              <w:spacing w:after="0"/>
              <w:rPr>
                <w:sz w:val="20"/>
                <w:szCs w:val="20"/>
                <w:color w:val="auto"/>
              </w:rPr>
            </w:pPr>
            <w:r>
              <w:rPr>
                <w:rFonts w:ascii="Arial" w:cs="Arial" w:eastAsia="Arial" w:hAnsi="Arial"/>
                <w:sz w:val="18"/>
                <w:szCs w:val="18"/>
                <w:color w:val="auto"/>
              </w:rPr>
              <w:t>(4.19)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Weighted average common shares outstanding,</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4,811,641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5,171,537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5,095,813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5,465,177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Statements of Balance Sheet Data: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7"/>
          </w:tcPr>
          <w:p>
            <w:pPr>
              <w:jc w:val="right"/>
              <w:ind w:right="681"/>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right"/>
              <w:ind w:right="281"/>
              <w:spacing w:after="0"/>
              <w:rPr>
                <w:sz w:val="20"/>
                <w:szCs w:val="20"/>
                <w:color w:val="auto"/>
              </w:rPr>
            </w:pPr>
            <w:r>
              <w:rPr>
                <w:rFonts w:ascii="Arial" w:cs="Arial" w:eastAsia="Arial" w:hAnsi="Arial"/>
                <w:sz w:val="16"/>
                <w:szCs w:val="16"/>
                <w:b w:val="1"/>
                <w:bCs w:val="1"/>
                <w:color w:val="auto"/>
                <w:w w:val="93"/>
              </w:rPr>
              <w:t>June 30,</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4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0"/>
              </w:rPr>
              <w:t>18,528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w w:val="90"/>
              </w:rPr>
              <w:t>21,608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6,144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current portion</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w w:val="94"/>
              </w:rPr>
              <w:t>Term loan, net of current portion and discount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7,411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16,576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w w:val="90"/>
              </w:rPr>
              <w:t>47,113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60,365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80,449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(30,584)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(71,984)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(88,503)</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(29,843)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(70,797)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(87,064)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3441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344170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AND OTHER DATA OF FS DEVELOPMENT</w:t>
      </w:r>
    </w:p>
    <w:p>
      <w:pPr>
        <w:spacing w:after="0" w:line="16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You should read this data together with our financial statements and related notes included elsewhere in this proxy statement/prospectus and the sections titled “</w:t>
      </w:r>
      <w:r>
        <w:rPr>
          <w:rFonts w:ascii="Arial" w:cs="Arial" w:eastAsia="Arial" w:hAnsi="Arial"/>
          <w:sz w:val="18"/>
          <w:szCs w:val="18"/>
          <w:i w:val="1"/>
          <w:iCs w:val="1"/>
          <w:color w:val="auto"/>
        </w:rPr>
        <w:t>Selected Financial and Other Data of FS Development</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 of FS</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r>
        <w:rPr>
          <w:rFonts w:ascii="Arial" w:cs="Arial" w:eastAsia="Arial" w:hAnsi="Arial"/>
          <w:sz w:val="18"/>
          <w:szCs w:val="18"/>
          <w:color w:val="auto"/>
        </w:rPr>
        <w:t>.”</w:t>
      </w:r>
    </w:p>
    <w:p>
      <w:pPr>
        <w:spacing w:after="0" w:line="119"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elsewhere in this proxy statement/prospectus. We have not had any significant operations to date, so only balance sheet data is presented.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June 30,</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August 14,</w:t>
            </w:r>
          </w:p>
        </w:tc>
      </w:tr>
      <w:tr>
        <w:trPr>
          <w:trHeight w:val="210"/>
        </w:trPr>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r>
      <w:tr>
        <w:trPr>
          <w:trHeight w:val="47"/>
        </w:trPr>
        <w:tc>
          <w:tcPr>
            <w:tcW w:w="80" w:type="dxa"/>
            <w:vAlign w:val="bottom"/>
          </w:tcPr>
          <w:p>
            <w:pPr>
              <w:spacing w:after="0"/>
              <w:rPr>
                <w:sz w:val="4"/>
                <w:szCs w:val="4"/>
                <w:color w:val="auto"/>
              </w:rPr>
            </w:pPr>
          </w:p>
        </w:tc>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7"/>
        </w:trPr>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(audited)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(audited)</w:t>
            </w:r>
          </w:p>
        </w:tc>
      </w:tr>
      <w:tr>
        <w:trPr>
          <w:trHeight w:val="47"/>
        </w:trPr>
        <w:tc>
          <w:tcPr>
            <w:tcW w:w="514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63"/>
        </w:trPr>
        <w:tc>
          <w:tcPr>
            <w:tcW w:w="80" w:type="dxa"/>
            <w:vAlign w:val="bottom"/>
          </w:tcPr>
          <w:p>
            <w:pPr>
              <w:spacing w:after="0"/>
              <w:rPr>
                <w:sz w:val="22"/>
                <w:szCs w:val="22"/>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14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1,530,021</w:t>
            </w:r>
          </w:p>
        </w:tc>
        <w:tc>
          <w:tcPr>
            <w:tcW w:w="100" w:type="dxa"/>
            <w:vAlign w:val="bottom"/>
          </w:tcPr>
          <w:p>
            <w:pPr>
              <w:spacing w:after="0"/>
              <w:rPr>
                <w:sz w:val="21"/>
                <w:szCs w:val="21"/>
                <w:color w:val="auto"/>
              </w:rPr>
            </w:pPr>
          </w:p>
        </w:tc>
      </w:tr>
      <w:tr>
        <w:trPr>
          <w:trHeight w:val="40"/>
        </w:trPr>
        <w:tc>
          <w:tcPr>
            <w:tcW w:w="514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78,000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122,701,038</w:t>
            </w:r>
          </w:p>
        </w:tc>
        <w:tc>
          <w:tcPr>
            <w:tcW w:w="100" w:type="dxa"/>
            <w:vAlign w:val="bottom"/>
          </w:tcPr>
          <w:p>
            <w:pPr>
              <w:spacing w:after="0"/>
              <w:rPr>
                <w:sz w:val="22"/>
                <w:szCs w:val="22"/>
                <w:color w:val="auto"/>
              </w:rPr>
            </w:pPr>
          </w:p>
        </w:tc>
      </w:tr>
      <w:tr>
        <w:trPr>
          <w:trHeight w:val="243"/>
        </w:trPr>
        <w:tc>
          <w:tcPr>
            <w:tcW w:w="514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54,500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4,647,267</w:t>
            </w:r>
          </w:p>
        </w:tc>
        <w:tc>
          <w:tcPr>
            <w:tcW w:w="100" w:type="dxa"/>
            <w:vAlign w:val="bottom"/>
          </w:tcPr>
          <w:p>
            <w:pPr>
              <w:spacing w:after="0"/>
              <w:rPr>
                <w:sz w:val="21"/>
                <w:szCs w:val="21"/>
                <w:color w:val="auto"/>
              </w:rPr>
            </w:pPr>
          </w:p>
        </w:tc>
      </w:tr>
      <w:tr>
        <w:trPr>
          <w:trHeight w:val="40"/>
        </w:trPr>
        <w:tc>
          <w:tcPr>
            <w:tcW w:w="514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Value of Class A Common Stock subject to possible redemption</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113,053,770</w:t>
            </w:r>
          </w:p>
        </w:tc>
        <w:tc>
          <w:tcPr>
            <w:tcW w:w="100" w:type="dxa"/>
            <w:vAlign w:val="bottom"/>
          </w:tcPr>
          <w:p>
            <w:pPr>
              <w:spacing w:after="0"/>
              <w:rPr>
                <w:sz w:val="22"/>
                <w:szCs w:val="22"/>
                <w:color w:val="auto"/>
              </w:rPr>
            </w:pPr>
          </w:p>
        </w:tc>
      </w:tr>
      <w:tr>
        <w:trPr>
          <w:trHeight w:val="243"/>
        </w:trPr>
        <w:tc>
          <w:tcPr>
            <w:tcW w:w="5140" w:type="dxa"/>
            <w:vAlign w:val="bottom"/>
            <w:gridSpan w:val="2"/>
          </w:tcPr>
          <w:p>
            <w:pPr>
              <w:ind w:left="80"/>
              <w:spacing w:after="0"/>
              <w:rPr>
                <w:sz w:val="20"/>
                <w:szCs w:val="20"/>
                <w:color w:val="auto"/>
              </w:rPr>
            </w:pPr>
            <w:r>
              <w:rPr>
                <w:rFonts w:ascii="Arial" w:cs="Arial" w:eastAsia="Arial" w:hAnsi="Arial"/>
                <w:sz w:val="18"/>
                <w:szCs w:val="18"/>
                <w:color w:val="auto"/>
              </w:rPr>
              <w:t>Stockholder’s equity</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5,000,001</w:t>
            </w:r>
          </w:p>
        </w:tc>
        <w:tc>
          <w:tcPr>
            <w:tcW w:w="100" w:type="dxa"/>
            <w:vAlign w:val="bottom"/>
          </w:tcPr>
          <w:p>
            <w:pPr>
              <w:spacing w:after="0"/>
              <w:rPr>
                <w:sz w:val="21"/>
                <w:szCs w:val="2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514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85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85852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UNAUDITED PRO FORMA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COMBINED FINANCIAL INFORMATION</w:t>
      </w:r>
    </w:p>
    <w:p>
      <w:pPr>
        <w:spacing w:after="0" w:line="143"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The following summary unaudited pro forma condensed combined financial information has been derived from the unaudited pro forma condensed combined balance sheet as of June 30, 2020 and the unaudited pro forma condensed combined statements of operations for the year ended December 31, 2019 and the six months ended June 30, 2020 included in “</w:t>
      </w:r>
      <w:r>
        <w:rPr>
          <w:rFonts w:ascii="Arial" w:cs="Arial" w:eastAsia="Arial" w:hAnsi="Arial"/>
          <w:sz w:val="18"/>
          <w:szCs w:val="18"/>
          <w:i w:val="1"/>
          <w:iCs w:val="1"/>
          <w:color w:val="auto"/>
        </w:rPr>
        <w:t>Unaudited Pro Forma Condensed Combined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20"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In addition, the unaudited condensed combined pro forma financial information was based on and should be read in conjunction with the historical financial statements of FS Development and Gemini, including the accompanying notes, which are included elsewhere in this proxy statement/prospectus.</w:t>
      </w:r>
    </w:p>
    <w:p>
      <w:pPr>
        <w:spacing w:after="0" w:line="97" w:lineRule="exact"/>
        <w:rPr>
          <w:sz w:val="20"/>
          <w:szCs w:val="20"/>
          <w:color w:val="auto"/>
        </w:rPr>
      </w:pPr>
    </w:p>
    <w:p>
      <w:pPr>
        <w:jc w:val="both"/>
        <w:ind w:left="540" w:right="559"/>
        <w:spacing w:after="0" w:line="271" w:lineRule="auto"/>
        <w:rPr>
          <w:sz w:val="20"/>
          <w:szCs w:val="20"/>
          <w:color w:val="auto"/>
        </w:rPr>
      </w:pPr>
      <w:r>
        <w:rPr>
          <w:rFonts w:ascii="Arial" w:cs="Arial" w:eastAsia="Arial" w:hAnsi="Arial"/>
          <w:sz w:val="17"/>
          <w:szCs w:val="17"/>
          <w:color w:val="auto"/>
        </w:rPr>
        <w:t>The Business Combination will be accounted for as a reverse capitalization, with no goodwill or other intangible assets recorded, in accordance with GAAP. Under this method of accounting, FS Development is treated as the “acquired” company for financial reporting purposes.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are stated at historical cost, with no goodwill or other intangible assets recorded. Operations prior to the Business Combination are those of Gemini.</w:t>
      </w:r>
    </w:p>
    <w:p>
      <w:pPr>
        <w:spacing w:after="0" w:line="111"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two alternative levels of redemption into cash of FS Development Common Stock:</w:t>
      </w:r>
    </w:p>
    <w:p>
      <w:pPr>
        <w:spacing w:after="0" w:line="103" w:lineRule="exact"/>
        <w:rPr>
          <w:sz w:val="20"/>
          <w:szCs w:val="20"/>
          <w:color w:val="auto"/>
        </w:rPr>
      </w:pPr>
    </w:p>
    <w:p>
      <w:pPr>
        <w:ind w:left="1400" w:right="559" w:hanging="424"/>
        <w:spacing w:after="0" w:line="277" w:lineRule="auto"/>
        <w:tabs>
          <w:tab w:leader="none" w:pos="1661"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Assuming No Redemptions</w:t>
      </w:r>
      <w:r>
        <w:rPr>
          <w:rFonts w:ascii="Arial" w:cs="Arial" w:eastAsia="Arial" w:hAnsi="Arial"/>
          <w:sz w:val="18"/>
          <w:szCs w:val="18"/>
          <w:color w:val="auto"/>
        </w:rPr>
        <w:t>: This presentation assumes that no FS Development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exercise redemption rights with respect to their Public Shares.</w:t>
      </w:r>
    </w:p>
    <w:p>
      <w:pPr>
        <w:spacing w:after="0" w:line="89" w:lineRule="exact"/>
        <w:rPr>
          <w:rFonts w:ascii="Arial" w:cs="Arial" w:eastAsia="Arial" w:hAnsi="Arial"/>
          <w:sz w:val="18"/>
          <w:szCs w:val="18"/>
          <w:color w:val="auto"/>
        </w:rPr>
      </w:pPr>
    </w:p>
    <w:p>
      <w:pPr>
        <w:jc w:val="both"/>
        <w:ind w:left="1400" w:right="559" w:hanging="424"/>
        <w:spacing w:after="0" w:line="270" w:lineRule="auto"/>
        <w:tabs>
          <w:tab w:leader="none" w:pos="1539"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Assuming Maximum Redemptions</w:t>
      </w:r>
      <w:r>
        <w:rPr>
          <w:rFonts w:ascii="Arial" w:cs="Arial" w:eastAsia="Arial" w:hAnsi="Arial"/>
          <w:sz w:val="17"/>
          <w:szCs w:val="17"/>
          <w:color w:val="auto"/>
        </w:rPr>
        <w:t>: This presentation assumes that all of FS Development’s</w:t>
      </w:r>
      <w:r>
        <w:rPr>
          <w:rFonts w:ascii="Arial" w:cs="Arial" w:eastAsia="Arial" w:hAnsi="Arial"/>
          <w:sz w:val="17"/>
          <w:szCs w:val="17"/>
          <w:i w:val="1"/>
          <w:iCs w:val="1"/>
          <w:color w:val="auto"/>
        </w:rPr>
        <w:t xml:space="preserve"> </w:t>
      </w:r>
      <w:r>
        <w:rPr>
          <w:rFonts w:ascii="Arial" w:cs="Arial" w:eastAsia="Arial" w:hAnsi="Arial"/>
          <w:sz w:val="17"/>
          <w:szCs w:val="17"/>
          <w:color w:val="auto"/>
        </w:rPr>
        <w:t>public stockholders, without giving effect to the Subscription Agreements entered into by certain FS Development public stockholders participating in the PIPE Investment, exercise redemption rights with respect to their shares of FS Development Class A Common Stock. This scenario assumes that 11,152,375 FS Development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195"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Historical</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Pro forma</w:t>
            </w:r>
          </w:p>
        </w:tc>
      </w:tr>
      <w:tr>
        <w:trPr>
          <w:trHeight w:val="47"/>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2"/>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5"/>
              <w:spacing w:after="0" w:line="182" w:lineRule="exact"/>
              <w:rPr>
                <w:sz w:val="20"/>
                <w:szCs w:val="20"/>
                <w:color w:val="auto"/>
              </w:rPr>
            </w:pPr>
            <w:r>
              <w:rPr>
                <w:rFonts w:ascii="Arial" w:cs="Arial" w:eastAsia="Arial" w:hAnsi="Arial"/>
                <w:sz w:val="16"/>
                <w:szCs w:val="16"/>
                <w:b w:val="1"/>
                <w:bCs w:val="1"/>
                <w:color w:val="auto"/>
                <w:w w:val="93"/>
              </w:rPr>
              <w:t>No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4"/>
              <w:spacing w:after="0" w:line="182" w:lineRule="exact"/>
              <w:rPr>
                <w:sz w:val="20"/>
                <w:szCs w:val="20"/>
                <w:color w:val="auto"/>
              </w:rPr>
            </w:pPr>
            <w:r>
              <w:rPr>
                <w:rFonts w:ascii="Arial" w:cs="Arial" w:eastAsia="Arial" w:hAnsi="Arial"/>
                <w:sz w:val="16"/>
                <w:szCs w:val="16"/>
                <w:b w:val="1"/>
                <w:bCs w:val="1"/>
                <w:color w:val="auto"/>
                <w:w w:val="97"/>
              </w:rPr>
              <w:t>Maximum</w:t>
            </w:r>
          </w:p>
        </w:tc>
      </w:tr>
      <w:tr>
        <w:trPr>
          <w:trHeight w:val="203"/>
        </w:trPr>
        <w:tc>
          <w:tcPr>
            <w:tcW w:w="2960" w:type="dxa"/>
            <w:vAlign w:val="bottom"/>
          </w:tcPr>
          <w:p>
            <w:pPr>
              <w:spacing w:after="0"/>
              <w:rPr>
                <w:sz w:val="20"/>
                <w:szCs w:val="20"/>
                <w:color w:val="auto"/>
              </w:rPr>
            </w:pPr>
            <w:r>
              <w:rPr>
                <w:rFonts w:ascii="Arial" w:cs="Arial" w:eastAsia="Arial" w:hAnsi="Arial"/>
                <w:sz w:val="16"/>
                <w:szCs w:val="16"/>
                <w:b w:val="1"/>
                <w:bCs w:val="1"/>
                <w:color w:val="auto"/>
              </w:rPr>
              <w:t>Statement of Operations – For the Six</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redemption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redemption</w:t>
            </w:r>
          </w:p>
        </w:tc>
      </w:tr>
      <w:tr>
        <w:trPr>
          <w:trHeight w:val="210"/>
        </w:trPr>
        <w:tc>
          <w:tcPr>
            <w:tcW w:w="2960" w:type="dxa"/>
            <w:vAlign w:val="bottom"/>
          </w:tcPr>
          <w:p>
            <w:pPr>
              <w:spacing w:after="0"/>
              <w:rPr>
                <w:sz w:val="20"/>
                <w:szCs w:val="20"/>
                <w:color w:val="auto"/>
              </w:rPr>
            </w:pPr>
            <w:r>
              <w:rPr>
                <w:rFonts w:ascii="Arial" w:cs="Arial" w:eastAsia="Arial" w:hAnsi="Arial"/>
                <w:sz w:val="16"/>
                <w:szCs w:val="16"/>
                <w:b w:val="1"/>
                <w:bCs w:val="1"/>
                <w:color w:val="auto"/>
              </w:rPr>
              <w:t>Months Ended June 30, 2020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6"/>
                <w:szCs w:val="16"/>
                <w:b w:val="1"/>
                <w:bCs w:val="1"/>
                <w:color w:val="auto"/>
              </w:rPr>
              <w:t>FSDC</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Gemini</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scenario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16,299</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(16,299)</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(25,103)</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(0.71)</w:t>
            </w:r>
          </w:p>
        </w:tc>
      </w:tr>
      <w:tr>
        <w:trPr>
          <w:trHeight w:val="453"/>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Historical</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Pro forma</w:t>
            </w:r>
          </w:p>
        </w:tc>
      </w:tr>
      <w:tr>
        <w:trPr>
          <w:trHeight w:val="47"/>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2"/>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5"/>
              <w:spacing w:after="0" w:line="182" w:lineRule="exact"/>
              <w:rPr>
                <w:sz w:val="20"/>
                <w:szCs w:val="20"/>
                <w:color w:val="auto"/>
              </w:rPr>
            </w:pPr>
            <w:r>
              <w:rPr>
                <w:rFonts w:ascii="Arial" w:cs="Arial" w:eastAsia="Arial" w:hAnsi="Arial"/>
                <w:sz w:val="16"/>
                <w:szCs w:val="16"/>
                <w:b w:val="1"/>
                <w:bCs w:val="1"/>
                <w:color w:val="auto"/>
                <w:w w:val="93"/>
              </w:rPr>
              <w:t>No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4"/>
              <w:spacing w:after="0" w:line="182" w:lineRule="exact"/>
              <w:rPr>
                <w:sz w:val="20"/>
                <w:szCs w:val="20"/>
                <w:color w:val="auto"/>
              </w:rPr>
            </w:pPr>
            <w:r>
              <w:rPr>
                <w:rFonts w:ascii="Arial" w:cs="Arial" w:eastAsia="Arial" w:hAnsi="Arial"/>
                <w:sz w:val="16"/>
                <w:szCs w:val="16"/>
                <w:b w:val="1"/>
                <w:bCs w:val="1"/>
                <w:color w:val="auto"/>
                <w:w w:val="97"/>
              </w:rPr>
              <w:t>Maximum</w:t>
            </w:r>
          </w:p>
        </w:tc>
      </w:tr>
      <w:tr>
        <w:trPr>
          <w:trHeight w:val="203"/>
        </w:trPr>
        <w:tc>
          <w:tcPr>
            <w:tcW w:w="2960" w:type="dxa"/>
            <w:vAlign w:val="bottom"/>
          </w:tcPr>
          <w:p>
            <w:pPr>
              <w:spacing w:after="0"/>
              <w:rPr>
                <w:sz w:val="20"/>
                <w:szCs w:val="20"/>
                <w:color w:val="auto"/>
              </w:rPr>
            </w:pPr>
            <w:r>
              <w:rPr>
                <w:rFonts w:ascii="Arial" w:cs="Arial" w:eastAsia="Arial" w:hAnsi="Arial"/>
                <w:sz w:val="16"/>
                <w:szCs w:val="16"/>
                <w:b w:val="1"/>
                <w:bCs w:val="1"/>
                <w:color w:val="auto"/>
              </w:rPr>
              <w:t>Statement of Operations – Year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redemption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redemption</w:t>
            </w:r>
          </w:p>
        </w:tc>
      </w:tr>
      <w:tr>
        <w:trPr>
          <w:trHeight w:val="210"/>
        </w:trPr>
        <w:tc>
          <w:tcPr>
            <w:tcW w:w="2960" w:type="dxa"/>
            <w:vAlign w:val="bottom"/>
          </w:tcPr>
          <w:p>
            <w:pPr>
              <w:spacing w:after="0"/>
              <w:rPr>
                <w:sz w:val="20"/>
                <w:szCs w:val="20"/>
                <w:color w:val="auto"/>
              </w:rPr>
            </w:pPr>
            <w:r>
              <w:rPr>
                <w:rFonts w:ascii="Arial" w:cs="Arial" w:eastAsia="Arial" w:hAnsi="Arial"/>
                <w:sz w:val="16"/>
                <w:szCs w:val="16"/>
                <w:b w:val="1"/>
                <w:bCs w:val="1"/>
                <w:color w:val="auto"/>
              </w:rPr>
              <w:t>December 31, 2019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6"/>
                <w:szCs w:val="16"/>
                <w:b w:val="1"/>
                <w:bCs w:val="1"/>
                <w:color w:val="auto"/>
              </w:rPr>
              <w:t>FSDC</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Gemini</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scenario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scenario</w:t>
            </w:r>
          </w:p>
        </w:tc>
      </w:tr>
      <w:tr>
        <w:trPr>
          <w:trHeight w:val="47"/>
        </w:trPr>
        <w:tc>
          <w:tcPr>
            <w:tcW w:w="296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2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41,225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41,225</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(41,225)</w:t>
            </w:r>
          </w:p>
        </w:tc>
      </w:tr>
      <w:tr>
        <w:trPr>
          <w:trHeight w:val="41"/>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(41,400)</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(1.17)</w:t>
            </w: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2841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7310" cy="28416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Historical</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Pro forma</w:t>
            </w:r>
          </w:p>
        </w:tc>
      </w:tr>
      <w:tr>
        <w:trPr>
          <w:trHeight w:val="46"/>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2"/>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3"/>
              <w:spacing w:after="0" w:line="182" w:lineRule="exact"/>
              <w:rPr>
                <w:sz w:val="20"/>
                <w:szCs w:val="20"/>
                <w:color w:val="auto"/>
              </w:rPr>
            </w:pPr>
            <w:r>
              <w:rPr>
                <w:rFonts w:ascii="Arial" w:cs="Arial" w:eastAsia="Arial" w:hAnsi="Arial"/>
                <w:sz w:val="16"/>
                <w:szCs w:val="16"/>
                <w:b w:val="1"/>
                <w:bCs w:val="1"/>
                <w:color w:val="auto"/>
                <w:w w:val="93"/>
              </w:rPr>
              <w:t>No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3"/>
              <w:spacing w:after="0" w:line="182" w:lineRule="exact"/>
              <w:rPr>
                <w:sz w:val="20"/>
                <w:szCs w:val="20"/>
                <w:color w:val="auto"/>
              </w:rPr>
            </w:pPr>
            <w:r>
              <w:rPr>
                <w:rFonts w:ascii="Arial" w:cs="Arial" w:eastAsia="Arial" w:hAnsi="Arial"/>
                <w:sz w:val="16"/>
                <w:szCs w:val="16"/>
                <w:b w:val="1"/>
                <w:bCs w:val="1"/>
                <w:color w:val="auto"/>
                <w:w w:val="97"/>
              </w:rPr>
              <w:t>Maximum</w:t>
            </w:r>
          </w:p>
        </w:tc>
      </w:tr>
      <w:tr>
        <w:trPr>
          <w:trHeight w:val="203"/>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Arial" w:cs="Arial" w:eastAsia="Arial" w:hAnsi="Arial"/>
                <w:sz w:val="16"/>
                <w:szCs w:val="16"/>
                <w:b w:val="1"/>
                <w:bCs w:val="1"/>
                <w:color w:val="auto"/>
              </w:rPr>
              <w:t>FSDC</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redemption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redemption</w:t>
            </w:r>
          </w:p>
        </w:tc>
      </w:tr>
      <w:tr>
        <w:trPr>
          <w:trHeight w:val="253"/>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Balance Sheet – As of June 30, 2020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6"/>
                <w:szCs w:val="16"/>
                <w:b w:val="1"/>
                <w:bCs w:val="1"/>
                <w:color w:val="auto"/>
                <w:w w:val="89"/>
              </w:rPr>
              <w:t>(Adjusted)</w:t>
            </w:r>
            <w:r>
              <w:rPr>
                <w:rFonts w:ascii="Arial" w:cs="Arial" w:eastAsia="Arial" w:hAnsi="Arial"/>
                <w:sz w:val="18"/>
                <w:szCs w:val="18"/>
                <w:b w:val="1"/>
                <w:bCs w:val="1"/>
                <w:color w:val="auto"/>
                <w:w w:val="89"/>
                <w:vertAlign w:val="superscript"/>
              </w:rPr>
              <w:t>(1)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211"/>
              <w:spacing w:after="0"/>
              <w:rPr>
                <w:sz w:val="20"/>
                <w:szCs w:val="20"/>
                <w:color w:val="auto"/>
              </w:rPr>
            </w:pPr>
            <w:r>
              <w:rPr>
                <w:rFonts w:ascii="Arial" w:cs="Arial" w:eastAsia="Arial" w:hAnsi="Arial"/>
                <w:sz w:val="16"/>
                <w:szCs w:val="16"/>
                <w:b w:val="1"/>
                <w:bCs w:val="1"/>
                <w:color w:val="auto"/>
                <w:w w:val="92"/>
              </w:rPr>
              <w:t>Gemini</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scenario</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scenario</w:t>
            </w:r>
          </w:p>
        </w:tc>
      </w:tr>
      <w:tr>
        <w:trPr>
          <w:trHeight w:val="248"/>
        </w:trPr>
        <w:tc>
          <w:tcPr>
            <w:tcW w:w="20" w:type="dxa"/>
            <w:vAlign w:val="bottom"/>
          </w:tcPr>
          <w:p>
            <w:pPr>
              <w:spacing w:after="0"/>
              <w:rPr>
                <w:sz w:val="21"/>
                <w:szCs w:val="21"/>
                <w:color w:val="auto"/>
              </w:rPr>
            </w:pPr>
          </w:p>
        </w:tc>
        <w:tc>
          <w:tcPr>
            <w:tcW w:w="29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108,245</w:t>
            </w:r>
          </w:p>
        </w:tc>
      </w:tr>
      <w:tr>
        <w:trPr>
          <w:trHeight w:val="243"/>
        </w:trPr>
        <w:tc>
          <w:tcPr>
            <w:tcW w:w="2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8,585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109,031</w:t>
            </w:r>
          </w:p>
        </w:tc>
      </w:tr>
      <w:tr>
        <w:trPr>
          <w:trHeight w:val="41"/>
        </w:trPr>
        <w:tc>
          <w:tcPr>
            <w:tcW w:w="29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7,516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7,571</w:t>
            </w:r>
          </w:p>
        </w:tc>
      </w:tr>
      <w:tr>
        <w:trPr>
          <w:trHeight w:val="243"/>
        </w:trPr>
        <w:tc>
          <w:tcPr>
            <w:tcW w:w="29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15,200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15,255</w:t>
            </w:r>
          </w:p>
        </w:tc>
      </w:tr>
      <w:tr>
        <w:trPr>
          <w:trHeight w:val="40"/>
        </w:trPr>
        <w:tc>
          <w:tcPr>
            <w:tcW w:w="29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Class A common stock subject to</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113,054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9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93,776</w:t>
            </w:r>
          </w:p>
        </w:tc>
      </w:tr>
      <w:tr>
        <w:trPr>
          <w:trHeight w:val="40"/>
        </w:trPr>
        <w:tc>
          <w:tcPr>
            <w:tcW w:w="20" w:type="dxa"/>
            <w:vAlign w:val="bottom"/>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95" w:lineRule="exact"/>
        <w:rPr>
          <w:sz w:val="20"/>
          <w:szCs w:val="20"/>
          <w:color w:val="auto"/>
        </w:rPr>
      </w:pPr>
    </w:p>
    <w:p>
      <w:pPr>
        <w:ind w:left="980" w:right="559" w:hanging="436"/>
        <w:spacing w:after="0" w:line="277" w:lineRule="auto"/>
        <w:tabs>
          <w:tab w:leader="none" w:pos="104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Refer to Note 3 to the unaudited pro forma financial information included elsewhere in this proxy statement/prospectus for the adjusted balance sheet of FSDC.</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53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7310" cy="8053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SHARE INFORMATION</w:t>
      </w:r>
    </w:p>
    <w:p>
      <w:pPr>
        <w:spacing w:after="0" w:line="162"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6"/>
          <w:szCs w:val="16"/>
          <w:color w:val="auto"/>
        </w:rPr>
        <w:t>The following table sets forth the per share data of FS Development on a stand-alone basis and the unaudited pro forma condensed combined per share data for the year ended December 31, 2019 and the six months ended June 30, 2020 after giving effect to the Business Combination, (1) assuming no FS Development stockholders exercise redemption rights with respect to their Public Shares upon the Closing; and</w:t>
      </w:r>
    </w:p>
    <w:p>
      <w:pPr>
        <w:spacing w:after="0" w:line="1" w:lineRule="exact"/>
        <w:rPr>
          <w:sz w:val="20"/>
          <w:szCs w:val="20"/>
          <w:color w:val="auto"/>
        </w:rPr>
      </w:pPr>
    </w:p>
    <w:p>
      <w:pPr>
        <w:ind w:left="540" w:right="559" w:firstLine="4"/>
        <w:spacing w:after="0" w:line="260" w:lineRule="auto"/>
        <w:tabs>
          <w:tab w:leader="none" w:pos="8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assuming that FS Development stockholders exercise their redemption rights with respect to a maximum of 11,152,375 Public Shares upon Closing.</w:t>
      </w:r>
    </w:p>
    <w:p>
      <w:pPr>
        <w:spacing w:after="0" w:line="118"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You should read the information in the following table in conjunction with the selected historical financial information summary included elsewhere in this proxy statement/prospectus, and the historical financial statements of FS Development and Gemini and related notes that are included elsewhere in this proxy statement/prospectus. The unaudited FS Development and Gemini pro forma combined per share information is derived from, and should be read in conjunction with, the unaudited pro forma condensed combined financial statements and related notes included elsewhere in this proxy statement/prospectus.</w:t>
      </w:r>
    </w:p>
    <w:p>
      <w:pPr>
        <w:spacing w:after="0" w:line="97" w:lineRule="exact"/>
        <w:rPr>
          <w:sz w:val="20"/>
          <w:szCs w:val="20"/>
          <w:color w:val="auto"/>
        </w:rPr>
      </w:pPr>
    </w:p>
    <w:p>
      <w:pPr>
        <w:jc w:val="both"/>
        <w:ind w:left="540" w:right="559"/>
        <w:spacing w:after="0" w:line="275" w:lineRule="auto"/>
        <w:rPr>
          <w:sz w:val="20"/>
          <w:szCs w:val="20"/>
          <w:color w:val="auto"/>
        </w:rPr>
      </w:pPr>
      <w:r>
        <w:rPr>
          <w:rFonts w:ascii="Arial" w:cs="Arial" w:eastAsia="Arial" w:hAnsi="Arial"/>
          <w:sz w:val="17"/>
          <w:szCs w:val="17"/>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FS Development and Gemini would have been had the companies been combined during the periods presented.</w:t>
      </w:r>
    </w:p>
    <w:p>
      <w:pPr>
        <w:spacing w:after="0" w:line="13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42"/>
              <w:spacing w:after="0"/>
              <w:rPr>
                <w:sz w:val="20"/>
                <w:szCs w:val="20"/>
                <w:color w:val="auto"/>
              </w:rPr>
            </w:pPr>
            <w:r>
              <w:rPr>
                <w:rFonts w:ascii="Arial" w:cs="Arial" w:eastAsia="Arial" w:hAnsi="Arial"/>
                <w:sz w:val="14"/>
                <w:szCs w:val="14"/>
                <w:b w:val="1"/>
                <w:bCs w:val="1"/>
                <w:color w:val="auto"/>
                <w:w w:val="96"/>
              </w:rPr>
              <w:t>Gemini equivalent pro forma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Pro Forma Combined</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per share data</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119"/>
        </w:trPr>
        <w:tc>
          <w:tcPr>
            <w:tcW w:w="196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w w:val="91"/>
              </w:rPr>
              <w:t>(in thousands, except share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w w:val="98"/>
              </w:rPr>
              <w:t>Assuming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63"/>
              <w:spacing w:after="0" w:line="119" w:lineRule="exact"/>
              <w:rPr>
                <w:sz w:val="20"/>
                <w:szCs w:val="20"/>
                <w:color w:val="auto"/>
              </w:rPr>
            </w:pPr>
            <w:r>
              <w:rPr>
                <w:rFonts w:ascii="Arial" w:cs="Arial" w:eastAsia="Arial" w:hAnsi="Arial"/>
                <w:sz w:val="13"/>
                <w:szCs w:val="13"/>
                <w:b w:val="1"/>
                <w:bCs w:val="1"/>
                <w:color w:val="auto"/>
                <w:w w:val="95"/>
              </w:rPr>
              <w:t>Assuming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w w:val="95"/>
              </w:rPr>
              <w:t>Assuming</w:t>
            </w:r>
          </w:p>
        </w:tc>
        <w:tc>
          <w:tcPr>
            <w:tcW w:w="0" w:type="dxa"/>
            <w:vAlign w:val="bottom"/>
          </w:tcPr>
          <w:p>
            <w:pPr>
              <w:spacing w:after="0"/>
              <w:rPr>
                <w:sz w:val="1"/>
                <w:szCs w:val="1"/>
                <w:color w:val="auto"/>
              </w:rPr>
            </w:pPr>
          </w:p>
        </w:tc>
      </w:tr>
      <w:tr>
        <w:trPr>
          <w:trHeight w:val="107"/>
        </w:trPr>
        <w:tc>
          <w:tcPr>
            <w:tcW w:w="1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center"/>
              <w:ind w:right="3"/>
              <w:spacing w:after="0" w:line="149" w:lineRule="exact"/>
              <w:rPr>
                <w:sz w:val="20"/>
                <w:szCs w:val="20"/>
                <w:color w:val="auto"/>
              </w:rPr>
            </w:pPr>
            <w:r>
              <w:rPr>
                <w:rFonts w:ascii="Arial" w:cs="Arial" w:eastAsia="Arial" w:hAnsi="Arial"/>
                <w:sz w:val="14"/>
                <w:szCs w:val="14"/>
                <w:b w:val="1"/>
                <w:bCs w:val="1"/>
                <w:color w:val="auto"/>
                <w:w w:val="96"/>
              </w:rPr>
              <w:t>No</w:t>
            </w:r>
          </w:p>
        </w:tc>
        <w:tc>
          <w:tcPr>
            <w:tcW w:w="80" w:type="dxa"/>
            <w:vAlign w:val="bottom"/>
          </w:tcPr>
          <w:p>
            <w:pPr>
              <w:spacing w:after="0"/>
              <w:rPr>
                <w:sz w:val="9"/>
                <w:szCs w:val="9"/>
                <w:color w:val="auto"/>
              </w:rPr>
            </w:pPr>
          </w:p>
        </w:tc>
        <w:tc>
          <w:tcPr>
            <w:tcW w:w="9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93"/>
              </w:rPr>
              <w:t>Assuming Max</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No</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center"/>
              <w:ind w:right="22"/>
              <w:spacing w:after="0" w:line="149" w:lineRule="exact"/>
              <w:rPr>
                <w:sz w:val="20"/>
                <w:szCs w:val="20"/>
                <w:color w:val="auto"/>
              </w:rPr>
            </w:pPr>
            <w:r>
              <w:rPr>
                <w:rFonts w:ascii="Arial" w:cs="Arial" w:eastAsia="Arial" w:hAnsi="Arial"/>
                <w:sz w:val="14"/>
                <w:szCs w:val="14"/>
                <w:b w:val="1"/>
                <w:bCs w:val="1"/>
                <w:color w:val="auto"/>
              </w:rPr>
              <w:t>Max</w:t>
            </w:r>
          </w:p>
        </w:tc>
        <w:tc>
          <w:tcPr>
            <w:tcW w:w="0" w:type="dxa"/>
            <w:vAlign w:val="bottom"/>
          </w:tcPr>
          <w:p>
            <w:pPr>
              <w:spacing w:after="0"/>
              <w:rPr>
                <w:sz w:val="1"/>
                <w:szCs w:val="1"/>
                <w:color w:val="auto"/>
              </w:rPr>
            </w:pPr>
          </w:p>
        </w:tc>
      </w:tr>
      <w:tr>
        <w:trPr>
          <w:trHeight w:val="41"/>
        </w:trPr>
        <w:tc>
          <w:tcPr>
            <w:tcW w:w="196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and per share amounts)</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FSDC</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Gemini</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Redemptions</w:t>
            </w: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Redemptions</w:t>
            </w:r>
          </w:p>
        </w:tc>
        <w:tc>
          <w:tcPr>
            <w:tcW w:w="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As of and for the Six</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w w:val="98"/>
              </w:rPr>
              <w:t>Months Ended June 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b w:val="1"/>
                <w:bCs w:val="1"/>
                <w:color w:val="auto"/>
                <w:vertAlign w:val="superscript"/>
              </w:rPr>
              <w:t>(4)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w w:val="97"/>
              </w:rPr>
              <w:t>Book value per share, basic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and diluted</w:t>
            </w:r>
            <w:r>
              <w:rPr>
                <w:rFonts w:ascii="Arial" w:cs="Arial" w:eastAsia="Arial" w:hAnsi="Arial"/>
                <w:sz w:val="21"/>
                <w:szCs w:val="21"/>
                <w:color w:val="auto"/>
                <w:vertAlign w:val="superscript"/>
              </w:rPr>
              <w:t>(1)(2)</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0.32</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(15.68)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4.41</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1.05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w w:val="95"/>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 and diluted</w:t>
            </w:r>
            <w:r>
              <w:rPr>
                <w:rFonts w:ascii="Arial" w:cs="Arial" w:eastAsia="Arial" w:hAnsi="Arial"/>
                <w:sz w:val="21"/>
                <w:szCs w:val="21"/>
                <w:color w:val="auto"/>
                <w:vertAlign w:val="superscript"/>
              </w:rPr>
              <w:t>(2)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outstanding, basic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and diluted</w:t>
            </w:r>
            <w:r>
              <w:rPr>
                <w:rFonts w:ascii="Arial" w:cs="Arial" w:eastAsia="Arial" w:hAnsi="Arial"/>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9"/>
              </w:rPr>
              <w:t>15,535,250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w w:val="89"/>
              </w:rPr>
              <w:t>5,465,177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w w:val="89"/>
              </w:rPr>
              <w:t>46,541,250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w w:val="89"/>
              </w:rPr>
              <w:t>35,388,875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w w:val="89"/>
              </w:rPr>
              <w:t>19,282,220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w w:val="89"/>
              </w:rPr>
              <w:t>19,282,220</w:t>
            </w: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b w:val="1"/>
                <w:bCs w:val="1"/>
                <w:color w:val="auto"/>
              </w:rPr>
              <w:t>As of and for the Year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b w:val="1"/>
                <w:bCs w:val="1"/>
                <w:color w:val="auto"/>
              </w:rPr>
              <w:t>Ended 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w w:val="95"/>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 and diluted</w:t>
            </w:r>
            <w:r>
              <w:rPr>
                <w:rFonts w:ascii="Arial" w:cs="Arial" w:eastAsia="Arial" w:hAnsi="Arial"/>
                <w:sz w:val="21"/>
                <w:szCs w:val="21"/>
                <w:color w:val="auto"/>
                <w:vertAlign w:val="superscript"/>
              </w:rPr>
              <w:t>(2)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outstanding,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940" w:type="dxa"/>
            <w:vAlign w:val="bottom"/>
          </w:tcPr>
          <w:p>
            <w:pPr>
              <w:ind w:left="160"/>
              <w:spacing w:after="0"/>
              <w:rPr>
                <w:sz w:val="20"/>
                <w:szCs w:val="20"/>
                <w:color w:val="auto"/>
              </w:rPr>
            </w:pPr>
            <w:r>
              <w:rPr>
                <w:rFonts w:ascii="Arial" w:cs="Arial" w:eastAsia="Arial" w:hAnsi="Arial"/>
                <w:sz w:val="16"/>
                <w:szCs w:val="16"/>
                <w:color w:val="auto"/>
              </w:rPr>
              <w:t>basic and diluted</w:t>
            </w:r>
            <w:r>
              <w:rPr>
                <w:rFonts w:ascii="Arial" w:cs="Arial" w:eastAsia="Arial" w:hAnsi="Arial"/>
                <w:sz w:val="21"/>
                <w:szCs w:val="21"/>
                <w:color w:val="auto"/>
                <w:vertAlign w:val="superscript"/>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w w:val="89"/>
              </w:rPr>
              <w:t>5,171,537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w w:val="89"/>
              </w:rPr>
              <w:t>46,541,250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w w:val="89"/>
              </w:rPr>
              <w:t>35,388,875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w w:val="89"/>
              </w:rPr>
              <w:t>19,282,220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w w:val="89"/>
              </w:rPr>
              <w:t>19,282,220</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559" w:hanging="436"/>
        <w:spacing w:after="0" w:line="266" w:lineRule="auto"/>
        <w:tabs>
          <w:tab w:leader="none" w:pos="104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Book value per share = Total equity (deficit)/shares outstanding at June 30, 2020 for FSDC, Gemini and the pro forma.</w:t>
      </w:r>
    </w:p>
    <w:p>
      <w:pPr>
        <w:spacing w:after="0" w:line="1" w:lineRule="exact"/>
        <w:rPr>
          <w:rFonts w:ascii="Arial" w:cs="Arial" w:eastAsia="Arial" w:hAnsi="Arial"/>
          <w:sz w:val="16"/>
          <w:szCs w:val="16"/>
          <w:color w:val="auto"/>
        </w:rPr>
      </w:pPr>
    </w:p>
    <w:p>
      <w:pPr>
        <w:ind w:left="980" w:right="559" w:hanging="436"/>
        <w:spacing w:after="0" w:line="264" w:lineRule="auto"/>
        <w:tabs>
          <w:tab w:leader="none" w:pos="10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Historical Book value per share and Net income (loss) per share are based on total common stock for FSDC and total common stock for Gemini.</w:t>
      </w:r>
    </w:p>
    <w:p>
      <w:pPr>
        <w:jc w:val="both"/>
        <w:ind w:left="980" w:right="559" w:hanging="436"/>
        <w:spacing w:after="0" w:line="281" w:lineRule="auto"/>
        <w:tabs>
          <w:tab w:leader="none" w:pos="1029"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equivalent pro forma basic and diluted per share data for Gemini is based on the expected exchange ratio of 0.2385 for both No Redemptions and Max Redemptions scenarios. The equivalent pro forma shares outstanding for Gemini represent the total consideration shares of up to 21.5 million, less shares underlying unvested, unissued, and/or unexercised stock options and warrants, determined as described in more detail under the heading titled “</w:t>
      </w:r>
      <w:r>
        <w:rPr>
          <w:rFonts w:ascii="Arial" w:cs="Arial" w:eastAsia="Arial" w:hAnsi="Arial"/>
          <w:sz w:val="15"/>
          <w:szCs w:val="15"/>
          <w:i w:val="1"/>
          <w:iCs w:val="1"/>
          <w:color w:val="auto"/>
        </w:rPr>
        <w:t>The Business Combination Proposal — Acquisition of Gemini; Merger Consideration</w:t>
      </w:r>
      <w:r>
        <w:rPr>
          <w:rFonts w:ascii="Arial" w:cs="Arial" w:eastAsia="Arial" w:hAnsi="Arial"/>
          <w:sz w:val="15"/>
          <w:szCs w:val="15"/>
          <w:color w:val="auto"/>
        </w:rPr>
        <w:t>.”</w:t>
      </w:r>
    </w:p>
    <w:p>
      <w:pPr>
        <w:spacing w:after="0" w:line="2" w:lineRule="exact"/>
        <w:rPr>
          <w:rFonts w:ascii="Arial" w:cs="Arial" w:eastAsia="Arial" w:hAnsi="Arial"/>
          <w:sz w:val="15"/>
          <w:szCs w:val="15"/>
          <w:color w:val="auto"/>
        </w:rPr>
      </w:pPr>
    </w:p>
    <w:p>
      <w:pPr>
        <w:ind w:left="980" w:hanging="436"/>
        <w:spacing w:after="0"/>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There were no cash dividends declared in the periods presented.</w:t>
      </w:r>
    </w:p>
    <w:p>
      <w:pPr>
        <w:sectPr>
          <w:pgSz w:w="11900" w:h="16838" w:orient="portrait"/>
          <w:cols w:equalWidth="0" w:num="1">
            <w:col w:w="9019"/>
          </w:cols>
          <w:pgMar w:left="1440" w:top="274" w:right="1440" w:bottom="1440" w:gutter="0" w:footer="0" w:header="0"/>
          <w:type w:val="continuous"/>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i w:val="1"/>
          <w:iCs w:val="1"/>
          <w:color w:val="auto"/>
        </w:rPr>
        <w:t>The following risk factors will apply to our business and operations following the completion of the Business Combination. These risk factors are not exhaustive and investors are encouraged to perform their own investigation with respect to the business, prospects, financial condition and operating results of Gemini and our business, prospects, financial condition and operating results following the completion of the Business Combination. You should carefully consider the following risk factors in addition to the other information included in this proxy statement/prospectus, including matters addressed in the section titled “Cautionary Note Regarding Forward-Looking Statements,” before deciding how to vote your shares of FS Development Common Stock.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the financial statements of Gemini and the notes to the financial statements included herein.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Gemini</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 Risks Related to Gemini” to “we”, “us” and “our” generally refer to Gemini in the present tense or the Combined Entity from and after the Business Combination.</w:t>
      </w:r>
    </w:p>
    <w:p>
      <w:pPr>
        <w:spacing w:after="0" w:line="18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Gemini has incurred significant losses since its inception and expects to incur losses for the foreseeable future.</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 For the years ended December 31, 2018 and December 31, 2019, Gemini reported net losses of $20.2 million and $41.4 million for the years ended December 31, 2018 and 2019, respectively. For the six months ended June 30, 2020, Gemini reported a net loss of $16.5 million. As of June 30, 2020, Gemini had an accumulated deficit of $88.5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04" w:lineRule="exact"/>
        <w:rPr>
          <w:sz w:val="20"/>
          <w:szCs w:val="20"/>
          <w:color w:val="auto"/>
        </w:rPr>
      </w:pPr>
    </w:p>
    <w:p>
      <w:pPr>
        <w:ind w:left="1320" w:right="479" w:hanging="434"/>
        <w:spacing w:after="0" w:line="277" w:lineRule="auto"/>
        <w:tabs>
          <w:tab w:leader="none" w:pos="137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conducts larger scale clinical trials for its lead product candidate, GEM103, and any other product candidates;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discovers and develops new product candidates, and conducts nonclinical studies and clinical trials;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manufactures, or has manufactured, clinical and commercial supplies of its product candidates;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seeks regulatory approvals for its product candidates;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commercializes GEM103 or any other product candidates, if approved;</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41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attempts to transition from a company with a research focus to a company capable of supporting commercial activities, including establishing sales, marketing and distribution infrastructure;</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hires additional clinical, scientific, and management personnel;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adds operational, financial, and management information systems and personnel;</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identifies additional compounds or product candidates and acquires rights from third parties to those compounds or product candidates through licenses; and</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incurs additional costs associated with operating as a public company following the Business Combination.</w:t>
      </w:r>
    </w:p>
    <w:p>
      <w:pPr>
        <w:spacing w:after="0" w:line="103"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ectPr>
          <w:pgSz w:w="11900" w:h="16838" w:orient="portrait"/>
          <w:cols w:equalWidth="0" w:num="1">
            <w:col w:w="9019"/>
          </w:cols>
          <w:pgMar w:left="1440" w:top="274"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3" w:name="page44"/>
    <w:bookmarkEnd w:id="4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Gemini currently has a limited operating history, has not generated any revenue to date, and may never become profitable.</w:t>
      </w:r>
    </w:p>
    <w:p>
      <w:pPr>
        <w:spacing w:after="0" w:line="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1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10" w:lineRule="exact"/>
        <w:rPr>
          <w:sz w:val="20"/>
          <w:szCs w:val="20"/>
          <w:color w:val="auto"/>
        </w:rPr>
      </w:pPr>
    </w:p>
    <w:p>
      <w:pPr>
        <w:ind w:left="1320" w:right="479" w:hanging="434"/>
        <w:spacing w:after="0" w:line="277" w:lineRule="auto"/>
        <w:tabs>
          <w:tab w:leader="none" w:pos="145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successfully complete nonclinical studies and clinical trials for GEM103 and any other product candidates;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seek and obtain marketing approvals for any product candidates that complete clinical development;</w:t>
      </w:r>
    </w:p>
    <w:p>
      <w:pPr>
        <w:spacing w:after="0" w:line="180" w:lineRule="exact"/>
        <w:rPr>
          <w:rFonts w:ascii="Arial" w:cs="Arial" w:eastAsia="Arial" w:hAnsi="Arial"/>
          <w:sz w:val="16"/>
          <w:szCs w:val="16"/>
          <w:color w:val="auto"/>
        </w:rPr>
      </w:pPr>
    </w:p>
    <w:p>
      <w:pPr>
        <w:jc w:val="both"/>
        <w:ind w:left="1320" w:right="459" w:hanging="434"/>
        <w:spacing w:after="0" w:line="263" w:lineRule="auto"/>
        <w:tabs>
          <w:tab w:leader="none" w:pos="15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41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demonstrate the necessary safety data post-approval to ensure continued regulatory approval;</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7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address any competing technological and market developments;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7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Gemini may enter in the future and performing its obligations in such collaborations;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establish, maintain, protect and enforce its intellectual property rights;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5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27"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103"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8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As of June 30, 2020, Gemini had $6.2 million of cash and cash equivalents. Gemini believes that the net proceeds from the Business Combination and the PIPE transaction, together with its existing cash and cash equivalents, will fund its projected operating requirements through at least the next 12 months.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13" w:lineRule="exact"/>
        <w:rPr>
          <w:sz w:val="20"/>
          <w:szCs w:val="20"/>
          <w:color w:val="auto"/>
        </w:rPr>
      </w:pPr>
    </w:p>
    <w:p>
      <w:pPr>
        <w:jc w:val="both"/>
        <w:ind w:left="1320" w:right="479" w:hanging="434"/>
        <w:spacing w:after="0" w:line="263" w:lineRule="auto"/>
        <w:tabs>
          <w:tab w:leader="none" w:pos="156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102" w:lineRule="exact"/>
        <w:rPr>
          <w:rFonts w:ascii="Arial" w:cs="Arial" w:eastAsia="Arial" w:hAnsi="Arial"/>
          <w:sz w:val="18"/>
          <w:szCs w:val="18"/>
          <w:color w:val="auto"/>
        </w:rPr>
      </w:pPr>
    </w:p>
    <w:p>
      <w:pPr>
        <w:jc w:val="both"/>
        <w:ind w:left="1320" w:right="479" w:hanging="434"/>
        <w:spacing w:after="0" w:line="279" w:lineRule="auto"/>
        <w:tabs>
          <w:tab w:leader="none" w:pos="145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03" w:lineRule="exact"/>
        <w:rPr>
          <w:rFonts w:ascii="Arial" w:cs="Arial" w:eastAsia="Arial" w:hAnsi="Arial"/>
          <w:sz w:val="17"/>
          <w:szCs w:val="17"/>
          <w:color w:val="auto"/>
        </w:rPr>
      </w:pPr>
    </w:p>
    <w:p>
      <w:pPr>
        <w:jc w:val="both"/>
        <w:ind w:left="1320" w:right="459" w:hanging="434"/>
        <w:spacing w:after="0" w:line="259" w:lineRule="auto"/>
        <w:tabs>
          <w:tab w:leader="none" w:pos="1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as well as product coverage and the adequacy of reimbursement by third-party payors;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89" w:lineRule="exact"/>
        <w:rPr>
          <w:rFonts w:ascii="Arial" w:cs="Arial" w:eastAsia="Arial" w:hAnsi="Arial"/>
          <w:sz w:val="18"/>
          <w:szCs w:val="18"/>
          <w:color w:val="auto"/>
        </w:rPr>
      </w:pPr>
    </w:p>
    <w:p>
      <w:pPr>
        <w:ind w:left="1320" w:right="479" w:hanging="434"/>
        <w:spacing w:after="0" w:line="342" w:lineRule="auto"/>
        <w:tabs>
          <w:tab w:leader="none" w:pos="135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cost of establishing sales, marketing and distribution capabilities for any product candidates for which Gemini may receive regulatory approval and that Gemini determines to commercialize; and</w:t>
      </w:r>
    </w:p>
    <w:p>
      <w:pPr>
        <w:spacing w:after="0" w:line="56" w:lineRule="exact"/>
        <w:rPr>
          <w:rFonts w:ascii="Arial" w:cs="Arial" w:eastAsia="Arial" w:hAnsi="Arial"/>
          <w:sz w:val="16"/>
          <w:szCs w:val="16"/>
          <w:color w:val="auto"/>
        </w:rPr>
      </w:pPr>
    </w:p>
    <w:p>
      <w:pPr>
        <w:ind w:left="1320" w:right="459" w:hanging="434"/>
        <w:spacing w:after="0" w:line="277" w:lineRule="auto"/>
        <w:tabs>
          <w:tab w:leader="none" w:pos="158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its need to implement additional internal systems and infrastructure, including financial and reporting systems.</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Gemini is heavily dependent on the success of GEM103, its lead product candidate.</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1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10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Further, its Phase 2a clinical trial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9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18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101" w:lineRule="exact"/>
        <w:rPr>
          <w:sz w:val="20"/>
          <w:szCs w:val="20"/>
          <w:color w:val="auto"/>
        </w:rPr>
      </w:pPr>
    </w:p>
    <w:p>
      <w:pPr>
        <w:ind w:left="1300" w:hanging="414"/>
        <w:spacing w:after="0"/>
        <w:tabs>
          <w:tab w:leader="none" w:pos="13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research methodology used may not be successful in identifying potential product candidates;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its product candidates obsolete;</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product candidates Gemini develop may nevertheless be covered by third parties’ patents or other exclusive rights;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3" w:lineRule="auto"/>
        <w:tabs>
          <w:tab w:leader="none" w:pos="159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approved product may not be accepted as safe and effective by trial participants, the medical community or third-party payors; and</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52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8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16"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1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2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 w:name="page48"/>
    <w:bookmarkEnd w:id="4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18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103"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04" w:lineRule="exact"/>
        <w:rPr>
          <w:sz w:val="20"/>
          <w:szCs w:val="20"/>
          <w:color w:val="auto"/>
        </w:rPr>
      </w:pPr>
    </w:p>
    <w:p>
      <w:pPr>
        <w:jc w:val="both"/>
        <w:ind w:left="1320" w:right="459" w:hanging="434"/>
        <w:spacing w:after="0" w:line="272" w:lineRule="auto"/>
        <w:tabs>
          <w:tab w:leader="none" w:pos="151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96" w:lineRule="exact"/>
        <w:rPr>
          <w:rFonts w:ascii="Arial" w:cs="Arial" w:eastAsia="Arial" w:hAnsi="Arial"/>
          <w:sz w:val="17"/>
          <w:szCs w:val="17"/>
          <w:color w:val="auto"/>
        </w:rPr>
      </w:pPr>
    </w:p>
    <w:p>
      <w:pPr>
        <w:jc w:val="both"/>
        <w:ind w:left="1320" w:right="459" w:hanging="434"/>
        <w:spacing w:after="0" w:line="259" w:lineRule="auto"/>
        <w:tabs>
          <w:tab w:leader="none" w:pos="159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19" w:lineRule="exact"/>
        <w:rPr>
          <w:rFonts w:ascii="Arial" w:cs="Arial" w:eastAsia="Arial" w:hAnsi="Arial"/>
          <w:sz w:val="18"/>
          <w:szCs w:val="18"/>
          <w:color w:val="auto"/>
        </w:rPr>
      </w:pPr>
    </w:p>
    <w:p>
      <w:pPr>
        <w:jc w:val="both"/>
        <w:ind w:left="1320" w:right="459" w:hanging="434"/>
        <w:spacing w:after="0" w:line="275" w:lineRule="auto"/>
        <w:tabs>
          <w:tab w:leader="none" w:pos="158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0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00" w:lineRule="exact"/>
        <w:rPr>
          <w:sz w:val="20"/>
          <w:szCs w:val="20"/>
          <w:color w:val="auto"/>
        </w:rPr>
      </w:pPr>
    </w:p>
    <w:p>
      <w:pPr>
        <w:jc w:val="both"/>
        <w:ind w:left="460" w:right="479"/>
        <w:spacing w:after="0" w:line="291" w:lineRule="auto"/>
        <w:rPr>
          <w:sz w:val="20"/>
          <w:szCs w:val="20"/>
          <w:color w:val="auto"/>
        </w:rPr>
      </w:pPr>
      <w:r>
        <w:rPr>
          <w:rFonts w:ascii="Arial" w:cs="Arial" w:eastAsia="Arial" w:hAnsi="Arial"/>
          <w:sz w:val="16"/>
          <w:szCs w:val="16"/>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16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1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8" w:name="page49"/>
    <w:bookmarkEnd w:id="4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11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2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by due to increased difficulty to recruit and retain patients and principal investigators and site staff who, as healthcare providers, may haves heightened exposure to COVID-19 pandemic.</w:t>
      </w:r>
    </w:p>
    <w:p>
      <w:pPr>
        <w:spacing w:after="0" w:line="9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2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has a material impact on its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Gemini may encounter difficulties in managing its growth, which could adversely affect its operations.</w:t>
      </w:r>
    </w:p>
    <w:p>
      <w:pPr>
        <w:spacing w:after="0" w:line="18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October 15, 2020, Gemini had 27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7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106"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has a negative effect on the trading price of its stock.</w:t>
      </w:r>
    </w:p>
    <w:p>
      <w:pPr>
        <w:spacing w:after="0" w:line="12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Gemini’s disclosure controls and procedures may not prevent or detect all errors or acts of fraud.</w:t>
      </w:r>
    </w:p>
    <w:p>
      <w:pPr>
        <w:spacing w:after="0" w:line="16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82"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its Chief Technology Officer, Scott Lauder, Ph.D., its Chief Medical Officer, Marc Uknis, M.D., and its interim Chief Financial Officer, Gregg Beloff.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8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1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17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generally affect patient enrollment include:</w:t>
      </w:r>
    </w:p>
    <w:p>
      <w:pPr>
        <w:spacing w:after="0" w:line="144" w:lineRule="exact"/>
        <w:rPr>
          <w:sz w:val="20"/>
          <w:szCs w:val="20"/>
          <w:color w:val="auto"/>
        </w:rPr>
      </w:pPr>
    </w:p>
    <w:p>
      <w:pPr>
        <w:ind w:left="1300" w:hanging="41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number and location of clinical sites where patients are to be enrolled;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16"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addition, if any significant adverse events or other side effects are observed in any of its future clinical trials, it may make it more difficult for us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its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Gemini faces substantial competition, which may result in others discovering, developing or commercializing products before or more successfully than us.</w:t>
      </w:r>
    </w:p>
    <w:p>
      <w:pPr>
        <w:spacing w:after="0" w:line="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Comprehensive tax reform legislation could adversely affect its business and financial condition.</w:t>
      </w:r>
    </w:p>
    <w:p>
      <w:pPr>
        <w:spacing w:after="0" w:line="15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15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Gemini might not be able to utilize a significant portion of its U.S. NOL carryforwards and U.S. research and development tax credit carryforwards.</w:t>
      </w:r>
    </w:p>
    <w:p>
      <w:pPr>
        <w:spacing w:after="0" w:line="103"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As of December 31, 2019, Gemini had U.S. federal and state NOL carryforwards of $66.5 million and $65.1 million, respectively, and U.S. federal and state research and development tax credit carryforwards of $2.1 million and $0.7 million, respectively. If not utilized, such NOL carryforwards and research and development credits will expire at various dates beginning in 2037 (with the exception of $58.9 million, which has no expiration date) and 2039,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Gemini uses and generates materials that may expose it to material liability.</w:t>
      </w:r>
    </w:p>
    <w:p>
      <w:pPr>
        <w:spacing w:after="0" w:line="15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 Risks Related to Government Regulation” to “we”, “us” and “our” generally refer to Gemini in the present tense or the Combined Entity from and after the Business Combination.</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applicable foreign regulatory authorities are lengthy, time-consuming and inherently unpredictable. Its inability to obtain regulatory approval for GEM103 or any other product candidate would substantially harm its business.</w:t>
      </w:r>
    </w:p>
    <w:p>
      <w:pPr>
        <w:spacing w:after="0" w:line="116"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GEM103 or its other product candidates could fail to receive regulatory approval from the FDA or an applicable foreign regulatory authority for many reasons, including:</w:t>
      </w:r>
    </w:p>
    <w:p>
      <w:pPr>
        <w:spacing w:after="0" w:line="103" w:lineRule="exact"/>
        <w:rPr>
          <w:sz w:val="20"/>
          <w:szCs w:val="20"/>
          <w:color w:val="auto"/>
        </w:rPr>
      </w:pPr>
    </w:p>
    <w:p>
      <w:pPr>
        <w:ind w:left="1300" w:hanging="41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its clinical trials;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failure to demonstrate that a product candidate is safe and effective for its proposed indication;</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failure to demonstrate that a product candidate’s clinical and other benefits outweigh its safety risks;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disagreement with its interpretation of data from nonclinical studies or clinical trials;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its product candidates to obtain regulatory approval;</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Gemini contract for clinical and commercial supplies; or</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60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its nonclinical and clinical data insufficient for approval.</w:t>
      </w:r>
    </w:p>
    <w:p>
      <w:pPr>
        <w:spacing w:after="0" w:line="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81"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8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Gemini does not know whether its Phase 2a clinical trial or any of its planned clinical trials will be completed on schedule, if at all, as the commencement and completion of clinical trials can be delayed or prevented for a number of reasons, including, among others:</w:t>
      </w:r>
    </w:p>
    <w:p>
      <w:pPr>
        <w:spacing w:after="0" w:line="116" w:lineRule="exact"/>
        <w:rPr>
          <w:sz w:val="20"/>
          <w:szCs w:val="20"/>
          <w:color w:val="auto"/>
        </w:rPr>
      </w:pPr>
    </w:p>
    <w:p>
      <w:pPr>
        <w:jc w:val="both"/>
        <w:ind w:left="1320" w:right="459" w:hanging="434"/>
        <w:spacing w:after="0" w:line="279" w:lineRule="auto"/>
        <w:tabs>
          <w:tab w:leader="none" w:pos="132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90" w:lineRule="exact"/>
        <w:rPr>
          <w:rFonts w:ascii="Arial" w:cs="Arial" w:eastAsia="Arial" w:hAnsi="Arial"/>
          <w:sz w:val="17"/>
          <w:szCs w:val="17"/>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delays in filing or receiving allowance of additional IND applications that may be required;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lack of adequate funding to continue its clinical trials and nonclinical studies;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negative results from its ongoing nonclinical studies;</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41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inability of CROs to perform under these agreements, including due to impacts from the COVID-19 pandemic on their workforce;</w:t>
      </w:r>
    </w:p>
    <w:p>
      <w:pPr>
        <w:spacing w:after="0" w:line="89"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inadequate quantity or quality of a product candidate or other materials necessary to conduct clinical trials, for example delays in the manufacturing of sufficient supply of finished drug product;</w:t>
      </w:r>
    </w:p>
    <w:p>
      <w:pPr>
        <w:spacing w:after="0" w:line="56" w:lineRule="exact"/>
        <w:rPr>
          <w:rFonts w:ascii="Arial" w:cs="Arial" w:eastAsia="Arial" w:hAnsi="Arial"/>
          <w:sz w:val="16"/>
          <w:szCs w:val="16"/>
          <w:color w:val="auto"/>
        </w:rPr>
      </w:pPr>
    </w:p>
    <w:p>
      <w:pPr>
        <w:ind w:left="1320" w:right="459" w:hanging="434"/>
        <w:spacing w:after="0" w:line="277" w:lineRule="auto"/>
        <w:tabs>
          <w:tab w:leader="none" w:pos="13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difficulties obtaining ethics committee or Institutional Review Board, or IRB, approval to conduct a clinical study at a prospective site or sites;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59" w:lineRule="auto"/>
        <w:tabs>
          <w:tab w:leader="none" w:pos="1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subjects in a clinical trial;</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Gemini may decide, or regulatory authorities may require us, to conduct additional nonclinical or clinical trials or abandon product development programs;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delays in validating, or inability to validate, any endpoints utilized in a clinical trial;</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116" w:lineRule="exact"/>
        <w:rPr>
          <w:rFonts w:ascii="Arial" w:cs="Arial" w:eastAsia="Arial" w:hAnsi="Arial"/>
          <w:sz w:val="18"/>
          <w:szCs w:val="18"/>
          <w:color w:val="auto"/>
        </w:rPr>
      </w:pPr>
    </w:p>
    <w:p>
      <w:pPr>
        <w:ind w:left="1320" w:right="479" w:hanging="434"/>
        <w:spacing w:after="0" w:line="342" w:lineRule="auto"/>
        <w:tabs>
          <w:tab w:leader="none" w:pos="135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difficulties retaining subjects who has enrolled in a clinical trial but may be prone to withdraw due to rigors of the clinical trials, lack of efficacy, side effects, personal issues, or loss of interest.</w:t>
      </w:r>
    </w:p>
    <w:p>
      <w:pPr>
        <w:spacing w:after="0" w:line="4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20" w:lineRule="exact"/>
        <w:rPr>
          <w:sz w:val="20"/>
          <w:szCs w:val="20"/>
          <w:color w:val="auto"/>
        </w:rPr>
      </w:pPr>
    </w:p>
    <w:p>
      <w:pPr>
        <w:ind w:left="1320" w:right="479" w:hanging="434"/>
        <w:spacing w:after="0" w:line="277" w:lineRule="auto"/>
        <w:tabs>
          <w:tab w:leader="none" w:pos="151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failure to conduct the clinical study in accordance with regulatory requirements or its clinical protocols;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5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7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unforeseen safety issues or safety signals, including any that could be identified in its ongoing nonclinical studies or clinical trials, adverse side effects or lack of effectiveness;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15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16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advancement of healthcare reform may negatively impact its ability to profitably sell its product candidates, if approved.</w:t>
      </w:r>
    </w:p>
    <w:p>
      <w:pPr>
        <w:spacing w:after="0" w:line="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United States and many foreign jurisdictions has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127"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21"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has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31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addition, other legislative changes has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10"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3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10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2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has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10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27" w:lineRule="exact"/>
        <w:rPr>
          <w:sz w:val="20"/>
          <w:szCs w:val="20"/>
          <w:color w:val="auto"/>
        </w:rPr>
      </w:pPr>
    </w:p>
    <w:p>
      <w:pPr>
        <w:jc w:val="both"/>
        <w:ind w:left="1320" w:right="459" w:hanging="434"/>
        <w:spacing w:after="0" w:line="255" w:lineRule="auto"/>
        <w:tabs>
          <w:tab w:leader="none" w:pos="151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24" w:lineRule="exact"/>
        <w:rPr>
          <w:rFonts w:ascii="Arial" w:cs="Arial" w:eastAsia="Arial" w:hAnsi="Arial"/>
          <w:sz w:val="18"/>
          <w:szCs w:val="18"/>
          <w:color w:val="auto"/>
        </w:rPr>
      </w:pPr>
    </w:p>
    <w:p>
      <w:pPr>
        <w:jc w:val="both"/>
        <w:ind w:left="1320" w:right="479" w:hanging="434"/>
        <w:spacing w:after="0" w:line="273" w:lineRule="auto"/>
        <w:tabs>
          <w:tab w:leader="none" w:pos="139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federal civil and criminal false claims laws and civil monetary penalty laws, including the federal False Claims Act, which can be enforced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96" w:lineRule="exact"/>
        <w:rPr>
          <w:rFonts w:ascii="Arial" w:cs="Arial" w:eastAsia="Arial" w:hAnsi="Arial"/>
          <w:sz w:val="17"/>
          <w:szCs w:val="17"/>
          <w:color w:val="auto"/>
        </w:rPr>
      </w:pPr>
    </w:p>
    <w:p>
      <w:pPr>
        <w:jc w:val="both"/>
        <w:ind w:left="1320" w:right="479" w:hanging="434"/>
        <w:spacing w:after="0" w:line="257"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20" w:lineRule="exact"/>
        <w:rPr>
          <w:rFonts w:ascii="Arial" w:cs="Arial" w:eastAsia="Arial" w:hAnsi="Arial"/>
          <w:sz w:val="18"/>
          <w:szCs w:val="18"/>
          <w:color w:val="auto"/>
        </w:rPr>
      </w:pPr>
    </w:p>
    <w:p>
      <w:pPr>
        <w:jc w:val="both"/>
        <w:ind w:left="1320" w:right="459" w:hanging="434"/>
        <w:spacing w:after="0" w:line="254" w:lineRule="auto"/>
        <w:tabs>
          <w:tab w:leader="none" w:pos="137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27" w:lineRule="exact"/>
        <w:rPr>
          <w:rFonts w:ascii="Arial" w:cs="Arial" w:eastAsia="Arial" w:hAnsi="Arial"/>
          <w:sz w:val="18"/>
          <w:szCs w:val="18"/>
          <w:color w:val="auto"/>
        </w:rPr>
      </w:pPr>
    </w:p>
    <w:p>
      <w:pPr>
        <w:jc w:val="both"/>
        <w:ind w:left="1320" w:right="479" w:hanging="434"/>
        <w:spacing w:after="0" w:line="291" w:lineRule="auto"/>
        <w:tabs>
          <w:tab w:leader="none" w:pos="133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85" w:lineRule="exact"/>
        <w:rPr>
          <w:rFonts w:ascii="Arial" w:cs="Arial" w:eastAsia="Arial" w:hAnsi="Arial"/>
          <w:sz w:val="16"/>
          <w:szCs w:val="16"/>
          <w:color w:val="auto"/>
        </w:rPr>
      </w:pPr>
    </w:p>
    <w:p>
      <w:pPr>
        <w:jc w:val="both"/>
        <w:ind w:left="1320" w:right="459" w:hanging="434"/>
        <w:spacing w:after="0" w:line="287" w:lineRule="auto"/>
        <w:tabs>
          <w:tab w:leader="none" w:pos="132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182"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9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31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72"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5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192"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9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39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103"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8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9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19" w:lineRule="exact"/>
        <w:rPr>
          <w:sz w:val="20"/>
          <w:szCs w:val="20"/>
          <w:color w:val="auto"/>
        </w:rPr>
      </w:pPr>
    </w:p>
    <w:p>
      <w:pPr>
        <w:ind w:left="1320" w:right="479" w:hanging="434"/>
        <w:spacing w:after="0" w:line="277" w:lineRule="auto"/>
        <w:tabs>
          <w:tab w:leader="none" w:pos="15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require that Gemini conduct post-marketing studies;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6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suspend or impose restrictions on operations, including costly new manufacturing requirements; or</w:t>
      </w:r>
    </w:p>
    <w:p>
      <w:pPr>
        <w:spacing w:after="0" w:line="180" w:lineRule="exact"/>
        <w:rPr>
          <w:rFonts w:ascii="Arial" w:cs="Arial" w:eastAsia="Arial" w:hAnsi="Arial"/>
          <w:sz w:val="16"/>
          <w:szCs w:val="16"/>
          <w:color w:val="auto"/>
        </w:rPr>
      </w:pPr>
    </w:p>
    <w:p>
      <w:pPr>
        <w:ind w:left="1320" w:right="479" w:hanging="434"/>
        <w:spacing w:after="0" w:line="277" w:lineRule="auto"/>
        <w:tabs>
          <w:tab w:leader="none" w:pos="135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occurrence of any event or penalty described above may inhibit its ability to commercialize its products and generate revenue.</w:t>
      </w:r>
    </w:p>
    <w:p>
      <w:pPr>
        <w:spacing w:after="0" w:line="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27"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has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has a material adverse effect on its business, financial condition and results of operations.</w:t>
      </w:r>
    </w:p>
    <w:p>
      <w:pPr>
        <w:spacing w:after="0" w:line="10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its product candidates. If Gemini is slow or unable to adapt to changes in existing requirements or the adoption of new requirements or policies, or if Gemini is not able to maintain regulatory compliance, Gemini may lose any marketing approval that Gemini may have obtained, which would adversely affect its business, prospects and ability to achieve or sustain profitability.</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65"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9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103" w:lineRule="exact"/>
        <w:rPr>
          <w:sz w:val="20"/>
          <w:szCs w:val="20"/>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6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19"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17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0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1"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7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11"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has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2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1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18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GEM103 and other product candidates for which Gemini intends to seek approval as biologic products may face competition sooner than anticipated.</w:t>
      </w:r>
    </w:p>
    <w:p>
      <w:pPr>
        <w:spacing w:after="0" w:line="10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has a material adverse effect on the future commercial prospects for its biological products.</w:t>
      </w:r>
    </w:p>
    <w:p>
      <w:pPr>
        <w:spacing w:after="0" w:line="10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9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 Risks Related to Intellectual Property” to “we”, “us” and “our” generally refer to Gemini in the present tense or the Combined Entity from and after the Business Combination.</w:t>
      </w:r>
    </w:p>
    <w:p>
      <w:pPr>
        <w:spacing w:after="0" w:line="18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7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4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0"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56"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8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84" w:lineRule="exact"/>
        <w:rPr>
          <w:sz w:val="20"/>
          <w:szCs w:val="20"/>
          <w:color w:val="auto"/>
        </w:rPr>
      </w:pPr>
    </w:p>
    <w:p>
      <w:pPr>
        <w:jc w:val="both"/>
        <w:ind w:left="1320" w:right="479" w:hanging="434"/>
        <w:spacing w:after="0" w:line="259" w:lineRule="auto"/>
        <w:tabs>
          <w:tab w:leader="none" w:pos="133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41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19" w:lineRule="exact"/>
        <w:rPr>
          <w:rFonts w:ascii="Arial" w:cs="Arial" w:eastAsia="Arial" w:hAnsi="Arial"/>
          <w:sz w:val="18"/>
          <w:szCs w:val="18"/>
          <w:color w:val="auto"/>
        </w:rPr>
      </w:pPr>
    </w:p>
    <w:p>
      <w:pPr>
        <w:jc w:val="both"/>
        <w:ind w:left="1320" w:right="459" w:hanging="434"/>
        <w:spacing w:after="0" w:line="311" w:lineRule="auto"/>
        <w:tabs>
          <w:tab w:leader="none" w:pos="135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Arial" w:cs="Arial" w:eastAsia="Arial" w:hAnsi="Arial"/>
          <w:sz w:val="16"/>
          <w:szCs w:val="16"/>
          <w:color w:val="auto"/>
        </w:rPr>
      </w:pPr>
    </w:p>
    <w:p>
      <w:pPr>
        <w:jc w:val="both"/>
        <w:ind w:left="1320" w:right="459" w:hanging="434"/>
        <w:spacing w:after="0" w:line="263" w:lineRule="auto"/>
        <w:tabs>
          <w:tab w:leader="none" w:pos="137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76"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8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In addition, although Gemini enters into non-disclosure and confidentiality agreements with parties who have access to patentable aspects of our research and development output, such as our employees, outside scientific collaborators,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Gemini may be unable to obtain intellectual property rights or technology necessary to develop and commercialize its product candidates.</w:t>
      </w:r>
    </w:p>
    <w:p>
      <w:pPr>
        <w:spacing w:after="0" w:line="8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Gemini may not be aware of all third-party intellectual property rights potentially relating to its product candidates and technologies.</w:t>
      </w:r>
    </w:p>
    <w:p>
      <w:pPr>
        <w:spacing w:after="0" w:line="9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9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6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including the license agreement with Sanquin Blood Supply Foundation related to anti-CFH agonistic antibodies, we may be required to pay damages and could lose intellectual property rights that are necessary for developing and protecting our product candidates.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Disputes may also arise between Gemini and Sanquin Blood Supply Foundation, as well as any future potential licensors, regarding intellectual property subject to a license agreement, including:</w:t>
      </w:r>
    </w:p>
    <w:p>
      <w:pPr>
        <w:spacing w:after="0" w:line="103" w:lineRule="exact"/>
        <w:rPr>
          <w:sz w:val="20"/>
          <w:szCs w:val="20"/>
          <w:color w:val="auto"/>
        </w:rPr>
      </w:pPr>
    </w:p>
    <w:p>
      <w:pPr>
        <w:ind w:left="1300" w:hanging="414"/>
        <w:spacing w:after="0"/>
        <w:tabs>
          <w:tab w:leader="none" w:pos="13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3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and the extent to which its technology and processes infringe on intellectual property of the licensor that is not subject to the licensing agreement;</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its right to sublicense patent and other rights to third parties under collaborative development relationships;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5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its licensors and us and its partners;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5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0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8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its competitive position on its product candidates for an adequate amount of time.</w:t>
      </w:r>
    </w:p>
    <w:p>
      <w:pPr>
        <w:spacing w:after="0" w:line="10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Gemini may not be able to protect its intellectual property rights throughout the world.</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0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2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0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9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79"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6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8" w:name="page69"/>
    <w:bookmarkEnd w:id="6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103"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100"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revocation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0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9" w:name="page70"/>
    <w:bookmarkEnd w:id="6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7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0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10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10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 reasonable terms, or at all. Even if Gemini were able to obtain a license, it could be non-exclusive, thereby giving</w:t>
      </w:r>
    </w:p>
    <w:p>
      <w:pPr>
        <w:sectPr>
          <w:pgSz w:w="11900" w:h="16838" w:orient="portrait"/>
          <w:cols w:equalWidth="0" w:num="1">
            <w:col w:w="9019"/>
          </w:cols>
          <w:pgMar w:left="1440" w:top="274"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0" w:name="page71"/>
    <w:bookmarkEnd w:id="7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166"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00"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Gemini’s inability to protect its confidential information and trade secrets would harm its business and competitive position.</w:t>
      </w:r>
    </w:p>
    <w:p>
      <w:pPr>
        <w:spacing w:after="0" w:line="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116" w:lineRule="exact"/>
        <w:rPr>
          <w:sz w:val="20"/>
          <w:szCs w:val="20"/>
          <w:color w:val="auto"/>
        </w:rPr>
      </w:pPr>
    </w:p>
    <w:p>
      <w:pPr>
        <w:jc w:val="both"/>
        <w:ind w:left="1320" w:right="459" w:hanging="434"/>
        <w:spacing w:after="0" w:line="263" w:lineRule="auto"/>
        <w:tabs>
          <w:tab w:leader="none" w:pos="13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37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Gemini, or its current or future collaborators, might not have been the first to file patent applications covering certain of its or their inventions;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6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its technologies without infringing its owned or licensed intellectual property rights;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 is possible that Gemini’s pending patent applications or those that it may own in the future will not lead to issued patents;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issued patents that Gemini holds rights to may be held invalid or unenforceable, including as a result of legal challenges by its competitors;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Gemini may not develop additional proprietary technologies that are patentable;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patents of others may harm its business; and</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45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Gemini may choose not to file a patent application in order to maintain certain trade secrets or know-how, and a third party may subsequently file a patent covering such intellectual property.</w:t>
      </w:r>
    </w:p>
    <w:p>
      <w:pPr>
        <w:spacing w:after="0" w:line="7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Should any of these events occur, they could have a material adverse effect on its business, financial condition, results of operations and prospects.</w:t>
      </w:r>
    </w:p>
    <w:p>
      <w:pPr>
        <w:spacing w:after="0" w:line="17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Patents that ultimately issue that cover its product candidates could be found invalid or unenforceable if challenged in court or the USPTO.</w:t>
      </w:r>
    </w:p>
    <w:p>
      <w:pPr>
        <w:spacing w:after="0" w:line="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its ability to protect its product candidates.</w:t>
      </w:r>
    </w:p>
    <w:p>
      <w:pPr>
        <w:spacing w:after="0" w:line="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1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 Risks Related to Reliance on Third Parties” to “we”, “us” and “our” generally refer to Gemini in the present tense or the Combined Entity from and after the Business Combination.</w:t>
      </w:r>
    </w:p>
    <w:p>
      <w:pPr>
        <w:spacing w:after="0" w:line="184"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5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Gemini will depend upon third parties, including independent investigators, to conduct its clinical trials under agreements with universities, medical institutions, CROs, strategic partners and others. Gemini expects to has to negotiate budgets and contracts with CROs and trial sites, which may result in delays to its development timelines and increased costs.</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9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0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97"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177"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0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Gemini does not have any manufacturing facilities. Gemini currently relies, and expect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18" w:lineRule="exact"/>
        <w:rPr>
          <w:sz w:val="20"/>
          <w:szCs w:val="20"/>
          <w:color w:val="auto"/>
        </w:rPr>
      </w:pPr>
    </w:p>
    <w:p>
      <w:pPr>
        <w:ind w:left="1300" w:hanging="414"/>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72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1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11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9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8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0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127"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8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4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1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Commercialization</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 Risks Related to Commercialization” to “we”, “us” and “our” generally refer to Gemini in the present tense or the Combined Entity from and after the Business Combination.</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11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0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82"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81"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01"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1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165"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5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agencies. Regulatory agencies in these countries could determine that the pricing for its products should be based on prices of other commercially available products for the same disease, rather than allowing us to market its products at a premium as new drugs. The degree of market acceptance of any of its approved product candidates will depend on a number of factors, including:</w:t>
      </w:r>
    </w:p>
    <w:p>
      <w:pPr>
        <w:spacing w:after="0" w:line="119" w:lineRule="exact"/>
        <w:rPr>
          <w:sz w:val="20"/>
          <w:szCs w:val="20"/>
          <w:color w:val="auto"/>
        </w:rPr>
      </w:pPr>
    </w:p>
    <w:p>
      <w:pPr>
        <w:ind w:left="1300" w:hanging="41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acceptance of the product candidate as a safe and effective treatment by clinics and patients;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58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unfavorable publicity relating to its product candidates.</w:t>
      </w:r>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166"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Gemini may develop and insurance coverage may not be adequate.</w:t>
      </w:r>
    </w:p>
    <w:p>
      <w:pPr>
        <w:spacing w:after="0" w:line="33"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27" w:lineRule="exact"/>
        <w:rPr>
          <w:sz w:val="20"/>
          <w:szCs w:val="20"/>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Gemini may develop;</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injury to its reputation and significant negative media attention;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its business operations;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Gemini may develop;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decline in its stock price.</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has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FS Development and the Business Combination</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 Risks Related to FS Development and Combination” to “we”, “us” and “our” generally refer to FS Development in the present tense or the Combined Entity from and after the Business Combination.</w:t>
      </w:r>
    </w:p>
    <w:p>
      <w:pPr>
        <w:spacing w:after="0" w:line="184"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FS Development’s Sponsor, directors and officers have interests in the Business Combination which may be different from or in addition to (and which may conflict with) the interests of its stockholders.</w:t>
      </w:r>
    </w:p>
    <w:p>
      <w:pPr>
        <w:spacing w:after="0" w:line="5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FS Development’s Sponsor, officers and directors and their respective affiliates and associates have interests in and arising from the Business Combination that are different from, or in addition to, (and which may conflict with) the interests of FS Development’s public stockholders, which could result in a real or perceived conflict of interest. These interests include, among other things, the interests listed below:</w:t>
      </w:r>
    </w:p>
    <w:p>
      <w:pPr>
        <w:spacing w:after="0" w:line="90" w:lineRule="exact"/>
        <w:rPr>
          <w:sz w:val="20"/>
          <w:szCs w:val="20"/>
          <w:color w:val="auto"/>
        </w:rPr>
      </w:pPr>
    </w:p>
    <w:p>
      <w:pPr>
        <w:jc w:val="both"/>
        <w:ind w:left="1320" w:right="459" w:hanging="434"/>
        <w:spacing w:after="0" w:line="287" w:lineRule="auto"/>
        <w:tabs>
          <w:tab w:leader="none" w:pos="132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we are unable to complete our initial business combination by August 14, 2022,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 .</w:t>
      </w:r>
    </w:p>
    <w:p>
      <w:pPr>
        <w:spacing w:after="0" w:line="100" w:lineRule="exact"/>
        <w:rPr>
          <w:rFonts w:ascii="Arial" w:cs="Arial" w:eastAsia="Arial" w:hAnsi="Arial"/>
          <w:sz w:val="16"/>
          <w:szCs w:val="16"/>
          <w:color w:val="auto"/>
        </w:rPr>
      </w:pPr>
    </w:p>
    <w:p>
      <w:pPr>
        <w:jc w:val="both"/>
        <w:ind w:left="1320" w:right="459" w:hanging="434"/>
        <w:spacing w:after="0" w:line="259" w:lineRule="auto"/>
        <w:tabs>
          <w:tab w:leader="none" w:pos="147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will be no liquidating distributions from the Trust Account with respect to the Founders Shares if we fail to complete a business combination within the required period. Our initial stockholders purchased the Founders Shares prior to our initial public offering for an aggregate purchase price of $25,000.</w:t>
      </w:r>
    </w:p>
    <w:p>
      <w:pPr>
        <w:spacing w:after="0" w:line="119" w:lineRule="exact"/>
        <w:rPr>
          <w:rFonts w:ascii="Arial" w:cs="Arial" w:eastAsia="Arial" w:hAnsi="Arial"/>
          <w:sz w:val="18"/>
          <w:szCs w:val="18"/>
          <w:color w:val="auto"/>
        </w:rPr>
      </w:pPr>
    </w:p>
    <w:p>
      <w:pPr>
        <w:jc w:val="both"/>
        <w:ind w:left="1320" w:right="459" w:hanging="434"/>
        <w:spacing w:after="0" w:line="255" w:lineRule="auto"/>
        <w:tabs>
          <w:tab w:leader="none" w:pos="13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Simultaneously with the closing of its initial public offering, FS Development consummated the sale of 441,500 Shares of FS Development Class A Common Stock at a price of $10.00 per Share in a private placement to our Sponsor. If we do not consummate a business combination transaction by August 14, 2022, then the proceeds from the sale of the private placement shares will be part of the liquidating distribution to the public stockholders and the shares held by our initial stockholders will be worthless.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301" w:lineRule="auto"/>
        <w:tabs>
          <w:tab w:leader="none" w:pos="139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Our Sponsor,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89" w:lineRule="exact"/>
        <w:rPr>
          <w:rFonts w:ascii="Arial" w:cs="Arial" w:eastAsia="Arial" w:hAnsi="Arial"/>
          <w:sz w:val="16"/>
          <w:szCs w:val="16"/>
          <w:color w:val="auto"/>
        </w:rPr>
      </w:pPr>
    </w:p>
    <w:p>
      <w:pPr>
        <w:jc w:val="both"/>
        <w:ind w:left="1320" w:right="479" w:hanging="434"/>
        <w:spacing w:after="0" w:line="263" w:lineRule="auto"/>
        <w:tabs>
          <w:tab w:leader="none" w:pos="15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initial stockholders and our officers and directors have agreed to waive their rights to liquidating distributions from the Trust Account with respect to their Founders Shares if FS Development fails to complete a business combination by August 14, 2022.</w:t>
      </w:r>
    </w:p>
    <w:p>
      <w:pPr>
        <w:spacing w:after="0" w:line="116" w:lineRule="exact"/>
        <w:rPr>
          <w:rFonts w:ascii="Arial" w:cs="Arial" w:eastAsia="Arial" w:hAnsi="Arial"/>
          <w:sz w:val="18"/>
          <w:szCs w:val="18"/>
          <w:color w:val="auto"/>
        </w:rPr>
      </w:pPr>
    </w:p>
    <w:p>
      <w:pPr>
        <w:jc w:val="both"/>
        <w:ind w:left="1320" w:right="479" w:hanging="434"/>
        <w:spacing w:after="0" w:line="291" w:lineRule="auto"/>
        <w:tabs>
          <w:tab w:leader="none" w:pos="141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85" w:lineRule="exact"/>
        <w:rPr>
          <w:rFonts w:ascii="Arial" w:cs="Arial" w:eastAsia="Arial" w:hAnsi="Arial"/>
          <w:sz w:val="16"/>
          <w:szCs w:val="16"/>
          <w:color w:val="auto"/>
        </w:rPr>
      </w:pPr>
    </w:p>
    <w:p>
      <w:pPr>
        <w:jc w:val="both"/>
        <w:ind w:left="1320" w:right="459" w:hanging="434"/>
        <w:spacing w:after="0" w:line="293" w:lineRule="auto"/>
        <w:tabs>
          <w:tab w:leader="none" w:pos="133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Following the Closing, our Sponsor would be entitled to the repayment of any working capital loan and advances that have been made to FS Development and remain outstanding. As of the date of this proxy statement/prospectus, our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96" w:lineRule="exact"/>
        <w:rPr>
          <w:rFonts w:ascii="Arial" w:cs="Arial" w:eastAsia="Arial" w:hAnsi="Arial"/>
          <w:sz w:val="16"/>
          <w:szCs w:val="16"/>
          <w:color w:val="auto"/>
        </w:rPr>
      </w:pPr>
    </w:p>
    <w:p>
      <w:pPr>
        <w:ind w:left="1320" w:right="479" w:hanging="434"/>
        <w:spacing w:after="0" w:line="277" w:lineRule="auto"/>
        <w:tabs>
          <w:tab w:leader="none" w:pos="14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Following the Closing, we will continue to indemnify our existing directors and officers and will maintain a directors’ and officers’ liability insurance policy.</w:t>
      </w:r>
    </w:p>
    <w:p>
      <w:pPr>
        <w:spacing w:after="0" w:line="102" w:lineRule="exact"/>
        <w:rPr>
          <w:rFonts w:ascii="Arial" w:cs="Arial" w:eastAsia="Arial" w:hAnsi="Arial"/>
          <w:sz w:val="18"/>
          <w:szCs w:val="18"/>
          <w:color w:val="auto"/>
        </w:rPr>
      </w:pPr>
    </w:p>
    <w:p>
      <w:pPr>
        <w:jc w:val="both"/>
        <w:ind w:left="1320" w:right="459" w:hanging="434"/>
        <w:spacing w:after="0" w:line="254" w:lineRule="auto"/>
        <w:tabs>
          <w:tab w:leader="none" w:pos="137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the Closing, subject to the terms and conditions of the Merger Agreement, our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our Sponsor or certain of our officers and directors to finance transaction costs in connection with an intended initial business combination.</w:t>
      </w:r>
    </w:p>
    <w:p>
      <w:pPr>
        <w:spacing w:after="0" w:line="11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Business Combination Proposal — Interests of FS Development’s Directors and Officers and Others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additional information on interests of FS Development’s directors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w:t>
      </w:r>
    </w:p>
    <w:p>
      <w:pPr>
        <w:spacing w:after="0" w:line="116"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These financial interests of the Sponsor as well as FS Development’s directors and officers may have influenced their motivation in identifying and selecting Gemini as a business combination target, and their decision to approve the Business Combination. In considering the recommendations of the Board to vote for the proposals, its stockholders should consider these interests.</w:t>
      </w:r>
    </w:p>
    <w:p>
      <w:pPr>
        <w:spacing w:after="0" w:line="18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Activities taken by FS Development’s affiliates to purchase, directly or indirectly, Public Shares will increase the likelihood of approval of the Business Combination Proposal and the other Proposals and may affect the market price of the FS Development’s securities.</w:t>
      </w:r>
    </w:p>
    <w:p>
      <w:pPr>
        <w:spacing w:after="0" w:line="116"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FS Development’s Sponsor, directors, officers, advisors or their affiliates may purchase shares in privately negotiated transactions either prior to or following the Closing, although they are under no obligation to do so. None of FS Development’s Sponsor, directors, officers, advisors or their affiliates will make any such purchases when such parties are in possession of any material non-public information not disclosed to the seller or during a restricted period under Regulation M under the Exchange Act. Although none of FS Development’s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FS Development’s Sponsor, directors, officers, advisors or their affiliates, or the price such parties may pay, subject to compliance with applicable law and Nasdaq rules.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FS Development’s securities. In addition, the termination of the support provided by these purchases may materially adversely affect the market price of FS Development’s securities. In addition, if such purchases are made, the public “float” of FS Development Class A Common Stock and the number of beneficial holders of FS Development Class A Common Stock may be reduced, possibly making it difficult to obtain or maintain the quotation, listing or trading of FS Development Class A Common Stock on a national securities exchange.</w:t>
      </w:r>
    </w:p>
    <w:p>
      <w:pPr>
        <w:spacing w:after="0" w:line="10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Other than as expressly stated herein, there are no current commitments, plans or intentions to engage in any such transactions and no terms or conditions for any such transaction have been formulated. None of the funds in the Trust Account will be used to purchase shares in such transactions.</w:t>
      </w:r>
    </w:p>
    <w:p>
      <w:pPr>
        <w:spacing w:after="0" w:line="165"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FS Development did not obtain an opinion from an independent investment banking or accounting firm, and consequently, there can be no assurance from an independent source that the price FS Development is paying for is fair to FS Development from a financial point of view.</w:t>
      </w:r>
    </w:p>
    <w:p>
      <w:pPr>
        <w:spacing w:after="0" w:line="98"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FS Development is not required to obtain an opinion from an independent investment banking or accounting firm that the price FS Development is paying in connection with the Business Combination is fair to FS Development from a financial point of view. The Board did not obtain a third-party valuation or fairness opinion in connection with its initial determination to approve and recommend the Business Combination. Accordingly, investors will be relying solely on the judgment of the Board in valuing Gemini’s business, and assuming the risk that the Board may not have properly valued the Business Combination.</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Sponsor has agreed to vote in favor of the Business Combination, regardless of how FS Development’s public stockholders vote.</w:t>
      </w:r>
    </w:p>
    <w:p>
      <w:pPr>
        <w:spacing w:after="0" w:line="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Unlike some other blank check companies in which the initial stockholders agree to vote their Founders Shares in accordance with the majority of the votes cast by the public stockholders in connection with an initial business combination, the holders of the Founders Shares, pursuant to the Parent Support Agreement, have agreed, among other things, to vote their shares in favor of the Business Combination. Our initial stockholders</w:t>
      </w:r>
    </w:p>
    <w:p>
      <w:pPr>
        <w:spacing w:after="0" w:line="1" w:lineRule="exact"/>
        <w:rPr>
          <w:sz w:val="20"/>
          <w:szCs w:val="20"/>
          <w:color w:val="auto"/>
        </w:rPr>
      </w:pPr>
    </w:p>
    <w:p>
      <w:pPr>
        <w:jc w:val="both"/>
        <w:ind w:left="460" w:right="479"/>
        <w:spacing w:after="0" w:line="250" w:lineRule="auto"/>
        <w:rPr>
          <w:sz w:val="20"/>
          <w:szCs w:val="20"/>
          <w:color w:val="auto"/>
        </w:rPr>
      </w:pPr>
      <w:r>
        <w:rPr>
          <w:rFonts w:ascii="Arial" w:cs="Arial" w:eastAsia="Arial" w:hAnsi="Arial"/>
          <w:sz w:val="18"/>
          <w:szCs w:val="18"/>
          <w:color w:val="auto"/>
        </w:rPr>
        <w:t>own approximately % of our outstanding shares prior to the Business Combination. As a result, FS Development would need only , or approximately %, of the shares of FS Development Common</w:t>
      </w:r>
    </w:p>
    <w:p>
      <w:pPr>
        <w:spacing w:after="0" w:line="1" w:lineRule="exact"/>
        <w:rPr>
          <w:sz w:val="20"/>
          <w:szCs w:val="20"/>
          <w:color w:val="auto"/>
        </w:rPr>
      </w:pPr>
    </w:p>
    <w:p>
      <w:pPr>
        <w:jc w:val="both"/>
        <w:ind w:left="460" w:right="479"/>
        <w:spacing w:after="0" w:line="253" w:lineRule="auto"/>
        <w:rPr>
          <w:sz w:val="20"/>
          <w:szCs w:val="20"/>
          <w:color w:val="auto"/>
        </w:rPr>
      </w:pPr>
      <w:r>
        <w:rPr>
          <w:rFonts w:ascii="Arial" w:cs="Arial" w:eastAsia="Arial" w:hAnsi="Arial"/>
          <w:sz w:val="18"/>
          <w:szCs w:val="18"/>
          <w:color w:val="auto"/>
        </w:rPr>
        <w:t>Stock to be voted in favor of the Business Combination in order to have the Business Combination approved. Accordingly, it is more likely that the necessary stockholder approval will be received than would be the case if the Sponsor agreed to vote its Founders Shares in accordance with the majority of the votes cast by FS Development’s public stockholders.</w:t>
      </w:r>
    </w:p>
    <w:p>
      <w:pPr>
        <w:spacing w:after="0" w:line="19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FS Development has no operating history and is subject to a mandatory liquidation and subsequent dissolution requirement. If FS Development is unable to consummate a business combination, including the Business Combination, its public stockholders may be forced to wait more than 24 months before receiving distributions from the Trust Account.</w:t>
      </w:r>
    </w:p>
    <w:p>
      <w:pPr>
        <w:spacing w:after="0" w:line="11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FS Development is a development stage blank check company, and it has no operating history and is subject to a mandatory liquidation and subsequent dissolution requirement. FS Development has until August 14, 2022 to complete a business combination. FS Development has no obligation to return funds to investors prior to such date unless (i) it consummates a business combination prior thereto or (ii) it seeks to amend its Current Charter prior to consummation of a business combination, and only then in cases where investors have sought to convert or sell their shares to FS Development. Only after the expiration of this full time period will public stockholders be entitled to distributions from the Trust Account if FS Development is unable to complete a business combination. Accordingly, investors’ funds may be unavailable to them until after such date and to liquidate their investment, public security holders may be forced to sell their Public Shares, potentially at a loss.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Following the Closing, the Combined Entity’s only significant asset will be ownership of 100% of Gemini and such ownership may not be sufficient to pay dividends or make distributions or loans to enable it to pay any dividends on its Common Stock.</w:t>
      </w:r>
    </w:p>
    <w:p>
      <w:pPr>
        <w:spacing w:after="0" w:line="103"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Following the Closing, the Combined Entity will have no direct operations and no significant assets other than the ownership of 100% of Gemini. The Combined Entity will depend on Gemini for distributions, loans and other payments to generate the funds necessary to meet the Combined Entity’s financial obligations, including expenses related to operating as a publicly traded company, and to pay any dividends with respect to its Common Stock. In addition, there are legal and contractual restrictions in agreements governing current and future indebtedness of Gemini under its loan and security agreement with SVB. The earnings from, or other available assets of, Gemini, may not be sufficient to pay dividends or make distributions or loans to enable the Combined Entity to pay any dividends on its Common Stock.</w:t>
      </w:r>
    </w:p>
    <w:p>
      <w:pPr>
        <w:spacing w:after="0" w:line="178"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Subsequent to the Closing, FS Development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63"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Although FS Development has conducted due diligence on Gemini, FS Development cannot assure you that this diligence revealed all material issues that may be present in Gemini’s business, that it would be possible to uncover all material issues through a customary amount of due diligence, or that factors outside of FS Development’s and Gemini’s control will not later arise. As a result, FS Development may be forced to later write-down or write-off assets, restructure its operations, or incur impairment or other charges that could result in losses. Even if FS Development’s due diligence successfully identifies certain risks, unexpected risks may arise and previously known risks may materialize in a manner not consistent with FS Development’s preliminary risk analysis. Even though these charges may be non-cash items and may not have an immediate impact on FS Development’s liquidity, the fact that FS Development reports charges of this nature could contribute to negative market perceptions about the Combined Entity’s or FS Development’s securities. In addition, charges of this nature may cause FS Development to be unable to obtain future financing on favorable terms or at all. Accordingly, any FS Development stockholder who chooses to remain a stockholder of the Combined Entity following the Business Combination could suffer a reduction in the value of their shares. Such stockholders are unlikely to have a remedy for such reduction in value unless they are able to successfully claim that the reduction was due to the breach by FS Development’s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190"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b w:val="1"/>
          <w:bCs w:val="1"/>
          <w:i w:val="1"/>
          <w:iCs w:val="1"/>
          <w:color w:val="auto"/>
        </w:rPr>
        <w:t>Our actual financial position and results of operations may differ materially from the unaudited pro forma condensed combined financial information included in this proxy statement/prospectus may not be indicative of what FS Development’s actual financial position or results of operations would have been.</w:t>
      </w:r>
    </w:p>
    <w:p>
      <w:pPr>
        <w:spacing w:after="0" w:line="81"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The unaudited pro forma condensed combined financial information in this proxy statement/prospectus is presented for illustrative purposes only and is not necessarily indicative of what FS Development’s actual financial position or results of operations would have been had the Business Combination been completed on the dates indicated. See the section 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for more information.</w:t>
      </w:r>
    </w:p>
    <w:p>
      <w:pPr>
        <w:spacing w:after="0" w:line="18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third parties bring claims against FS Development or if FS Development files a bankruptcy petition or an involuntary bankruptcy petition is filed against FS Development that is not dismissed, the proceeds held in trust could be reduced and the per-share redemption price received by stockholders may be less than $10.00 (which was the offering price in our initial public offering).</w:t>
      </w:r>
    </w:p>
    <w:p>
      <w:pPr>
        <w:spacing w:after="0" w:line="9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FS Development’s placing of funds in trust may not protect those funds from third party claims against FS Development. Although FS Development will seek to have all vendors and service providers FS Development engages and prospective target businesses FS Development negotiates with execute agreements with FS Development waiving any right, title, interest or claim of any kind in or to any monies held in the Trust Account for the benefit of FS Development’s public stockholders, they may not execute such agreements. Furthermore, even if such entities execute such agreements with FS Development, they may seek recourse against the Trust Account. Additionally, a court may not uphold the validity of such agreements. Accordingly, the proceeds held in trust could be subject to claims which could take priority over those of FS Development’s public stockholders.</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Additionally, if FS Development is forced to file a bankruptcy case or an involuntary bankruptcy case is filed against FS Development’s which is not dismissed, the proceeds held in the Trust Account could be subject to applicable bankruptcy law, and may be included in FS Development’s bankruptcy estate and subject to the claims of third parties with priority over the claims of FS Development’s stockholders. To the extent any bankruptcy claims deplete the Trust Account, FS Development may not be able to return to FS Development’s public stockholders at least $10.00 (which was the offering price in our initial public offering). As a result, if any such claims were successfully made against the Trust Account, the funds available for FS Development’s initial business combination, including the Business Combination, and redemptions could be reduced to less than $10.00 per Public Share.</w:t>
      </w:r>
    </w:p>
    <w:p>
      <w:pPr>
        <w:spacing w:after="0" w:line="1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FS Development’s stockholders may be held liable for claims by third parties against FS Development to the extent of distributions received by them.</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Current Charter provides that FS Development will continue in existence only until April 14, 2022. If FS Development has not completed a business combination by such date, FS Development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w:t>
      </w:r>
    </w:p>
    <w:p>
      <w:pPr>
        <w:spacing w:after="0" w:line="98"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If FS Development is forced to file a bankruptcy case or an involuntary bankruptcy case is filed against FS Development which is not dismissed, any distributions received by stockholders could be viewed under applicable debtor/creditor and/or bankruptcy laws as either a “preferential transfer” or a “fraudulent conveyance.” As a result, a bankruptcy court could seek to recover all amounts received by FS Development’s stockholders. Furthermore, because FS Development intends to distribute the proceeds held in the Public Shares to FS Development’s public stockholders promptly after expiration of the time FS Development has to complete an initial business combination, this may be viewed or interpreted as giving preference to FS Development’s public stockholders over any potential creditors with respect to access to or distributions from FS Development’s assets. Furthermore, the Board may be viewed as having breached their fiduciary duties to FS Development’s creditors and/or may have acted in bad faith, and thereby exposing itself and FS Development to claims of punitive damages, by paying public stockholders from the Trust Account prior to addressing the claims of creditors. FS Development cannot assure you that claims will not be brought against it for these reasons.</w:t>
      </w:r>
    </w:p>
    <w:p>
      <w:pPr>
        <w:spacing w:after="0" w:line="19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b w:val="1"/>
          <w:bCs w:val="1"/>
          <w:i w:val="1"/>
          <w:iCs w:val="1"/>
          <w:color w:val="auto"/>
        </w:rPr>
        <w:t>FS Development’s ability to successfully effect the Business Combination and to be successful thereafter will be totally dependent upon the efforts of its key personnel, including Gemini’s key personnel, all of whom are expected to join FS Development following the Business Combination. While FS Development intends to closely scrutinize any individuals it engages after the Business Combination, it cannot assure you that its assessment of these individuals will prove to be correct.</w:t>
      </w:r>
    </w:p>
    <w:p>
      <w:pPr>
        <w:spacing w:after="0" w:line="10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FS Development’s ability to successfully effect the Business Combination is dependent upon the efforts of FS Development’s key personnel, including key personnel of Gemini. Although FS Development expects all of such key personnel to remain with Gemini following the Business Combination, it is possible that FS Development will lose some key personnel, the loss of which could negatively impact the operations and profitability of the Combined Entity. While FS Development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FS Development to have to expend time and resources helping them become familiar with such requirements. This could be expensive and time-consuming and could lead to various regulatory issues which may adversely affect its operations. Additionally, FS Development cannot assure you that FS Development will be successful in integrating and retaining such key personnel, or in identifying and recruiting additional key individuals FS Development determines may be necessary following the Business Combination.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 market for FS Development’s securities may not continue, which would adversely affect the liquidity and price of its securities.</w:t>
      </w:r>
    </w:p>
    <w:p>
      <w:pPr>
        <w:spacing w:after="0" w:line="89"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Following the Business Combination, the price of FS Development’s securities may fluctuate significantly due to the market’s reaction to the Business Combination and general market and economic conditions. An active trading market for FS Development’s securities following the Business Combination may never develop or, if developed, it may not be sustained. In addition, the price of FS Development’s securities after the Business Combination can vary due to general economic conditions and forecasts, FS Development’s general business condition and the release of FS Development’s financial reports. Additionally, if FS Development’s securities are not listed on, or become delisted from the Nasdaq for any reason, and are quoted on the OTC Bulletin Board, an inter-dealer automated quotation system for equity securities that is not a national securities exchange, the liquidity and price of FS Development’s securities may be more limited than if FS Development were quoted or listed on the NYSE American, LLC, the Nasdaq or another national securities exchange. You may be unable to sell your securities unless a market can be established or sustained.</w:t>
      </w:r>
    </w:p>
    <w:p>
      <w:pPr>
        <w:spacing w:after="0" w:line="17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There can be no assurance that FS Development will be able to comply with the continued listing standards of the Nasdaq.</w:t>
      </w:r>
    </w:p>
    <w:p>
      <w:pPr>
        <w:spacing w:after="0" w:line="10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FS Development Class A Common Stock is expected to be listed on Nasdaq following the Business Combination. FS Development’s continued eligibility for listing may depend on the number of shares that are redeemed. If, after the Business Combination, the Nasdaq delists FS Development’s securities from trading on its exchange for failure to meet the listing standards, FS Development and its stockholders could face significant material adverse consequences including:</w:t>
      </w:r>
    </w:p>
    <w:p>
      <w:pPr>
        <w:spacing w:after="0" w:line="120" w:lineRule="exact"/>
        <w:rPr>
          <w:sz w:val="20"/>
          <w:szCs w:val="20"/>
          <w:color w:val="auto"/>
        </w:rPr>
      </w:pPr>
    </w:p>
    <w:p>
      <w:pPr>
        <w:ind w:left="1300" w:hanging="41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limited availability of market quotations for FS Development’s securities;</w:t>
      </w:r>
    </w:p>
    <w:p>
      <w:pPr>
        <w:spacing w:after="0" w:line="144" w:lineRule="exact"/>
        <w:rPr>
          <w:rFonts w:ascii="Arial" w:cs="Arial" w:eastAsia="Arial" w:hAnsi="Arial"/>
          <w:sz w:val="18"/>
          <w:szCs w:val="18"/>
          <w:color w:val="auto"/>
        </w:rPr>
      </w:pPr>
    </w:p>
    <w:p>
      <w:pPr>
        <w:jc w:val="both"/>
        <w:ind w:left="1320" w:right="459" w:hanging="434"/>
        <w:spacing w:after="0" w:line="259" w:lineRule="auto"/>
        <w:tabs>
          <w:tab w:leader="none" w:pos="13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determination that FS Development Class A Common Stock is a “penny stock” which will require brokers trading in its FS Development Class A Common Stock to adhere to more stringent rules, possibly resulting in a reduced level of trading activity in the secondary trading market for FS Development Class A Common Stock;</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460" w:right="479"/>
        <w:spacing w:after="0" w:line="381" w:lineRule="auto"/>
        <w:rPr>
          <w:sz w:val="20"/>
          <w:szCs w:val="20"/>
          <w:color w:val="auto"/>
        </w:rPr>
      </w:pPr>
      <w:r>
        <w:rPr>
          <w:rFonts w:ascii="Arial" w:cs="Arial" w:eastAsia="Arial" w:hAnsi="Arial"/>
          <w:sz w:val="15"/>
          <w:szCs w:val="15"/>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the event that the proceeds in the Trust Account are reduced below the lesser of (i) $10.00 per share and</w:t>
      </w:r>
    </w:p>
    <w:p>
      <w:pPr>
        <w:spacing w:after="0" w:line="46" w:lineRule="exact"/>
        <w:rPr>
          <w:sz w:val="20"/>
          <w:szCs w:val="20"/>
          <w:color w:val="auto"/>
        </w:rPr>
      </w:pPr>
    </w:p>
    <w:p>
      <w:pPr>
        <w:jc w:val="both"/>
        <w:ind w:left="460" w:right="459" w:hanging="6"/>
        <w:spacing w:after="0" w:line="286" w:lineRule="auto"/>
        <w:tabs>
          <w:tab w:leader="none" w:pos="7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69"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If the Business Combination’s benefits do not meet the expectations of investors, stockholders or financial analysts, the market price of FS Development’s securities may decline.</w:t>
      </w:r>
    </w:p>
    <w:p>
      <w:pPr>
        <w:spacing w:after="0" w:line="7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If the benefits of the Business Combination do not meet the expectations of investors or securities analysts, the market price of FS Development’s securities prior to the Closing may decline. The market values of FS Development’s securities at the time of the Business Combination may vary significantly from their prices on the date the Merger Agreement was executed, the date of this proxy statement/prospectus, or the date on which FS Development’s stockholders vote on the Business Combination. Because the number of shares to be issued pursuant to the Merger Agreement is fixed and will not be adjusted to reflect any changes in the market price of FS Development Class A Common Stock, the market value of FS Development stock issued in the Business Combination may be higher or lower than the value of these shares on an earlier date.</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4" w:name="page85"/>
    <w:bookmarkEnd w:id="8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addition, following the Business Combination, fluctuations in the price of FS Development’s securities could contribute to the loss of all or part of your investment. Accordingly, the valuation ascribed to Gemini and FS Development Class A Common Stock in the Business Combination may not be indicative of the actual price that will prevail in the trading market following the Business Combination. If an active market for FS Development’s Class A Common Stock develops and continues, the trading price of FS Development’s Class A Common Stock following the Business Combination could be volatile and subject to wide fluctuations in response to various factors, some of which are beyond FS Development’s control. Any of the factors listed below could have a material adverse effect on your investment in FS Development’s Class A Common Stock and FS Development’s Class A Common Stock may trade at prices significantly below the price you paid for them. In such circumstances, the trading price of FS Development’s Class A Common Stock may not recover and may experience a further decline.</w:t>
      </w:r>
    </w:p>
    <w:p>
      <w:pPr>
        <w:spacing w:after="0" w:line="11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Factors affecting the trading price of the Combined Entity’s securities following the Business Combination may include:</w:t>
      </w:r>
    </w:p>
    <w:p>
      <w:pPr>
        <w:spacing w:after="0" w:line="103" w:lineRule="exact"/>
        <w:rPr>
          <w:sz w:val="20"/>
          <w:szCs w:val="20"/>
          <w:color w:val="auto"/>
        </w:rPr>
      </w:pPr>
    </w:p>
    <w:p>
      <w:pPr>
        <w:ind w:left="1320" w:right="479" w:hanging="434"/>
        <w:spacing w:after="0" w:line="277" w:lineRule="auto"/>
        <w:tabs>
          <w:tab w:leader="none" w:pos="13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actual or anticipated fluctuations in the Combined Entity’s quarterly financial results or the quarterly financial results of companies perceived to be similar to the Combined Entity;</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in the market’s expectations about the Combined Entity’s operating results;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Combined Entity’s operating results failing to meet the expectation of securities analysts or investors in a particular period;</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6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the Combined Entity or the market in general;</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the Combined Entity;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Combined Entity’s ability to develop product candidates;</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40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in laws and regulations affecting the Combined Entity’s business, including any changes that affect development of Gemini’s product candidates, including GEM103, Gemini’s lead product candidate;</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Combined Entity;</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in the Combined Entity’s capital structure, such as future issuances of securities or the incurrence of additional debt;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volume of shares of the Combined Entity’s securities available for public sale;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major change in the board or management;</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sales of substantial amounts of Common Stock by FS Development’s directors, executive officers or significant stockholders or the perception that such sales could occur; and</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Broad market and industry factors may materially harm the market price of the Combined Entity’s securities irrespective of its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the Combined Entity’s securities, may not be predictable. A loss of investor confidence in the market for biopharmaceutical stocks or the stocks of other companies which investors perceive to be similar to the Combined Entity could depress the Combined Entity’s stock price regardless of the Combined Entity’s business, prospects, financial conditions or results of operations. A decline in the market price of the Combined Entity’s securities also could adversely affect the Combined Entity’s ability to issue additional securities and the Combined Entity’s ability to obtain additional financing in the future.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b w:val="1"/>
          <w:bCs w:val="1"/>
          <w:i w:val="1"/>
          <w:iCs w:val="1"/>
          <w:color w:val="auto"/>
        </w:rPr>
        <w:t>Following the Business Combination, if securities or industry analysts do not publish or cease publishing research or reports about the Combined Entity, its business, or its market, or if they change their recommendations regarding the Combined Entity’s securities adversely, the price and trading volume of the Combined Entity’s securities could decline.</w:t>
      </w:r>
    </w:p>
    <w:p>
      <w:pPr>
        <w:spacing w:after="0" w:line="10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trading market for the Combined Entity’s securities will be influenced by the research and reports that industry or securities analysts may publish about FS Development, its business, its market, or its competitors. Securities and industry analysts do not currently, and may never, publish research on FS Development or the Combined Entity. Because the Business Combination will result in Gemini being acquired by a special purpose acquisition company, research coverage from industry analysts may be limited. If no securities or industry analysts commence coverage of the Combined Entity, FS Development’s stock price and trading volume could be negatively impacted. If any of the analysts who may cover the Combined Entity change their recommendation regarding FS Development’s stock adversely, provide more favorable relative recommendations about FS Development’s competitors or publishes inaccurate or unfavorable research about the Combined Entity’s business, the price of the Combined Entity’s securities would likely decline. If any analyst who may cover the Combined Entity were to cease coverage of the Combined Entity or fail to regularly publish reports on it, FS Development could lose visibility in the financial markets, demand for the Combined Entity’s securities could decrease, which could cause its stock price or trading volume to decline.</w:t>
      </w:r>
    </w:p>
    <w:p>
      <w:pPr>
        <w:spacing w:after="0" w:line="17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future sales of shares by existing stockholders and future exercise of registration rights may adversely affect the market price of the Combined Entity’s common stock.</w:t>
      </w:r>
    </w:p>
    <w:p>
      <w:pPr>
        <w:spacing w:after="0" w:line="103"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Sales of a substantial number of shares of the Combined Entity’s common stock in the public market could occur at any time. If the Combined Entity’s stockholders sell, or the market perceives that the Combined Entity’s stockholders intend to sell, substantial amounts of the Combined Entity’s common stock in the public market, the market price of the Combined Entity’s common stock could decline.</w:t>
      </w:r>
    </w:p>
    <w:p>
      <w:pPr>
        <w:spacing w:after="0" w:line="11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Pursuant to the Registration Rights Agreement to be entered into in connection with the Business Combination,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the Combined Entity’s securities.</w:t>
      </w:r>
    </w:p>
    <w:p>
      <w:pPr>
        <w:spacing w:after="0" w:line="181"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FS Development’s public stockholders will experience immediate dilution as a consequence of, among other transactions, the issuance of FS Development Class A Common Stock as consideration in the Business Combination and the PIPE Investment. Having a minority share position may reduce the influence that FS Development’s current stockholders have on the management of the Combined Entity.</w:t>
      </w:r>
    </w:p>
    <w:p>
      <w:pPr>
        <w:spacing w:after="0" w:line="7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w:t>
      </w:r>
    </w:p>
    <w:p>
      <w:pPr>
        <w:spacing w:after="0" w:line="11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FS Development’s existing stockholders in the Combined Entity will be different.</w:t>
      </w:r>
    </w:p>
    <w:p>
      <w:pPr>
        <w:spacing w:after="0" w:line="17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Combined Entity expects to incur significant additional costs as a result of being a public company, which may adversely affect its operating results and financial condition.</w:t>
      </w:r>
    </w:p>
    <w:p>
      <w:pPr>
        <w:spacing w:after="0" w:line="103"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Combined Entity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The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Nasdaq Global Market. Its management and other personnel will need to devote a substantial amount of time to these compliance initiatives. Moreover, the Combined Entity expects these rules and regulations are expected to increase its accounting, legal and financial compliance costs and make some activities more time-consuming and costly. In addition, the Combined Entity will incur additional costs associated with its public company reporting requirements and the Combined Entity expects those costs to increase in the future. For example, the Combined Entity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11"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To date, the Combined Entity has not conducted a review of its internal control for the purpose of providing the reports required by these rules. During its review and testing, the Combined Entity may identify deficiencies and be unable to remediate them before the Combined Entity must provide the required reports. Furthermore, if the Combined Entity fails to remediate its existing material weakness in its internal control over financial reporting or if new material weaknesses are identified or arise in the future, the Combined Entity may not detect errors on a timely basis and its consolidated financial statements may be materially misstated. the Combined Entity or its independent registered public accounting firm may not be able to conclude on an ongoing basis that the Combined Entity has effective internal control over financial reporting, which could harm its operating results, cause investors to lose confidence in its reported financial information and cause the trading price of its stock to fall. In addition, as a public company the Combined Entity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The Combined Entity will incur significant costs to remediate any material weaknesses the Combined Entity identifies through these efforts. The increased costs will increase its net loss and may require us to reduce costs in other areas of its business or increase the prices of its products or services. The Combined Entity also expects these rules and regulations to make it more expensive for us to maintain directors’ and officers’ liability insurance and the Combined Entity may be required to accept reduced policy limits and coverage or incur substantially higher costs to obtain the same or similar coverage. As a result, it may be more difficult for the Combined Entity to attract and retain qualified persons to serve on its board of directors, its board committees, or as executive officers. The Combined Entity cannot predict or estimate the amount of additional costs the Combined Entity may incur or the timing of such costs.</w:t>
      </w:r>
    </w:p>
    <w:p>
      <w:pPr>
        <w:spacing w:after="0" w:line="11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New laws and regulations, as well as changes to existing laws and regulations affecting public companies, including the provisions of the Sarbanes-Oxley Act, the Dodd-Frank Act and rules adopted by the SEC and Nasdaq, would likely result in increased costs as the Combined Entity responds to their requirements, which may adversely affect its operating results and financial condition.</w:t>
      </w:r>
    </w:p>
    <w:p>
      <w:pPr>
        <w:spacing w:after="0" w:line="9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the Proposed Charter and the Amended By-laws, as well as provisions of Delaware law, could impair a takeover attempt.</w:t>
      </w:r>
    </w:p>
    <w:p>
      <w:pPr>
        <w:spacing w:after="0" w:line="10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Proposed Charter will contain provisions that may discourage unsolicited takeover proposals that stockholders may consider to be in their best interests. FS Development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the Combined Entity’s stockholders. These provisions provide for, among other things:</w:t>
      </w:r>
    </w:p>
    <w:p>
      <w:pPr>
        <w:spacing w:after="0" w:line="110" w:lineRule="exact"/>
        <w:rPr>
          <w:sz w:val="20"/>
          <w:szCs w:val="20"/>
          <w:color w:val="auto"/>
        </w:rPr>
      </w:pPr>
    </w:p>
    <w:p>
      <w:pPr>
        <w:ind w:left="1300" w:hanging="41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classified board with a three-year staggered term;</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ability of the Combined Entity’s board of directors to issue one or more series of “blank check” preferred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advance notice for nominations of directors by stockholders and for stockholders to include matters to be considered at the Combined Entity’s annual meetings; and</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3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amendment of certain provisions of the organizational documents only by the affirmative vote of at least two-thirds of the Combined Entity’s then-outstanding shares of capital stock entitled to vote generally at an election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These anti-takeover provisions as well as certain provisions of Delaware law could make it more difficult for a third party to acquire the Combined Entity, even if the third party’s offer may be considered beneficial by many of the Combined Entity’s stockholders. As a result, the Combined Entity’s stockholders may be limited in their ability to obtain a premium for their shares. If prospective takeovers are not consummated for any reason, the Combined Entity may experience negative reactions from the financial markets, including negative impacts on the price of the Combined Entity common stock. These provisions could also discourage proxy contests and make it more difficult for the Combined Entity’s stockholders to elect directors of their choosing and to cause the Combined Entity to take other corporate actions that the Combined Entity’s stockholders desire. For more information, see “Charter Amendment Proposal.”</w:t>
      </w:r>
    </w:p>
    <w:p>
      <w:pPr>
        <w:spacing w:after="0" w:line="18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Business Combination is subject to conditions, including certain conditions that may not be satisfied on a timely basis, if at all.</w:t>
      </w:r>
    </w:p>
    <w:p>
      <w:pPr>
        <w:spacing w:after="0" w:line="103"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completion of the Business Combination is subject to a number of conditions. The completion of the Business Combination is not assured and is subject to risks, including the risk that approval of the Business Combination by FS Development stockholders is not obtained or that there are not sufficient funds in the Trust Account, in each case subject to certain terms specified in the Merger Agreement (as described under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 — The Merger Agreement — Conditions to Closing</w:t>
      </w:r>
      <w:r>
        <w:rPr>
          <w:rFonts w:ascii="Arial" w:cs="Arial" w:eastAsia="Arial" w:hAnsi="Arial"/>
          <w:sz w:val="18"/>
          <w:szCs w:val="18"/>
          <w:color w:val="auto"/>
        </w:rPr>
        <w:t>”), or that other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are not satisfied. If FS Development does not complete the Business Combination, it could be subject to several risks, including:</w:t>
      </w:r>
    </w:p>
    <w:p>
      <w:pPr>
        <w:spacing w:after="0" w:line="127" w:lineRule="exact"/>
        <w:rPr>
          <w:sz w:val="20"/>
          <w:szCs w:val="20"/>
          <w:color w:val="auto"/>
        </w:rPr>
      </w:pPr>
    </w:p>
    <w:p>
      <w:pPr>
        <w:ind w:left="1320" w:right="479" w:hanging="434"/>
        <w:spacing w:after="0" w:line="277" w:lineRule="auto"/>
        <w:tabs>
          <w:tab w:leader="none" w:pos="13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parties may be liable for damages to one another under the terms and conditions of the Merger Agreement;</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negative reactions from the financial markets, including declines in the price of FS Development’s Class A Common Stock due to the fact that current prices may reflect a market assumption that the Business Combination will be completed; and</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attention of FS Development’s management will have been diverted to the Business Combination rather than the pursuit of other opportunities in respect of an initial business combination.</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For more information about the closing conditions to the Business Combination, see the section 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 — The Merger Agreement — Conditions to Closing</w:t>
      </w:r>
      <w:r>
        <w:rPr>
          <w:rFonts w:ascii="Arial" w:cs="Arial" w:eastAsia="Arial" w:hAnsi="Arial"/>
          <w:sz w:val="18"/>
          <w:szCs w:val="18"/>
          <w:color w:val="auto"/>
        </w:rPr>
        <w:t>.”</w:t>
      </w:r>
    </w:p>
    <w:p>
      <w:pPr>
        <w:spacing w:after="0" w:line="170"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b w:val="1"/>
          <w:bCs w:val="1"/>
          <w:i w:val="1"/>
          <w:iCs w:val="1"/>
          <w:color w:val="auto"/>
        </w:rPr>
        <w:t>The Amended By-laws will provide that the Court of Chancery of the State of Delaware and the federal district courts of the District of Massachusetts will be the exclusive forums for substantially all disputes between the Combined Entity and its stockholders, which could limit the Combined Entity’s stockholders’ ability to obtain a favorable judicial forum for disputes with the Combined Entity or its directors, officers, or employees.</w:t>
      </w:r>
    </w:p>
    <w:p>
      <w:pPr>
        <w:spacing w:after="0" w:line="10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Amended By-laws will provide that the Court of Chancery of the State of Delaware is the exclusive forum for:</w:t>
      </w:r>
    </w:p>
    <w:p>
      <w:pPr>
        <w:spacing w:after="0" w:line="103" w:lineRule="exact"/>
        <w:rPr>
          <w:sz w:val="20"/>
          <w:szCs w:val="20"/>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derivative action or proceeding brought on its behalf;</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action asserting a claim against the Combined Entity arising under the Delaware General Corporation Law, the Proposed Charter, or the Amended By-laws;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action asserting a claim against the Combined Entity that is governed by the internal-affairs doctrine.</w:t>
      </w:r>
    </w:p>
    <w:p>
      <w:pPr>
        <w:spacing w:after="0" w:line="10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Amended By-laws provides that the federal district courts of the District of Massachusetts will be the exclusive forum for resolving any complaint asserting a cause of action arising under the Securities Act.</w:t>
      </w:r>
    </w:p>
    <w:p>
      <w:pPr>
        <w:spacing w:after="0" w:line="96"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the Combined Entity or its directors, officers, or other employees, which may discourage lawsuits against the Combined Entity and its directors, officers, and other employees. If a court were to find either exclusive-forum provision in the Amended By-laws to be inapplicable or unenforceable in an action, it may incur additional costs associated with resolving the dispute in other jurisdictions, which could harm the Combined Entity’s business.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FS Development and Gemini intend for the Business Combination to be treated for U.S. federal income tax purposes as a reorganization within the meaning of Section 368(a) of the Code. However, neither FS Development nor Gemini has requested, or intends to request, an opinion of tax counsel or a ruling from the Internal Revenue Service, or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 For a more complete discussion of U.S. federal income tax consequences of the Business Combination, see the section titled “</w:t>
      </w:r>
      <w:r>
        <w:rPr>
          <w:rFonts w:ascii="Arial" w:cs="Arial" w:eastAsia="Arial" w:hAnsi="Arial"/>
          <w:sz w:val="17"/>
          <w:szCs w:val="17"/>
          <w:i w:val="1"/>
          <w:iCs w:val="1"/>
          <w:color w:val="auto"/>
        </w:rPr>
        <w:t>Certain Material U.S. Federal 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Considerations of the Business Combination to Gemini Equityholders</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Redemption</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 Risks Related to the Redemption” to “we”, “us” and “our” generally refer to FS Development in the present tense or the Combined Entity from and after the Business Combination.</w:t>
      </w:r>
    </w:p>
    <w:p>
      <w:pPr>
        <w:spacing w:after="0" w:line="18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b w:val="1"/>
          <w:bCs w:val="1"/>
          <w:i w:val="1"/>
          <w:iCs w:val="1"/>
          <w:color w:val="auto"/>
        </w:rPr>
        <w:t>If you or a “group” of stockholders of which you are a part are deemed to hold an aggregate of 20.0% or more of FS Development Class A Common Stock issued in the FS Development IPO, you (or, if a member of such a group, all of the members of such group in the aggregate) will lose the ability to redeem all such shares of 20.0% or more of FS Development Class A Common Stock issued in the FS Development IPO.</w:t>
      </w:r>
    </w:p>
    <w:p>
      <w:pPr>
        <w:spacing w:after="0" w:line="90"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 public stockholder,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of 20% or more of the shares of FS Development Class A Common Stock issued in the FS Development IPO. FS Development refers to such shares in excess of an aggregation of 20% or more of the shares issued in the FS Development IPO as “Unredeemable Shares.” In order to determine whether a stockholder is acting in concert or as a group with another stockholder, FS Development will require each public stockholder seeking to exercise redemption rights to certify to FS Development whether such stockholder is acting in concert or as a group with any other stockholder. Such certifications, together with other public information relating to stock ownership available to FS Development at that time, such as Section 13D, Section 13G and Section 16 filings under the Exchange Act, will be the sole basis on which FS Development makes the above-referenced determination. Your inability to redeem any Unredeemable Shares will reduce your influence over FS Development’s ability to consummate the Business Combination and you could suffer a material loss on your investment in FS Development if you sell Unredeemable Shares in open market transactions. Additionally, you will not receive redemption distributions with respect to the Unredeemable Shares if FS Development consummates the Business Combination. As a result, in order to dispose of such shares, you would be required to sell your stock in open market transactions, potentially at a loss. Notwithstanding the foregoing, stockholders may challenge FS Development’s determination as to whether a stockholder is acting in concert or as a group with another stockholder in a court of competent jurisdiction.</w:t>
      </w:r>
    </w:p>
    <w:p>
      <w:pPr>
        <w:spacing w:after="0" w:line="18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8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FS Development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this Business Combination, may cause an increase in FS Development’s share price, and may result in a lower value realized now for a stockholder redeeming their shares than a stockholder of FS Development might realize in the future.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If FS Development’s stockholders fail to comply with the redemption requirements specified in this proxy statement/prospectus, they will not be entitled to redeem their shares of FS Development Class A Common Stock for a pro rata portion of the funds held in the Trust Account.</w:t>
      </w:r>
    </w:p>
    <w:p>
      <w:pPr>
        <w:spacing w:after="0" w:line="8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Holders of Public Shares are required to submit a request in writing and deliver their stock (either physically or electronically) to FS Development’s transfer agent at least two (2) business days prior to the Special Meeting in order to exercise their rights to redeem their shares for a pro rata portion of the Trust Account. Stockholders electing to redeem their shares will receive their pro rata portion of the aggregate amount then on deposit in the Trust Account, including interest earned on the funds held in the Trust Account and not previously released to it to pay the Company’s franchise and income taxes, calculated as of two (2) business days prior to the anticipated Closing. See the section titled “</w:t>
      </w:r>
      <w:r>
        <w:rPr>
          <w:rFonts w:ascii="Arial" w:cs="Arial" w:eastAsia="Arial" w:hAnsi="Arial"/>
          <w:sz w:val="17"/>
          <w:szCs w:val="17"/>
          <w:i w:val="1"/>
          <w:iCs w:val="1"/>
          <w:color w:val="auto"/>
        </w:rPr>
        <w:t>Special Meeting of FS Development Stockholders — Redemption Rights</w:t>
      </w:r>
      <w:r>
        <w:rPr>
          <w:rFonts w:ascii="Arial" w:cs="Arial" w:eastAsia="Arial" w:hAnsi="Arial"/>
          <w:sz w:val="17"/>
          <w:szCs w:val="17"/>
          <w:color w:val="auto"/>
        </w:rPr>
        <w:t>” for additional information on how to exercise your redemption rights.</w:t>
      </w:r>
    </w:p>
    <w:p>
      <w:pPr>
        <w:spacing w:after="0" w:line="17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FS Development’s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FS Development’s public stockholders who wish to redeem their shares for a pro rata portion of the Trust Account must, among other things as fully described in the section titled “</w:t>
      </w:r>
      <w:r>
        <w:rPr>
          <w:rFonts w:ascii="Arial" w:cs="Arial" w:eastAsia="Arial" w:hAnsi="Arial"/>
          <w:sz w:val="16"/>
          <w:szCs w:val="16"/>
          <w:i w:val="1"/>
          <w:iCs w:val="1"/>
          <w:color w:val="auto"/>
        </w:rPr>
        <w:t>Special Meeting of FS Development</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 — Redemption Rights,</w:t>
      </w:r>
      <w:r>
        <w:rPr>
          <w:rFonts w:ascii="Arial" w:cs="Arial" w:eastAsia="Arial" w:hAnsi="Arial"/>
          <w:sz w:val="16"/>
          <w:szCs w:val="16"/>
          <w:color w:val="auto"/>
        </w:rPr>
        <w:t>” tender their certificates to FS Development’s transfer agent or deliver their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to the transfer agent electronically through the Depository Trust Company, or DTC, at least two (2) business days prior to the Special Meeting. In order to obtain a physical stock certificate, a stockholder’s broker and/or clearing broker, DTC and FS Development’s transfer agent will need to act to facilitate this request. It is FS Development’s understanding that stockholders should generally allot at least two (2) weeks to obtain physical certificates from the transfer agent. However, because FS Development does not have any control over this process or over the brokers or DTC, it may take significantly longer than two (2)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6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ability to execute FS Development’s strategic plan could be negatively impacted to the extent a significant number of stockholders choose to redeem their shares in connection with the Business Combination.</w:t>
      </w:r>
    </w:p>
    <w:p>
      <w:pPr>
        <w:spacing w:after="0" w:line="11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the event the aggregate cash consideration FS Development would be required to pay for all shares of FS Development Class A Common Stock that are validly submitted for redemption plus any amount required to satisfy cash conditions pursuant to the terms of the Merger Agreement exceeds the aggregate amount of cash available to FS Development, FS Development may be required to increase the financial leverage FS Development’s business would have to support. This may negatively impact FS Development’s ability to execute on its own future strategic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This proxy statement/prospectus contains forward-looking statements. Forward-looking statements provide FS Development’s and Gemini’s current expectations or forecasts of future events. Forward-looking statements include statements about FS Development’s and Gemini’s expectations, beliefs, plans, objectives, intentions, assumptions and other statements that are not historical facts.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relating to FS Development in this proxy statement/prospectus include, but are not limited to, statements about FS Development’s:</w:t>
      </w:r>
    </w:p>
    <w:p>
      <w:pPr>
        <w:spacing w:after="0" w:line="129" w:lineRule="exact"/>
        <w:rPr>
          <w:sz w:val="20"/>
          <w:szCs w:val="20"/>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benefits from the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ability to complete an initial business combination, including the Business Combination;</w:t>
      </w:r>
    </w:p>
    <w:p>
      <w:pPr>
        <w:spacing w:after="0" w:line="144" w:lineRule="exact"/>
        <w:rPr>
          <w:rFonts w:ascii="Arial" w:cs="Arial" w:eastAsia="Arial" w:hAnsi="Arial"/>
          <w:sz w:val="18"/>
          <w:szCs w:val="18"/>
          <w:color w:val="auto"/>
        </w:rPr>
      </w:pPr>
    </w:p>
    <w:p>
      <w:pPr>
        <w:jc w:val="both"/>
        <w:ind w:left="1320" w:right="459" w:hanging="434"/>
        <w:spacing w:after="0" w:line="259" w:lineRule="auto"/>
        <w:tabs>
          <w:tab w:leader="none" w:pos="148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ability to meet the Closing conditions to the Business Combination, including approval by the stockholders of FS Development and the availability of at least $170 million of cash from the proceeds received from the PIPE Investment and in the Trust Account, after giving effect to redemptions of Public Shares, if any;</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future financial performance following the Business Combination;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an initial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41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Gemini’s business or in approving our initial business combination, as a result of which they would then receive expense reimbursements;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public securities’ potential liquidity and trading;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Merger Agreement;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use of proceeds not held in the Trust Account;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impact from the outcome of any known and unknown litigation.</w:t>
      </w:r>
    </w:p>
    <w:p>
      <w:pPr>
        <w:spacing w:after="0" w:line="15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Forward-looking statements relating to Gemini and the Combined Entity following the Closing in this proxy statement/prospectus include, but are not limited to, statements about:</w:t>
      </w:r>
    </w:p>
    <w:p>
      <w:pPr>
        <w:spacing w:after="0" w:line="89" w:lineRule="exact"/>
        <w:rPr>
          <w:sz w:val="20"/>
          <w:szCs w:val="20"/>
          <w:color w:val="auto"/>
        </w:rPr>
      </w:pPr>
    </w:p>
    <w:p>
      <w:pPr>
        <w:jc w:val="both"/>
        <w:ind w:left="1320" w:right="479" w:hanging="434"/>
        <w:spacing w:after="0" w:line="342" w:lineRule="auto"/>
        <w:tabs>
          <w:tab w:leader="none" w:pos="147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ability of Gemini’s clinical trials to demonstrate acceptable safety and efficacy of Gemini’s product candidates, including GEM103, Gemini’s lead product candidate, and other positive results;</w:t>
      </w:r>
    </w:p>
    <w:p>
      <w:pPr>
        <w:spacing w:after="0" w:line="56" w:lineRule="exact"/>
        <w:rPr>
          <w:rFonts w:ascii="Arial" w:cs="Arial" w:eastAsia="Arial" w:hAnsi="Arial"/>
          <w:sz w:val="16"/>
          <w:szCs w:val="16"/>
          <w:color w:val="auto"/>
        </w:rPr>
      </w:pPr>
    </w:p>
    <w:p>
      <w:pPr>
        <w:jc w:val="both"/>
        <w:ind w:left="1320" w:right="459" w:hanging="434"/>
        <w:spacing w:after="0" w:line="263" w:lineRule="auto"/>
        <w:tabs>
          <w:tab w:leader="none" w:pos="162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period during which the results of the trials will become available, and Gemini’s research and development programs;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Gemini’s ability to obtain marketing approvals of its product candidates and to meet existing or future regulatory standards or comply with post-approval requirements;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Gemini’s expectations regarding the potential market size and the size of the patient populations for its product candidates, if approved for commercial use;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Gemini’s commercialization, marketing and manufacturing capabilities and strategy;</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Gemini’s intellectual property position and expectations regarding its ability to obtain and maintain intellectual property protection;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35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Gemini’s ability to identify additional products, product candidates or technologies with significant commercial potential that are consistent with its commercial objectives;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5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Gemini’s competitive position and expectations regarding developments and projections relating to its competitors and any competing therapies that are or become available; and</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8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Gemini’s competitors and industry.</w:t>
      </w:r>
    </w:p>
    <w:p>
      <w:pPr>
        <w:spacing w:after="0" w:line="103"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1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addition, statements that FS Development or Gemini “believes” and similar statements reflect such parties’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FS Development or Gemini has conducted an exhaustive inquiry into, or review of, all potentially available relevant information. These statements are inherently uncertain and investors are cautioned not to unduly rely upon these statements.</w:t>
      </w:r>
    </w:p>
    <w:p>
      <w:pPr>
        <w:spacing w:after="0" w:line="96"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You should not place undue reliance on these forward-looking statements in deciding how to grant your proxy or instruct how your vote should be cast or vote your shares on the proposals set forth in this proxy statement/prospectus. As a result of a number of known and unknown risks and uncertainties, our actual results or performance may be materially different from those expressed or implied by these forward-looking statements. Some factors that could cause the Combined Entity’s actual results to differ include:</w:t>
      </w:r>
    </w:p>
    <w:p>
      <w:pPr>
        <w:spacing w:after="0" w:line="109" w:lineRule="exact"/>
        <w:rPr>
          <w:sz w:val="20"/>
          <w:szCs w:val="20"/>
          <w:color w:val="auto"/>
        </w:rPr>
      </w:pPr>
    </w:p>
    <w:p>
      <w:pPr>
        <w:ind w:left="1320" w:right="479" w:hanging="434"/>
        <w:spacing w:after="0" w:line="277" w:lineRule="auto"/>
        <w:tabs>
          <w:tab w:leader="none" w:pos="132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Business Combination;</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1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FS Development, Gemini or others following announcement of the Business Combination and the transactions contemplated therein;</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inability to complete the transactions contemplated by the Business Combination due to the failure to obtain approval of the stockholders of FS Development or Gemini or other conditions to closing in the Business Combination;</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risk that the proposed transaction disrupts current plans and operations as a result of the announcement and the Closing;</w:t>
      </w:r>
    </w:p>
    <w:p>
      <w:pPr>
        <w:spacing w:after="0" w:line="102" w:lineRule="exact"/>
        <w:rPr>
          <w:rFonts w:ascii="Arial" w:cs="Arial" w:eastAsia="Arial" w:hAnsi="Arial"/>
          <w:sz w:val="18"/>
          <w:szCs w:val="18"/>
          <w:color w:val="auto"/>
        </w:rPr>
      </w:pPr>
    </w:p>
    <w:p>
      <w:pPr>
        <w:jc w:val="both"/>
        <w:ind w:left="1320" w:right="459" w:hanging="434"/>
        <w:spacing w:after="0" w:line="311" w:lineRule="auto"/>
        <w:tabs>
          <w:tab w:leader="none" w:pos="131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ability to recognize the anticipated benefits of the Business Combination, which may be affected by, among other things, the ability of the Combined Entity to grow and manage growth profitably, maintain relationships with customers, compete within its industry and retain its key employees;</w:t>
      </w:r>
    </w:p>
    <w:p>
      <w:pPr>
        <w:spacing w:after="0" w:line="67" w:lineRule="exact"/>
        <w:rPr>
          <w:rFonts w:ascii="Arial" w:cs="Arial" w:eastAsia="Arial" w:hAnsi="Arial"/>
          <w:sz w:val="16"/>
          <w:szCs w:val="16"/>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costs related to the proposed Business Combination;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7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possibility that FS Development or Gemini may be adversely impacted by other economic, business, and/or competitive factors;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future exchange and interest rates; and</w:t>
      </w:r>
    </w:p>
    <w:p>
      <w:pPr>
        <w:spacing w:after="0" w:line="144" w:lineRule="exact"/>
        <w:rPr>
          <w:rFonts w:ascii="Arial" w:cs="Arial" w:eastAsia="Arial" w:hAnsi="Arial"/>
          <w:sz w:val="18"/>
          <w:szCs w:val="18"/>
          <w:color w:val="auto"/>
        </w:rPr>
      </w:pPr>
    </w:p>
    <w:p>
      <w:pPr>
        <w:ind w:left="1320" w:right="479" w:hanging="434"/>
        <w:spacing w:after="0" w:line="342" w:lineRule="auto"/>
        <w:tabs>
          <w:tab w:leader="none" w:pos="166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other risks and uncertainties indicated in this proxy statement/prospectus, including those under “</w:t>
      </w:r>
      <w:r>
        <w:rPr>
          <w:rFonts w:ascii="Arial" w:cs="Arial" w:eastAsia="Arial" w:hAnsi="Arial"/>
          <w:sz w:val="16"/>
          <w:szCs w:val="16"/>
          <w:i w:val="1"/>
          <w:iCs w:val="1"/>
          <w:color w:val="auto"/>
        </w:rPr>
        <w:t>Risk Factors</w:t>
      </w:r>
      <w:r>
        <w:rPr>
          <w:rFonts w:ascii="Arial" w:cs="Arial" w:eastAsia="Arial" w:hAnsi="Arial"/>
          <w:sz w:val="16"/>
          <w:szCs w:val="16"/>
          <w:color w:val="auto"/>
        </w:rPr>
        <w:t>” herein, and other filings that have been made or will be made with the SEC.</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FS DEVELOPMENT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FS Development is furnishing this proxy statement/prospectus to its stockholders as part of the solicitation of</w:t>
      </w:r>
    </w:p>
    <w:p>
      <w:pPr>
        <w:spacing w:after="0" w:line="4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7"/>
          <w:szCs w:val="17"/>
          <w:color w:val="auto"/>
        </w:rPr>
        <w:t>proxies by the Board for use at the Special Meeting to be held on , 2020 and at any adjournment or postponement thereof. This proxy statement/prospectus provides FS Development’s stockholders with information they need to know to be able to vote or direct their vote to be cast at the Special Meeting.</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Date, Time and Place</w:t>
            </w:r>
          </w:p>
        </w:tc>
        <w:tc>
          <w:tcPr>
            <w:tcW w:w="132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365"/>
        </w:trPr>
        <w:tc>
          <w:tcPr>
            <w:tcW w:w="3040" w:type="dxa"/>
            <w:vAlign w:val="bottom"/>
          </w:tcPr>
          <w:p>
            <w:pPr>
              <w:spacing w:after="0"/>
              <w:rPr>
                <w:sz w:val="20"/>
                <w:szCs w:val="20"/>
                <w:color w:val="auto"/>
              </w:rPr>
            </w:pPr>
            <w:r>
              <w:rPr>
                <w:rFonts w:ascii="Arial" w:cs="Arial" w:eastAsia="Arial" w:hAnsi="Arial"/>
                <w:sz w:val="18"/>
                <w:szCs w:val="18"/>
                <w:color w:val="auto"/>
              </w:rPr>
              <w:t>The Special Meeting will be held on</w:t>
            </w:r>
          </w:p>
        </w:tc>
        <w:tc>
          <w:tcPr>
            <w:tcW w:w="1320" w:type="dxa"/>
            <w:vAlign w:val="bottom"/>
          </w:tcPr>
          <w:p>
            <w:pPr>
              <w:ind w:left="380"/>
              <w:spacing w:after="0"/>
              <w:rPr>
                <w:sz w:val="20"/>
                <w:szCs w:val="20"/>
                <w:color w:val="auto"/>
              </w:rPr>
            </w:pPr>
            <w:r>
              <w:rPr>
                <w:rFonts w:ascii="Arial" w:cs="Arial" w:eastAsia="Arial" w:hAnsi="Arial"/>
                <w:sz w:val="18"/>
                <w:szCs w:val="18"/>
                <w:color w:val="auto"/>
              </w:rPr>
              <w:t>, 2020, at</w:t>
            </w:r>
          </w:p>
        </w:tc>
        <w:tc>
          <w:tcPr>
            <w:tcW w:w="3720" w:type="dxa"/>
            <w:vAlign w:val="bottom"/>
          </w:tcPr>
          <w:p>
            <w:pPr>
              <w:ind w:left="260"/>
              <w:spacing w:after="0"/>
              <w:rPr>
                <w:sz w:val="20"/>
                <w:szCs w:val="20"/>
                <w:color w:val="auto"/>
              </w:rPr>
            </w:pPr>
            <w:r>
              <w:rPr>
                <w:rFonts w:ascii="Arial" w:cs="Arial" w:eastAsia="Arial" w:hAnsi="Arial"/>
                <w:sz w:val="18"/>
                <w:szCs w:val="18"/>
                <w:color w:val="auto"/>
                <w:w w:val="93"/>
              </w:rPr>
              <w:t>Eastern Time, via live webcast at the following</w:t>
            </w:r>
          </w:p>
        </w:tc>
      </w:tr>
    </w:tbl>
    <w:p>
      <w:pPr>
        <w:jc w:val="both"/>
        <w:ind w:left="460" w:right="479"/>
        <w:spacing w:after="0" w:line="260" w:lineRule="auto"/>
        <w:rPr>
          <w:sz w:val="20"/>
          <w:szCs w:val="20"/>
          <w:color w:val="auto"/>
        </w:rPr>
      </w:pPr>
      <w:r>
        <w:rPr>
          <w:rFonts w:ascii="Arial" w:cs="Arial" w:eastAsia="Arial" w:hAnsi="Arial"/>
          <w:sz w:val="18"/>
          <w:szCs w:val="18"/>
          <w:color w:val="auto"/>
        </w:rPr>
        <w:t>address: . In light of the COVID-19 pandemic and to support the well-being of FS Development’s stockholders, directors and management, the Special Meeting will be completely virtual.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Power; Record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entitled to vote or direct votes to be cast at the Special Meeting if you owned shares of FS</w:t>
      </w:r>
    </w:p>
    <w:p>
      <w:pPr>
        <w:spacing w:after="0" w:line="23" w:lineRule="exact"/>
        <w:rPr>
          <w:sz w:val="20"/>
          <w:szCs w:val="20"/>
          <w:color w:val="auto"/>
        </w:rPr>
      </w:pPr>
    </w:p>
    <w:p>
      <w:pPr>
        <w:jc w:val="both"/>
        <w:ind w:left="460" w:right="479"/>
        <w:spacing w:after="0" w:line="281" w:lineRule="auto"/>
        <w:rPr>
          <w:sz w:val="20"/>
          <w:szCs w:val="20"/>
          <w:color w:val="auto"/>
        </w:rPr>
      </w:pPr>
      <w:r>
        <w:rPr>
          <w:rFonts w:ascii="Arial" w:cs="Arial" w:eastAsia="Arial" w:hAnsi="Arial"/>
          <w:sz w:val="16"/>
          <w:szCs w:val="16"/>
          <w:color w:val="auto"/>
        </w:rPr>
        <w:t>Development Common Stock at the close of business on , 2020, which is the Record Date. You are entitled to one vote for each share of FS Development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w:t>
      </w:r>
    </w:p>
    <w:p>
      <w:pPr>
        <w:spacing w:after="0" w:line="2" w:lineRule="exact"/>
        <w:rPr>
          <w:sz w:val="20"/>
          <w:szCs w:val="20"/>
          <w:color w:val="auto"/>
        </w:rPr>
      </w:pPr>
    </w:p>
    <w:p>
      <w:pPr>
        <w:ind w:left="460"/>
        <w:spacing w:after="0"/>
        <w:tabs>
          <w:tab w:leader="none" w:pos="4180" w:val="left"/>
        </w:tabs>
        <w:rPr>
          <w:sz w:val="20"/>
          <w:szCs w:val="20"/>
          <w:color w:val="auto"/>
        </w:rPr>
      </w:pPr>
      <w:r>
        <w:rPr>
          <w:rFonts w:ascii="Arial" w:cs="Arial" w:eastAsia="Arial" w:hAnsi="Arial"/>
          <w:sz w:val="18"/>
          <w:szCs w:val="18"/>
          <w:color w:val="auto"/>
        </w:rPr>
        <w:t>counted. On the Record Date, there were</w:t>
      </w:r>
      <w:r>
        <w:rPr>
          <w:sz w:val="20"/>
          <w:szCs w:val="20"/>
          <w:color w:val="auto"/>
        </w:rPr>
        <w:tab/>
      </w:r>
      <w:r>
        <w:rPr>
          <w:rFonts w:ascii="Arial" w:cs="Arial" w:eastAsia="Arial" w:hAnsi="Arial"/>
          <w:sz w:val="16"/>
          <w:szCs w:val="16"/>
          <w:color w:val="auto"/>
        </w:rPr>
        <w:t>shares of FS Development Common Stock outstanding, of</w:t>
      </w:r>
    </w:p>
    <w:p>
      <w:pPr>
        <w:spacing w:after="0" w:line="9" w:lineRule="exact"/>
        <w:rPr>
          <w:sz w:val="20"/>
          <w:szCs w:val="20"/>
          <w:color w:val="auto"/>
        </w:rPr>
      </w:pPr>
    </w:p>
    <w:p>
      <w:pPr>
        <w:ind w:left="460"/>
        <w:spacing w:after="0"/>
        <w:tabs>
          <w:tab w:leader="none" w:pos="1240" w:val="left"/>
          <w:tab w:leader="none" w:pos="3420" w:val="left"/>
        </w:tabs>
        <w:rPr>
          <w:sz w:val="20"/>
          <w:szCs w:val="20"/>
          <w:color w:val="auto"/>
        </w:rPr>
      </w:pPr>
      <w:r>
        <w:rPr>
          <w:rFonts w:ascii="Arial" w:cs="Arial" w:eastAsia="Arial" w:hAnsi="Arial"/>
          <w:sz w:val="18"/>
          <w:szCs w:val="18"/>
          <w:color w:val="auto"/>
        </w:rPr>
        <w:t>which</w:t>
      </w:r>
      <w:r>
        <w:rPr>
          <w:sz w:val="20"/>
          <w:szCs w:val="20"/>
          <w:color w:val="auto"/>
        </w:rPr>
        <w:tab/>
      </w:r>
      <w:r>
        <w:rPr>
          <w:rFonts w:ascii="Arial" w:cs="Arial" w:eastAsia="Arial" w:hAnsi="Arial"/>
          <w:sz w:val="18"/>
          <w:szCs w:val="18"/>
          <w:color w:val="auto"/>
        </w:rPr>
        <w:t>are Public Shares and</w:t>
      </w:r>
      <w:r>
        <w:rPr>
          <w:sz w:val="20"/>
          <w:szCs w:val="20"/>
          <w:color w:val="auto"/>
        </w:rPr>
        <w:tab/>
      </w:r>
      <w:r>
        <w:rPr>
          <w:rFonts w:ascii="Arial" w:cs="Arial" w:eastAsia="Arial" w:hAnsi="Arial"/>
          <w:sz w:val="15"/>
          <w:szCs w:val="15"/>
          <w:color w:val="auto"/>
        </w:rPr>
        <w:t>are Founders Shares held by the Sponsor.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of the Sponsor, Directors and Officers</w:t>
      </w:r>
    </w:p>
    <w:p>
      <w:pPr>
        <w:spacing w:after="0" w:line="14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In connection with the FS Development IPO, FS Development entered into agreements with each of its Sponsor, directors and officers pursuant to which each agreed to vote any shares of FS Development Common Stock owned by it in favor of the Business Combination Proposal and for all other proposals presented at the Special Meeting. These agreements apply to the Sponsor as it relates to the Founders Shares and the requirement to vote such shares in favor of the Business Combination Proposal and for all other proposals presented to FS Development stockholders in this proxy statement/prospectus.</w:t>
      </w:r>
    </w:p>
    <w:p>
      <w:pPr>
        <w:spacing w:after="0" w:line="11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FS Development’s Sponsor, directors and officers have waived any redemption rights, including with respect to shares of FS Development Common Stock issued or purchased in the FS Development IPO or in the aftermarket, in connection with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Quorum and Required Vote for Proposals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 quorum of FS Development stockholders is necessary to hold a valid meeting. A quorum will be present at the Special Meeting if a majority of the FS Development Common Stock outstanding and entitled to vote at the Special Meeting is represented in person or by proxy at the Special Meeting.</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approval of the Charter Amendment Proposal requires the affirmative vote of a majority of the issued and outstanding FS Development Common Stock as of the Record Date for the Special Meeting, voting together as a single class. The approval of the Business Combination Proposal, the Nasdaq Stock Issuance Proposal, the Incentive Plan Proposal, the Advisory Charter Approvals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w:t>
      </w:r>
    </w:p>
    <w:p>
      <w:pPr>
        <w:spacing w:after="0" w:line="127"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 The Nasdaq Stock Issuance Proposal, the Charter Amendment Proposal, the Advisory Charter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The Adjournment Proposal is not conditioned on the approval of any other proposal set forth in this proxy statement/prospectus.</w:t>
      </w:r>
    </w:p>
    <w:p>
      <w:pPr>
        <w:sectPr>
          <w:pgSz w:w="11900" w:h="16838" w:orient="portrait"/>
          <w:cols w:equalWidth="0" w:num="1">
            <w:col w:w="9019"/>
          </w:cols>
          <w:pgMar w:left="1440" w:top="274"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It is important for you to note that in the event the Business Combination Proposal does not receive the requisite vote for approval, then FS Development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the public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Abstentions and Broker Non-Votes</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At the Special Meeting, FS Development will count a properly executed proxy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or the Adjournment Proposal.</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Board has unanimously determined that each of the Proposals is fair to and in the best interests of FS Development and its stockholders, and has unanimously approved such proposals. The Board unanimously recommends that stockholders:</w:t>
      </w:r>
    </w:p>
    <w:p>
      <w:pPr>
        <w:spacing w:after="0" w:line="103" w:lineRule="exact"/>
        <w:rPr>
          <w:sz w:val="20"/>
          <w:szCs w:val="20"/>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vote “FOR” the Business Combination Proposal;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vote “FOR” the Nasdaq Stock Issuance Proposal;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vote “FOR” the Charter Amendment Proposal;</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vote “FOR” the each of the Advisory Charter Proposals;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vote “FOR” the Incentive Plan Proposal;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vote “FOR” the Adjournment Proposal, if it is presented to the meeting.</w:t>
      </w:r>
    </w:p>
    <w:p>
      <w:pPr>
        <w:spacing w:after="0" w:line="144" w:lineRule="exact"/>
        <w:rPr>
          <w:sz w:val="20"/>
          <w:szCs w:val="20"/>
          <w:color w:val="auto"/>
        </w:rPr>
      </w:pPr>
    </w:p>
    <w:p>
      <w:pPr>
        <w:jc w:val="both"/>
        <w:ind w:left="460" w:right="479" w:firstLine="45"/>
        <w:spacing w:after="0" w:line="259" w:lineRule="auto"/>
        <w:rPr>
          <w:sz w:val="20"/>
          <w:szCs w:val="20"/>
          <w:color w:val="auto"/>
        </w:rPr>
      </w:pPr>
      <w:r>
        <w:rPr>
          <w:rFonts w:ascii="Arial" w:cs="Arial" w:eastAsia="Arial" w:hAnsi="Arial"/>
          <w:sz w:val="18"/>
          <w:szCs w:val="18"/>
          <w:color w:val="auto"/>
        </w:rPr>
        <w:t>When you consider the recommendation of the Board in favor of approval of the Proposals, you should keep in mind that the Sponsor, members of the Board and officers of FS Development have interests in the Business Combination that are different from or in addition to (or which may conflict with) your interests as a stockholder.</w:t>
      </w:r>
    </w:p>
    <w:p>
      <w:pPr>
        <w:spacing w:after="0" w:line="11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Business Combination Proposal — Interests of FS Development’s Directors and Officers and Others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additional information on interests of FS Development’s directors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Your Shares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Each share of FS Development Common Stock that you own in your name entitles you to one vote. If you are a record owner of your shares, there are two ways to vote your shares of FS Development Common Stock at the Special Meeting:</w:t>
      </w:r>
    </w:p>
    <w:p>
      <w:pPr>
        <w:spacing w:after="0" w:line="103" w:lineRule="exact"/>
        <w:rPr>
          <w:sz w:val="20"/>
          <w:szCs w:val="20"/>
          <w:color w:val="auto"/>
        </w:rPr>
      </w:pPr>
    </w:p>
    <w:p>
      <w:pPr>
        <w:jc w:val="both"/>
        <w:ind w:left="1320" w:right="459" w:hanging="434"/>
        <w:spacing w:after="0" w:line="291" w:lineRule="auto"/>
        <w:tabs>
          <w:tab w:leader="none" w:pos="1324"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You Can Vote By Signing and Returning the Enclosed Proxy Card</w:t>
      </w:r>
      <w:r>
        <w:rPr>
          <w:rFonts w:ascii="Arial" w:cs="Arial" w:eastAsia="Arial" w:hAnsi="Arial"/>
          <w:sz w:val="16"/>
          <w:szCs w:val="16"/>
          <w:color w:val="auto"/>
        </w:rPr>
        <w:t>. If you vote by proxy card, your</w:t>
      </w:r>
      <w:r>
        <w:rPr>
          <w:rFonts w:ascii="Arial" w:cs="Arial" w:eastAsia="Arial" w:hAnsi="Arial"/>
          <w:sz w:val="16"/>
          <w:szCs w:val="16"/>
          <w:i w:val="1"/>
          <w:iCs w:val="1"/>
          <w:color w:val="auto"/>
        </w:rPr>
        <w:t xml:space="preserve"> </w:t>
      </w:r>
      <w:r>
        <w:rPr>
          <w:rFonts w:ascii="Arial" w:cs="Arial" w:eastAsia="Arial" w:hAnsi="Arial"/>
          <w:sz w:val="16"/>
          <w:szCs w:val="16"/>
          <w:color w:val="auto"/>
        </w:rPr>
        <w:t>“proxy,” whose name is listed on the proxy card, will vote your shares as you instruct on the proxy card. If you sign and return the proxy card but do not give instructions on how to vote your shares, your shares will be voted as recommended by the Board “FOR” the Business Combination Proposal, the Nasdaq Stock Issuance Proposal, the Charter Amendment Proposal, the Advisory Charter Proposals, the Incentive Plan Proposal, and the Adjournment Proposal (if presented). Votes received after a matter has been voted upon at the Special Meeting will not be counted.</w:t>
      </w:r>
    </w:p>
    <w:p>
      <w:pPr>
        <w:spacing w:after="0" w:line="98" w:lineRule="exact"/>
        <w:rPr>
          <w:rFonts w:ascii="Arial" w:cs="Arial" w:eastAsia="Arial" w:hAnsi="Arial"/>
          <w:sz w:val="16"/>
          <w:szCs w:val="16"/>
          <w:color w:val="auto"/>
        </w:rPr>
      </w:pPr>
    </w:p>
    <w:p>
      <w:pPr>
        <w:jc w:val="both"/>
        <w:ind w:left="1320" w:right="459" w:hanging="434"/>
        <w:spacing w:after="0" w:line="259" w:lineRule="auto"/>
        <w:tabs>
          <w:tab w:leader="none" w:pos="1338"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You Can Attend the Special Meeting and Vote Through the Internet</w:t>
      </w:r>
      <w:r>
        <w:rPr>
          <w:rFonts w:ascii="Arial" w:cs="Arial" w:eastAsia="Arial" w:hAnsi="Arial"/>
          <w:sz w:val="18"/>
          <w:szCs w:val="18"/>
          <w:color w:val="auto"/>
        </w:rPr>
        <w:t>. You will be able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Meeting online and vote during the meeting by visiting and entering the control number included on your proxy card or on the instructions that accompanied your proxy materials, as applicable.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in person or online and your shares are held in “street name,” you must obtain a legal proxy from your broker, bank or nominee. That is the only way FS Development can be sure that the broker, bank or nominee has not already voted your shares.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Revoking Your Proxy</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If you are a record owner of your shares and you give a proxy, you may change or revoke it at any time before it is exercised by doing any one of the following:</w:t>
      </w:r>
    </w:p>
    <w:p>
      <w:pPr>
        <w:spacing w:after="0" w:line="103" w:lineRule="exact"/>
        <w:rPr>
          <w:sz w:val="20"/>
          <w:szCs w:val="20"/>
          <w:color w:val="auto"/>
        </w:rPr>
      </w:pPr>
    </w:p>
    <w:p>
      <w:pPr>
        <w:ind w:left="1300" w:hanging="41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submit a new proxy card bearing a later date;</w:t>
      </w:r>
    </w:p>
    <w:p>
      <w:pPr>
        <w:spacing w:after="0" w:line="144" w:lineRule="exact"/>
        <w:rPr>
          <w:rFonts w:ascii="Arial" w:cs="Arial" w:eastAsia="Arial" w:hAnsi="Arial"/>
          <w:sz w:val="18"/>
          <w:szCs w:val="18"/>
          <w:color w:val="auto"/>
        </w:rPr>
      </w:pPr>
    </w:p>
    <w:p>
      <w:pPr>
        <w:ind w:left="1320" w:right="479" w:hanging="434"/>
        <w:spacing w:after="0" w:line="342" w:lineRule="auto"/>
        <w:tabs>
          <w:tab w:leader="none" w:pos="133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give written notice of your revocation to FS Development’s Corporate Secretary, which notice must be received by FS Development’s Corporate Secretary prior to the vote at the Special Meeting; or</w:t>
      </w:r>
    </w:p>
    <w:p>
      <w:pPr>
        <w:spacing w:after="0" w:line="56" w:lineRule="exact"/>
        <w:rPr>
          <w:rFonts w:ascii="Arial" w:cs="Arial" w:eastAsia="Arial" w:hAnsi="Arial"/>
          <w:sz w:val="16"/>
          <w:szCs w:val="16"/>
          <w:color w:val="auto"/>
        </w:rPr>
      </w:pPr>
    </w:p>
    <w:p>
      <w:pPr>
        <w:jc w:val="both"/>
        <w:ind w:left="1320" w:right="479" w:hanging="434"/>
        <w:spacing w:after="0" w:line="263" w:lineRule="auto"/>
        <w:tabs>
          <w:tab w:leader="none" w:pos="131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116"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48" w:lineRule="exact"/>
        <w:rPr>
          <w:sz w:val="20"/>
          <w:szCs w:val="20"/>
          <w:color w:val="auto"/>
        </w:rPr>
      </w:pPr>
    </w:p>
    <w:p>
      <w:pPr>
        <w:jc w:val="both"/>
        <w:ind w:left="460" w:right="459"/>
        <w:spacing w:after="0" w:line="274" w:lineRule="auto"/>
        <w:rPr>
          <w:sz w:val="20"/>
          <w:szCs w:val="20"/>
          <w:color w:val="auto"/>
        </w:rPr>
      </w:pPr>
      <w:r>
        <w:rPr>
          <w:rFonts w:ascii="Arial" w:cs="Arial" w:eastAsia="Arial" w:hAnsi="Arial"/>
          <w:sz w:val="17"/>
          <w:szCs w:val="17"/>
          <w:color w:val="auto"/>
        </w:rPr>
        <w:t>If you are a stockholder and have any questions about how to vote or direct a vote in respect of your FS Development Common Stock, you may call Morrow Sodali LLC, FS Development’s proxy solicitor, at (800)</w:t>
      </w:r>
    </w:p>
    <w:p>
      <w:pPr>
        <w:ind w:left="460"/>
        <w:spacing w:after="0"/>
        <w:tabs>
          <w:tab w:leader="none" w:pos="1480" w:val="left"/>
          <w:tab w:leader="none" w:pos="2780" w:val="left"/>
          <w:tab w:leader="none" w:pos="3300" w:val="left"/>
          <w:tab w:leader="none" w:pos="4060" w:val="left"/>
          <w:tab w:leader="none" w:pos="5120" w:val="left"/>
          <w:tab w:leader="none" w:pos="5960" w:val="left"/>
          <w:tab w:leader="none" w:pos="6600" w:val="left"/>
          <w:tab w:leader="none" w:pos="7560" w:val="left"/>
          <w:tab w:leader="none" w:pos="8080" w:val="left"/>
        </w:tabs>
        <w:rPr>
          <w:sz w:val="20"/>
          <w:szCs w:val="20"/>
          <w:color w:val="auto"/>
        </w:rPr>
      </w:pPr>
      <w:r>
        <w:rPr>
          <w:rFonts w:ascii="Arial" w:cs="Arial" w:eastAsia="Arial" w:hAnsi="Arial"/>
          <w:sz w:val="18"/>
          <w:szCs w:val="18"/>
          <w:color w:val="auto"/>
        </w:rPr>
        <w:t>662-5200</w:t>
      </w:r>
      <w:r>
        <w:rPr>
          <w:sz w:val="20"/>
          <w:szCs w:val="20"/>
          <w:color w:val="auto"/>
        </w:rPr>
        <w:tab/>
      </w:r>
      <w:r>
        <w:rPr>
          <w:rFonts w:ascii="Arial" w:cs="Arial" w:eastAsia="Arial" w:hAnsi="Arial"/>
          <w:sz w:val="18"/>
          <w:szCs w:val="18"/>
          <w:color w:val="auto"/>
        </w:rPr>
        <w:t>(Individuals)</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658-9400</w:t>
      </w:r>
      <w:r>
        <w:rPr>
          <w:sz w:val="20"/>
          <w:szCs w:val="20"/>
          <w:color w:val="auto"/>
        </w:rPr>
        <w:tab/>
      </w:r>
      <w:r>
        <w:rPr>
          <w:rFonts w:ascii="Arial" w:cs="Arial" w:eastAsia="Arial" w:hAnsi="Arial"/>
          <w:sz w:val="18"/>
          <w:szCs w:val="18"/>
          <w:color w:val="auto"/>
        </w:rPr>
        <w:t>(banks</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brokers)</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6"/>
          <w:szCs w:val="16"/>
          <w:color w:val="auto"/>
        </w:rPr>
        <w:t>email: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FSDC.info@investor.morrowsodali.com.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Additional Matters May Be Presented at the Special Meeting</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Special Meeting has been called only to consider the approval of the Business Combination Proposal, the Nasdaq Stock Issuance Proposal, the Charter Amendment Proposal, the Incentive Plan Proposal, the Advisory Charter Proposals and the Adjournment Proposal. Under the Current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Rights</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Pursuant to the Current Charter, any holders of Public Shares may demand that such shares be redeemed in exchange for a pro rata share of the aggregate amount on deposit in the Trust Account, less franchise and income taxes payable.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FS Development IPO (including interest earned on the funds held in the Trust Account and not previously released to it to pay the Company’s franchise and income taxes). For illustrative purposes, based on funds in the Trust Account of approximately $ million on June 30, 2020, the estimated per share redemption price would have been approximately $ .</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your redemption rights, you must:</w:t>
      </w:r>
    </w:p>
    <w:p>
      <w:pPr>
        <w:spacing w:after="0" w:line="158" w:lineRule="exact"/>
        <w:rPr>
          <w:sz w:val="20"/>
          <w:szCs w:val="20"/>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check the box on the enclosed proxy card to elect redemption;</w:t>
      </w:r>
    </w:p>
    <w:p>
      <w:pPr>
        <w:spacing w:after="0" w:line="157" w:lineRule="exact"/>
        <w:rPr>
          <w:rFonts w:ascii="Arial" w:cs="Arial" w:eastAsia="Arial" w:hAnsi="Arial"/>
          <w:sz w:val="18"/>
          <w:szCs w:val="18"/>
          <w:color w:val="auto"/>
        </w:rPr>
      </w:pPr>
    </w:p>
    <w:p>
      <w:pPr>
        <w:jc w:val="both"/>
        <w:ind w:left="1320" w:right="479" w:hanging="434"/>
        <w:spacing w:after="0" w:line="259" w:lineRule="auto"/>
        <w:tabs>
          <w:tab w:leader="none" w:pos="158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provide, in the written request to redeem your Public Shares for cash to Continental Stock Transfer &amp; Trust Company, a “Stockholder Certification” if you are not acting in concert or as a “group” (as defined in Section 13d-3 of the Exchange Act) with any other stockholder with respect to shares of FS Development Common Stock;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300" w:val="left"/>
          <w:tab w:leader="none" w:pos="4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prior to 5:00 PM Eastern time on</w:t>
      </w:r>
      <w:r>
        <w:rPr>
          <w:sz w:val="20"/>
          <w:szCs w:val="20"/>
          <w:color w:val="auto"/>
        </w:rPr>
        <w:tab/>
      </w:r>
      <w:r>
        <w:rPr>
          <w:rFonts w:ascii="Arial" w:cs="Arial" w:eastAsia="Arial" w:hAnsi="Arial"/>
          <w:sz w:val="16"/>
          <w:szCs w:val="16"/>
          <w:color w:val="auto"/>
        </w:rPr>
        <w:t>, 2020 (two (2) business days before the Special Meeting),</w:t>
      </w:r>
    </w:p>
    <w:p>
      <w:pPr>
        <w:spacing w:after="0" w:line="23" w:lineRule="exact"/>
        <w:rPr>
          <w:sz w:val="20"/>
          <w:szCs w:val="20"/>
          <w:color w:val="auto"/>
        </w:rPr>
      </w:pPr>
    </w:p>
    <w:p>
      <w:pPr>
        <w:jc w:val="both"/>
        <w:ind w:left="1320" w:right="479"/>
        <w:spacing w:after="0" w:line="255" w:lineRule="auto"/>
        <w:rPr>
          <w:sz w:val="20"/>
          <w:szCs w:val="20"/>
          <w:color w:val="auto"/>
        </w:rPr>
      </w:pPr>
      <w:r>
        <w:rPr>
          <w:rFonts w:ascii="Arial" w:cs="Arial" w:eastAsia="Arial" w:hAnsi="Arial"/>
          <w:sz w:val="18"/>
          <w:szCs w:val="18"/>
          <w:color w:val="auto"/>
        </w:rPr>
        <w:t>tender your shares physically or electronically and submit a request in writing that we redeem your Public Shares for cash to Continental Stock Transfer &amp; Trust Company, FS Development’s transfer agent, at the following address: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State Street Plaza,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jc w:val="center"/>
        <w:spacing w:after="0"/>
        <w:rPr>
          <w:sz w:val="20"/>
          <w:szCs w:val="20"/>
          <w:color w:val="auto"/>
        </w:rPr>
      </w:pPr>
      <w:r>
        <w:rPr>
          <w:rFonts w:ascii="Arial" w:cs="Arial" w:eastAsia="Arial" w:hAnsi="Arial"/>
          <w:sz w:val="18"/>
          <w:szCs w:val="18"/>
          <w:color w:val="auto"/>
        </w:rPr>
        <w:t>New York, New York 10004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Mark Zimkind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mzimkind@continentalstock.comand</w:t>
      </w:r>
    </w:p>
    <w:p>
      <w:pPr>
        <w:spacing w:after="0" w:line="130" w:lineRule="exact"/>
        <w:rPr>
          <w:sz w:val="20"/>
          <w:szCs w:val="20"/>
          <w:color w:val="auto"/>
        </w:rPr>
      </w:pPr>
    </w:p>
    <w:p>
      <w:pPr>
        <w:jc w:val="both"/>
        <w:ind w:left="1320" w:right="459" w:hanging="434"/>
        <w:spacing w:after="0" w:line="269" w:lineRule="auto"/>
        <w:tabs>
          <w:tab w:leader="none" w:pos="143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deliver your Public Shares either physically or electronically through DTC to FS Development’s transfer agent at least two (2) business days before the Special Meeting. 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1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Any demand for redemption, once made, may be withdrawn at any time until the deadline for exercising redemption requests (and submitting shares to the transfer agent)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above.</w:t>
      </w:r>
    </w:p>
    <w:p>
      <w:pPr>
        <w:spacing w:after="0" w:line="9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Prior to exercising redemption rights, stockholders should verify the market price of FS Development Class A Common Stock as they may receive higher proceeds from the sale of their FS Development Class A Common Stock in the public market than from exercising their redemption rights if the market price per share is higher than the redemption price. We cannot assure you that you will be able to sell your shares of FS Development Class A Common Stock in the open market, even if the market price per share is higher than the redemption price stated above, as there may not be sufficient liquidity in FS Development Common Stock when you wish to sell your shares.</w:t>
      </w:r>
    </w:p>
    <w:p>
      <w:pPr>
        <w:spacing w:after="0" w:line="114"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If you exercise your redemption rights, your shares of FS Development Class 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Entity, if any. You will be entitled to receive cash for these shares only if you properly and timely demand redemption.</w:t>
      </w:r>
    </w:p>
    <w:p>
      <w:pPr>
        <w:spacing w:after="0" w:line="9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If the Business Combination is not approved or completed for any reason, then public stockholders who elected to exercise their redemption rights will not be entitled to redeem their shares. In such case FS Development will promptly return any Public Shares previously delivered by the public holders.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Dissenter Rights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FS Development stockholders do not have dissenter rights in connection with the Business Combination or the other proposals.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Purchases of Shares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6" w:name="page97"/>
    <w:bookmarkEnd w:id="9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Proxy Solicitation</w:t>
      </w:r>
    </w:p>
    <w:p>
      <w:pPr>
        <w:spacing w:after="0" w:line="162"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FS Development is soliciting proxies on behalf of the Board. This solicitation is being made by mail but also may be made by telephone or in person. FS Development and its directors, officers and employees may also solicit proxies in person. FS Development will file with the SEC all scripts and other electronic communications as proxy soliciting materials. FS Development will bear the cost of the solicitation.</w:t>
      </w:r>
    </w:p>
    <w:p>
      <w:pPr>
        <w:spacing w:after="0" w:line="10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FS Development has hired Morrow Sodali LLC to assist in the proxy solicitation process. FS Development will pay that firm a fee of $22,500, plus disbursements.</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FS Development will ask banks, brokers and other institutions, nominees and fiduciaries to forward the proxy materials to their principals and to obtain their authority to execute proxies and voting instructions. FS Development will reimburse them for their reasonable expenses.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Assistance</w:t>
      </w:r>
    </w:p>
    <w:p>
      <w:pPr>
        <w:spacing w:after="0" w:line="162"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If you need assistance in completing your proxy card or have questions regarding the Special Meeting, please contact Morrow Sodali LLC, the proxy solicitation agent for FS Development, by calling (800) 662-5200 or banks and brokers can call collect at (203) 658-9400, or by emailing: FSDC.info@investor.morrowsodali.com.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following unaudited pro forma combined balance sheet of Combined Entity as of June 30, 2020 and the unaudited pro forma combined statements of operations of Combined Entity for the year ended December 31, 2019 and six months ended June 30, 2020 present the combination of the financial information of FS Development and Gemini after giving effect to the Business Combination, PIPE Investment and related adjustments described in the accompanying notes. FS Development and Gemini are collectively referred to herein as the “Companies”, and the Companies, subsequent to the Business Combination and PIPE Investment, are referred to herein as Combined Entity.</w:t>
      </w:r>
    </w:p>
    <w:p>
      <w:pPr>
        <w:spacing w:after="0" w:line="127"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The unaudited pro forma combined statements of operations for the year ended December 31, 2019 and the six months ended June 30, 2020 give pro forma effect to the Business Combination and PIPE Investment as if they had occurred as of January 1, 2019. The unaudited pro forma combined balance sheet as of June 30, 2020 gives pro forma effect to the Business Combination and PIPE Investment as if they were completed on June 30, 2020.</w:t>
      </w:r>
    </w:p>
    <w:p>
      <w:pPr>
        <w:spacing w:after="0" w:line="9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unaudited pro forma combined financial information is based on and should be read in conjunction with the audited and unaudited historical financial statements of each of FS Development Corp. and Gemini and the notes thereto, as well as the disclosures contained in the sections titled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 xml:space="preserve"> </w:t>
      </w:r>
      <w:r>
        <w:rPr>
          <w:rFonts w:ascii="Arial" w:cs="Arial" w:eastAsia="Arial" w:hAnsi="Arial"/>
          <w:sz w:val="17"/>
          <w:szCs w:val="17"/>
          <w:i w:val="1"/>
          <w:iCs w:val="1"/>
          <w:color w:val="auto"/>
        </w:rPr>
        <w:t>of Financial Condition and Results of Operations of FS Development</w:t>
      </w:r>
      <w:r>
        <w:rPr>
          <w:rFonts w:ascii="Arial" w:cs="Arial" w:eastAsia="Arial" w:hAnsi="Arial"/>
          <w:sz w:val="17"/>
          <w:szCs w:val="17"/>
          <w:color w:val="auto"/>
        </w:rPr>
        <w:t>,” and “</w:t>
      </w:r>
      <w:r>
        <w:rPr>
          <w:rFonts w:ascii="Arial" w:cs="Arial" w:eastAsia="Arial" w:hAnsi="Arial"/>
          <w:sz w:val="17"/>
          <w:szCs w:val="17"/>
          <w:i w:val="1"/>
          <w:iCs w:val="1"/>
          <w:color w:val="auto"/>
        </w:rPr>
        <w:t>Management’s Discussion and Analysis of Financial Condition and Results of Operations of Gemini</w:t>
      </w:r>
      <w:r>
        <w:rPr>
          <w:rFonts w:ascii="Arial" w:cs="Arial" w:eastAsia="Arial" w:hAnsi="Arial"/>
          <w:sz w:val="17"/>
          <w:szCs w:val="17"/>
          <w:color w:val="auto"/>
        </w:rPr>
        <w:t>”.</w:t>
      </w:r>
    </w:p>
    <w:p>
      <w:pPr>
        <w:spacing w:after="0" w:line="9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unaudited pro forma combined financial statements have been presented for illustrative purposes only and do not necessarily reflect what Combined Entity’s financial condition or results of operations would have been had the Business Combination and PIPE Investment occurred on the dates indicated. Further, the unaudited pro forma combined financial information also may not be useful in predicting the future financial condition and results of operations of Combined Entity.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1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On October 15, 2020, FS Development entered into the Merger Agreement with Merger Sub, Gemini and the Shareholders Representative, pursuant to which Merger Sub will merge with and into Gemini, with Gemini surviving the merger as a wholly-owned subsidiary of FS Development Corp. Upon the Closing, FS Development will then change its name to “Gemini Therapeutics, Inc.” The aggregate consideration to be paid to Gemini Equityholders pursuant to the Merger Agreement (subject to certain adjustments as provided therein) will be up to 21,500,000 shares of Class A Common Stock. In connection with the Business Combination, FS Development will also expect to consummate the private placement of 9,506,000 shares of Class A Common Stock at $10.00 per share, for aggregate gross proceeds of $95,060,000, under the PIPE Investment.</w:t>
      </w:r>
    </w:p>
    <w:p>
      <w:pPr>
        <w:spacing w:after="0" w:line="9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 xml:space="preserve">The unaudited pro forma combined information contained herein assumes that FS Development stockholders approve the Business Combination. FS Development’s public stockholders may elect to redeem their Public Shares for cash even if they approve the Business Combination. FS Development Corp. cannot predict how many of its public stockholders will exercise their right to have their Public Shares redeemed for cash. As a result, the Combined Entity has elected to provide the unaudited pro forma combined financial information under two different redemption scenarios, which produce different allocations of total Combined Entity equity between holders of Public Shares. As described in greater detail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of the unaudited pro forma combined financial information, the first scenario, or “no redemption scenario,” assumes that none of FS Development’s public stockholders will exercise their right to have their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scenarios. However, there can be no assurance regarding which scenario will be closest to the actual results. Under both scenarios, Gemini is considered the accounting acquirer, as further discussed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unaudited pro forma combined financial information.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spacing w:after="0" w:line="28" w:lineRule="exact"/>
        <w:rPr>
          <w:sz w:val="20"/>
          <w:szCs w:val="20"/>
          <w:color w:val="auto"/>
        </w:rPr>
      </w:pPr>
    </w:p>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June 30, 2020</w:t>
      </w:r>
    </w:p>
    <w:p>
      <w:pPr>
        <w:spacing w:after="0" w:line="14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No redemption scenario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4"/>
              </w:rPr>
              <w:t>Maximum redemption scenario</w:t>
            </w:r>
          </w:p>
        </w:tc>
        <w:tc>
          <w:tcPr>
            <w:tcW w:w="0" w:type="dxa"/>
            <w:vAlign w:val="bottom"/>
          </w:tcPr>
          <w:p>
            <w:pPr>
              <w:spacing w:after="0"/>
              <w:rPr>
                <w:sz w:val="1"/>
                <w:szCs w:val="1"/>
                <w:color w:val="auto"/>
              </w:rPr>
            </w:pPr>
          </w:p>
        </w:tc>
      </w:tr>
      <w:tr>
        <w:trPr>
          <w:trHeight w:val="26"/>
        </w:trPr>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9"/>
              </w:rPr>
              <w:t>FSDC</w:t>
            </w:r>
          </w:p>
        </w:tc>
        <w:tc>
          <w:tcPr>
            <w:tcW w:w="100" w:type="dxa"/>
            <w:vAlign w:val="bottom"/>
          </w:tcPr>
          <w:p>
            <w:pPr>
              <w:spacing w:after="0"/>
              <w:rPr>
                <w:sz w:val="2"/>
                <w:szCs w:val="2"/>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Gemini</w:t>
            </w:r>
          </w:p>
        </w:tc>
        <w:tc>
          <w:tcPr>
            <w:tcW w:w="90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Pro Forma</w:t>
            </w:r>
          </w:p>
        </w:tc>
        <w:tc>
          <w:tcPr>
            <w:tcW w:w="5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Note 4</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Pro Forma</w:t>
            </w:r>
          </w:p>
        </w:tc>
        <w:tc>
          <w:tcPr>
            <w:tcW w:w="80" w:type="dxa"/>
            <w:vAlign w:val="bottom"/>
          </w:tcPr>
          <w:p>
            <w:pPr>
              <w:spacing w:after="0"/>
              <w:rPr>
                <w:sz w:val="12"/>
                <w:szCs w:val="12"/>
                <w:color w:val="auto"/>
              </w:rPr>
            </w:pPr>
          </w:p>
        </w:tc>
        <w:tc>
          <w:tcPr>
            <w:tcW w:w="92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Pro Forma</w:t>
            </w:r>
          </w:p>
        </w:tc>
        <w:tc>
          <w:tcPr>
            <w:tcW w:w="5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Note 4</w:t>
            </w:r>
          </w:p>
        </w:tc>
        <w:tc>
          <w:tcPr>
            <w:tcW w:w="7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980" w:type="dxa"/>
            <w:vAlign w:val="bottom"/>
            <w:gridSpan w:val="4"/>
          </w:tcPr>
          <w:p>
            <w:pPr>
              <w:jc w:val="center"/>
              <w:ind w:right="40"/>
              <w:spacing w:after="0" w:line="216" w:lineRule="exact"/>
              <w:rPr>
                <w:sz w:val="20"/>
                <w:szCs w:val="20"/>
                <w:color w:val="auto"/>
              </w:rPr>
            </w:pPr>
            <w:r>
              <w:rPr>
                <w:rFonts w:ascii="Arial" w:cs="Arial" w:eastAsia="Arial" w:hAnsi="Arial"/>
                <w:sz w:val="14"/>
                <w:szCs w:val="14"/>
                <w:b w:val="1"/>
                <w:bCs w:val="1"/>
                <w:color w:val="auto"/>
                <w:w w:val="90"/>
              </w:rPr>
              <w:t>(Adjusted)</w:t>
            </w:r>
            <w:r>
              <w:rPr>
                <w:rFonts w:ascii="Arial" w:cs="Arial" w:eastAsia="Arial" w:hAnsi="Arial"/>
                <w:sz w:val="21"/>
                <w:szCs w:val="21"/>
                <w:b w:val="1"/>
                <w:bCs w:val="1"/>
                <w:color w:val="auto"/>
                <w:w w:val="90"/>
                <w:vertAlign w:val="superscript"/>
              </w:rPr>
              <w:t>(1)</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(Historical)</w:t>
            </w: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540" w:type="dxa"/>
            <w:vAlign w:val="bottom"/>
            <w:gridSpan w:val="2"/>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Adjustments</w:t>
            </w:r>
          </w:p>
        </w:tc>
        <w:tc>
          <w:tcPr>
            <w:tcW w:w="54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equivalents</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6,175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210,360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1"/>
              </w:rPr>
              <w:t>(a), (b)</w:t>
            </w: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218,145</w:t>
            </w:r>
          </w:p>
        </w:tc>
        <w:tc>
          <w:tcPr>
            <w:tcW w:w="180" w:type="dxa"/>
            <w:vAlign w:val="bottom"/>
            <w:tcBorders>
              <w:bottom w:val="single" w:sz="8" w:color="CCEEFF"/>
            </w:tcBorders>
            <w:gridSpan w:val="2"/>
            <w:vMerge w:val="continue"/>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98,836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(a), (b)</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106,621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820" w:type="dxa"/>
            <w:vAlign w:val="bottom"/>
          </w:tcPr>
          <w:p>
            <w:pPr>
              <w:ind w:left="180"/>
              <w:spacing w:after="0"/>
              <w:rPr>
                <w:sz w:val="20"/>
                <w:szCs w:val="20"/>
                <w:color w:val="auto"/>
              </w:rPr>
            </w:pPr>
            <w:r>
              <w:rPr>
                <w:rFonts w:ascii="Arial" w:cs="Arial" w:eastAsia="Arial" w:hAnsi="Arial"/>
                <w:sz w:val="16"/>
                <w:szCs w:val="16"/>
                <w:color w:val="auto"/>
              </w:rPr>
              <w:t>Prepaid expenses and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820" w:type="dxa"/>
            <w:vAlign w:val="bottom"/>
          </w:tcPr>
          <w:p>
            <w:pPr>
              <w:ind w:left="36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1,624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1,624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8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b w:val="1"/>
                <w:bCs w:val="1"/>
                <w:color w:val="auto"/>
              </w:rPr>
              <w:t>Total Current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7,799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210,360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219,769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98,836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108,245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8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20" w:type="dxa"/>
            <w:vAlign w:val="bottom"/>
          </w:tcPr>
          <w:p>
            <w:pPr>
              <w:ind w:left="18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820" w:type="dxa"/>
            <w:vAlign w:val="bottom"/>
          </w:tcPr>
          <w:p>
            <w:pPr>
              <w:spacing w:after="0"/>
              <w:rPr>
                <w:sz w:val="20"/>
                <w:szCs w:val="20"/>
                <w:color w:val="auto"/>
              </w:rPr>
            </w:pPr>
            <w:r>
              <w:rPr>
                <w:rFonts w:ascii="Arial" w:cs="Arial" w:eastAsia="Arial" w:hAnsi="Arial"/>
                <w:sz w:val="16"/>
                <w:szCs w:val="16"/>
                <w:color w:val="auto"/>
              </w:rPr>
              <w:t>Cash held in Trust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20" w:type="dxa"/>
            <w:vAlign w:val="bottom"/>
          </w:tcPr>
          <w:p>
            <w:pPr>
              <w:ind w:left="180"/>
              <w:spacing w:after="0"/>
              <w:rPr>
                <w:sz w:val="20"/>
                <w:szCs w:val="20"/>
                <w:color w:val="auto"/>
              </w:rPr>
            </w:pPr>
            <w:r>
              <w:rPr>
                <w:rFonts w:ascii="Arial" w:cs="Arial" w:eastAsia="Arial" w:hAnsi="Arial"/>
                <w:sz w:val="16"/>
                <w:szCs w:val="16"/>
                <w:color w:val="auto"/>
              </w:rPr>
              <w:t>Account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120,750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(120,750)</w:t>
            </w:r>
          </w:p>
        </w:tc>
        <w:tc>
          <w:tcPr>
            <w:tcW w:w="60" w:type="dxa"/>
            <w:vAlign w:val="bottom"/>
          </w:tcPr>
          <w:p>
            <w:pPr>
              <w:spacing w:after="0"/>
              <w:rPr>
                <w:sz w:val="17"/>
                <w:szCs w:val="17"/>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(c)</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3"/>
              </w:rPr>
              <w:t>(120,750)</w:t>
            </w:r>
          </w:p>
        </w:tc>
        <w:tc>
          <w:tcPr>
            <w:tcW w:w="80" w:type="dxa"/>
            <w:vAlign w:val="bottom"/>
          </w:tcPr>
          <w:p>
            <w:pPr>
              <w:spacing w:after="0"/>
              <w:rPr>
                <w:sz w:val="17"/>
                <w:szCs w:val="17"/>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(c)</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820" w:type="dxa"/>
            <w:vAlign w:val="bottom"/>
          </w:tcPr>
          <w:p>
            <w:pPr>
              <w:ind w:left="3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122,360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8,585</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89,610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220,555</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(21,914)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89"/>
              </w:rPr>
              <w:t>109,031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6"/>
                <w:szCs w:val="16"/>
                <w:b w:val="1"/>
                <w:bCs w:val="1"/>
                <w:color w:val="auto"/>
              </w:rPr>
              <w:t>Liabilities and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b w:val="1"/>
                <w:bCs w:val="1"/>
                <w:color w:val="auto"/>
              </w:rPr>
              <w:t>Shareholders’ Equity</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1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820" w:type="dxa"/>
            <w:vAlign w:val="bottom"/>
          </w:tcPr>
          <w:p>
            <w:pPr>
              <w:ind w:left="180"/>
              <w:spacing w:after="0"/>
              <w:rPr>
                <w:sz w:val="20"/>
                <w:szCs w:val="20"/>
                <w:color w:val="auto"/>
              </w:rPr>
            </w:pPr>
            <w:r>
              <w:rPr>
                <w:rFonts w:ascii="Arial" w:cs="Arial" w:eastAsia="Arial" w:hAnsi="Arial"/>
                <w:sz w:val="16"/>
                <w:szCs w:val="16"/>
                <w:color w:val="auto"/>
              </w:rPr>
              <w:t>Accounts payable and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2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5,016</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5,071</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Term loan, current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portion</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820" w:type="dxa"/>
            <w:vAlign w:val="bottom"/>
          </w:tcPr>
          <w:p>
            <w:pPr>
              <w:ind w:left="360"/>
              <w:spacing w:after="0" w:line="169" w:lineRule="exact"/>
              <w:rPr>
                <w:sz w:val="20"/>
                <w:szCs w:val="20"/>
                <w:color w:val="auto"/>
              </w:rPr>
            </w:pPr>
            <w:r>
              <w:rPr>
                <w:rFonts w:ascii="Arial" w:cs="Arial" w:eastAsia="Arial" w:hAnsi="Arial"/>
                <w:sz w:val="16"/>
                <w:szCs w:val="16"/>
                <w:b w:val="1"/>
                <w:bCs w:val="1"/>
                <w:color w:val="auto"/>
              </w:rPr>
              <w:t>Total Current</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5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7,571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Deferred underwriting</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commissions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(4,226)</w:t>
            </w: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(b)</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(b)</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r>
              <w:rPr>
                <w:rFonts w:ascii="Arial" w:cs="Arial" w:eastAsia="Arial" w:hAnsi="Arial"/>
                <w:sz w:val="16"/>
                <w:szCs w:val="16"/>
                <w:color w:val="auto"/>
              </w:rPr>
              <w:t>Warrant liability</w:t>
            </w:r>
          </w:p>
        </w:tc>
        <w:tc>
          <w:tcPr>
            <w:tcW w:w="18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820" w:type="dxa"/>
            <w:vAlign w:val="bottom"/>
          </w:tcPr>
          <w:p>
            <w:pPr>
              <w:spacing w:after="0"/>
              <w:rPr>
                <w:sz w:val="20"/>
                <w:szCs w:val="20"/>
                <w:color w:val="auto"/>
              </w:rPr>
            </w:pPr>
            <w:r>
              <w:rPr>
                <w:rFonts w:ascii="Arial" w:cs="Arial" w:eastAsia="Arial" w:hAnsi="Arial"/>
                <w:sz w:val="16"/>
                <w:szCs w:val="16"/>
                <w:color w:val="auto"/>
              </w:rPr>
              <w:t>Term loan, net of current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820" w:type="dxa"/>
            <w:vAlign w:val="bottom"/>
          </w:tcPr>
          <w:p>
            <w:pPr>
              <w:ind w:left="180"/>
              <w:spacing w:after="0"/>
              <w:rPr>
                <w:sz w:val="20"/>
                <w:szCs w:val="20"/>
                <w:color w:val="auto"/>
              </w:rPr>
            </w:pPr>
            <w:r>
              <w:rPr>
                <w:rFonts w:ascii="Arial" w:cs="Arial" w:eastAsia="Arial" w:hAnsi="Arial"/>
                <w:sz w:val="16"/>
                <w:szCs w:val="16"/>
                <w:color w:val="auto"/>
              </w:rPr>
              <w:t>portion and discount</w:t>
            </w:r>
          </w:p>
        </w:tc>
        <w:tc>
          <w:tcPr>
            <w:tcW w:w="18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7,428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7,428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4,281</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15,200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(4,226)</w:t>
            </w: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15,255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(4,226)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8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Series A convertible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47,113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(47,113)</w:t>
            </w: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(d)</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(47,113)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(d)</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820" w:type="dxa"/>
            <w:vAlign w:val="bottom"/>
          </w:tcPr>
          <w:p>
            <w:pPr>
              <w:spacing w:after="0"/>
              <w:rPr>
                <w:sz w:val="20"/>
                <w:szCs w:val="20"/>
                <w:color w:val="auto"/>
              </w:rPr>
            </w:pPr>
            <w:r>
              <w:rPr>
                <w:rFonts w:ascii="Arial" w:cs="Arial" w:eastAsia="Arial" w:hAnsi="Arial"/>
                <w:sz w:val="16"/>
                <w:szCs w:val="16"/>
                <w:color w:val="auto"/>
              </w:rPr>
              <w:t>Series B convertible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82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33,336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(33,336)</w:t>
            </w:r>
          </w:p>
        </w:tc>
        <w:tc>
          <w:tcPr>
            <w:tcW w:w="60" w:type="dxa"/>
            <w:vAlign w:val="bottom"/>
          </w:tcPr>
          <w:p>
            <w:pPr>
              <w:spacing w:after="0"/>
              <w:rPr>
                <w:sz w:val="19"/>
                <w:szCs w:val="19"/>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rPr>
              <w:t>(d)</w:t>
            </w: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(33,336)</w:t>
            </w:r>
          </w:p>
        </w:tc>
        <w:tc>
          <w:tcPr>
            <w:tcW w:w="80" w:type="dxa"/>
            <w:vAlign w:val="bottom"/>
          </w:tcPr>
          <w:p>
            <w:pPr>
              <w:spacing w:after="0"/>
              <w:rPr>
                <w:sz w:val="19"/>
                <w:szCs w:val="19"/>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(d)</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8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b w:val="1"/>
                <w:bCs w:val="1"/>
                <w:color w:val="auto"/>
              </w:rPr>
              <w:t>Total convertible</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(80,449)</w:t>
            </w: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1820" w:type="dxa"/>
            <w:vAlign w:val="bottom"/>
          </w:tcPr>
          <w:p>
            <w:pPr>
              <w:spacing w:after="0" w:line="173" w:lineRule="exact"/>
              <w:rPr>
                <w:sz w:val="20"/>
                <w:szCs w:val="20"/>
                <w:color w:val="auto"/>
              </w:rPr>
            </w:pPr>
            <w:r>
              <w:rPr>
                <w:rFonts w:ascii="Arial" w:cs="Arial" w:eastAsia="Arial" w:hAnsi="Arial"/>
                <w:sz w:val="16"/>
                <w:szCs w:val="16"/>
                <w:color w:val="auto"/>
              </w:rPr>
              <w:t>Class A common stock</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20" w:type="dxa"/>
            <w:vAlign w:val="bottom"/>
          </w:tcPr>
          <w:p>
            <w:pPr>
              <w:ind w:left="180"/>
              <w:spacing w:after="0"/>
              <w:rPr>
                <w:sz w:val="20"/>
                <w:szCs w:val="20"/>
                <w:color w:val="auto"/>
              </w:rPr>
            </w:pPr>
            <w:r>
              <w:rPr>
                <w:rFonts w:ascii="Arial" w:cs="Arial" w:eastAsia="Arial" w:hAnsi="Arial"/>
                <w:sz w:val="16"/>
                <w:szCs w:val="16"/>
                <w:color w:val="auto"/>
              </w:rPr>
              <w:t>subject to redemption</w:t>
            </w:r>
          </w:p>
        </w:tc>
        <w:tc>
          <w:tcPr>
            <w:tcW w:w="1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113,054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(113,054)</w:t>
            </w:r>
          </w:p>
        </w:tc>
        <w:tc>
          <w:tcPr>
            <w:tcW w:w="60" w:type="dxa"/>
            <w:vAlign w:val="bottom"/>
          </w:tcPr>
          <w:p>
            <w:pPr>
              <w:spacing w:after="0"/>
              <w:rPr>
                <w:sz w:val="17"/>
                <w:szCs w:val="17"/>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rPr>
              <w:t>(d)</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3"/>
              </w:rPr>
              <w:t>(113,054)</w:t>
            </w:r>
          </w:p>
        </w:tc>
        <w:tc>
          <w:tcPr>
            <w:tcW w:w="80" w:type="dxa"/>
            <w:vAlign w:val="bottom"/>
          </w:tcPr>
          <w:p>
            <w:pPr>
              <w:spacing w:after="0"/>
              <w:rPr>
                <w:sz w:val="17"/>
                <w:szCs w:val="17"/>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(d)</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Class A common stock</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20" w:type="dxa"/>
            <w:vAlign w:val="bottom"/>
          </w:tcPr>
          <w:p>
            <w:pPr>
              <w:ind w:left="180"/>
              <w:spacing w:after="0"/>
              <w:rPr>
                <w:sz w:val="20"/>
                <w:szCs w:val="20"/>
                <w:color w:val="auto"/>
              </w:rPr>
            </w:pPr>
            <w:r>
              <w:rPr>
                <w:rFonts w:ascii="Arial" w:cs="Arial" w:eastAsia="Arial" w:hAnsi="Arial"/>
                <w:sz w:val="16"/>
                <w:szCs w:val="16"/>
                <w:color w:val="auto"/>
                <w:w w:val="99"/>
              </w:rPr>
              <w:t>Class B common stock</w:t>
            </w:r>
          </w:p>
        </w:tc>
        <w:tc>
          <w:tcPr>
            <w:tcW w:w="18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(d)</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(d)</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820" w:type="dxa"/>
            <w:vAlign w:val="bottom"/>
          </w:tcPr>
          <w:p>
            <w:pPr>
              <w:ind w:left="180"/>
              <w:spacing w:after="0"/>
              <w:rPr>
                <w:sz w:val="20"/>
                <w:szCs w:val="20"/>
                <w:color w:val="auto"/>
              </w:rPr>
            </w:pPr>
            <w:r>
              <w:rPr>
                <w:rFonts w:ascii="Arial" w:cs="Arial" w:eastAsia="Arial" w:hAnsi="Arial"/>
                <w:sz w:val="16"/>
                <w:szCs w:val="16"/>
                <w:color w:val="auto"/>
              </w:rPr>
              <w:t>Additional paid-in</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20" w:type="dxa"/>
            <w:vAlign w:val="bottom"/>
          </w:tcPr>
          <w:p>
            <w:pPr>
              <w:ind w:left="360"/>
              <w:spacing w:after="0"/>
              <w:rPr>
                <w:sz w:val="20"/>
                <w:szCs w:val="20"/>
                <w:color w:val="auto"/>
              </w:rPr>
            </w:pPr>
            <w:r>
              <w:rPr>
                <w:rFonts w:ascii="Arial" w:cs="Arial" w:eastAsia="Arial" w:hAnsi="Arial"/>
                <w:sz w:val="16"/>
                <w:szCs w:val="16"/>
                <w:color w:val="auto"/>
              </w:rPr>
              <w:t>capital</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5,027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1,433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295,924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rPr>
              <w:t>(d)</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302,384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6"/>
                <w:szCs w:val="16"/>
                <w:color w:val="auto"/>
              </w:rPr>
              <w:t>184,401</w:t>
            </w:r>
          </w:p>
        </w:tc>
        <w:tc>
          <w:tcPr>
            <w:tcW w:w="80" w:type="dxa"/>
            <w:vAlign w:val="bottom"/>
          </w:tcPr>
          <w:p>
            <w:pPr>
              <w:spacing w:after="0"/>
              <w:rPr>
                <w:sz w:val="17"/>
                <w:szCs w:val="17"/>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(d)</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190,861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(88,503)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(8,580)</w:t>
            </w: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(d)</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(97,085)</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(8,580)</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(d)</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(97,085)</w:t>
            </w:r>
          </w:p>
        </w:tc>
        <w:tc>
          <w:tcPr>
            <w:tcW w:w="0" w:type="dxa"/>
            <w:vAlign w:val="bottom"/>
          </w:tcPr>
          <w:p>
            <w:pPr>
              <w:spacing w:after="0"/>
              <w:rPr>
                <w:sz w:val="1"/>
                <w:szCs w:val="1"/>
                <w:color w:val="auto"/>
              </w:rPr>
            </w:pPr>
          </w:p>
        </w:tc>
      </w:tr>
      <w:tr>
        <w:trPr>
          <w:trHeight w:val="169"/>
        </w:trPr>
        <w:tc>
          <w:tcPr>
            <w:tcW w:w="1820" w:type="dxa"/>
            <w:vAlign w:val="bottom"/>
          </w:tcPr>
          <w:p>
            <w:pPr>
              <w:ind w:left="360"/>
              <w:spacing w:after="0" w:line="169" w:lineRule="exact"/>
              <w:rPr>
                <w:sz w:val="20"/>
                <w:szCs w:val="20"/>
                <w:color w:val="auto"/>
              </w:rPr>
            </w:pPr>
            <w:r>
              <w:rPr>
                <w:rFonts w:ascii="Arial" w:cs="Arial" w:eastAsia="Arial" w:hAnsi="Arial"/>
                <w:sz w:val="16"/>
                <w:szCs w:val="16"/>
                <w:b w:val="1"/>
                <w:bCs w:val="1"/>
                <w:color w:val="auto"/>
                <w:w w:val="96"/>
              </w:rPr>
              <w:t>Total Stockholders’</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20" w:type="dxa"/>
            <w:vAlign w:val="bottom"/>
          </w:tcPr>
          <w:p>
            <w:pPr>
              <w:ind w:left="540"/>
              <w:spacing w:after="0"/>
              <w:rPr>
                <w:sz w:val="20"/>
                <w:szCs w:val="20"/>
                <w:color w:val="auto"/>
              </w:rPr>
            </w:pPr>
            <w:r>
              <w:rPr>
                <w:rFonts w:ascii="Arial" w:cs="Arial" w:eastAsia="Arial" w:hAnsi="Arial"/>
                <w:sz w:val="16"/>
                <w:szCs w:val="16"/>
                <w:b w:val="1"/>
                <w:bCs w:val="1"/>
                <w:color w:val="auto"/>
              </w:rPr>
              <w:t>Equity (Deficit)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5,025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3"/>
              </w:rPr>
              <w:t>(87,064)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287,339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205,300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175,815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93,776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820" w:type="dxa"/>
            <w:vAlign w:val="bottom"/>
            <w:vMerge w:val="restart"/>
          </w:tcPr>
          <w:p>
            <w:pPr>
              <w:ind w:left="360"/>
              <w:spacing w:after="0"/>
              <w:rPr>
                <w:sz w:val="20"/>
                <w:szCs w:val="20"/>
                <w:color w:val="auto"/>
              </w:rPr>
            </w:pPr>
            <w:r>
              <w:rPr>
                <w:rFonts w:ascii="Arial" w:cs="Arial" w:eastAsia="Arial" w:hAnsi="Arial"/>
                <w:sz w:val="16"/>
                <w:szCs w:val="16"/>
                <w:b w:val="1"/>
                <w:bCs w:val="1"/>
                <w:color w:val="auto"/>
                <w:w w:val="96"/>
              </w:rPr>
              <w:t>Total Liabilities and</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820" w:type="dxa"/>
            <w:vAlign w:val="bottom"/>
            <w:vMerge w:val="continue"/>
          </w:tcPr>
          <w:p>
            <w:pPr>
              <w:spacing w:after="0"/>
              <w:rPr>
                <w:sz w:val="14"/>
                <w:szCs w:val="14"/>
                <w:color w:val="auto"/>
              </w:rPr>
            </w:pPr>
          </w:p>
        </w:tc>
        <w:tc>
          <w:tcPr>
            <w:tcW w:w="180" w:type="dxa"/>
            <w:vAlign w:val="bottom"/>
          </w:tcPr>
          <w:p>
            <w:pPr>
              <w:jc w:val="right"/>
              <w:ind w:right="1"/>
              <w:spacing w:after="0" w:line="169" w:lineRule="exact"/>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122,360</w:t>
            </w:r>
          </w:p>
        </w:tc>
        <w:tc>
          <w:tcPr>
            <w:tcW w:w="1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8,585</w:t>
            </w:r>
          </w:p>
        </w:tc>
        <w:tc>
          <w:tcPr>
            <w:tcW w:w="1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89,610</w:t>
            </w:r>
          </w:p>
        </w:tc>
        <w:tc>
          <w:tcPr>
            <w:tcW w:w="1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ind w:left="20"/>
              <w:spacing w:after="0" w:line="169"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220,555</w:t>
            </w: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(21,914</w:t>
            </w:r>
          </w:p>
        </w:tc>
        <w:tc>
          <w:tcPr>
            <w:tcW w:w="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109,031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540"/>
              <w:spacing w:after="0"/>
              <w:rPr>
                <w:sz w:val="20"/>
                <w:szCs w:val="20"/>
                <w:color w:val="auto"/>
              </w:rPr>
            </w:pPr>
            <w:r>
              <w:rPr>
                <w:rFonts w:ascii="Arial" w:cs="Arial" w:eastAsia="Arial" w:hAnsi="Arial"/>
                <w:sz w:val="16"/>
                <w:szCs w:val="16"/>
                <w:b w:val="1"/>
                <w:bCs w:val="1"/>
                <w:color w:val="auto"/>
              </w:rPr>
              <w:t>Stockholders’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-252730</wp:posOffset>
            </wp:positionV>
            <wp:extent cx="5143500" cy="3917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39179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6"/>
          <w:szCs w:val="16"/>
          <w:b w:val="1"/>
          <w:bCs w:val="1"/>
          <w:color w:val="auto"/>
        </w:rPr>
        <w:t>Equity (Deficit)</w:t>
      </w:r>
    </w:p>
    <w:p>
      <w:pPr>
        <w:sectPr>
          <w:pgSz w:w="11900" w:h="16866" w:orient="portrait"/>
          <w:cols w:equalWidth="0" w:num="1">
            <w:col w:w="9019"/>
          </w:cols>
          <w:pgMar w:left="1440" w:top="274" w:right="1440" w:bottom="0" w:gutter="0" w:footer="0" w:header="0"/>
        </w:sectPr>
      </w:pPr>
    </w:p>
    <w:bookmarkStart w:id="99" w:name="page100"/>
    <w:bookmarkEnd w:id="9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5883275</wp:posOffset>
            </wp:positionH>
            <wp:positionV relativeFrom="page">
              <wp:posOffset>106045</wp:posOffset>
            </wp:positionV>
            <wp:extent cx="403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88900</wp:posOffset>
            </wp:positionV>
            <wp:extent cx="514350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25400"/>
                    </a:xfrm>
                    <a:prstGeom prst="rect">
                      <a:avLst/>
                    </a:prstGeom>
                    <a:noFill/>
                  </pic:spPr>
                </pic:pic>
              </a:graphicData>
            </a:graphic>
          </wp:anchor>
        </w:drawing>
        <w:t>____________</w:t>
      </w:r>
    </w:p>
    <w:p>
      <w:pPr>
        <w:spacing w:after="0" w:line="22" w:lineRule="exact"/>
        <w:rPr>
          <w:sz w:val="20"/>
          <w:szCs w:val="20"/>
          <w:color w:val="auto"/>
        </w:rPr>
      </w:pPr>
    </w:p>
    <w:p>
      <w:pPr>
        <w:ind w:left="880" w:hanging="426"/>
        <w:spacing w:after="0"/>
        <w:tabs>
          <w:tab w:leader="none" w:pos="8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Refer to Note 3 for the adjusted balance sheet of FS Development.</w:t>
      </w:r>
    </w:p>
    <w:p>
      <w:pPr>
        <w:spacing w:after="0" w:line="208" w:lineRule="exact"/>
        <w:rPr>
          <w:rFonts w:ascii="Arial" w:cs="Arial" w:eastAsia="Arial" w:hAnsi="Arial"/>
          <w:sz w:val="14"/>
          <w:szCs w:val="14"/>
          <w:color w:val="auto"/>
        </w:rPr>
      </w:pPr>
    </w:p>
    <w:p>
      <w:pPr>
        <w:ind w:left="4420"/>
        <w:spacing w:after="0"/>
        <w:rPr>
          <w:rFonts w:ascii="Arial" w:cs="Arial" w:eastAsia="Arial" w:hAnsi="Arial"/>
          <w:sz w:val="14"/>
          <w:szCs w:val="14"/>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4" w:right="1440" w:bottom="1440" w:gutter="0" w:footer="0" w:header="0"/>
        </w:sectPr>
      </w:pPr>
    </w:p>
    <w:bookmarkStart w:id="100" w:name="page101"/>
    <w:bookmarkEnd w:id="10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 FOR THE SIX MONTHS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JUNE 30, 2020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No redemption scenario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4"/>
              </w:rPr>
              <w:t>Maximum redemption scenario</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FSDC</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Gemini</w:t>
            </w:r>
          </w:p>
        </w:tc>
        <w:tc>
          <w:tcPr>
            <w:tcW w:w="80" w:type="dxa"/>
            <w:vAlign w:val="bottom"/>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Pro Forma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0"/>
                <w:szCs w:val="10"/>
                <w:color w:val="auto"/>
              </w:rPr>
            </w:pPr>
          </w:p>
        </w:tc>
        <w:tc>
          <w:tcPr>
            <w:tcW w:w="86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(Historical)</w:t>
            </w:r>
          </w:p>
        </w:tc>
        <w:tc>
          <w:tcPr>
            <w:tcW w:w="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(Historical)</w:t>
            </w:r>
          </w:p>
        </w:tc>
        <w:tc>
          <w:tcPr>
            <w:tcW w:w="1320" w:type="dxa"/>
            <w:vAlign w:val="bottom"/>
            <w:gridSpan w:val="6"/>
          </w:tcPr>
          <w:p>
            <w:pPr>
              <w:ind w:left="80"/>
              <w:spacing w:after="0"/>
              <w:rPr>
                <w:sz w:val="20"/>
                <w:szCs w:val="20"/>
                <w:color w:val="auto"/>
              </w:rPr>
            </w:pPr>
            <w:r>
              <w:rPr>
                <w:rFonts w:ascii="Arial" w:cs="Arial" w:eastAsia="Arial" w:hAnsi="Arial"/>
                <w:sz w:val="14"/>
                <w:szCs w:val="14"/>
                <w:b w:val="1"/>
                <w:bCs w:val="1"/>
                <w:color w:val="auto"/>
                <w:w w:val="92"/>
              </w:rPr>
              <w:t>Adjustments Note 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320" w:type="dxa"/>
            <w:vAlign w:val="bottom"/>
            <w:gridSpan w:val="6"/>
          </w:tcPr>
          <w:p>
            <w:pPr>
              <w:ind w:left="60"/>
              <w:spacing w:after="0"/>
              <w:rPr>
                <w:sz w:val="20"/>
                <w:szCs w:val="20"/>
                <w:color w:val="auto"/>
              </w:rPr>
            </w:pPr>
            <w:r>
              <w:rPr>
                <w:rFonts w:ascii="Arial" w:cs="Arial" w:eastAsia="Arial" w:hAnsi="Arial"/>
                <w:sz w:val="14"/>
                <w:szCs w:val="14"/>
                <w:b w:val="1"/>
                <w:bCs w:val="1"/>
                <w:color w:val="auto"/>
                <w:w w:val="94"/>
              </w:rPr>
              <w:t>Adjustments Note 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Arial" w:cs="Arial" w:eastAsia="Arial" w:hAnsi="Arial"/>
                <w:sz w:val="16"/>
                <w:szCs w:val="16"/>
                <w:color w:val="auto"/>
              </w:rPr>
              <w:t>Research and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180"/>
              <w:spacing w:after="0"/>
              <w:rPr>
                <w:sz w:val="20"/>
                <w:szCs w:val="20"/>
                <w:color w:val="auto"/>
              </w:rPr>
            </w:pPr>
            <w:r>
              <w:rPr>
                <w:rFonts w:ascii="Arial" w:cs="Arial" w:eastAsia="Arial" w:hAnsi="Arial"/>
                <w:sz w:val="16"/>
                <w:szCs w:val="16"/>
                <w:color w:val="auto"/>
              </w:rPr>
              <w:t>development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13,745</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13,745</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13,745</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General and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administrative</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16,297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16,299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16,299</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w w:val="92"/>
              </w:rPr>
              <w:t>Loss from operations</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(16,297)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(16,299)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(16,299)</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(expense):</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(6,271)</w:t>
            </w:r>
          </w:p>
        </w:tc>
        <w:tc>
          <w:tcPr>
            <w:tcW w:w="6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6"/>
                <w:szCs w:val="16"/>
                <w:color w:val="auto"/>
              </w:rPr>
              <w:t>(e)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(6,531)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(6,271)</w:t>
            </w:r>
          </w:p>
        </w:tc>
        <w:tc>
          <w:tcPr>
            <w:tcW w:w="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(6,531)</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3"/>
        </w:trPr>
        <w:tc>
          <w:tcPr>
            <w:tcW w:w="1720" w:type="dxa"/>
            <w:vAlign w:val="bottom"/>
          </w:tcPr>
          <w:p>
            <w:pPr>
              <w:ind w:left="360"/>
              <w:spacing w:after="0"/>
              <w:rPr>
                <w:sz w:val="20"/>
                <w:szCs w:val="20"/>
                <w:color w:val="auto"/>
              </w:rPr>
            </w:pPr>
            <w:r>
              <w:rPr>
                <w:rFonts w:ascii="Arial" w:cs="Arial" w:eastAsia="Arial" w:hAnsi="Arial"/>
                <w:sz w:val="16"/>
                <w:szCs w:val="16"/>
                <w:color w:val="auto"/>
              </w:rPr>
              <w:t>Loss on</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Arial" w:cs="Arial" w:eastAsia="Arial" w:hAnsi="Arial"/>
                <w:sz w:val="16"/>
                <w:szCs w:val="16"/>
                <w:color w:val="auto"/>
              </w:rPr>
              <w:t>extinguishment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540"/>
              <w:spacing w:after="0"/>
              <w:rPr>
                <w:sz w:val="20"/>
                <w:szCs w:val="20"/>
                <w:color w:val="auto"/>
              </w:rPr>
            </w:pPr>
            <w:r>
              <w:rPr>
                <w:rFonts w:ascii="Arial" w:cs="Arial" w:eastAsia="Arial" w:hAnsi="Arial"/>
                <w:sz w:val="16"/>
                <w:szCs w:val="16"/>
                <w:color w:val="auto"/>
              </w:rPr>
              <w:t>of debt</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(2,311)</w:t>
            </w:r>
          </w:p>
        </w:tc>
        <w:tc>
          <w:tcPr>
            <w:tcW w:w="60" w:type="dxa"/>
            <w:vAlign w:val="bottom"/>
          </w:tcPr>
          <w:p>
            <w:pPr>
              <w:spacing w:after="0"/>
              <w:rPr>
                <w:sz w:val="17"/>
                <w:szCs w:val="17"/>
                <w:color w:val="auto"/>
              </w:rPr>
            </w:pPr>
          </w:p>
        </w:tc>
        <w:tc>
          <w:tcPr>
            <w:tcW w:w="400" w:type="dxa"/>
            <w:vAlign w:val="bottom"/>
          </w:tcPr>
          <w:p>
            <w:pPr>
              <w:ind w:left="120"/>
              <w:spacing w:after="0"/>
              <w:rPr>
                <w:sz w:val="20"/>
                <w:szCs w:val="20"/>
                <w:color w:val="auto"/>
              </w:rPr>
            </w:pPr>
            <w:r>
              <w:rPr>
                <w:rFonts w:ascii="Arial" w:cs="Arial" w:eastAsia="Arial" w:hAnsi="Arial"/>
                <w:sz w:val="16"/>
                <w:szCs w:val="16"/>
                <w:color w:val="auto"/>
              </w:rPr>
              <w: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(2,311)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(2,311)</w:t>
            </w:r>
          </w:p>
        </w:tc>
        <w:tc>
          <w:tcPr>
            <w:tcW w:w="80" w:type="dxa"/>
            <w:vAlign w:val="bottom"/>
          </w:tcPr>
          <w:p>
            <w:pPr>
              <w:spacing w:after="0"/>
              <w:rPr>
                <w:sz w:val="17"/>
                <w:szCs w:val="17"/>
                <w:color w:val="auto"/>
              </w:rPr>
            </w:pPr>
          </w:p>
        </w:tc>
        <w:tc>
          <w:tcPr>
            <w:tcW w:w="400" w:type="dxa"/>
            <w:vAlign w:val="bottom"/>
          </w:tcPr>
          <w:p>
            <w:pPr>
              <w:ind w:left="100"/>
              <w:spacing w:after="0"/>
              <w:rPr>
                <w:sz w:val="20"/>
                <w:szCs w:val="20"/>
                <w:color w:val="auto"/>
              </w:rPr>
            </w:pPr>
            <w:r>
              <w:rPr>
                <w:rFonts w:ascii="Arial" w:cs="Arial" w:eastAsia="Arial" w:hAnsi="Arial"/>
                <w:sz w:val="16"/>
                <w:szCs w:val="16"/>
                <w:color w:val="auto"/>
              </w:rPr>
              <w:t>(e)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value of warrant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liability</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72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w:t>
            </w:r>
          </w:p>
        </w:tc>
        <w:tc>
          <w:tcPr>
            <w:tcW w:w="1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(16,519)</w:t>
            </w:r>
          </w:p>
        </w:tc>
        <w:tc>
          <w:tcPr>
            <w:tcW w:w="22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(8,582)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(25,103)</w:t>
            </w:r>
          </w:p>
        </w:tc>
        <w:tc>
          <w:tcPr>
            <w:tcW w:w="18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(8,582)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(25,103)</w:t>
            </w:r>
          </w:p>
        </w:tc>
        <w:tc>
          <w:tcPr>
            <w:tcW w:w="0" w:type="dxa"/>
            <w:vAlign w:val="bottom"/>
          </w:tcPr>
          <w:p>
            <w:pPr>
              <w:spacing w:after="0"/>
              <w:rPr>
                <w:sz w:val="1"/>
                <w:szCs w:val="1"/>
                <w:color w:val="auto"/>
              </w:rPr>
            </w:pPr>
          </w:p>
        </w:tc>
      </w:tr>
      <w:tr>
        <w:trPr>
          <w:trHeight w:val="271"/>
        </w:trPr>
        <w:tc>
          <w:tcPr>
            <w:tcW w:w="17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Arial" w:cs="Arial" w:eastAsia="Arial" w:hAnsi="Arial"/>
                <w:sz w:val="16"/>
                <w:szCs w:val="16"/>
                <w:color w:val="auto"/>
                <w:w w:val="93"/>
              </w:rPr>
              <w:t>Weighted average shares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180"/>
              <w:spacing w:after="0"/>
              <w:rPr>
                <w:sz w:val="20"/>
                <w:szCs w:val="20"/>
                <w:color w:val="auto"/>
              </w:rPr>
            </w:pPr>
            <w:r>
              <w:rPr>
                <w:rFonts w:ascii="Arial" w:cs="Arial" w:eastAsia="Arial" w:hAnsi="Arial"/>
                <w:sz w:val="16"/>
                <w:szCs w:val="16"/>
                <w:color w:val="auto"/>
                <w:w w:val="94"/>
              </w:rPr>
              <w:t>outstanding, basic and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15,535,250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5,465,177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ind w:left="120"/>
              <w:spacing w:after="0"/>
              <w:rPr>
                <w:sz w:val="20"/>
                <w:szCs w:val="20"/>
                <w:color w:val="auto"/>
              </w:rPr>
            </w:pPr>
            <w:r>
              <w:rPr>
                <w:rFonts w:ascii="Arial" w:cs="Arial" w:eastAsia="Arial" w:hAnsi="Arial"/>
                <w:sz w:val="16"/>
                <w:szCs w:val="16"/>
                <w:color w:val="auto"/>
              </w:rPr>
              <w:t>(f)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46,541,250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ind w:left="120"/>
              <w:spacing w:after="0"/>
              <w:rPr>
                <w:sz w:val="20"/>
                <w:szCs w:val="20"/>
                <w:color w:val="auto"/>
              </w:rPr>
            </w:pPr>
            <w:r>
              <w:rPr>
                <w:rFonts w:ascii="Arial" w:cs="Arial" w:eastAsia="Arial" w:hAnsi="Arial"/>
                <w:sz w:val="16"/>
                <w:szCs w:val="16"/>
                <w:color w:val="auto"/>
              </w:rPr>
              <w:t>(f)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35,388,875</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3"/>
              </w:rPr>
              <w:t>Basic and diluted net loss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47"/>
        </w:trPr>
        <w:tc>
          <w:tcPr>
            <w:tcW w:w="1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 FOR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2019</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8"/>
          </w:tcPr>
          <w:p>
            <w:pPr>
              <w:ind w:left="160"/>
              <w:spacing w:after="0"/>
              <w:rPr>
                <w:sz w:val="20"/>
                <w:szCs w:val="20"/>
                <w:color w:val="auto"/>
              </w:rPr>
            </w:pPr>
            <w:r>
              <w:rPr>
                <w:rFonts w:ascii="Arial" w:cs="Arial" w:eastAsia="Arial" w:hAnsi="Arial"/>
                <w:sz w:val="14"/>
                <w:szCs w:val="14"/>
                <w:b w:val="1"/>
                <w:bCs w:val="1"/>
                <w:color w:val="auto"/>
              </w:rPr>
              <w:t>No redemption scenario</w:t>
            </w:r>
          </w:p>
        </w:tc>
        <w:tc>
          <w:tcPr>
            <w:tcW w:w="140" w:type="dxa"/>
            <w:vAlign w:val="bottom"/>
          </w:tcPr>
          <w:p>
            <w:pPr>
              <w:spacing w:after="0"/>
              <w:rPr>
                <w:sz w:val="16"/>
                <w:szCs w:val="16"/>
                <w:color w:val="auto"/>
              </w:rPr>
            </w:pPr>
          </w:p>
        </w:tc>
        <w:tc>
          <w:tcPr>
            <w:tcW w:w="21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Maximum redemption scenario</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9"/>
              </w:rPr>
              <w:t>FSDC</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Gemini</w:t>
            </w:r>
          </w:p>
        </w:tc>
        <w:tc>
          <w:tcPr>
            <w:tcW w:w="8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134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Arial" w:cs="Arial" w:eastAsia="Arial" w:hAnsi="Arial"/>
                <w:sz w:val="14"/>
                <w:szCs w:val="14"/>
                <w:b w:val="1"/>
                <w:bCs w:val="1"/>
                <w:color w:val="auto"/>
              </w:rPr>
              <w:t>(Historical)  (Historical)</w:t>
            </w:r>
          </w:p>
        </w:tc>
        <w:tc>
          <w:tcPr>
            <w:tcW w:w="1340" w:type="dxa"/>
            <w:vAlign w:val="bottom"/>
            <w:gridSpan w:val="5"/>
          </w:tcPr>
          <w:p>
            <w:pPr>
              <w:ind w:left="80"/>
              <w:spacing w:after="0"/>
              <w:rPr>
                <w:sz w:val="20"/>
                <w:szCs w:val="20"/>
                <w:color w:val="auto"/>
              </w:rPr>
            </w:pPr>
            <w:r>
              <w:rPr>
                <w:rFonts w:ascii="Arial" w:cs="Arial" w:eastAsia="Arial" w:hAnsi="Arial"/>
                <w:sz w:val="14"/>
                <w:szCs w:val="14"/>
                <w:b w:val="1"/>
                <w:bCs w:val="1"/>
                <w:color w:val="auto"/>
                <w:w w:val="94"/>
              </w:rPr>
              <w:t>Adjustments Note 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Adjustments Note 4</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Arial" w:cs="Arial" w:eastAsia="Arial" w:hAnsi="Arial"/>
                <w:sz w:val="16"/>
                <w:szCs w:val="16"/>
                <w:color w:val="auto"/>
              </w:rPr>
              <w:t>Research and</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180"/>
              <w:spacing w:after="0"/>
              <w:rPr>
                <w:sz w:val="20"/>
                <w:szCs w:val="20"/>
                <w:color w:val="auto"/>
              </w:rPr>
            </w:pPr>
            <w:r>
              <w:rPr>
                <w:rFonts w:ascii="Arial" w:cs="Arial" w:eastAsia="Arial" w:hAnsi="Arial"/>
                <w:sz w:val="16"/>
                <w:szCs w:val="16"/>
                <w:color w:val="auto"/>
              </w:rPr>
              <w:t>development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gridSpan w:val="3"/>
          </w:tcPr>
          <w:p>
            <w:pPr>
              <w:spacing w:after="0"/>
              <w:rPr>
                <w:sz w:val="20"/>
                <w:szCs w:val="20"/>
                <w:color w:val="auto"/>
              </w:rPr>
            </w:pPr>
            <w:r>
              <w:rPr>
                <w:rFonts w:ascii="Arial" w:cs="Arial" w:eastAsia="Arial" w:hAnsi="Arial"/>
                <w:sz w:val="16"/>
                <w:szCs w:val="16"/>
                <w:color w:val="auto"/>
              </w:rPr>
              <w:t>— $</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34,472</w:t>
            </w: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34,472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34,472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General and</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administrative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expenses</w:t>
            </w: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6,753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41,225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41,225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41,225</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w w:val="92"/>
              </w:rPr>
              <w:t>Loss from operations</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(41,225)</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(expense):</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93"/>
        </w:trPr>
        <w:tc>
          <w:tcPr>
            <w:tcW w:w="1720" w:type="dxa"/>
            <w:vAlign w:val="bottom"/>
          </w:tcPr>
          <w:p>
            <w:pPr>
              <w:ind w:left="360"/>
              <w:spacing w:after="0"/>
              <w:rPr>
                <w:sz w:val="20"/>
                <w:szCs w:val="20"/>
                <w:color w:val="auto"/>
              </w:rPr>
            </w:pPr>
            <w:r>
              <w:rPr>
                <w:rFonts w:ascii="Arial" w:cs="Arial" w:eastAsia="Arial" w:hAnsi="Arial"/>
                <w:sz w:val="16"/>
                <w:szCs w:val="16"/>
                <w:color w:val="auto"/>
              </w:rPr>
              <w:t>Change in fair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Arial" w:cs="Arial" w:eastAsia="Arial" w:hAnsi="Arial"/>
                <w:sz w:val="16"/>
                <w:szCs w:val="16"/>
                <w:color w:val="auto"/>
              </w:rPr>
              <w:t>value of warrant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tcPr>
          <w:p>
            <w:pPr>
              <w:ind w:left="540"/>
              <w:spacing w:after="0"/>
              <w:rPr>
                <w:sz w:val="20"/>
                <w:szCs w:val="20"/>
                <w:color w:val="auto"/>
              </w:rPr>
            </w:pPr>
            <w:r>
              <w:rPr>
                <w:rFonts w:ascii="Arial" w:cs="Arial" w:eastAsia="Arial" w:hAnsi="Arial"/>
                <w:sz w:val="16"/>
                <w:szCs w:val="16"/>
                <w:color w:val="auto"/>
              </w:rPr>
              <w:t>liability</w:t>
            </w:r>
          </w:p>
        </w:tc>
        <w:tc>
          <w:tcPr>
            <w:tcW w:w="540" w:type="dxa"/>
            <w:vAlign w:val="bottom"/>
          </w:tcPr>
          <w:p>
            <w:pPr>
              <w:spacing w:after="0"/>
              <w:rPr>
                <w:sz w:val="19"/>
                <w:szCs w:val="19"/>
                <w:color w:val="auto"/>
              </w:rPr>
            </w:pPr>
          </w:p>
        </w:tc>
        <w:tc>
          <w:tcPr>
            <w:tcW w:w="340" w:type="dxa"/>
            <w:vAlign w:val="bottom"/>
            <w:gridSpan w:val="3"/>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 $</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(41,400)</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(41,400)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4"/>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(41,400)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3"/>
              </w:rPr>
              <w:t>Weighted average shares</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outstanding, basic and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5,171,537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46,541,250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35,388,875</w:t>
            </w: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Arial" w:cs="Arial" w:eastAsia="Arial" w:hAnsi="Arial"/>
                <w:sz w:val="16"/>
                <w:szCs w:val="16"/>
                <w:color w:val="auto"/>
              </w:rPr>
              <w:t>Basic and diluted net</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180"/>
              <w:spacing w:after="0"/>
              <w:rPr>
                <w:sz w:val="20"/>
                <w:szCs w:val="20"/>
                <w:color w:val="auto"/>
              </w:rPr>
            </w:pPr>
            <w:r>
              <w:rPr>
                <w:rFonts w:ascii="Arial" w:cs="Arial" w:eastAsia="Arial" w:hAnsi="Arial"/>
                <w:sz w:val="16"/>
                <w:szCs w:val="16"/>
                <w:color w:val="auto"/>
              </w:rPr>
              <w:t>loss per share</w:t>
            </w:r>
          </w:p>
        </w:tc>
        <w:tc>
          <w:tcPr>
            <w:tcW w:w="540" w:type="dxa"/>
            <w:vAlign w:val="bottom"/>
          </w:tcPr>
          <w:p>
            <w:pPr>
              <w:spacing w:after="0"/>
              <w:rPr>
                <w:sz w:val="17"/>
                <w:szCs w:val="17"/>
                <w:color w:val="auto"/>
              </w:rPr>
            </w:pPr>
          </w:p>
        </w:tc>
        <w:tc>
          <w:tcPr>
            <w:tcW w:w="340" w:type="dxa"/>
            <w:vAlign w:val="bottom"/>
            <w:gridSpan w:val="3"/>
          </w:tcPr>
          <w:p>
            <w:pPr>
              <w:ind w:left="240"/>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ind w:left="120"/>
              <w:spacing w:after="0"/>
              <w:rPr>
                <w:sz w:val="20"/>
                <w:szCs w:val="20"/>
                <w:color w:val="auto"/>
              </w:rPr>
            </w:pPr>
            <w:r>
              <w:rPr>
                <w:rFonts w:ascii="Arial" w:cs="Arial" w:eastAsia="Arial" w:hAnsi="Arial"/>
                <w:sz w:val="16"/>
                <w:szCs w:val="16"/>
                <w:color w:val="auto"/>
              </w:rPr>
              <w:t>(f)</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(f)</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the Business Combination</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October 15, 2020, FS Development entered into the Merger Agreement with Merger Sub and Gemini, pursuant to which Merger Sub will merge with and into Gemini, with Gemini as the surviving company in the Merger and, after giving effect to such Merger, Gemini shall be a wholly-owned subsidiary of FS Development. Upon the closing of the Business Combination, it is anticipated that FS Development will change its name to “Gemini Therapeutics, Inc.”.</w:t>
      </w:r>
    </w:p>
    <w:p>
      <w:pPr>
        <w:spacing w:after="0" w:line="12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Subject to the terms and conditions of the Merger Agreement, the consideration to be received by the Gemini Equityholders in connection with the Business Combination will be an aggregate number of shares of Combined Entity common stock equal to (i) $215.0 million, divided by (ii) $10.00. In addition, immediately after the completion of the Business Combination, certain investors have agreed to subscribe for and purchase an aggregate of $95,060,000 of common stock of Combined Entity (the “PIPE Investment”).</w:t>
      </w:r>
    </w:p>
    <w:p>
      <w:pPr>
        <w:spacing w:after="0" w:line="10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represents the aggregate merger consideration under the no redemption and maximum redemption scenarios: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ind w:left="260"/>
              <w:spacing w:after="0"/>
              <w:rPr>
                <w:sz w:val="20"/>
                <w:szCs w:val="20"/>
                <w:color w:val="auto"/>
              </w:rPr>
            </w:pPr>
            <w:r>
              <w:rPr>
                <w:rFonts w:ascii="Arial" w:cs="Arial" w:eastAsia="Arial" w:hAnsi="Arial"/>
                <w:sz w:val="16"/>
                <w:szCs w:val="16"/>
                <w:b w:val="1"/>
                <w:bCs w:val="1"/>
                <w:color w:val="auto"/>
              </w:rPr>
              <w:t>No Redemption and</w:t>
            </w:r>
          </w:p>
        </w:tc>
      </w:tr>
      <w:tr>
        <w:trPr>
          <w:trHeight w:val="210"/>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Arial" w:cs="Arial" w:eastAsia="Arial" w:hAnsi="Arial"/>
                <w:sz w:val="16"/>
                <w:szCs w:val="16"/>
                <w:b w:val="1"/>
                <w:bCs w:val="1"/>
                <w:color w:val="auto"/>
              </w:rPr>
              <w:t>Maximum Redemption</w:t>
            </w: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Purchase price</w:t>
            </w:r>
          </w:p>
        </w:tc>
        <w:tc>
          <w:tcPr>
            <w:tcW w:w="1260" w:type="dxa"/>
            <w:vAlign w:val="bottom"/>
          </w:tcPr>
          <w:p>
            <w:pPr>
              <w:jc w:val="right"/>
              <w:ind w:right="75"/>
              <w:spacing w:after="0"/>
              <w:rPr>
                <w:sz w:val="20"/>
                <w:szCs w:val="20"/>
                <w:color w:val="auto"/>
              </w:rPr>
            </w:pPr>
            <w:r>
              <w:rPr>
                <w:rFonts w:ascii="Arial" w:cs="Arial" w:eastAsia="Arial" w:hAnsi="Arial"/>
                <w:sz w:val="16"/>
                <w:szCs w:val="16"/>
                <w:b w:val="1"/>
                <w:bCs w:val="1"/>
                <w:color w:val="auto"/>
                <w:w w:val="99"/>
              </w:rPr>
              <w:t>Shares Issued</w:t>
            </w:r>
          </w:p>
        </w:tc>
      </w:tr>
      <w:tr>
        <w:trPr>
          <w:trHeight w:val="46"/>
        </w:trPr>
        <w:tc>
          <w:tcPr>
            <w:tcW w:w="5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Share consideration to Gemini</w:t>
            </w:r>
            <w:r>
              <w:rPr>
                <w:rFonts w:ascii="Arial" w:cs="Arial" w:eastAsia="Arial" w:hAnsi="Arial"/>
                <w:sz w:val="20"/>
                <w:szCs w:val="20"/>
                <w:color w:val="auto"/>
                <w:vertAlign w:val="superscript"/>
              </w:rPr>
              <w:t>(a)(b)</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215,000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880" w:right="459" w:hanging="426"/>
        <w:spacing w:after="0" w:line="264" w:lineRule="auto"/>
        <w:tabs>
          <w:tab w:leader="none" w:pos="89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value of common stock issued to Gemini included in the consideration is reflected at $10 per share as defined in the Merger Agreement.</w:t>
      </w:r>
    </w:p>
    <w:p>
      <w:pPr>
        <w:jc w:val="both"/>
        <w:ind w:left="880" w:right="479" w:hanging="426"/>
        <w:spacing w:after="0" w:line="272" w:lineRule="auto"/>
        <w:tabs>
          <w:tab w:leader="none" w:pos="101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total of up to 21.5 million consideration shares include 19.3 million shares to be issued for all issued and outstanding Gemini common and preferred stock plus 2.2 million shares underlying unvested, unissued, and/or unexercised stock options and warrants, determined as described in more detail under the heading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Proposal — Acquisition of Gemini; Merger Consideration.</w:t>
      </w:r>
      <w:r>
        <w:rPr>
          <w:rFonts w:ascii="Arial" w:cs="Arial" w:eastAsia="Arial" w:hAnsi="Arial"/>
          <w:sz w:val="16"/>
          <w:szCs w:val="16"/>
          <w:color w:val="auto"/>
        </w:rPr>
        <w:t>”</w:t>
      </w:r>
    </w:p>
    <w:p>
      <w:pPr>
        <w:spacing w:after="0" w:line="11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As of the date of the signing of the Merger Agreement, the conversion ratio was 10.00. The closing conversion ratio will be calculated in accordance with the methodology and procedures set forth in the Merger Agreement, and FS Development will file with the SEC a Current Report on Form 8-K announcing the final conversion ratio no later than four business days prior to the special meeting of its stockholders.</w:t>
      </w:r>
    </w:p>
    <w:p>
      <w:pPr>
        <w:spacing w:after="0" w:line="9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following summarizes the unaudited pro form common stock shares outstanding under the no redemption and maximum redemption scenarios: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600" w:type="dxa"/>
            <w:vAlign w:val="bottom"/>
            <w:gridSpan w:val="3"/>
          </w:tcPr>
          <w:p>
            <w:pPr>
              <w:jc w:val="center"/>
              <w:ind w:left="512"/>
              <w:spacing w:after="0"/>
              <w:rPr>
                <w:sz w:val="20"/>
                <w:szCs w:val="20"/>
                <w:color w:val="auto"/>
              </w:rPr>
            </w:pPr>
            <w:r>
              <w:rPr>
                <w:rFonts w:ascii="Arial" w:cs="Arial" w:eastAsia="Arial" w:hAnsi="Arial"/>
                <w:sz w:val="16"/>
                <w:szCs w:val="16"/>
                <w:b w:val="1"/>
                <w:bCs w:val="1"/>
                <w:color w:val="auto"/>
                <w:w w:val="89"/>
              </w:rPr>
              <w:t>Assuming No</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4"/>
          </w:tcPr>
          <w:p>
            <w:pPr>
              <w:ind w:left="900"/>
              <w:spacing w:after="0"/>
              <w:rPr>
                <w:sz w:val="20"/>
                <w:szCs w:val="20"/>
                <w:color w:val="auto"/>
              </w:rPr>
            </w:pPr>
            <w:r>
              <w:rPr>
                <w:rFonts w:ascii="Arial" w:cs="Arial" w:eastAsia="Arial" w:hAnsi="Arial"/>
                <w:sz w:val="16"/>
                <w:szCs w:val="16"/>
                <w:b w:val="1"/>
                <w:bCs w:val="1"/>
                <w:color w:val="auto"/>
              </w:rPr>
              <w:t>Assuming</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240" w:type="dxa"/>
            <w:vAlign w:val="bottom"/>
          </w:tcPr>
          <w:p>
            <w:pPr>
              <w:spacing w:after="0"/>
              <w:rPr>
                <w:sz w:val="18"/>
                <w:szCs w:val="18"/>
                <w:color w:val="auto"/>
              </w:rPr>
            </w:pPr>
          </w:p>
        </w:tc>
        <w:tc>
          <w:tcPr>
            <w:tcW w:w="1600" w:type="dxa"/>
            <w:vAlign w:val="bottom"/>
            <w:gridSpan w:val="3"/>
          </w:tcPr>
          <w:p>
            <w:pPr>
              <w:jc w:val="center"/>
              <w:ind w:left="552"/>
              <w:spacing w:after="0"/>
              <w:rPr>
                <w:sz w:val="20"/>
                <w:szCs w:val="20"/>
                <w:color w:val="auto"/>
              </w:rPr>
            </w:pPr>
            <w:r>
              <w:rPr>
                <w:rFonts w:ascii="Arial" w:cs="Arial" w:eastAsia="Arial" w:hAnsi="Arial"/>
                <w:sz w:val="16"/>
                <w:szCs w:val="16"/>
                <w:b w:val="1"/>
                <w:bCs w:val="1"/>
                <w:color w:val="auto"/>
                <w:w w:val="90"/>
              </w:rPr>
              <w:t>Redemption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rPr>
              <w:t>Maximum Redemption</w:t>
            </w:r>
          </w:p>
        </w:tc>
      </w:tr>
      <w:tr>
        <w:trPr>
          <w:trHeight w:val="47"/>
        </w:trPr>
        <w:tc>
          <w:tcPr>
            <w:tcW w:w="3240" w:type="dxa"/>
            <w:vAlign w:val="bottom"/>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gridSpan w:val="3"/>
          </w:tcPr>
          <w:p>
            <w:pPr>
              <w:ind w:left="320"/>
              <w:spacing w:after="0"/>
              <w:rPr>
                <w:sz w:val="20"/>
                <w:szCs w:val="20"/>
                <w:color w:val="auto"/>
              </w:rPr>
            </w:pPr>
            <w:r>
              <w:rPr>
                <w:rFonts w:ascii="Arial" w:cs="Arial" w:eastAsia="Arial" w:hAnsi="Arial"/>
                <w:sz w:val="16"/>
                <w:szCs w:val="16"/>
                <w:b w:val="1"/>
                <w:bCs w:val="1"/>
                <w:color w:val="auto"/>
              </w:rPr>
              <w:t>Shares</w:t>
            </w:r>
          </w:p>
        </w:tc>
        <w:tc>
          <w:tcPr>
            <w:tcW w:w="440" w:type="dxa"/>
            <w:vAlign w:val="bottom"/>
          </w:tcPr>
          <w:p>
            <w:pPr>
              <w:jc w:val="right"/>
              <w:ind w:right="15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ind w:left="340"/>
              <w:spacing w:after="0"/>
              <w:rPr>
                <w:sz w:val="20"/>
                <w:szCs w:val="20"/>
                <w:color w:val="auto"/>
              </w:rPr>
            </w:pPr>
            <w:r>
              <w:rPr>
                <w:rFonts w:ascii="Arial" w:cs="Arial" w:eastAsia="Arial" w:hAnsi="Arial"/>
                <w:sz w:val="16"/>
                <w:szCs w:val="16"/>
                <w:b w:val="1"/>
                <w:bCs w:val="1"/>
                <w:color w:val="auto"/>
              </w:rPr>
              <w:t>Shares</w:t>
            </w:r>
          </w:p>
        </w:tc>
        <w:tc>
          <w:tcPr>
            <w:tcW w:w="64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r>
      <w:tr>
        <w:trPr>
          <w:trHeight w:val="47"/>
        </w:trPr>
        <w:tc>
          <w:tcPr>
            <w:tcW w:w="3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FS Development public stockholders</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86"/>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FS Development Sponsor</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3,460,250</w:t>
            </w:r>
          </w:p>
        </w:tc>
        <w:tc>
          <w:tcPr>
            <w:tcW w:w="38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3,460,250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7"/>
        </w:trPr>
        <w:tc>
          <w:tcPr>
            <w:tcW w:w="3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FS Development</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86"/>
              </w:rPr>
              <w:t>15,535,250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4,382,875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283"/>
        </w:trPr>
        <w:tc>
          <w:tcPr>
            <w:tcW w:w="3240" w:type="dxa"/>
            <w:vAlign w:val="bottom"/>
          </w:tcPr>
          <w:p>
            <w:pPr>
              <w:spacing w:after="0"/>
              <w:rPr>
                <w:sz w:val="20"/>
                <w:szCs w:val="20"/>
                <w:color w:val="auto"/>
              </w:rPr>
            </w:pPr>
            <w:r>
              <w:rPr>
                <w:rFonts w:ascii="Arial" w:cs="Arial" w:eastAsia="Arial" w:hAnsi="Arial"/>
                <w:sz w:val="18"/>
                <w:szCs w:val="18"/>
                <w:color w:val="auto"/>
              </w:rPr>
              <w:t>Gemini</w:t>
            </w:r>
            <w:r>
              <w:rPr>
                <w:rFonts w:ascii="Arial" w:cs="Arial" w:eastAsia="Arial" w:hAnsi="Arial"/>
                <w:sz w:val="20"/>
                <w:szCs w:val="20"/>
                <w:color w:val="auto"/>
                <w:vertAlign w:val="superscript"/>
              </w:rPr>
              <w:t>(A)</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19,282,221</w:t>
            </w:r>
          </w:p>
        </w:tc>
        <w:tc>
          <w:tcPr>
            <w:tcW w:w="3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19,282,221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r>
      <w:tr>
        <w:trPr>
          <w:trHeight w:val="28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Shares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9,506,000</w:t>
            </w:r>
          </w:p>
        </w:tc>
        <w:tc>
          <w:tcPr>
            <w:tcW w:w="3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9,506,000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r>
      <w:tr>
        <w:trPr>
          <w:trHeight w:val="178"/>
        </w:trPr>
        <w:tc>
          <w:tcPr>
            <w:tcW w:w="3240" w:type="dxa"/>
            <w:vAlign w:val="bottom"/>
          </w:tcPr>
          <w:p>
            <w:pPr>
              <w:spacing w:after="0" w:line="177" w:lineRule="exact"/>
              <w:rPr>
                <w:sz w:val="20"/>
                <w:szCs w:val="20"/>
                <w:color w:val="auto"/>
              </w:rPr>
            </w:pPr>
            <w:r>
              <w:rPr>
                <w:rFonts w:ascii="Arial" w:cs="Arial" w:eastAsia="Arial" w:hAnsi="Arial"/>
                <w:sz w:val="18"/>
                <w:szCs w:val="18"/>
                <w:b w:val="1"/>
                <w:bCs w:val="1"/>
                <w:color w:val="auto"/>
              </w:rPr>
              <w:t>Total Shares at Closing (excluding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34"/>
        </w:trPr>
        <w:tc>
          <w:tcPr>
            <w:tcW w:w="3240" w:type="dxa"/>
            <w:vAlign w:val="bottom"/>
          </w:tcPr>
          <w:p>
            <w:pPr>
              <w:ind w:left="180"/>
              <w:spacing w:after="0"/>
              <w:rPr>
                <w:sz w:val="20"/>
                <w:szCs w:val="20"/>
                <w:color w:val="auto"/>
              </w:rPr>
            </w:pPr>
            <w:r>
              <w:rPr>
                <w:rFonts w:ascii="Arial" w:cs="Arial" w:eastAsia="Arial" w:hAnsi="Arial"/>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44,323,471</w:t>
            </w:r>
          </w:p>
        </w:tc>
        <w:tc>
          <w:tcPr>
            <w:tcW w:w="3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33,171,096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40"/>
        </w:trPr>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4"/>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3"/>
              </w:rPr>
              <w:t>Gemini-Remaining Consideration Shares</w:t>
            </w:r>
            <w:r>
              <w:rPr>
                <w:rFonts w:ascii="Arial" w:cs="Arial" w:eastAsia="Arial" w:hAnsi="Arial"/>
                <w:sz w:val="20"/>
                <w:szCs w:val="20"/>
                <w:color w:val="auto"/>
                <w:w w:val="93"/>
                <w:vertAlign w:val="superscript"/>
              </w:rPr>
              <w:t>(A)</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2,217,779</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2,217,779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78"/>
        </w:trPr>
        <w:tc>
          <w:tcPr>
            <w:tcW w:w="3240" w:type="dxa"/>
            <w:vAlign w:val="bottom"/>
          </w:tcPr>
          <w:p>
            <w:pPr>
              <w:spacing w:after="0" w:line="177" w:lineRule="exact"/>
              <w:rPr>
                <w:sz w:val="20"/>
                <w:szCs w:val="20"/>
                <w:color w:val="auto"/>
              </w:rPr>
            </w:pPr>
            <w:r>
              <w:rPr>
                <w:rFonts w:ascii="Arial" w:cs="Arial" w:eastAsia="Arial" w:hAnsi="Arial"/>
                <w:sz w:val="18"/>
                <w:szCs w:val="18"/>
                <w:b w:val="1"/>
                <w:bCs w:val="1"/>
                <w:color w:val="auto"/>
              </w:rPr>
              <w:t>Total Shares at Closing (including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5"/>
        </w:trPr>
        <w:tc>
          <w:tcPr>
            <w:tcW w:w="3240" w:type="dxa"/>
            <w:vAlign w:val="bottom"/>
          </w:tcPr>
          <w:p>
            <w:pPr>
              <w:ind w:left="180"/>
              <w:spacing w:after="0"/>
              <w:rPr>
                <w:sz w:val="20"/>
                <w:szCs w:val="20"/>
                <w:color w:val="auto"/>
              </w:rPr>
            </w:pPr>
            <w:r>
              <w:rPr>
                <w:rFonts w:ascii="Arial" w:cs="Arial" w:eastAsia="Arial" w:hAnsi="Arial"/>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46,541,250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35,388,875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
        </w:trPr>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jc w:val="both"/>
        <w:ind w:left="880" w:right="459" w:hanging="426"/>
        <w:spacing w:after="0" w:line="290" w:lineRule="auto"/>
        <w:tabs>
          <w:tab w:leader="none" w:pos="92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Total consideration to be issued to Gemini is up to $215.0 million or 21.5 million shares ($10 per share price). The total shares to be issued includes Gemini common and preferred stock plus shares underlying unvested stock options. Accordingly, the consideration shares outstanding at the closing of the Business Combination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Arial" w:cs="Arial" w:eastAsia="Arial" w:hAnsi="Arial"/>
          <w:sz w:val="15"/>
          <w:szCs w:val="15"/>
          <w:i w:val="1"/>
          <w:iCs w:val="1"/>
          <w:color w:val="auto"/>
        </w:rPr>
        <w:t>The Business Combination Proposal — Acquisition of Gemini; Merger Consideration</w:t>
      </w:r>
      <w:r>
        <w:rPr>
          <w:rFonts w:ascii="Arial" w:cs="Arial" w:eastAsia="Arial" w:hAnsi="Arial"/>
          <w:sz w:val="15"/>
          <w:szCs w:val="15"/>
          <w:color w:val="auto"/>
        </w:rPr>
        <w:t>”</w:t>
      </w:r>
    </w:p>
    <w:p>
      <w:pPr>
        <w:sectPr>
          <w:pgSz w:w="11900" w:h="16838" w:orient="portrait"/>
          <w:cols w:equalWidth="0" w:num="1">
            <w:col w:w="9019"/>
          </w:cols>
          <w:pgMar w:left="1440" w:top="274"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Basis of Presentation</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historical financial information of FS Development and Gemini has been adjusted in the unaudited pro forma combined financial information to give effect to events that are (1) directly attributable to the Business Combination and the PIPE Investment, (2) factually supportable, and (3) with respect to the statements of operations, expected to have a continuing impact on the combined results. The pro forma adjustments are prepared to illustrate the estimated effect of the Business Combination and the PIPE Investment and certain other adjustments. The balance sheet of FS Development as of June 30, 2020 is adjusted to reflect proceeds of FS Development’s IPO as if it took place on June 30, 2020, based on the audited balance sheet of FS Development as of August 14, 2020 (see Note 3).</w:t>
      </w:r>
    </w:p>
    <w:p>
      <w:pPr>
        <w:spacing w:after="0" w:line="111"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 xml:space="preserve">The Business Combination will be accounted for as a reverse recapitalization because Gemini has been determined to be the accounting acquirer under Financial Accounting Standards Board’s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under both the no redemption and maximum redemption scenarios. The determination is primarily based on the evaluation of the following facts and circumstances taking into consideration both the no redemption and maximum redemption scenarios:</w:t>
      </w:r>
    </w:p>
    <w:p>
      <w:pPr>
        <w:spacing w:after="0" w:line="94" w:lineRule="exact"/>
        <w:rPr>
          <w:sz w:val="20"/>
          <w:szCs w:val="20"/>
          <w:color w:val="auto"/>
        </w:rPr>
      </w:pPr>
    </w:p>
    <w:p>
      <w:pPr>
        <w:ind w:left="1320" w:right="479" w:hanging="434"/>
        <w:spacing w:after="0" w:line="277" w:lineRule="auto"/>
        <w:tabs>
          <w:tab w:leader="none" w:pos="135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pre-combination equity holders of Gemini will hold the majority of voting rights in Combined Entity;</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pre-combination equity holders of Gemini will have the right to appoint the majority of the directors on the Combined Entity Board;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Senior management of Gemini will comprise the senior management of Combined Entity;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Operations of Gemini will comprise the ongoing operations of Combined Entity.</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Under the reverse recapitalization model, the Business Combination will be treated as Gemini issuing equity for the net assets of FS Development, with no goodwill or intangible assets recorded.</w:t>
      </w:r>
    </w:p>
    <w:p>
      <w:pPr>
        <w:spacing w:after="0" w:line="103"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unaudited pro forma combined financial information has been prepared using the assumptions below with respect to the potential redemption of Public Shares into cash:</w:t>
      </w:r>
    </w:p>
    <w:p>
      <w:pPr>
        <w:spacing w:after="0" w:line="45" w:lineRule="exact"/>
        <w:rPr>
          <w:sz w:val="20"/>
          <w:szCs w:val="20"/>
          <w:color w:val="auto"/>
        </w:rPr>
      </w:pPr>
    </w:p>
    <w:p>
      <w:pPr>
        <w:ind w:left="1320" w:right="479" w:hanging="434"/>
        <w:spacing w:after="0" w:line="282" w:lineRule="auto"/>
        <w:tabs>
          <w:tab w:leader="none" w:pos="1419"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Assuming No Redemptions</w:t>
      </w:r>
      <w:r>
        <w:rPr>
          <w:rFonts w:ascii="Arial" w:cs="Arial" w:eastAsia="Arial" w:hAnsi="Arial"/>
          <w:sz w:val="18"/>
          <w:szCs w:val="18"/>
          <w:color w:val="auto"/>
        </w:rPr>
        <w:t>: This presentation assumes that no FS Development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redemption rights with respect to their Public Shares; and</w:t>
      </w:r>
    </w:p>
    <w:p>
      <w:pPr>
        <w:spacing w:after="0" w:line="26" w:lineRule="exact"/>
        <w:rPr>
          <w:rFonts w:ascii="Arial" w:cs="Arial" w:eastAsia="Arial" w:hAnsi="Arial"/>
          <w:sz w:val="18"/>
          <w:szCs w:val="18"/>
          <w:color w:val="auto"/>
        </w:rPr>
      </w:pPr>
    </w:p>
    <w:p>
      <w:pPr>
        <w:jc w:val="both"/>
        <w:ind w:left="1320" w:right="459" w:hanging="434"/>
        <w:spacing w:after="0" w:line="294" w:lineRule="auto"/>
        <w:tabs>
          <w:tab w:leader="none" w:pos="1446"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Assuming Maximum Redemptions</w:t>
      </w:r>
      <w:r>
        <w:rPr>
          <w:rFonts w:ascii="Arial" w:cs="Arial" w:eastAsia="Arial" w:hAnsi="Arial"/>
          <w:sz w:val="16"/>
          <w:szCs w:val="16"/>
          <w:color w:val="auto"/>
        </w:rPr>
        <w:t>: This presentation assumes that all of FS Development’s</w:t>
      </w:r>
      <w:r>
        <w:rPr>
          <w:rFonts w:ascii="Arial" w:cs="Arial" w:eastAsia="Arial" w:hAnsi="Arial"/>
          <w:sz w:val="16"/>
          <w:szCs w:val="16"/>
          <w:b w:val="1"/>
          <w:bCs w:val="1"/>
          <w:color w:val="auto"/>
        </w:rPr>
        <w:t xml:space="preserve"> </w:t>
      </w:r>
      <w:r>
        <w:rPr>
          <w:rFonts w:ascii="Arial" w:cs="Arial" w:eastAsia="Arial" w:hAnsi="Arial"/>
          <w:sz w:val="16"/>
          <w:szCs w:val="16"/>
          <w:color w:val="auto"/>
        </w:rPr>
        <w:t>public stockholders exercise redemption rights with respect to their Public Shares. This scenario assumes that 11,152,375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4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combined financial information will be different.</w:t>
      </w:r>
    </w:p>
    <w:p>
      <w:pPr>
        <w:spacing w:after="0" w:line="49"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Combined Entity expects to enter into new equity awards with its employees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52"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The unaudited pro forma combined financial information do not reflect the income tax effects of the pro forma adjustments as any change in the deferred tax balance would be offset by an increase in the valuation allowance given the Gemini incurred significant losses during the historical periods presented.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Adjusted Balance Sheet of FS Development</w:t>
      </w:r>
    </w:p>
    <w:p>
      <w:pPr>
        <w:spacing w:after="0" w:line="10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following table provides the adjusted balance sheet of FS Development as of June 30, 2020 as if the FS Development IPO took place on June 30, 2020.</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6"/>
                <w:szCs w:val="16"/>
                <w:b w:val="1"/>
                <w:bCs w:val="1"/>
                <w:color w:val="auto"/>
              </w:rPr>
              <w:t>FSDC</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FSDC</w:t>
            </w:r>
          </w:p>
        </w:tc>
      </w:tr>
      <w:tr>
        <w:trPr>
          <w:trHeight w:val="210"/>
        </w:trPr>
        <w:tc>
          <w:tcPr>
            <w:tcW w:w="40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920" w:type="dxa"/>
            <w:vAlign w:val="bottom"/>
            <w:gridSpan w:val="4"/>
          </w:tcPr>
          <w:p>
            <w:pPr>
              <w:ind w:left="20"/>
              <w:spacing w:after="0"/>
              <w:rPr>
                <w:sz w:val="20"/>
                <w:szCs w:val="20"/>
                <w:color w:val="auto"/>
              </w:rPr>
            </w:pPr>
            <w:r>
              <w:rPr>
                <w:rFonts w:ascii="Arial" w:cs="Arial" w:eastAsia="Arial" w:hAnsi="Arial"/>
                <w:sz w:val="16"/>
                <w:szCs w:val="16"/>
                <w:b w:val="1"/>
                <w:bCs w:val="1"/>
                <w:color w:val="auto"/>
              </w:rPr>
              <w:t>(Historical)</w:t>
            </w:r>
          </w:p>
        </w:tc>
        <w:tc>
          <w:tcPr>
            <w:tcW w:w="980" w:type="dxa"/>
            <w:vAlign w:val="bottom"/>
            <w:gridSpan w:val="4"/>
          </w:tcPr>
          <w:p>
            <w:pPr>
              <w:spacing w:after="0"/>
              <w:rPr>
                <w:sz w:val="20"/>
                <w:szCs w:val="20"/>
                <w:color w:val="auto"/>
              </w:rPr>
            </w:pPr>
            <w:r>
              <w:rPr>
                <w:rFonts w:ascii="Arial" w:cs="Arial" w:eastAsia="Arial" w:hAnsi="Arial"/>
                <w:sz w:val="16"/>
                <w:szCs w:val="16"/>
                <w:b w:val="1"/>
                <w:bCs w:val="1"/>
                <w:color w:val="auto"/>
                <w:w w:val="99"/>
              </w:rPr>
              <w:t>Adjustments</w:t>
            </w:r>
          </w:p>
        </w:tc>
        <w:tc>
          <w:tcPr>
            <w:tcW w:w="1240" w:type="dxa"/>
            <w:vAlign w:val="bottom"/>
            <w:gridSpan w:val="2"/>
          </w:tcPr>
          <w:p>
            <w:pPr>
              <w:ind w:left="360"/>
              <w:spacing w:after="0"/>
              <w:rPr>
                <w:sz w:val="20"/>
                <w:szCs w:val="20"/>
                <w:color w:val="auto"/>
              </w:rPr>
            </w:pPr>
            <w:r>
              <w:rPr>
                <w:rFonts w:ascii="Arial" w:cs="Arial" w:eastAsia="Arial" w:hAnsi="Arial"/>
                <w:sz w:val="16"/>
                <w:szCs w:val="16"/>
                <w:b w:val="1"/>
                <w:bCs w:val="1"/>
                <w:color w:val="auto"/>
              </w:rPr>
              <w:t>Note 3</w:t>
            </w: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0"/>
              </w:rPr>
              <w:t>(Adjusted)</w:t>
            </w:r>
          </w:p>
        </w:tc>
      </w:tr>
      <w:tr>
        <w:trPr>
          <w:trHeight w:val="47"/>
        </w:trPr>
        <w:tc>
          <w:tcPr>
            <w:tcW w:w="40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1,585</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 (2)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6"/>
        </w:trPr>
        <w:tc>
          <w:tcPr>
            <w:tcW w:w="40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57"/>
        </w:trPr>
        <w:tc>
          <w:tcPr>
            <w:tcW w:w="4040" w:type="dxa"/>
            <w:vAlign w:val="bottom"/>
          </w:tcPr>
          <w:p>
            <w:pPr>
              <w:spacing w:after="0"/>
              <w:rPr>
                <w:sz w:val="20"/>
                <w:szCs w:val="20"/>
                <w:color w:val="auto"/>
              </w:rPr>
            </w:pPr>
            <w:r>
              <w:rPr>
                <w:rFonts w:ascii="Arial" w:cs="Arial" w:eastAsia="Arial" w:hAnsi="Arial"/>
                <w:sz w:val="18"/>
                <w:szCs w:val="18"/>
                <w:color w:val="auto"/>
              </w:rPr>
              <w:t>Cash held in Trust Account</w:t>
            </w:r>
          </w:p>
        </w:tc>
        <w:tc>
          <w:tcPr>
            <w:tcW w:w="14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120,750</w:t>
            </w:r>
          </w:p>
        </w:tc>
        <w:tc>
          <w:tcPr>
            <w:tcW w:w="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120,750</w:t>
            </w:r>
          </w:p>
        </w:tc>
        <w:tc>
          <w:tcPr>
            <w:tcW w:w="140" w:type="dxa"/>
            <w:vAlign w:val="bottom"/>
          </w:tcPr>
          <w:p>
            <w:pPr>
              <w:spacing w:after="0"/>
              <w:rPr>
                <w:sz w:val="22"/>
                <w:szCs w:val="22"/>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2"/>
              </w:rPr>
              <w:t>122,282</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122,360</w:t>
            </w:r>
          </w:p>
        </w:tc>
        <w:tc>
          <w:tcPr>
            <w:tcW w:w="140" w:type="dxa"/>
            <w:vAlign w:val="bottom"/>
            <w:shd w:val="clear" w:color="auto" w:fill="CCEEFF"/>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1"/>
        </w:trPr>
        <w:tc>
          <w:tcPr>
            <w:tcW w:w="4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4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8"/>
        </w:trPr>
        <w:tc>
          <w:tcPr>
            <w:tcW w:w="4040" w:type="dxa"/>
            <w:vAlign w:val="bottom"/>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
        </w:trPr>
        <w:tc>
          <w:tcPr>
            <w:tcW w:w="4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4,226</w:t>
            </w: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40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4,281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4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Class A common stock, subject to possible redemption</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113,054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113,054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83"/>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4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common stock</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140" w:type="dxa"/>
            <w:vAlign w:val="bottom"/>
          </w:tcPr>
          <w:p>
            <w:pPr>
              <w:spacing w:after="0"/>
              <w:rPr>
                <w:sz w:val="21"/>
                <w:szCs w:val="2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4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5,002</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 (2), (3), (4)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0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4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5,002</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5,025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040" w:type="dxa"/>
            <w:vAlign w:val="bottom"/>
          </w:tcPr>
          <w:p>
            <w:pPr>
              <w:ind w:left="36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122,282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122,360</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jc w:val="both"/>
        <w:ind w:left="880" w:right="459" w:hanging="426"/>
        <w:spacing w:after="0" w:line="281" w:lineRule="auto"/>
        <w:tabs>
          <w:tab w:leader="none" w:pos="93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Represents the Private Placement of 441,500 shares acquired by the Sponsor simultaneously with the closing of the FS Development IPO for gross proceeds of $4.4 million reflected as an increase in cash, and an increase in FS Development Class A Common Stock par value and additional paid-in capital of $44 and $4.4 million, respectively.</w:t>
      </w:r>
    </w:p>
    <w:p>
      <w:pPr>
        <w:spacing w:after="0" w:line="1" w:lineRule="exact"/>
        <w:rPr>
          <w:rFonts w:ascii="Arial" w:cs="Arial" w:eastAsia="Arial" w:hAnsi="Arial"/>
          <w:sz w:val="15"/>
          <w:szCs w:val="15"/>
          <w:color w:val="auto"/>
        </w:rPr>
      </w:pPr>
    </w:p>
    <w:p>
      <w:pPr>
        <w:jc w:val="both"/>
        <w:ind w:left="880" w:right="459" w:hanging="426"/>
        <w:spacing w:after="0" w:line="264" w:lineRule="auto"/>
        <w:tabs>
          <w:tab w:leader="none" w:pos="94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Represents payment of offering costs associated with the FS Development IPO of $2.9 million, excluding deferred underwriting commissions of $4.2 million. This is reflected as decrease in cash and prepaid expenses, and decrease in additional paid-in capital.</w:t>
      </w:r>
    </w:p>
    <w:p>
      <w:pPr>
        <w:jc w:val="both"/>
        <w:ind w:left="880" w:right="459" w:hanging="426"/>
        <w:spacing w:after="0" w:line="264" w:lineRule="auto"/>
        <w:tabs>
          <w:tab w:leader="none" w:pos="106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Represents issuance of 12,075,000 shares of FS Development Class A Common Stock for gross proceeds of $120.8 million, including $113.1 million related to 11,305,377 shares of FS Development Class A Common Stock which are subject to possible redemption recognized in temporary equity. Remaining proceeds of $7.7 million are reflected as increase in additional paid-in capital.</w:t>
      </w:r>
    </w:p>
    <w:p>
      <w:pPr>
        <w:ind w:left="880" w:right="479" w:hanging="426"/>
        <w:spacing w:after="0" w:line="288" w:lineRule="auto"/>
        <w:tabs>
          <w:tab w:leader="none" w:pos="90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Represents accrual of deferred FS Development IPO underwriting commissions of $4.2 million reflected as decrease in additional paid-in capital.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Pro Forma Adjustments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Adjustments to the Unaudited Pro Forma Combined Balance Sheet as of June 30, 2020</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pro forma adjustments included in the unaudited pro forma combined balance sheet as of June 30, 2020 are as follows:</w:t>
      </w:r>
    </w:p>
    <w:p>
      <w:pPr>
        <w:spacing w:after="0" w:line="103" w:lineRule="exact"/>
        <w:rPr>
          <w:sz w:val="20"/>
          <w:szCs w:val="20"/>
          <w:color w:val="auto"/>
        </w:rPr>
      </w:pPr>
    </w:p>
    <w:p>
      <w:pPr>
        <w:ind w:left="1320" w:right="459" w:hanging="434"/>
        <w:spacing w:after="0" w:line="277" w:lineRule="auto"/>
        <w:tabs>
          <w:tab w:leader="none" w:pos="1443" w:val="left"/>
        </w:tabs>
        <w:numPr>
          <w:ilvl w:val="0"/>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Represents the impact of the Business Combination and PIPE Investment on the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Combined Entity.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represents the sources and uses of funds as it relates to the Business Combination:</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3"/>
              </w:rPr>
              <w:t>No redemption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redemption</w:t>
            </w:r>
          </w:p>
        </w:tc>
      </w:tr>
      <w:tr>
        <w:trPr>
          <w:trHeight w:val="210"/>
        </w:trPr>
        <w:tc>
          <w:tcPr>
            <w:tcW w:w="478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Note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scenario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scenario</w:t>
            </w:r>
          </w:p>
        </w:tc>
      </w:tr>
      <w:tr>
        <w:trPr>
          <w:trHeight w:val="47"/>
        </w:trPr>
        <w:tc>
          <w:tcPr>
            <w:tcW w:w="47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FS Development Corp. cash held in Trust Account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120,750</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PIPE – FS Development Sponsor and Directors</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 Gemini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15,600</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Other PIPE Investors</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64,460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64,460</w:t>
            </w:r>
          </w:p>
        </w:tc>
      </w:tr>
      <w:tr>
        <w:trPr>
          <w:trHeight w:val="41"/>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14,000</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Payment of redeeming FS Development Stockholders</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(111,524)</w:t>
            </w: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deferred underwriting commissions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(4,226)</w:t>
            </w:r>
          </w:p>
        </w:tc>
      </w:tr>
      <w:tr>
        <w:trPr>
          <w:trHeight w:val="257"/>
        </w:trPr>
        <w:tc>
          <w:tcPr>
            <w:tcW w:w="4780" w:type="dxa"/>
            <w:vAlign w:val="bottom"/>
          </w:tcPr>
          <w:p>
            <w:pPr>
              <w:spacing w:after="0"/>
              <w:rPr>
                <w:sz w:val="20"/>
                <w:szCs w:val="20"/>
                <w:color w:val="auto"/>
              </w:rPr>
            </w:pPr>
            <w:r>
              <w:rPr>
                <w:rFonts w:ascii="Arial" w:cs="Arial" w:eastAsia="Arial" w:hAnsi="Arial"/>
                <w:sz w:val="18"/>
                <w:szCs w:val="18"/>
                <w:color w:val="auto"/>
              </w:rPr>
              <w:t>Payment of other transaction costs</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(15,224)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(15,224)</w:t>
            </w:r>
          </w:p>
        </w:tc>
      </w:tr>
      <w:tr>
        <w:trPr>
          <w:trHeight w:val="27"/>
        </w:trPr>
        <w:tc>
          <w:tcPr>
            <w:tcW w:w="47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Excess cash to balance sheet from Business Combination</w:t>
            </w:r>
          </w:p>
        </w:tc>
        <w:tc>
          <w:tcPr>
            <w:tcW w:w="7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210,360</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98,836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880" w:right="479" w:hanging="426"/>
        <w:spacing w:after="0" w:line="264" w:lineRule="auto"/>
        <w:tabs>
          <w:tab w:leader="none" w:pos="96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Represents the amount of the restricted investments and cash held in the trust account upon consummation of the Business Combination at Closing.</w:t>
      </w:r>
    </w:p>
    <w:p>
      <w:pPr>
        <w:ind w:left="880" w:right="479" w:hanging="426"/>
        <w:spacing w:after="0" w:line="264" w:lineRule="auto"/>
        <w:tabs>
          <w:tab w:leader="none" w:pos="10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Represents the issuance, in the PIPE Investment, to certain investors of 9,506,000 shares of Combined Entity common stock at a price of $10.00 per share.</w:t>
      </w:r>
    </w:p>
    <w:p>
      <w:pPr>
        <w:jc w:val="both"/>
        <w:ind w:left="880" w:right="479" w:hanging="426"/>
        <w:spacing w:after="0" w:line="264" w:lineRule="auto"/>
        <w:tabs>
          <w:tab w:leader="none" w:pos="89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Represents the amount raised by Gemini in a convertible promissory note offering on August 21, 2020. The principal amount of the promissory notes, plus accrued interest, will convert to Gemini’s Series B Preferred Stock prior to the effective date of the Business Combination.</w:t>
      </w:r>
    </w:p>
    <w:p>
      <w:pPr>
        <w:ind w:left="880" w:right="479" w:hanging="426"/>
        <w:spacing w:after="0" w:line="264" w:lineRule="auto"/>
        <w:tabs>
          <w:tab w:leader="none" w:pos="94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Represents the amount paid to FS Development stockholders who are assumed to exercise redemption rights under the maximum redemption scenario.</w:t>
      </w:r>
    </w:p>
    <w:p>
      <w:pPr>
        <w:ind w:left="880" w:hanging="426"/>
        <w:spacing w:after="0"/>
        <w:tabs>
          <w:tab w:leader="none" w:pos="8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Represents payment of deferred FS Development IPO underwriting commissions by FS Development.</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Represents payment of other Business Combination transaction costs.</w:t>
      </w:r>
    </w:p>
    <w:p>
      <w:pPr>
        <w:spacing w:after="0" w:line="158" w:lineRule="exact"/>
        <w:rPr>
          <w:rFonts w:ascii="Arial" w:cs="Arial" w:eastAsia="Arial" w:hAnsi="Arial"/>
          <w:sz w:val="16"/>
          <w:szCs w:val="16"/>
          <w:color w:val="auto"/>
        </w:rPr>
      </w:pPr>
    </w:p>
    <w:p>
      <w:pPr>
        <w:ind w:left="1300" w:hanging="414"/>
        <w:spacing w:after="0"/>
        <w:tabs>
          <w:tab w:leader="none" w:pos="1300" w:val="left"/>
        </w:tabs>
        <w:numPr>
          <w:ilvl w:val="1"/>
          <w:numId w:val="152"/>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 costs</w:t>
      </w:r>
      <w:r>
        <w:rPr>
          <w:rFonts w:ascii="Arial" w:cs="Arial" w:eastAsia="Arial" w:hAnsi="Arial"/>
          <w:sz w:val="18"/>
          <w:szCs w:val="18"/>
          <w:color w:val="auto"/>
        </w:rPr>
        <w:t>.</w:t>
      </w:r>
    </w:p>
    <w:p>
      <w:pPr>
        <w:spacing w:after="0" w:line="144" w:lineRule="exact"/>
        <w:rPr>
          <w:rFonts w:ascii="Arial" w:cs="Arial" w:eastAsia="Arial" w:hAnsi="Arial"/>
          <w:sz w:val="18"/>
          <w:szCs w:val="18"/>
          <w:i w:val="1"/>
          <w:iCs w:val="1"/>
          <w:color w:val="auto"/>
        </w:rPr>
      </w:pPr>
    </w:p>
    <w:p>
      <w:pPr>
        <w:jc w:val="both"/>
        <w:ind w:left="1760" w:right="479" w:hanging="442"/>
        <w:spacing w:after="0" w:line="259" w:lineRule="auto"/>
        <w:tabs>
          <w:tab w:leader="none" w:pos="1918" w:val="left"/>
        </w:tabs>
        <w:numPr>
          <w:ilvl w:val="2"/>
          <w:numId w:val="152"/>
        </w:numPr>
        <w:rPr>
          <w:rFonts w:ascii="Arial" w:cs="Arial" w:eastAsia="Arial" w:hAnsi="Arial"/>
          <w:sz w:val="18"/>
          <w:szCs w:val="18"/>
          <w:color w:val="auto"/>
        </w:rPr>
      </w:pPr>
      <w:r>
        <w:rPr>
          <w:rFonts w:ascii="Arial" w:cs="Arial" w:eastAsia="Arial" w:hAnsi="Arial"/>
          <w:sz w:val="18"/>
          <w:szCs w:val="18"/>
          <w:color w:val="auto"/>
        </w:rPr>
        <w:t>Payment of deferred FS Development IPO underwriting commissions incurred by FS Development in the amount of $4.2 million (see Note 4(a)(4)). The unaudited pro forma combined balance sheet reflects payment of these costs as a reduction of cash, with a corresponding decrease in deferred underwriting commission liability.</w:t>
      </w:r>
    </w:p>
    <w:p>
      <w:pPr>
        <w:spacing w:after="0" w:line="119" w:lineRule="exact"/>
        <w:rPr>
          <w:rFonts w:ascii="Arial" w:cs="Arial" w:eastAsia="Arial" w:hAnsi="Arial"/>
          <w:sz w:val="18"/>
          <w:szCs w:val="18"/>
          <w:color w:val="auto"/>
        </w:rPr>
      </w:pPr>
    </w:p>
    <w:p>
      <w:pPr>
        <w:jc w:val="both"/>
        <w:ind w:left="1760" w:right="459" w:hanging="442"/>
        <w:spacing w:after="0" w:line="259" w:lineRule="auto"/>
        <w:tabs>
          <w:tab w:leader="none" w:pos="1927" w:val="left"/>
        </w:tabs>
        <w:numPr>
          <w:ilvl w:val="2"/>
          <w:numId w:val="152"/>
        </w:numPr>
        <w:rPr>
          <w:rFonts w:ascii="Arial" w:cs="Arial" w:eastAsia="Arial" w:hAnsi="Arial"/>
          <w:sz w:val="18"/>
          <w:szCs w:val="18"/>
          <w:color w:val="auto"/>
        </w:rPr>
      </w:pPr>
      <w:r>
        <w:rPr>
          <w:rFonts w:ascii="Arial" w:cs="Arial" w:eastAsia="Arial" w:hAnsi="Arial"/>
          <w:sz w:val="18"/>
          <w:szCs w:val="18"/>
          <w:color w:val="auto"/>
        </w:rPr>
        <w:t>Payment of incremental expenses related to the Business Combination and the PIPE Investment in the amount of $15.2 million (see Note 4(a)(6)). The unaudited pro forma combined balance sheet reflects these costs as a reduction of cash, with a corresponding decrease in additional paid-in capital (see Note 4(d)).</w:t>
      </w:r>
    </w:p>
    <w:p>
      <w:pPr>
        <w:spacing w:after="0" w:line="119" w:lineRule="exact"/>
        <w:rPr>
          <w:rFonts w:ascii="Arial" w:cs="Arial" w:eastAsia="Arial" w:hAnsi="Arial"/>
          <w:sz w:val="18"/>
          <w:szCs w:val="18"/>
          <w:color w:val="auto"/>
        </w:rPr>
      </w:pPr>
    </w:p>
    <w:p>
      <w:pPr>
        <w:ind w:left="1320" w:right="479" w:hanging="434"/>
        <w:spacing w:after="0" w:line="342" w:lineRule="auto"/>
        <w:tabs>
          <w:tab w:leader="none" w:pos="1298" w:val="left"/>
        </w:tabs>
        <w:numPr>
          <w:ilvl w:val="1"/>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Trust Account</w:t>
      </w:r>
      <w:r>
        <w:rPr>
          <w:rFonts w:ascii="Arial" w:cs="Arial" w:eastAsia="Arial" w:hAnsi="Arial"/>
          <w:sz w:val="16"/>
          <w:szCs w:val="16"/>
          <w:color w:val="auto"/>
        </w:rPr>
        <w:t>. Represents release of the restricted investments and cash held in the FS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trust account upon consummation of the Business Combination (See Note 4(a)(1)).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2"/>
        <w:spacing w:after="0" w:line="286" w:lineRule="auto"/>
        <w:tabs>
          <w:tab w:leader="none" w:pos="1760" w:val="left"/>
        </w:tabs>
        <w:numPr>
          <w:ilvl w:val="0"/>
          <w:numId w:val="153"/>
        </w:numPr>
        <w:rPr>
          <w:rFonts w:ascii="Arial" w:cs="Arial" w:eastAsia="Arial" w:hAnsi="Arial"/>
          <w:sz w:val="17"/>
          <w:szCs w:val="17"/>
          <w:i w:val="1"/>
          <w:iCs w:val="1"/>
          <w:color w:val="auto"/>
        </w:rPr>
      </w:pPr>
      <w:r>
        <w:rPr>
          <w:rFonts w:ascii="Arial" w:cs="Arial" w:eastAsia="Arial" w:hAnsi="Arial"/>
          <w:sz w:val="17"/>
          <w:szCs w:val="17"/>
          <w:i w:val="1"/>
          <w:iCs w:val="1"/>
          <w:color w:val="auto"/>
        </w:rPr>
        <w:t>Impact on equity</w:t>
      </w:r>
      <w:r>
        <w:rPr>
          <w:rFonts w:ascii="Arial" w:cs="Arial" w:eastAsia="Arial" w:hAnsi="Arial"/>
          <w:sz w:val="17"/>
          <w:szCs w:val="17"/>
          <w:color w:val="auto"/>
        </w:rPr>
        <w:t>. The following table represents the impact of the Business Combination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PIPE Investment on the number of shares of FS Development Class A Common Stock and represents the total equity section assuming no redemptions by FS Development stockholder:</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8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Par Value</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80" w:type="dxa"/>
            <w:vAlign w:val="bottom"/>
            <w:vMerge w:val="restart"/>
          </w:tcPr>
          <w:p>
            <w:pPr>
              <w:spacing w:after="0"/>
              <w:rPr>
                <w:sz w:val="20"/>
                <w:szCs w:val="20"/>
                <w:color w:val="auto"/>
              </w:rPr>
            </w:pPr>
            <w:r>
              <w:rPr>
                <w:rFonts w:ascii="Arial" w:cs="Arial" w:eastAsia="Arial" w:hAnsi="Arial"/>
                <w:sz w:val="16"/>
                <w:szCs w:val="16"/>
                <w:i w:val="1"/>
                <w:iCs w:val="1"/>
                <w:color w:val="auto"/>
                <w:w w:val="95"/>
              </w:rPr>
              <w:t>(in thousands, except share amounts)</w:t>
            </w:r>
          </w:p>
        </w:tc>
        <w:tc>
          <w:tcPr>
            <w:tcW w:w="8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Class A</w:t>
            </w:r>
          </w:p>
        </w:tc>
        <w:tc>
          <w:tcPr>
            <w:tcW w:w="80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Class A</w:t>
            </w:r>
          </w:p>
        </w:tc>
        <w:tc>
          <w:tcPr>
            <w:tcW w:w="4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2"/>
              </w:rPr>
              <w:t>Class B</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Gemini’s</w:t>
            </w:r>
          </w:p>
        </w:tc>
        <w:tc>
          <w:tcPr>
            <w:tcW w:w="120" w:type="dxa"/>
            <w:vAlign w:val="bottom"/>
          </w:tcPr>
          <w:p>
            <w:pPr>
              <w:spacing w:after="0"/>
              <w:rPr>
                <w:sz w:val="10"/>
                <w:szCs w:val="10"/>
                <w:color w:val="auto"/>
              </w:rPr>
            </w:pPr>
          </w:p>
        </w:tc>
        <w:tc>
          <w:tcPr>
            <w:tcW w:w="6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8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Accumulated</w:t>
            </w:r>
          </w:p>
        </w:tc>
        <w:tc>
          <w:tcPr>
            <w:tcW w:w="0" w:type="dxa"/>
            <w:vAlign w:val="bottom"/>
          </w:tcPr>
          <w:p>
            <w:pPr>
              <w:spacing w:after="0"/>
              <w:rPr>
                <w:sz w:val="1"/>
                <w:szCs w:val="1"/>
                <w:color w:val="auto"/>
              </w:rPr>
            </w:pPr>
          </w:p>
        </w:tc>
      </w:tr>
      <w:tr>
        <w:trPr>
          <w:trHeight w:val="186"/>
        </w:trPr>
        <w:tc>
          <w:tcPr>
            <w:tcW w:w="2580" w:type="dxa"/>
            <w:vAlign w:val="bottom"/>
            <w:vMerge w:val="continue"/>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w:t>
            </w:r>
          </w:p>
        </w:tc>
        <w:tc>
          <w:tcPr>
            <w:tcW w:w="54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6"/>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Pre Business Combination – FS</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Development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769,623</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3,018,750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5,027</w:t>
            </w:r>
          </w:p>
        </w:tc>
        <w:tc>
          <w:tcPr>
            <w:tcW w:w="26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20"/>
                <w:szCs w:val="20"/>
                <w:color w:val="auto"/>
              </w:rPr>
            </w:pPr>
            <w:r>
              <w:rPr>
                <w:rFonts w:ascii="Arial" w:cs="Arial" w:eastAsia="Arial" w:hAnsi="Arial"/>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180"/>
              <w:spacing w:after="0"/>
              <w:rPr>
                <w:sz w:val="20"/>
                <w:szCs w:val="20"/>
                <w:color w:val="auto"/>
              </w:rPr>
            </w:pPr>
            <w:r>
              <w:rPr>
                <w:rFonts w:ascii="Arial" w:cs="Arial" w:eastAsia="Arial" w:hAnsi="Arial"/>
                <w:sz w:val="16"/>
                <w:szCs w:val="16"/>
                <w:color w:val="auto"/>
              </w:rPr>
              <w:t>Development Holdings, LLC</w:t>
            </w:r>
          </w:p>
        </w:tc>
        <w:tc>
          <w:tcPr>
            <w:tcW w:w="780" w:type="dxa"/>
            <w:vAlign w:val="bottom"/>
          </w:tcPr>
          <w:p>
            <w:pPr>
              <w:jc w:val="right"/>
              <w:spacing w:after="0"/>
              <w:rPr>
                <w:sz w:val="20"/>
                <w:szCs w:val="20"/>
                <w:color w:val="auto"/>
              </w:rPr>
            </w:pPr>
            <w:r>
              <w:rPr>
                <w:rFonts w:ascii="Arial" w:cs="Arial" w:eastAsia="Arial" w:hAnsi="Arial"/>
                <w:sz w:val="16"/>
                <w:szCs w:val="16"/>
                <w:color w:val="auto"/>
              </w:rPr>
              <w:t>441,500</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Pre Business Combination – Gemini</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(88,503)</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20"/>
                <w:szCs w:val="20"/>
                <w:color w:val="auto"/>
              </w:rPr>
            </w:pPr>
            <w:r>
              <w:rPr>
                <w:rFonts w:ascii="Arial" w:cs="Arial" w:eastAsia="Arial" w:hAnsi="Arial"/>
                <w:sz w:val="16"/>
                <w:szCs w:val="16"/>
                <w:color w:val="auto"/>
                <w:w w:val="99"/>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180"/>
              <w:spacing w:after="0"/>
              <w:rPr>
                <w:sz w:val="20"/>
                <w:szCs w:val="20"/>
                <w:color w:val="auto"/>
              </w:rPr>
            </w:pPr>
            <w:r>
              <w:rPr>
                <w:rFonts w:ascii="Arial" w:cs="Arial" w:eastAsia="Arial" w:hAnsi="Arial"/>
                <w:sz w:val="16"/>
                <w:szCs w:val="16"/>
                <w:color w:val="auto"/>
              </w:rPr>
              <w:t>conversion of promissory notes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25,422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(8,582)</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w w:val="96"/>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 Class A 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20"/>
                <w:szCs w:val="20"/>
                <w:color w:val="auto"/>
              </w:rPr>
            </w:pPr>
            <w:r>
              <w:rPr>
                <w:rFonts w:ascii="Arial" w:cs="Arial" w:eastAsia="Arial" w:hAnsi="Arial"/>
                <w:sz w:val="16"/>
                <w:szCs w:val="16"/>
                <w:color w:val="auto"/>
                <w:w w:val="98"/>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180"/>
              <w:spacing w:after="0"/>
              <w:rPr>
                <w:sz w:val="20"/>
                <w:szCs w:val="20"/>
                <w:color w:val="auto"/>
              </w:rPr>
            </w:pPr>
            <w:r>
              <w:rPr>
                <w:rFonts w:ascii="Arial" w:cs="Arial" w:eastAsia="Arial" w:hAnsi="Arial"/>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11,305,377</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113,053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Gemini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6"/>
                <w:szCs w:val="16"/>
                <w:color w:val="auto"/>
              </w:rPr>
              <w:t>PIPE – Gemini Stockholders</w:t>
            </w:r>
          </w:p>
        </w:tc>
        <w:tc>
          <w:tcPr>
            <w:tcW w:w="780" w:type="dxa"/>
            <w:vAlign w:val="bottom"/>
          </w:tcPr>
          <w:p>
            <w:pPr>
              <w:jc w:val="right"/>
              <w:spacing w:after="0"/>
              <w:rPr>
                <w:sz w:val="20"/>
                <w:szCs w:val="20"/>
                <w:color w:val="auto"/>
              </w:rPr>
            </w:pPr>
            <w:r>
              <w:rPr>
                <w:rFonts w:ascii="Arial" w:cs="Arial" w:eastAsia="Arial" w:hAnsi="Arial"/>
                <w:sz w:val="16"/>
                <w:szCs w:val="16"/>
                <w:color w:val="auto"/>
              </w:rPr>
              <w:t>1,560,000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15,600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PIPE – FS Development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80" w:type="dxa"/>
            <w:vAlign w:val="bottom"/>
          </w:tcPr>
          <w:p>
            <w:pPr>
              <w:spacing w:after="0"/>
              <w:rPr>
                <w:sz w:val="20"/>
                <w:szCs w:val="20"/>
                <w:color w:val="auto"/>
              </w:rPr>
            </w:pPr>
            <w:r>
              <w:rPr>
                <w:rFonts w:ascii="Arial" w:cs="Arial" w:eastAsia="Arial" w:hAnsi="Arial"/>
                <w:sz w:val="16"/>
                <w:szCs w:val="16"/>
                <w:color w:val="auto"/>
              </w:rPr>
              <w:t>PIPE – Other Investors</w:t>
            </w:r>
          </w:p>
        </w:tc>
        <w:tc>
          <w:tcPr>
            <w:tcW w:w="780" w:type="dxa"/>
            <w:vAlign w:val="bottom"/>
          </w:tcPr>
          <w:p>
            <w:pPr>
              <w:jc w:val="right"/>
              <w:spacing w:after="0"/>
              <w:rPr>
                <w:sz w:val="20"/>
                <w:szCs w:val="20"/>
                <w:color w:val="auto"/>
              </w:rPr>
            </w:pPr>
            <w:r>
              <w:rPr>
                <w:rFonts w:ascii="Arial" w:cs="Arial" w:eastAsia="Arial" w:hAnsi="Arial"/>
                <w:sz w:val="16"/>
                <w:szCs w:val="16"/>
                <w:color w:val="auto"/>
              </w:rPr>
              <w:t>6,446,000</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64,460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Balances after share transactions of</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Combined Entity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46,541,250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105,871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211,733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(97,087)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80" w:type="dxa"/>
            <w:vAlign w:val="bottom"/>
          </w:tcPr>
          <w:p>
            <w:pPr>
              <w:spacing w:after="0"/>
              <w:rPr>
                <w:sz w:val="20"/>
                <w:szCs w:val="20"/>
                <w:color w:val="auto"/>
              </w:rPr>
            </w:pPr>
            <w:r>
              <w:rPr>
                <w:rFonts w:ascii="Arial" w:cs="Arial" w:eastAsia="Arial" w:hAnsi="Arial"/>
                <w:sz w:val="16"/>
                <w:szCs w:val="16"/>
                <w:color w:val="auto"/>
              </w:rPr>
              <w:t>Estimated transaction costs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(15,224)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w w:val="98"/>
              </w:rPr>
              <w:t>Elimination of historical accumulated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deficit of FS Development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580" w:type="dxa"/>
            <w:vAlign w:val="bottom"/>
          </w:tcPr>
          <w:p>
            <w:pPr>
              <w:spacing w:after="0"/>
              <w:rPr>
                <w:sz w:val="20"/>
                <w:szCs w:val="20"/>
                <w:color w:val="auto"/>
              </w:rPr>
            </w:pPr>
            <w:r>
              <w:rPr>
                <w:rFonts w:ascii="Arial" w:cs="Arial" w:eastAsia="Arial" w:hAnsi="Arial"/>
                <w:sz w:val="16"/>
                <w:szCs w:val="16"/>
                <w:color w:val="auto"/>
              </w:rPr>
              <w:t>Elimination of historical stock of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80" w:type="dxa"/>
            <w:vAlign w:val="bottom"/>
          </w:tcPr>
          <w:p>
            <w:pPr>
              <w:ind w:left="180"/>
              <w:spacing w:after="0"/>
              <w:rPr>
                <w:sz w:val="20"/>
                <w:szCs w:val="20"/>
                <w:color w:val="auto"/>
              </w:rPr>
            </w:pPr>
            <w:r>
              <w:rPr>
                <w:rFonts w:ascii="Arial" w:cs="Arial" w:eastAsia="Arial" w:hAnsi="Arial"/>
                <w:sz w:val="16"/>
                <w:szCs w:val="16"/>
                <w:color w:val="auto"/>
              </w:rPr>
              <w:t>Gemini</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(105,871)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105,877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Post-Business Combination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46,541,250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302,384</w:t>
            </w:r>
          </w:p>
        </w:tc>
        <w:tc>
          <w:tcPr>
            <w:tcW w:w="26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(97,085)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In case of maximum redemption by holders of Public Shares, the following table represents the impact of the Business Combination and PIPE Investment on the number of shares of FS Development Class A Common Stock and represents the total equity section:</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4"/>
                <w:szCs w:val="24"/>
                <w:color w:val="auto"/>
              </w:rPr>
            </w:pPr>
          </w:p>
        </w:tc>
        <w:tc>
          <w:tcPr>
            <w:tcW w:w="17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Par Value</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60" w:type="dxa"/>
            <w:vAlign w:val="bottom"/>
            <w:vMerge w:val="restart"/>
          </w:tcPr>
          <w:p>
            <w:pPr>
              <w:spacing w:after="0"/>
              <w:rPr>
                <w:sz w:val="20"/>
                <w:szCs w:val="20"/>
                <w:color w:val="auto"/>
              </w:rPr>
            </w:pPr>
            <w:r>
              <w:rPr>
                <w:rFonts w:ascii="Arial" w:cs="Arial" w:eastAsia="Arial" w:hAnsi="Arial"/>
                <w:sz w:val="16"/>
                <w:szCs w:val="16"/>
                <w:i w:val="1"/>
                <w:iCs w:val="1"/>
                <w:color w:val="auto"/>
                <w:w w:val="94"/>
              </w:rPr>
              <w:t>(in thousands, except share amounts)</w:t>
            </w:r>
          </w:p>
        </w:tc>
        <w:tc>
          <w:tcPr>
            <w:tcW w:w="94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Class A</w:t>
            </w:r>
          </w:p>
        </w:tc>
        <w:tc>
          <w:tcPr>
            <w:tcW w:w="80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Class A</w:t>
            </w:r>
          </w:p>
        </w:tc>
        <w:tc>
          <w:tcPr>
            <w:tcW w:w="4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2"/>
              </w:rPr>
              <w:t>Class B</w:t>
            </w:r>
          </w:p>
        </w:tc>
        <w:tc>
          <w:tcPr>
            <w:tcW w:w="180" w:type="dxa"/>
            <w:vAlign w:val="bottom"/>
            <w:gridSpan w:val="2"/>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Gemini’s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paid-in</w:t>
            </w:r>
          </w:p>
        </w:tc>
        <w:tc>
          <w:tcPr>
            <w:tcW w:w="880" w:type="dxa"/>
            <w:vAlign w:val="bottom"/>
            <w:gridSpan w:val="4"/>
          </w:tcPr>
          <w:p>
            <w:pPr>
              <w:jc w:val="right"/>
              <w:ind w:right="40"/>
              <w:spacing w:after="0" w:line="119" w:lineRule="exact"/>
              <w:rPr>
                <w:sz w:val="20"/>
                <w:szCs w:val="20"/>
                <w:color w:val="auto"/>
              </w:rPr>
            </w:pPr>
            <w:r>
              <w:rPr>
                <w:rFonts w:ascii="Arial" w:cs="Arial" w:eastAsia="Arial" w:hAnsi="Arial"/>
                <w:sz w:val="13"/>
                <w:szCs w:val="13"/>
                <w:b w:val="1"/>
                <w:bCs w:val="1"/>
                <w:color w:val="auto"/>
              </w:rPr>
              <w:t>Accumulated</w:t>
            </w: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40" w:type="dxa"/>
            <w:vAlign w:val="bottom"/>
            <w:gridSpan w:val="4"/>
          </w:tcPr>
          <w:p>
            <w:pPr>
              <w:ind w:left="60"/>
              <w:spacing w:after="0"/>
              <w:rPr>
                <w:sz w:val="20"/>
                <w:szCs w:val="20"/>
                <w:color w:val="auto"/>
              </w:rPr>
            </w:pPr>
            <w:r>
              <w:rPr>
                <w:rFonts w:ascii="Arial" w:cs="Arial" w:eastAsia="Arial" w:hAnsi="Arial"/>
                <w:sz w:val="14"/>
                <w:szCs w:val="14"/>
                <w:b w:val="1"/>
                <w:bCs w:val="1"/>
                <w:color w:val="auto"/>
              </w:rPr>
              <w:t>Stock</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5"/>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Pre Business Combination – FS</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Development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769,623</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3,018,750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20"/>
                <w:szCs w:val="20"/>
                <w:color w:val="auto"/>
              </w:rPr>
            </w:pPr>
            <w:r>
              <w:rPr>
                <w:rFonts w:ascii="Arial" w:cs="Arial" w:eastAsia="Arial" w:hAnsi="Arial"/>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80"/>
              <w:spacing w:after="0"/>
              <w:rPr>
                <w:sz w:val="20"/>
                <w:szCs w:val="20"/>
                <w:color w:val="auto"/>
              </w:rPr>
            </w:pPr>
            <w:r>
              <w:rPr>
                <w:rFonts w:ascii="Arial" w:cs="Arial" w:eastAsia="Arial" w:hAnsi="Arial"/>
                <w:sz w:val="16"/>
                <w:szCs w:val="16"/>
                <w:color w:val="auto"/>
              </w:rPr>
              <w:t>Development Holdings, LLC</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441,500</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Pre Business Combination – 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(88,503)</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20"/>
                <w:szCs w:val="20"/>
                <w:color w:val="auto"/>
              </w:rPr>
            </w:pPr>
            <w:r>
              <w:rPr>
                <w:rFonts w:ascii="Arial" w:cs="Arial" w:eastAsia="Arial" w:hAnsi="Arial"/>
                <w:sz w:val="16"/>
                <w:szCs w:val="16"/>
                <w:color w:val="auto"/>
                <w:w w:val="98"/>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80"/>
              <w:spacing w:after="0"/>
              <w:rPr>
                <w:sz w:val="20"/>
                <w:szCs w:val="20"/>
                <w:color w:val="auto"/>
              </w:rPr>
            </w:pPr>
            <w:r>
              <w:rPr>
                <w:rFonts w:ascii="Arial" w:cs="Arial" w:eastAsia="Arial" w:hAnsi="Arial"/>
                <w:sz w:val="16"/>
                <w:szCs w:val="16"/>
                <w:color w:val="auto"/>
              </w:rPr>
              <w:t>conversion of promissory notes</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25,422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(2,840)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(8,582)</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w w:val="95"/>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 Class A common stock</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20"/>
                <w:szCs w:val="20"/>
                <w:color w:val="auto"/>
              </w:rPr>
            </w:pPr>
            <w:r>
              <w:rPr>
                <w:rFonts w:ascii="Arial" w:cs="Arial" w:eastAsia="Arial" w:hAnsi="Arial"/>
                <w:sz w:val="16"/>
                <w:szCs w:val="16"/>
                <w:color w:val="auto"/>
                <w:w w:val="97"/>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80"/>
              <w:spacing w:after="0"/>
              <w:rPr>
                <w:sz w:val="20"/>
                <w:szCs w:val="20"/>
                <w:color w:val="auto"/>
              </w:rPr>
            </w:pPr>
            <w:r>
              <w:rPr>
                <w:rFonts w:ascii="Arial" w:cs="Arial" w:eastAsia="Arial" w:hAnsi="Arial"/>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11,305,377</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113,053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Less: Redemption of redeemable</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(11,152,375)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(111,523)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16"/>
                <w:szCs w:val="16"/>
                <w:color w:val="auto"/>
              </w:rPr>
              <w:t>Gemini Stockholders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21,500,000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PIPE – Gemini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1,560,000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16"/>
                <w:szCs w:val="16"/>
                <w:color w:val="auto"/>
              </w:rPr>
              <w:t>PIPE – FS Development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PIPE – Other Investors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6,446,000</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64,460</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560" w:type="dxa"/>
            <w:vAlign w:val="bottom"/>
          </w:tcPr>
          <w:p>
            <w:pPr>
              <w:spacing w:after="0" w:line="173" w:lineRule="exact"/>
              <w:rPr>
                <w:sz w:val="20"/>
                <w:szCs w:val="20"/>
                <w:color w:val="auto"/>
              </w:rPr>
            </w:pPr>
            <w:r>
              <w:rPr>
                <w:rFonts w:ascii="Arial" w:cs="Arial" w:eastAsia="Arial" w:hAnsi="Arial"/>
                <w:sz w:val="16"/>
                <w:szCs w:val="16"/>
                <w:color w:val="auto"/>
                <w:w w:val="99"/>
              </w:rPr>
              <w:t>Balances after share transactions of</w:t>
            </w: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560" w:type="dxa"/>
            <w:vAlign w:val="bottom"/>
          </w:tcPr>
          <w:p>
            <w:pPr>
              <w:ind w:left="180"/>
              <w:spacing w:after="0"/>
              <w:rPr>
                <w:sz w:val="20"/>
                <w:szCs w:val="20"/>
                <w:color w:val="auto"/>
              </w:rPr>
            </w:pPr>
            <w:r>
              <w:rPr>
                <w:rFonts w:ascii="Arial" w:cs="Arial" w:eastAsia="Arial" w:hAnsi="Arial"/>
                <w:sz w:val="16"/>
                <w:szCs w:val="16"/>
                <w:color w:val="auto"/>
              </w:rPr>
              <w:t>Combined Entity</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35,388,875</w:t>
            </w: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105,871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100,210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(97,087)</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Estimated transaction costs</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(15,224)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20"/>
                <w:szCs w:val="20"/>
                <w:color w:val="auto"/>
              </w:rPr>
            </w:pPr>
            <w:r>
              <w:rPr>
                <w:rFonts w:ascii="Arial" w:cs="Arial" w:eastAsia="Arial" w:hAnsi="Arial"/>
                <w:sz w:val="16"/>
                <w:szCs w:val="16"/>
                <w:color w:val="auto"/>
                <w:w w:val="98"/>
              </w:rPr>
              <w:t>Elimination of historical accumulated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60" w:type="dxa"/>
            <w:vAlign w:val="bottom"/>
          </w:tcPr>
          <w:p>
            <w:pPr>
              <w:ind w:left="180"/>
              <w:spacing w:after="0"/>
              <w:rPr>
                <w:sz w:val="20"/>
                <w:szCs w:val="20"/>
                <w:color w:val="auto"/>
              </w:rPr>
            </w:pPr>
            <w:r>
              <w:rPr>
                <w:rFonts w:ascii="Arial" w:cs="Arial" w:eastAsia="Arial" w:hAnsi="Arial"/>
                <w:sz w:val="16"/>
                <w:szCs w:val="16"/>
                <w:color w:val="auto"/>
              </w:rPr>
              <w:t>deficit of FS Development</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Elimination of historical stock of</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(105,871)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105,877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tcPr>
          <w:p>
            <w:pPr>
              <w:spacing w:after="0"/>
              <w:rPr>
                <w:sz w:val="20"/>
                <w:szCs w:val="20"/>
                <w:color w:val="auto"/>
              </w:rPr>
            </w:pPr>
            <w:r>
              <w:rPr>
                <w:rFonts w:ascii="Arial" w:cs="Arial" w:eastAsia="Arial" w:hAnsi="Arial"/>
                <w:sz w:val="16"/>
                <w:szCs w:val="16"/>
                <w:color w:val="auto"/>
              </w:rPr>
              <w:t>Post-Business Combination</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35,388,875</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 $</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190,861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(97,085)</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0" w:gutter="0" w:footer="0" w:header="0"/>
        </w:sect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Adjustments to the Unaudited Pro Forma Combined Statements of Operations for the Six Months Ended June 30, 2020 and Year Ended December 31, 2019</w:t>
      </w:r>
    </w:p>
    <w:p>
      <w:pPr>
        <w:spacing w:after="0" w:line="62"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pro forma adjustments included in the unaudited pro forma combined statement of operations for the six months ended June 30, 2020 and for the year ended December 31, 2019 are as follows:</w:t>
      </w:r>
    </w:p>
    <w:p>
      <w:pPr>
        <w:spacing w:after="0" w:line="62" w:lineRule="exact"/>
        <w:rPr>
          <w:sz w:val="20"/>
          <w:szCs w:val="20"/>
          <w:color w:val="auto"/>
        </w:rPr>
      </w:pPr>
    </w:p>
    <w:p>
      <w:pPr>
        <w:jc w:val="both"/>
        <w:ind w:left="1320" w:right="459" w:hanging="434"/>
        <w:spacing w:after="0" w:line="287" w:lineRule="auto"/>
        <w:tabs>
          <w:tab w:leader="none" w:pos="1352" w:val="left"/>
        </w:tabs>
        <w:numPr>
          <w:ilvl w:val="0"/>
          <w:numId w:val="15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Interest expense and loss on extinguishment of debt. </w:t>
      </w:r>
      <w:r>
        <w:rPr>
          <w:rFonts w:ascii="Arial" w:cs="Arial" w:eastAsia="Arial" w:hAnsi="Arial"/>
          <w:sz w:val="16"/>
          <w:szCs w:val="16"/>
          <w:color w:val="auto"/>
        </w:rPr>
        <w:t>On August 21, 2020, Gemini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with various investors to 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The BCF discount is accreted to the face value of the Notes, offset against interest expense. Principal and interest are convertible into Series B preferred stock at a per share conversion price of $1.3513 prior to the effective date of the Business Combination. The proforma disclosures have been prepared as if the Notes convert to Series B preferred stock on December 31, 2020, and a reacquisition price of $25.4 million representing the expected fair value of Series B preferred stock upon conversion. The adjustments reflect the accretion of the BCF discount recognized as interest expense of $5.9 million, simple interest of $0.4 million and a loss on extinguishment of $2.3 million.</w:t>
      </w:r>
    </w:p>
    <w:p>
      <w:pPr>
        <w:spacing w:after="0" w:line="59" w:lineRule="exact"/>
        <w:rPr>
          <w:rFonts w:ascii="Arial" w:cs="Arial" w:eastAsia="Arial" w:hAnsi="Arial"/>
          <w:sz w:val="16"/>
          <w:szCs w:val="16"/>
          <w:i w:val="1"/>
          <w:iCs w:val="1"/>
          <w:color w:val="auto"/>
        </w:rPr>
      </w:pPr>
    </w:p>
    <w:p>
      <w:pPr>
        <w:jc w:val="both"/>
        <w:ind w:left="1320" w:right="459" w:hanging="434"/>
        <w:spacing w:after="0" w:line="257" w:lineRule="auto"/>
        <w:tabs>
          <w:tab w:leader="none" w:pos="1448" w:val="left"/>
        </w:tabs>
        <w:numPr>
          <w:ilvl w:val="0"/>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loss per share. </w:t>
      </w:r>
      <w:r>
        <w:rPr>
          <w:rFonts w:ascii="Arial" w:cs="Arial" w:eastAsia="Arial" w:hAnsi="Arial"/>
          <w:sz w:val="18"/>
          <w:szCs w:val="18"/>
          <w:color w:val="auto"/>
        </w:rPr>
        <w:t>Represents pro forma net loss per share based on pro forma net loss and</w:t>
      </w:r>
      <w:r>
        <w:rPr>
          <w:rFonts w:ascii="Arial" w:cs="Arial" w:eastAsia="Arial" w:hAnsi="Arial"/>
          <w:sz w:val="18"/>
          <w:szCs w:val="18"/>
          <w:i w:val="1"/>
          <w:iCs w:val="1"/>
          <w:color w:val="auto"/>
        </w:rPr>
        <w:t xml:space="preserve"> </w:t>
      </w:r>
      <w:r>
        <w:rPr>
          <w:rFonts w:ascii="Arial" w:cs="Arial" w:eastAsia="Arial" w:hAnsi="Arial"/>
          <w:sz w:val="18"/>
          <w:szCs w:val="18"/>
          <w:color w:val="auto"/>
        </w:rPr>
        <w:t>46,541,250 and 35,388,875 total pro forma shares outstanding upon consummation of the Business Combination and PIPE Investment for no redemption and maximum redemption scenario, respectively. There are no equity instruments that are expected to have a dilutive effect on the net income per share post-Business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Loss Per Share</w:t>
      </w:r>
    </w:p>
    <w:p>
      <w:pPr>
        <w:spacing w:after="0" w:line="12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Net loss per share calculated using the historical weighted average shares outstanding, and the issuance of additional shares in connection with the Business Combination, assuming the shares were outstanding since January 1, 2019. As the Business Combination is being reflected as if it had occurred at the beginning of the periods presented, the calculation of weighted average shares outstanding for basic and diluted net loss per share assumes that the shares issuable relating to the Business Combination have been outstanding for the entire periods presented. If the maximum number of shares are redeemed, this calculation is retroactively adjusted to eliminate such shares for the entire periods.</w:t>
      </w:r>
    </w:p>
    <w:p>
      <w:pPr>
        <w:spacing w:after="0" w:line="6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unaudited pro forma condensed combined financial information has been prepared assuming two alternative levels of redemption for the year ended December 31, 2019 and for the six months ended June 30, 2020:</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92"/>
              </w:rPr>
              <w:t>Six Months Ended</w:t>
            </w:r>
          </w:p>
        </w:tc>
        <w:tc>
          <w:tcPr>
            <w:tcW w:w="120" w:type="dxa"/>
            <w:vAlign w:val="bottom"/>
          </w:tcPr>
          <w:p>
            <w:pPr>
              <w:spacing w:after="0"/>
              <w:rPr>
                <w:sz w:val="17"/>
                <w:szCs w:val="17"/>
                <w:color w:val="auto"/>
              </w:rPr>
            </w:pPr>
          </w:p>
        </w:tc>
        <w:tc>
          <w:tcPr>
            <w:tcW w:w="218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0"/>
              </w:rPr>
              <w:t>June 30, 2020</w:t>
            </w:r>
          </w:p>
        </w:tc>
        <w:tc>
          <w:tcPr>
            <w:tcW w:w="120" w:type="dxa"/>
            <w:vAlign w:val="bottom"/>
          </w:tcPr>
          <w:p>
            <w:pPr>
              <w:spacing w:after="0"/>
              <w:rPr>
                <w:sz w:val="18"/>
                <w:szCs w:val="18"/>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47"/>
        </w:trPr>
        <w:tc>
          <w:tcPr>
            <w:tcW w:w="3440" w:type="dxa"/>
            <w:vAlign w:val="bottom"/>
            <w:vMerge w:val="restart"/>
          </w:tcPr>
          <w:p>
            <w:pPr>
              <w:spacing w:after="0"/>
              <w:rPr>
                <w:sz w:val="20"/>
                <w:szCs w:val="20"/>
                <w:color w:val="auto"/>
              </w:rPr>
            </w:pPr>
            <w:r>
              <w:rPr>
                <w:rFonts w:ascii="Arial" w:cs="Arial" w:eastAsia="Arial" w:hAnsi="Arial"/>
                <w:sz w:val="16"/>
                <w:szCs w:val="16"/>
                <w:i w:val="1"/>
                <w:iCs w:val="1"/>
                <w:color w:val="auto"/>
              </w:rPr>
              <w:t>(in thousands, except share and per share</w:t>
            </w: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2" w:lineRule="exact"/>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line="182" w:lineRule="exact"/>
              <w:rPr>
                <w:sz w:val="20"/>
                <w:szCs w:val="20"/>
                <w:color w:val="auto"/>
              </w:rPr>
            </w:pPr>
            <w:r>
              <w:rPr>
                <w:rFonts w:ascii="Arial" w:cs="Arial" w:eastAsia="Arial" w:hAnsi="Arial"/>
                <w:sz w:val="16"/>
                <w:szCs w:val="16"/>
                <w:b w:val="1"/>
                <w:bCs w:val="1"/>
                <w:color w:val="auto"/>
              </w:rPr>
              <w:t>Maximum</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2" w:lineRule="exact"/>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2" w:lineRule="exact"/>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6"/>
                <w:szCs w:val="16"/>
                <w:i w:val="1"/>
                <w:iCs w:val="1"/>
                <w:color w:val="auto"/>
              </w:rPr>
              <w:t>amounts)</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6"/>
              </w:rPr>
              <w:t>Redemptions</w:t>
            </w:r>
          </w:p>
        </w:tc>
        <w:tc>
          <w:tcPr>
            <w:tcW w:w="10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Arial" w:cs="Arial" w:eastAsia="Arial" w:hAnsi="Arial"/>
                <w:sz w:val="16"/>
                <w:szCs w:val="16"/>
                <w:b w:val="1"/>
                <w:bCs w:val="1"/>
                <w:color w:val="auto"/>
              </w:rPr>
              <w:t>Redemptions</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6"/>
              </w:rPr>
              <w:t>Redemptions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6"/>
              </w:rPr>
              <w:t>Redemptions</w:t>
            </w:r>
          </w:p>
        </w:tc>
        <w:tc>
          <w:tcPr>
            <w:tcW w:w="0" w:type="dxa"/>
            <w:vAlign w:val="bottom"/>
          </w:tcPr>
          <w:p>
            <w:pPr>
              <w:spacing w:after="0"/>
              <w:rPr>
                <w:sz w:val="1"/>
                <w:szCs w:val="1"/>
                <w:color w:val="auto"/>
              </w:rPr>
            </w:pPr>
          </w:p>
        </w:tc>
      </w:tr>
      <w:tr>
        <w:trPr>
          <w:trHeight w:val="47"/>
        </w:trPr>
        <w:tc>
          <w:tcPr>
            <w:tcW w:w="3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(41,400)</w:t>
            </w: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Pro forma weighted average shares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outstanding-basic and diluted</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46,541,250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35,388,875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46,541,250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35,388,875</w:t>
            </w: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Pro forma net loss per share-basic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 forma weighted average shares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FS Development public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922,625</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Arial" w:cs="Arial" w:eastAsia="Arial" w:hAnsi="Arial"/>
                <w:sz w:val="18"/>
                <w:szCs w:val="18"/>
                <w:color w:val="auto"/>
              </w:rPr>
              <w:t>FS Development Sponsor and Directors</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3,460,250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3,460,250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FS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15,535,250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15,535,250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40" w:type="dxa"/>
            <w:vAlign w:val="bottom"/>
          </w:tcPr>
          <w:p>
            <w:pPr>
              <w:spacing w:after="0"/>
              <w:rPr>
                <w:sz w:val="20"/>
                <w:szCs w:val="20"/>
                <w:color w:val="auto"/>
              </w:rPr>
            </w:pPr>
            <w:r>
              <w:rPr>
                <w:rFonts w:ascii="Arial" w:cs="Arial" w:eastAsia="Arial" w:hAnsi="Arial"/>
                <w:sz w:val="18"/>
                <w:szCs w:val="18"/>
                <w:color w:val="auto"/>
              </w:rPr>
              <w:t>Gemini</w:t>
            </w:r>
            <w:r>
              <w:rPr>
                <w:rFonts w:ascii="Arial" w:cs="Arial" w:eastAsia="Arial" w:hAnsi="Arial"/>
                <w:sz w:val="20"/>
                <w:szCs w:val="20"/>
                <w:color w:val="auto"/>
                <w:vertAlign w:val="superscript"/>
              </w:rPr>
              <w:t>(1)</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19,282,221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19,282,221</w:t>
            </w:r>
          </w:p>
        </w:tc>
        <w:tc>
          <w:tcPr>
            <w:tcW w:w="0" w:type="dxa"/>
            <w:vAlign w:val="bottom"/>
          </w:tcPr>
          <w:p>
            <w:pPr>
              <w:spacing w:after="0"/>
              <w:rPr>
                <w:sz w:val="1"/>
                <w:szCs w:val="1"/>
                <w:color w:val="auto"/>
              </w:rPr>
            </w:pPr>
          </w:p>
        </w:tc>
      </w:tr>
      <w:tr>
        <w:trPr>
          <w:trHeight w:val="284"/>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Shares</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9,506,000</w:t>
            </w:r>
          </w:p>
        </w:tc>
        <w:tc>
          <w:tcPr>
            <w:tcW w:w="0" w:type="dxa"/>
            <w:vAlign w:val="bottom"/>
          </w:tcPr>
          <w:p>
            <w:pPr>
              <w:spacing w:after="0"/>
              <w:rPr>
                <w:sz w:val="1"/>
                <w:szCs w:val="1"/>
                <w:color w:val="auto"/>
              </w:rPr>
            </w:pPr>
          </w:p>
        </w:tc>
      </w:tr>
      <w:tr>
        <w:trPr>
          <w:trHeight w:val="178"/>
        </w:trPr>
        <w:tc>
          <w:tcPr>
            <w:tcW w:w="3440" w:type="dxa"/>
            <w:vAlign w:val="bottom"/>
          </w:tcPr>
          <w:p>
            <w:pPr>
              <w:spacing w:after="0" w:line="177" w:lineRule="exact"/>
              <w:rPr>
                <w:sz w:val="20"/>
                <w:szCs w:val="20"/>
                <w:color w:val="auto"/>
              </w:rPr>
            </w:pPr>
            <w:r>
              <w:rPr>
                <w:rFonts w:ascii="Arial" w:cs="Arial" w:eastAsia="Arial" w:hAnsi="Arial"/>
                <w:sz w:val="18"/>
                <w:szCs w:val="18"/>
                <w:b w:val="1"/>
                <w:bCs w:val="1"/>
                <w:color w:val="auto"/>
              </w:rPr>
              <w:t>Pro forma weighted average shares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3440" w:type="dxa"/>
            <w:vAlign w:val="bottom"/>
          </w:tcPr>
          <w:p>
            <w:pPr>
              <w:ind w:left="180"/>
              <w:spacing w:after="0"/>
              <w:rPr>
                <w:sz w:val="20"/>
                <w:szCs w:val="20"/>
                <w:color w:val="auto"/>
              </w:rPr>
            </w:pPr>
            <w:r>
              <w:rPr>
                <w:rFonts w:ascii="Arial" w:cs="Arial" w:eastAsia="Arial" w:hAnsi="Arial"/>
                <w:sz w:val="18"/>
                <w:szCs w:val="18"/>
                <w:b w:val="1"/>
                <w:bCs w:val="1"/>
                <w:color w:val="auto"/>
              </w:rPr>
              <w:t>outstanding-basic and diluted</w:t>
            </w:r>
            <w:r>
              <w:rPr>
                <w:rFonts w:ascii="Arial" w:cs="Arial" w:eastAsia="Arial" w:hAnsi="Arial"/>
                <w:sz w:val="20"/>
                <w:szCs w:val="20"/>
                <w:b w:val="1"/>
                <w:bCs w:val="1"/>
                <w:color w:val="auto"/>
                <w:vertAlign w:val="superscript"/>
              </w:rPr>
              <w:t>(2)</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44,323,471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33,171,096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44,323,471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33,171,096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-3810</wp:posOffset>
            </wp:positionV>
            <wp:extent cx="28632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jc w:val="both"/>
        <w:ind w:left="880" w:right="459" w:hanging="426"/>
        <w:spacing w:after="0" w:line="267" w:lineRule="auto"/>
        <w:tabs>
          <w:tab w:leader="none" w:pos="100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Excludes 2.2 million Gemini consideration shares that will be issued upon the occurrence of future events (i.e., exercise of stock options or warrants). Total consideration to be issued to Gemini is up to $215.0 million or 21.5 million shares ($10 per share price). The total shares to be issued includes all issued and outstanding Gemini common and preferred stock plus shares underlying unvested stock options. Accordingly, the weighted average pro forma shares outstanding at close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Arial" w:cs="Arial" w:eastAsia="Arial" w:hAnsi="Arial"/>
          <w:sz w:val="16"/>
          <w:szCs w:val="16"/>
          <w:i w:val="1"/>
          <w:iCs w:val="1"/>
          <w:color w:val="auto"/>
        </w:rPr>
        <w:t>The Business Combination Proposal — Acquisition of Gemini;</w:t>
      </w:r>
      <w:r>
        <w:rPr>
          <w:rFonts w:ascii="Arial" w:cs="Arial" w:eastAsia="Arial" w:hAnsi="Arial"/>
          <w:sz w:val="16"/>
          <w:szCs w:val="16"/>
          <w:color w:val="auto"/>
        </w:rPr>
        <w:t xml:space="preserve"> </w:t>
      </w:r>
      <w:r>
        <w:rPr>
          <w:rFonts w:ascii="Arial" w:cs="Arial" w:eastAsia="Arial" w:hAnsi="Arial"/>
          <w:sz w:val="16"/>
          <w:szCs w:val="16"/>
          <w:i w:val="1"/>
          <w:iCs w:val="1"/>
          <w:color w:val="auto"/>
        </w:rPr>
        <w:t>Merger Consideration</w:t>
      </w:r>
      <w:r>
        <w:rPr>
          <w:rFonts w:ascii="Arial" w:cs="Arial" w:eastAsia="Arial" w:hAnsi="Arial"/>
          <w:sz w:val="16"/>
          <w:szCs w:val="16"/>
          <w:color w:val="auto"/>
        </w:rPr>
        <w:t>”</w:t>
      </w:r>
    </w:p>
    <w:p>
      <w:pPr>
        <w:sectPr>
          <w:pgSz w:w="11900" w:h="16838" w:orient="portrait"/>
          <w:cols w:equalWidth="0" w:num="1">
            <w:col w:w="9019"/>
          </w:cols>
          <w:pgMar w:left="1440" w:top="274" w:right="1440" w:bottom="601"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601" w:gutter="0" w:footer="0" w:header="0"/>
          <w:type w:val="continuous"/>
        </w:sectPr>
      </w:pPr>
    </w:p>
    <w:bookmarkStart w:id="108" w:name="page109"/>
    <w:bookmarkEnd w:id="10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both"/>
        <w:ind w:left="880" w:right="459" w:hanging="426"/>
        <w:spacing w:after="0" w:line="268" w:lineRule="auto"/>
        <w:tabs>
          <w:tab w:leader="none" w:pos="92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For the purposes of applying the if converted method for calculating diluted earnings per share, it was assumed that all Gemini stock options and outstanding warrants are exchanged for Class A common stock. However, since this results in anti-dilution, the effect of such exchange was not included in calculation of diluted loss per share. Shares underlying these instruments include 2.2 million Gemini consideration shares for unvested, unissued, and/or unexercised stock options and warrants.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BUSINESS COMBINATION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 xml:space="preserve">Holders of FS Development Common Stock are being asked to approve and adopt the Merger Agreement and the transactions contemplated thereby, including the Business Combination. FS Development stockholders should read carefully this proxy statement/prospectus in its entirety for more detailed information concerning the Merger Agreement, which is attached as </w:t>
      </w:r>
      <w:r>
        <w:rPr>
          <w:rFonts w:ascii="Arial" w:cs="Arial" w:eastAsia="Arial" w:hAnsi="Arial"/>
          <w:sz w:val="17"/>
          <w:szCs w:val="17"/>
          <w:i w:val="1"/>
          <w:iCs w:val="1"/>
          <w:u w:val="single" w:color="auto"/>
          <w:color w:val="auto"/>
        </w:rPr>
        <w:t>Annex A</w:t>
      </w:r>
      <w:r>
        <w:rPr>
          <w:rFonts w:ascii="Arial" w:cs="Arial" w:eastAsia="Arial" w:hAnsi="Arial"/>
          <w:sz w:val="17"/>
          <w:szCs w:val="17"/>
          <w:color w:val="auto"/>
        </w:rPr>
        <w:t xml:space="preserve"> to this proxy statement/prospectus. Please see the section titled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 xml:space="preserve"> — </w:t>
      </w:r>
      <w:r>
        <w:rPr>
          <w:rFonts w:ascii="Arial" w:cs="Arial" w:eastAsia="Arial" w:hAnsi="Arial"/>
          <w:sz w:val="17"/>
          <w:szCs w:val="17"/>
          <w:i w:val="1"/>
          <w:iCs w:val="1"/>
          <w:color w:val="auto"/>
        </w:rPr>
        <w:t>The Merger Agreement</w:t>
      </w:r>
      <w:r>
        <w:rPr>
          <w:rFonts w:ascii="Arial" w:cs="Arial" w:eastAsia="Arial" w:hAnsi="Arial"/>
          <w:sz w:val="17"/>
          <w:szCs w:val="17"/>
          <w:color w:val="auto"/>
        </w:rPr>
        <w:t>” below, for additional information and a summary of certain terms of the Merger Agreement. You are urged to read carefully the Merger Agreement in its entirety before voting on this proposal.</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terms of the Business Combination are the result of negotiations between the representatives of FS Development and Gemini. The following is a brief description of the background of these negotiations and the resulting Business Combination. The following does not purport to list every conversation among representatives of FS Development, Gemini and other parties.</w:t>
      </w:r>
    </w:p>
    <w:p>
      <w:pPr>
        <w:spacing w:after="0" w:line="11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FS Development is a blank check company incorporated in Delaware on June 25, 2020 and formed for the purpose of effecting a merger, capital stock exchange, asset acquisition, stock purchase, reorganization or similar business combination with one or more businesses. FS Development was created to capitalize on the substantial deal sourcing, investing and operating expertise of our management team to identify and combine with one or more businesses with high growth potential.</w:t>
      </w:r>
    </w:p>
    <w:p>
      <w:pPr>
        <w:spacing w:after="0" w:line="10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On August 14, 2020, we consummated the FS Development IPO of 12,075,000 shares of Class A Common Stock, generating total gross proceeds of $120,750,000. Substantially concurrent with the consummation of the FS Development IPO, our Sponsor purchased 441,500 shares of Class A Common Stock for an aggregate purchase price of $4,415,000, or $10.00 per share.</w:t>
      </w:r>
    </w:p>
    <w:p>
      <w:pPr>
        <w:spacing w:after="0" w:line="11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Prior to the consummation of the FS Development IPO, neither FS Development, nor anyone on its behalf, engaged in any substantive discussions, directly or indirectly, with any business combination target with respect to an initial business combination with FS Development.</w:t>
      </w:r>
    </w:p>
    <w:p>
      <w:pPr>
        <w:spacing w:after="0" w:line="11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Following the FS Development IPO and up to the signing of the exclusivity agreement with Gemini on September 20, 2020, our officers and directors commenced an active search for prospective businesses or assets to acquire in our initial business combination. Representatives of FS Development were contacted by, and representatives of FS Development contacted, numerous individuals, financial advisors and other entities who offered to present ideas for business combination opportunities. Our officers and directors and their affiliates also brought to our attention target business candidates.</w:t>
      </w:r>
    </w:p>
    <w:p>
      <w:pPr>
        <w:spacing w:after="0" w:line="9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During this search process, FS Development reviewed business combination opportunities with potential target businesses in the biotechnology industry. Discussions with several of these potential target businesses progressed to discussions of material transaction terms, including valuation, and FS Development delivered non-binding indications of interest to five such potential target businesses.</w:t>
      </w:r>
    </w:p>
    <w:p>
      <w:pPr>
        <w:spacing w:after="0" w:line="119"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FS Development engaged White &amp; Case LLP as its counsel, Wilson Sonsini Goodrich &amp; Rosati as its intellectual property counsel and Jefferies LLC as its financial and capital markets advisor in connection with its business combination and engaged Jefferies LLC and SVB Leerink LLC as co-lead placement agents in connection with a related private placement.</w:t>
      </w:r>
    </w:p>
    <w:p>
      <w:pPr>
        <w:spacing w:after="0" w:line="115"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color w:val="auto"/>
        </w:rPr>
        <w:t>On August 18, 2020, Foresite Capital Fund V (“</w:t>
      </w:r>
      <w:r>
        <w:rPr>
          <w:rFonts w:ascii="Arial" w:cs="Arial" w:eastAsia="Arial" w:hAnsi="Arial"/>
          <w:sz w:val="18"/>
          <w:szCs w:val="18"/>
          <w:b w:val="1"/>
          <w:bCs w:val="1"/>
          <w:color w:val="auto"/>
        </w:rPr>
        <w:t>Fund V</w:t>
      </w:r>
      <w:r>
        <w:rPr>
          <w:rFonts w:ascii="Arial" w:cs="Arial" w:eastAsia="Arial" w:hAnsi="Arial"/>
          <w:sz w:val="18"/>
          <w:szCs w:val="18"/>
          <w:color w:val="auto"/>
        </w:rPr>
        <w:t>”), an affiliate of our Sponsor, was wall-crossed in connection with a potential private placement relating to a proposed business combination involving Gemini and Company A. Thereafter, representatives of Fund V and Gemini discussed Gemini’s business in relation to such potential private placement.</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On August 23, 2020, the Board held a special board meeting via video conference to discuss potential business combination opportunities.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On September 1, 2020, Gemini’s exclusivity agreement with Company A terminated, and on September 21, 2020, based on discussions of Gemini’s board of directors, Gemini terminated discussions with Company A regarding a potential business combination.</w:t>
      </w:r>
    </w:p>
    <w:p>
      <w:pPr>
        <w:spacing w:after="0" w:line="116"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On September 2, 2020, Gemini management contacted FS Development about its potential interest in a business combination transaction with Gemini. Thereafter, FS Development continued discussions regarding a potential business combination with Gemini and several other companies.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On September 17, 2020, representatives of FS Development and Gemini held a teleconference to discuss a potential business combination. Thereafter, Jason Meyenburg, Chief Executive Officer of Gemini contacted Jim Tananbaum, Director, President and Chief Executive Officer of FS Development, and indicated that Gemini would be willing to consider a business combination at an enterprise value of at least $200 million. Thereafter, representatives of FS Development and Gemini continued to discuss the proposed valuation of Gemini, and FS Development submitted drafts of a non-binding indication of interest and mutual exclusivity agreement to Gemini.</w:t>
      </w:r>
    </w:p>
    <w:p>
      <w:pPr>
        <w:spacing w:after="0" w:line="11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On September 20, 2020, FS Development and Gemini entered into a non-binding indication of interest and a mutual exclusivity agreement, and FS Development ceased contact with other potential target businesses in the biotechnology industry. The non-binding indication of interest set forth the basis for continued discussion, including a proposed enterprise value of Gemini of $215 million and other material terms of a potential business combination. On September 24, 2020, FS Development and Gemini entered into a confidentiality agreement regarding the sharing of information in order for FS Development to conduct due diligence on Gemini.</w:t>
      </w:r>
    </w:p>
    <w:p>
      <w:pPr>
        <w:spacing w:after="0" w:line="9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September 22, 2020, Gemini’s financial advisors informed potential private placement investors in connection with the potential business combination with Company A that wall-crossing restrictions were terminated.</w:t>
      </w:r>
    </w:p>
    <w:p>
      <w:pPr>
        <w:spacing w:after="0" w:line="11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Starting on September 24, 2020 until signing of the Merger Agreement, Gemini provided FS Development and its representatives with due diligence materials, including financial, clinical and regulatory information and representatives of FS Development and Gemini held telephonic conferences and virtual meetings to discuss the terms of the potential business combination, due diligence items and commercial and legal elements of Gemini’s business to assist FS Development and its advisors in assessing the enterprise valuation proposed by Gemini. During this time period, management of FS Development periodically updated members of the Board on the status and timing of discussions with Gemini, material transaction terms and due diligence items.</w:t>
      </w:r>
    </w:p>
    <w:p>
      <w:pPr>
        <w:spacing w:after="0" w:line="8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On September 24, 2020, Goodwin Procter LLP, counsel to Gemini, delivered an initial draft of the Merger Agreement to White &amp; Case LLP. Thereafter, the parties and their respective legal counsel negotiated the terms of the Merger Agreement and related documentation and agreements and exchanged several drafts of the Merger Agreement and related documentation and agreements.</w:t>
      </w:r>
    </w:p>
    <w:p>
      <w:pPr>
        <w:spacing w:after="0" w:line="11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parties also began preparing an investor presentation for meetings with certain targeted investors. FS Development and Gemini held investor meetings with potential investors in the PIPE Investment. All such investors were wall-crossed.</w:t>
      </w:r>
    </w:p>
    <w:p>
      <w:pPr>
        <w:spacing w:after="0" w:line="11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September 24, 2020 and September 25, 2020, representatives of FS Development held telephonic conferences with Gemini management to discuss due diligence items.</w:t>
      </w:r>
    </w:p>
    <w:p>
      <w:pPr>
        <w:spacing w:after="0" w:line="89"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On September 28, 2020, Dr. Tananbaum, Dr. Michael Rome, Director and Vice President of FS Development, and other members of management of FS Development met telephonically with representatives of White &amp; Case LLP to discuss material transaction terms and due diligence items. Later on September 28, 2020, Dr. Rome, Dr. Tananbaum and representatives of White &amp; Case LLP met telephonically with Gemini management and representatives of Goodwin Procter LLP to update parties on the status of the transaction.</w:t>
      </w:r>
    </w:p>
    <w:p>
      <w:pPr>
        <w:spacing w:after="0" w:line="9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On September 29, 2020, management of FS Development met telephonically with management of Gemini to discuss additional clinical and regulatory due diligence items.</w:t>
      </w:r>
    </w:p>
    <w:p>
      <w:pPr>
        <w:spacing w:after="0" w:line="10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On September 29, October 1, October 6, and October 8, 2020, Dr. Rome, Dr. Tananbaum, other members of management of FS Development and representatives of Jefferies LLC and SVB Leerink LLC met telephonically with Gemini management to discuss the status of the PIPE Investment.</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October 8, 2020, the Board held a special board meeting via video conference to discuss the potential business combination, commitments from investors in the potential PIPE Investment and support from existing and prospective stockholders.</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On October 12, October 13, and October 14, 2020, management of FS Development met telephonically with management of Gemini to discuss clinical and other due diligence items.</w:t>
      </w:r>
    </w:p>
    <w:p>
      <w:pPr>
        <w:spacing w:after="0" w:line="103"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On October 12, 2020, the Board held a special board meeting via video conference to discuss the Business Combination and the terms of the definitive agreements. The Board was briefed on the terms of the Merger Agreement and related agreements and discussed the status of the proposed private placement. Following the discussions, the Board unanimously voted to approve the Business Combination with Gemini as well as the PIPE Investment. In approving the transactions, the Board determined that the aggregate fair market value of the proposed Business Combination was at least 80% of the assets held in the trust account. On October 15, 2020, the Board executed a unanimous written consent approving the Merger Agreement and the transactions contemplated in the Business Combination.</w:t>
      </w:r>
    </w:p>
    <w:p>
      <w:pPr>
        <w:spacing w:after="0" w:line="11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From October 12, 2020 until the signing of the Merger Agreement, representatives of White &amp; Case LLP and Goodwin Procter LLP met telephonically to finalize the Merger Agreement and related documentation and agreements.</w:t>
      </w:r>
    </w:p>
    <w:p>
      <w:pPr>
        <w:spacing w:after="0" w:line="10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addition, prior to the signing of the Merger Agreement, FS Development held virtual meetings and follow-up phone calls with the existing stockholders of FS Development. This resulted in stockholders owning 2,742,529 shares of Class A Common Stock committing not to transfer or redeem their shares through the closing of the Business Combination. During this process, several existing investors requested the ability to purchase additional shares in the PIPE Investment.</w:t>
      </w:r>
    </w:p>
    <w:p>
      <w:pPr>
        <w:spacing w:after="0" w:line="12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October 15, 2020, the parties entered into the Merger Agreement and FS Development entered into the subscription agreements for the PIPE Investment. On October 15, 2020, the parties issued a press release announcing the Business Combination.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Board’s Reasons for Approval of the Business Combination</w:t>
      </w:r>
    </w:p>
    <w:p>
      <w:pPr>
        <w:spacing w:after="0" w:line="148"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9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In particular, the Board considered the following positive factors, although not weighted or in any order of significance:</w:t>
      </w:r>
    </w:p>
    <w:p>
      <w:pPr>
        <w:spacing w:after="0" w:line="103" w:lineRule="exact"/>
        <w:rPr>
          <w:sz w:val="20"/>
          <w:szCs w:val="20"/>
          <w:color w:val="auto"/>
        </w:rPr>
      </w:pPr>
    </w:p>
    <w:p>
      <w:pPr>
        <w:jc w:val="both"/>
        <w:ind w:left="1320" w:right="459" w:hanging="434"/>
        <w:spacing w:after="0" w:line="269" w:lineRule="auto"/>
        <w:tabs>
          <w:tab w:leader="none" w:pos="1527" w:val="left"/>
        </w:tabs>
        <w:numPr>
          <w:ilvl w:val="0"/>
          <w:numId w:val="1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Pioneering precision medicine approach targeting trial enrichment with genetically-defined patients. </w:t>
      </w:r>
      <w:r>
        <w:rPr>
          <w:rFonts w:ascii="Arial" w:cs="Arial" w:eastAsia="Arial" w:hAnsi="Arial"/>
          <w:sz w:val="17"/>
          <w:szCs w:val="17"/>
          <w:color w:val="auto"/>
        </w:rPr>
        <w:t>Gemini’s lead program, GEM103, targets a genetically-defined subset of age-related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macular degeneration (“</w:t>
      </w:r>
      <w:r>
        <w:rPr>
          <w:rFonts w:ascii="Arial" w:cs="Arial" w:eastAsia="Arial" w:hAnsi="Arial"/>
          <w:sz w:val="17"/>
          <w:szCs w:val="17"/>
          <w:b w:val="1"/>
          <w:bCs w:val="1"/>
          <w:color w:val="auto"/>
        </w:rPr>
        <w:t>AMD</w:t>
      </w:r>
      <w:r>
        <w:rPr>
          <w:rFonts w:ascii="Arial" w:cs="Arial" w:eastAsia="Arial" w:hAnsi="Arial"/>
          <w:sz w:val="17"/>
          <w:szCs w:val="17"/>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04" w:lineRule="exact"/>
        <w:rPr>
          <w:rFonts w:ascii="Arial" w:cs="Arial" w:eastAsia="Arial" w:hAnsi="Arial"/>
          <w:sz w:val="17"/>
          <w:szCs w:val="17"/>
          <w:color w:val="auto"/>
        </w:rPr>
      </w:pPr>
    </w:p>
    <w:p>
      <w:pPr>
        <w:jc w:val="both"/>
        <w:ind w:left="1320" w:right="459" w:hanging="434"/>
        <w:spacing w:after="0" w:line="269" w:lineRule="auto"/>
        <w:tabs>
          <w:tab w:leader="none" w:pos="1459" w:val="left"/>
        </w:tabs>
        <w:numPr>
          <w:ilvl w:val="0"/>
          <w:numId w:val="1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Supporting Phase 1 study data in advanced dry AMD patients. </w:t>
      </w:r>
      <w:r>
        <w:rPr>
          <w:rFonts w:ascii="Arial" w:cs="Arial" w:eastAsia="Arial" w:hAnsi="Arial"/>
          <w:sz w:val="17"/>
          <w:szCs w:val="17"/>
          <w:color w:val="auto"/>
        </w:rPr>
        <w:t>Gemini conducted a single-ascending dose Phase 1 study to assess the safety of GEM103 in advanced dry AMD patients. In Gemini’s Phase 1 study, — GEM103 was well tolerated, with no adverse drug reactions, no ocular inflammation, no anti-drug antibodies, and no dose-limiting toxicities, when dosed up to 500 micrograms as a single intravitreal dose. In addition to meeting the primary endpoint of safety, the Phase 1 study data support the mechanism of action of the drug in the ocular compartment, as evidenced by sustained supraphysiological CFH levels, and apparent reductions in a pro-inflammatory biomarker related to complement activation in several subjects. The Board thus believes Gemini is well positioned for the ongoing Phase 2a trial to demonstrate multiple dose safety and tolerability to support initiation of pivotal trials in genetically-defined dry AMD patients; exploratory endpoints may provide additional biomarker signals or in those patients with bilateral dry AMD, initial evidence of a clinical benefit.</w:t>
      </w:r>
    </w:p>
    <w:p>
      <w:pPr>
        <w:spacing w:after="0" w:line="111" w:lineRule="exact"/>
        <w:rPr>
          <w:rFonts w:ascii="Arial" w:cs="Arial" w:eastAsia="Arial" w:hAnsi="Arial"/>
          <w:sz w:val="17"/>
          <w:szCs w:val="17"/>
          <w:color w:val="auto"/>
        </w:rPr>
      </w:pPr>
    </w:p>
    <w:p>
      <w:pPr>
        <w:jc w:val="both"/>
        <w:ind w:left="1320" w:right="459" w:hanging="434"/>
        <w:spacing w:after="0" w:line="257" w:lineRule="auto"/>
        <w:tabs>
          <w:tab w:leader="none" w:pos="1594" w:val="left"/>
        </w:tabs>
        <w:numPr>
          <w:ilvl w:val="0"/>
          <w:numId w:val="1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Better understood biology, with some de-risking of GEM103 development. </w:t>
      </w:r>
      <w:r>
        <w:rPr>
          <w:rFonts w:ascii="Arial" w:cs="Arial" w:eastAsia="Arial" w:hAnsi="Arial"/>
          <w:sz w:val="18"/>
          <w:szCs w:val="18"/>
          <w:color w:val="auto"/>
        </w:rPr>
        <w:t>GEM103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recombinant and functionally identical to endogenous complement factor H. As endogenous proteins generally have better understood biological functions and are generally considered to be associated with lower safety risks, the Board believes GEM103 has a lower risk than non-endogenous proteins of failing to show</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75" w:lineRule="auto"/>
        <w:rPr>
          <w:sz w:val="20"/>
          <w:szCs w:val="20"/>
          <w:color w:val="auto"/>
        </w:rPr>
      </w:pPr>
      <w:r>
        <w:rPr>
          <w:rFonts w:ascii="Arial" w:cs="Arial" w:eastAsia="Arial" w:hAnsi="Arial"/>
          <w:sz w:val="17"/>
          <w:szCs w:val="17"/>
          <w:color w:val="auto"/>
        </w:rPr>
        <w:t>efficacy, for example when targeting patients with loss-of-function CFH variants, and has a lower risk of rare unexpected safety issues due to the endogenous nature of CFH. In addition, given also the GEM103 Phase 1 safety, pharmacokinetic and exploratory biomarker data, the Board believes Gemini’s lead program has seen some de-risking ahead of receipt of GEM103 Phase 2a trial data, which are expected in the first half of 2021.</w:t>
      </w:r>
    </w:p>
    <w:p>
      <w:pPr>
        <w:spacing w:after="0" w:line="109" w:lineRule="exact"/>
        <w:rPr>
          <w:sz w:val="20"/>
          <w:szCs w:val="20"/>
          <w:color w:val="auto"/>
        </w:rPr>
      </w:pPr>
    </w:p>
    <w:p>
      <w:pPr>
        <w:jc w:val="both"/>
        <w:ind w:left="1320" w:right="459" w:hanging="434"/>
        <w:spacing w:after="0" w:line="273" w:lineRule="auto"/>
        <w:tabs>
          <w:tab w:leader="none" w:pos="1419" w:val="left"/>
        </w:tabs>
        <w:numPr>
          <w:ilvl w:val="0"/>
          <w:numId w:val="1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Vast market opportunity in dry AMD. </w:t>
      </w:r>
      <w:r>
        <w:rPr>
          <w:rFonts w:ascii="Arial" w:cs="Arial" w:eastAsia="Arial" w:hAnsi="Arial"/>
          <w:sz w:val="17"/>
          <w:szCs w:val="17"/>
          <w:color w:val="auto"/>
        </w:rPr>
        <w:t>Third-party reports indicate there are approximately 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10" w:lineRule="exact"/>
        <w:rPr>
          <w:rFonts w:ascii="Arial" w:cs="Arial" w:eastAsia="Arial" w:hAnsi="Arial"/>
          <w:sz w:val="17"/>
          <w:szCs w:val="17"/>
          <w:color w:val="auto"/>
        </w:rPr>
      </w:pPr>
    </w:p>
    <w:p>
      <w:pPr>
        <w:jc w:val="both"/>
        <w:ind w:left="1320" w:right="459" w:hanging="434"/>
        <w:spacing w:after="0" w:line="255" w:lineRule="auto"/>
        <w:tabs>
          <w:tab w:leader="none" w:pos="1311" w:val="left"/>
        </w:tabs>
        <w:numPr>
          <w:ilvl w:val="0"/>
          <w:numId w:val="1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 to address an area of high unmet medical need. </w:t>
      </w:r>
      <w:r>
        <w:rPr>
          <w:rFonts w:ascii="Arial" w:cs="Arial" w:eastAsia="Arial" w:hAnsi="Arial"/>
          <w:sz w:val="18"/>
          <w:szCs w:val="18"/>
          <w:color w:val="auto"/>
        </w:rPr>
        <w:t>Dry AMD, Gemini’s lead indication,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11" w:lineRule="exact"/>
        <w:rPr>
          <w:rFonts w:ascii="Arial" w:cs="Arial" w:eastAsia="Arial" w:hAnsi="Arial"/>
          <w:sz w:val="18"/>
          <w:szCs w:val="18"/>
          <w:color w:val="auto"/>
        </w:rPr>
      </w:pPr>
    </w:p>
    <w:p>
      <w:pPr>
        <w:jc w:val="both"/>
        <w:ind w:left="1320" w:right="459" w:hanging="434"/>
        <w:spacing w:after="0" w:line="286" w:lineRule="auto"/>
        <w:tabs>
          <w:tab w:leader="none" w:pos="1473" w:val="left"/>
        </w:tabs>
        <w:numPr>
          <w:ilvl w:val="0"/>
          <w:numId w:val="1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screening. </w:t>
      </w:r>
      <w:r>
        <w:rPr>
          <w:rFonts w:ascii="Arial" w:cs="Arial" w:eastAsia="Arial" w:hAnsi="Arial"/>
          <w:sz w:val="17"/>
          <w:szCs w:val="17"/>
          <w:color w:val="auto"/>
        </w:rPr>
        <w:t>Gemini has a proprietary genetic screening process that enables it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identify genetically-defined dry AMD patients who may be most likely to benefit from GEM103. The Board believes this proprietary approach provides a competitive advantage to Gemini.</w:t>
      </w:r>
    </w:p>
    <w:p>
      <w:pPr>
        <w:spacing w:after="0" w:line="97" w:lineRule="exact"/>
        <w:rPr>
          <w:rFonts w:ascii="Arial" w:cs="Arial" w:eastAsia="Arial" w:hAnsi="Arial"/>
          <w:sz w:val="17"/>
          <w:szCs w:val="17"/>
          <w:color w:val="auto"/>
        </w:rPr>
      </w:pPr>
    </w:p>
    <w:p>
      <w:pPr>
        <w:jc w:val="both"/>
        <w:ind w:left="1320" w:right="459" w:hanging="434"/>
        <w:spacing w:after="0" w:line="289" w:lineRule="auto"/>
        <w:tabs>
          <w:tab w:leader="none" w:pos="1446" w:val="left"/>
        </w:tabs>
        <w:numPr>
          <w:ilvl w:val="0"/>
          <w:numId w:val="1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Multiple pipeline opportunities led by a Phase 2a clinical stage program. </w:t>
      </w:r>
      <w:r>
        <w:rPr>
          <w:rFonts w:ascii="Arial" w:cs="Arial" w:eastAsia="Arial" w:hAnsi="Arial"/>
          <w:sz w:val="16"/>
          <w:szCs w:val="16"/>
          <w:color w:val="auto"/>
        </w:rPr>
        <w:t>Gemini’s pipeline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multiple programs that include lead clinical candidate GEM103 in both dry and wet AMD, plus additional programs in a AMD, plus one preclinical program in a systemic renal indication. The Board believes that the data generated in Gemini’s Phase 1 study of GEM103 demonstrate sustained supraphysiologic 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Arial" w:cs="Arial" w:eastAsia="Arial" w:hAnsi="Arial"/>
          <w:sz w:val="16"/>
          <w:szCs w:val="16"/>
          <w:b w:val="1"/>
          <w:bCs w:val="1"/>
          <w:color w:val="auto"/>
        </w:rPr>
        <w:t>anti-VEGF</w:t>
      </w:r>
      <w:r>
        <w:rPr>
          <w:rFonts w:ascii="Arial" w:cs="Arial" w:eastAsia="Arial" w:hAnsi="Arial"/>
          <w:sz w:val="16"/>
          <w:szCs w:val="16"/>
          <w:color w:val="auto"/>
        </w:rPr>
        <w:t>”) treated wet AMD with concomitant geographic atrophy.</w:t>
      </w:r>
    </w:p>
    <w:p>
      <w:pPr>
        <w:spacing w:after="0" w:line="98" w:lineRule="exact"/>
        <w:rPr>
          <w:rFonts w:ascii="Arial" w:cs="Arial" w:eastAsia="Arial" w:hAnsi="Arial"/>
          <w:sz w:val="16"/>
          <w:szCs w:val="16"/>
          <w:color w:val="auto"/>
        </w:rPr>
      </w:pPr>
    </w:p>
    <w:p>
      <w:pPr>
        <w:jc w:val="both"/>
        <w:ind w:left="1320" w:right="459" w:hanging="434"/>
        <w:spacing w:after="0" w:line="257" w:lineRule="auto"/>
        <w:tabs>
          <w:tab w:leader="none" w:pos="1405" w:val="left"/>
        </w:tabs>
        <w:numPr>
          <w:ilvl w:val="0"/>
          <w:numId w:val="1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Diversified risk profile from multimodality approach. </w:t>
      </w:r>
      <w:r>
        <w:rPr>
          <w:rFonts w:ascii="Arial" w:cs="Arial" w:eastAsia="Arial" w:hAnsi="Arial"/>
          <w:sz w:val="18"/>
          <w:szCs w:val="18"/>
          <w:color w:val="auto"/>
        </w:rPr>
        <w:t>Gemini’s therapeutic candidates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recombinant proteins, adeno-associated virus- (“</w:t>
      </w:r>
      <w:r>
        <w:rPr>
          <w:rFonts w:ascii="Arial" w:cs="Arial" w:eastAsia="Arial" w:hAnsi="Arial"/>
          <w:sz w:val="18"/>
          <w:szCs w:val="18"/>
          <w:b w:val="1"/>
          <w:bCs w:val="1"/>
          <w:color w:val="auto"/>
        </w:rPr>
        <w:t>AAV</w:t>
      </w:r>
      <w:r>
        <w:rPr>
          <w:rFonts w:ascii="Arial" w:cs="Arial" w:eastAsia="Arial" w:hAnsi="Arial"/>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06" w:lineRule="exact"/>
        <w:rPr>
          <w:rFonts w:ascii="Arial" w:cs="Arial" w:eastAsia="Arial" w:hAnsi="Arial"/>
          <w:sz w:val="18"/>
          <w:szCs w:val="18"/>
          <w:color w:val="auto"/>
        </w:rPr>
      </w:pPr>
    </w:p>
    <w:p>
      <w:pPr>
        <w:jc w:val="both"/>
        <w:ind w:left="1320" w:right="459" w:hanging="434"/>
        <w:spacing w:after="0" w:line="271" w:lineRule="auto"/>
        <w:tabs>
          <w:tab w:leader="none" w:pos="1311" w:val="left"/>
        </w:tabs>
        <w:numPr>
          <w:ilvl w:val="0"/>
          <w:numId w:val="1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Near-term catalysts. </w:t>
      </w:r>
      <w:r>
        <w:rPr>
          <w:rFonts w:ascii="Arial" w:cs="Arial" w:eastAsia="Arial" w:hAnsi="Arial"/>
          <w:sz w:val="17"/>
          <w:szCs w:val="17"/>
          <w:color w:val="auto"/>
        </w:rPr>
        <w:t>Gemini has initiated a Phase 2a trial of GEM103 in dry AMD and anticipates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multiple dose clinical safety, tolerability and exploratory biomarker data in the first half of 2021. In addition, Gemini is currently conducting investigational new drug (“</w:t>
      </w:r>
      <w:r>
        <w:rPr>
          <w:rFonts w:ascii="Arial" w:cs="Arial" w:eastAsia="Arial" w:hAnsi="Arial"/>
          <w:sz w:val="17"/>
          <w:szCs w:val="17"/>
          <w:b w:val="1"/>
          <w:bCs w:val="1"/>
          <w:color w:val="auto"/>
        </w:rPr>
        <w:t>IND</w:t>
      </w:r>
      <w:r>
        <w:rPr>
          <w:rFonts w:ascii="Arial" w:cs="Arial" w:eastAsia="Arial" w:hAnsi="Arial"/>
          <w:sz w:val="17"/>
          <w:szCs w:val="17"/>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10" w:lineRule="exact"/>
        <w:rPr>
          <w:rFonts w:ascii="Arial" w:cs="Arial" w:eastAsia="Arial" w:hAnsi="Arial"/>
          <w:sz w:val="17"/>
          <w:szCs w:val="17"/>
          <w:color w:val="auto"/>
        </w:rPr>
      </w:pPr>
    </w:p>
    <w:p>
      <w:pPr>
        <w:ind w:left="1320" w:right="479" w:hanging="434"/>
        <w:spacing w:after="0" w:line="277" w:lineRule="auto"/>
        <w:tabs>
          <w:tab w:leader="none" w:pos="1378" w:val="left"/>
        </w:tabs>
        <w:numPr>
          <w:ilvl w:val="0"/>
          <w:numId w:val="1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The Board believes that Gemini has a proven and experienced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that will effectively lead the company after the Business Combination.</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500" w:val="left"/>
        </w:tabs>
        <w:numPr>
          <w:ilvl w:val="0"/>
          <w:numId w:val="1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Backed by top-tier healthcare investors. </w:t>
      </w:r>
      <w:r>
        <w:rPr>
          <w:rFonts w:ascii="Arial" w:cs="Arial" w:eastAsia="Arial" w:hAnsi="Arial"/>
          <w:sz w:val="18"/>
          <w:szCs w:val="18"/>
          <w:color w:val="auto"/>
        </w:rPr>
        <w:t>Gemini’s existing investors include Atlas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Lightstone Ventures, OrbiMed, and Wu Capital, who we believe provide additional validation to Gemini’s clinical and business strategies.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86" w:val="left"/>
        </w:tabs>
        <w:numPr>
          <w:ilvl w:val="0"/>
          <w:numId w:val="1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analysis conducted by FS Development. </w:t>
      </w:r>
      <w:r>
        <w:rPr>
          <w:rFonts w:ascii="Arial" w:cs="Arial" w:eastAsia="Arial" w:hAnsi="Arial"/>
          <w:sz w:val="18"/>
          <w:szCs w:val="18"/>
          <w:color w:val="auto"/>
        </w:rPr>
        <w:t>The financial analysis conducted by FS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Development’s management team and reviewed by the Board supported the equity valuation of Gemini.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Merger Agreement</w:t>
      </w:r>
    </w:p>
    <w:p>
      <w:pPr>
        <w:spacing w:after="0" w:line="14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 xml:space="preserve">The subsections that follow this subsection describe the material provisions of the Merger Agreement, but do not purport to describe all of the terms of the Merger Agreement. The following summary is qualified in its entirety by reference to the complete text of the Merger Agreement, a copy of which is attached as </w:t>
      </w:r>
      <w:r>
        <w:rPr>
          <w:rFonts w:ascii="Arial" w:cs="Arial" w:eastAsia="Arial" w:hAnsi="Arial"/>
          <w:sz w:val="16"/>
          <w:szCs w:val="16"/>
          <w:i w:val="1"/>
          <w:iCs w:val="1"/>
          <w:u w:val="single" w:color="auto"/>
          <w:color w:val="auto"/>
        </w:rPr>
        <w:t>Annex A</w:t>
      </w:r>
      <w:r>
        <w:rPr>
          <w:rFonts w:ascii="Arial" w:cs="Arial" w:eastAsia="Arial" w:hAnsi="Arial"/>
          <w:sz w:val="16"/>
          <w:szCs w:val="16"/>
          <w:color w:val="auto"/>
        </w:rPr>
        <w:t xml:space="preserve"> hereto, which is incorporated herein by reference. Stockholders and other interested parties are urged to read the Merger Agreement carefully and in its entirety (and, if appropriate, with the advice of financial and legal counsel) because it is the primary legal document that governs the Business Combination.</w:t>
      </w:r>
    </w:p>
    <w:p>
      <w:pPr>
        <w:spacing w:after="0" w:line="9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Merger Agreement contains representations, warranties and covenants that the respective parties made to each other as of the date of the Merger Agreement or other specific dates, which may be updated prior to the Closing.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stockholders.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Gemini; Merger Consideration</w:t>
      </w:r>
    </w:p>
    <w:p>
      <w:pPr>
        <w:spacing w:after="0" w:line="154"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color w:val="auto"/>
        </w:rPr>
        <w:t>Upon the Closing, Merger Sub will merge with and into Gemini (the “</w:t>
      </w:r>
      <w:r>
        <w:rPr>
          <w:rFonts w:ascii="Arial" w:cs="Arial" w:eastAsia="Arial" w:hAnsi="Arial"/>
          <w:sz w:val="18"/>
          <w:szCs w:val="18"/>
          <w:b w:val="1"/>
          <w:bCs w:val="1"/>
          <w:color w:val="auto"/>
        </w:rPr>
        <w:t>Merger</w:t>
      </w:r>
      <w:r>
        <w:rPr>
          <w:rFonts w:ascii="Arial" w:cs="Arial" w:eastAsia="Arial" w:hAnsi="Arial"/>
          <w:sz w:val="18"/>
          <w:szCs w:val="18"/>
          <w:color w:val="auto"/>
        </w:rPr>
        <w:t>”) with Gemini surviving the Merger as a wholly owned subsidiary of FS Development.</w:t>
      </w:r>
    </w:p>
    <w:p>
      <w:pPr>
        <w:spacing w:after="0" w:line="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a result of the Business Combination, subject to potential reduction for indemnification claims as described below, an aggregate number of shares equal to the Closing Payment Shares will be issued (or reserved for issuance pursuant to currently exercisable options or warrants) in respect of shares of Gemini capital stock, and options and warrants to purchase shares of Gemini capital stock, in each case, issued and outstanding immediately prior to the Closing. Each holder of Gemini Stock will receive its Pro Rata Portion of the Merger Consideration.</w:t>
      </w:r>
    </w:p>
    <w:p>
      <w:pPr>
        <w:spacing w:after="0" w:line="1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parties agreed that immediately following the closing of the Business Combination, the Combined Entity’s board of directors will consist of no more than seven directors, one of which will be designated by the Sponsor and six of which will be designated by Gemini.</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Approval</w:t>
      </w:r>
    </w:p>
    <w:p>
      <w:pPr>
        <w:spacing w:after="0" w:line="15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Prior to the Closing, the affirmative vote of holders of a majority of the outstanding shares of FS Development Common Stock, voting together as a single class, attending a stockholder’s meeting (at which there is a quorum) must approve the transactions contemplated by the Merger Agreement (the “</w:t>
      </w:r>
      <w:r>
        <w:rPr>
          <w:rFonts w:ascii="Arial" w:cs="Arial" w:eastAsia="Arial" w:hAnsi="Arial"/>
          <w:sz w:val="17"/>
          <w:szCs w:val="17"/>
          <w:b w:val="1"/>
          <w:bCs w:val="1"/>
          <w:color w:val="auto"/>
        </w:rPr>
        <w:t>Stockholder Approval</w:t>
      </w:r>
      <w:r>
        <w:rPr>
          <w:rFonts w:ascii="Arial" w:cs="Arial" w:eastAsia="Arial" w:hAnsi="Arial"/>
          <w:sz w:val="17"/>
          <w:szCs w:val="17"/>
          <w:color w:val="auto"/>
        </w:rPr>
        <w:t>”). In connection with obtaining the Stockholder Approval, FS Development must call a special meeting of its common stockholders and must prepare and file with the SEC a Proxy Statement on Schedule 14A, which will be mailed to all stockholders entitled to vote at the meeting.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In the Merger Agreement, Gemini makes certain representations and warranties (with certain exceptions set forth in the disclosure schedule to the Merger Agreement) relating to, among other things: (a) proper corporate organization of Gemini and similar corporate matters; (b) authorization, execution, delivery and enforceability of the Merger Agreement and other transaction documents; (c) absence of conflicts; (d) capital structure;</w:t>
      </w:r>
    </w:p>
    <w:p>
      <w:pPr>
        <w:spacing w:after="0" w:line="1" w:lineRule="exact"/>
        <w:rPr>
          <w:sz w:val="20"/>
          <w:szCs w:val="20"/>
          <w:color w:val="auto"/>
        </w:rPr>
      </w:pPr>
    </w:p>
    <w:p>
      <w:pPr>
        <w:jc w:val="both"/>
        <w:ind w:left="460" w:right="459" w:hanging="6"/>
        <w:spacing w:after="0" w:line="281" w:lineRule="auto"/>
        <w:tabs>
          <w:tab w:leader="none" w:pos="72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accuracy of corporate records; (f) affiliate transactions; (g) required consents and approvals; (h) financial information; (i) absence of certain changes or events; (j) title to assets and properties; (k) material contracts;</w:t>
      </w:r>
    </w:p>
    <w:p>
      <w:pPr>
        <w:spacing w:after="0" w:line="1" w:lineRule="exact"/>
        <w:rPr>
          <w:rFonts w:ascii="Arial" w:cs="Arial" w:eastAsia="Arial" w:hAnsi="Arial"/>
          <w:sz w:val="16"/>
          <w:szCs w:val="16"/>
          <w:color w:val="auto"/>
        </w:rPr>
      </w:pPr>
    </w:p>
    <w:p>
      <w:pPr>
        <w:ind w:left="680" w:hanging="226"/>
        <w:spacing w:after="0"/>
        <w:tabs>
          <w:tab w:leader="none" w:pos="6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insurance; (m) licenses and permits; (n) compliance with laws, including those relating to foreign corrupt</w:t>
      </w:r>
    </w:p>
    <w:p>
      <w:pPr>
        <w:spacing w:after="0" w:line="21" w:lineRule="exact"/>
        <w:rPr>
          <w:sz w:val="20"/>
          <w:szCs w:val="20"/>
          <w:color w:val="auto"/>
        </w:rPr>
      </w:pPr>
    </w:p>
    <w:p>
      <w:pPr>
        <w:jc w:val="center"/>
        <w:spacing w:after="0"/>
        <w:tabs>
          <w:tab w:leader="none" w:pos="120" w:val="left"/>
          <w:tab w:leader="none" w:pos="120" w:val="left"/>
          <w:tab w:leader="none" w:pos="120" w:val="left"/>
          <w:tab w:leader="none" w:pos="120" w:val="left"/>
          <w:tab w:leader="none" w:pos="120" w:val="left"/>
          <w:tab w:leader="none" w:pos="120" w:val="left"/>
          <w:tab w:leader="none" w:pos="120" w:val="left"/>
          <w:tab w:leader="none" w:pos="120" w:val="left"/>
          <w:tab w:leader="none" w:pos="120" w:val="left"/>
          <w:tab w:leader="none" w:pos="120" w:val="left"/>
          <w:tab w:leader="none" w:pos="120" w:val="left"/>
          <w:tab w:leader="none" w:pos="140" w:val="left"/>
        </w:tabs>
        <w:rPr>
          <w:sz w:val="20"/>
          <w:szCs w:val="20"/>
          <w:color w:val="auto"/>
        </w:rPr>
      </w:pPr>
      <w:r>
        <w:rPr>
          <w:rFonts w:ascii="Arial" w:cs="Arial" w:eastAsia="Arial" w:hAnsi="Arial"/>
          <w:sz w:val="18"/>
          <w:szCs w:val="18"/>
          <w:color w:val="auto"/>
        </w:rPr>
        <w:t>practices</w:t>
        <w:tab/>
        <w:t>and</w:t>
        <w:tab/>
        <w:t>money</w:t>
        <w:tab/>
        <w:t>laundering;</w:t>
        <w:tab/>
        <w:t>(o)</w:t>
        <w:tab/>
        <w:t>FDA</w:t>
        <w:tab/>
        <w:t>and</w:t>
        <w:tab/>
        <w:t>other</w:t>
        <w:tab/>
        <w:t>regulatory</w:t>
        <w:tab/>
        <w:t>matters;</w:t>
        <w:tab/>
        <w:t>(p)</w:t>
        <w:tab/>
        <w:t>intellectual</w:t>
      </w:r>
      <w:r>
        <w:rPr>
          <w:sz w:val="20"/>
          <w:szCs w:val="20"/>
          <w:color w:val="auto"/>
        </w:rPr>
        <w:tab/>
      </w:r>
      <w:r>
        <w:rPr>
          <w:rFonts w:ascii="Arial" w:cs="Arial" w:eastAsia="Arial" w:hAnsi="Arial"/>
          <w:sz w:val="16"/>
          <w:szCs w:val="16"/>
          <w:color w:val="auto"/>
        </w:rPr>
        <w:t>property;</w:t>
      </w:r>
    </w:p>
    <w:p>
      <w:pPr>
        <w:spacing w:after="0" w:line="9" w:lineRule="exact"/>
        <w:rPr>
          <w:sz w:val="20"/>
          <w:szCs w:val="20"/>
          <w:color w:val="auto"/>
        </w:rPr>
      </w:pPr>
    </w:p>
    <w:p>
      <w:pPr>
        <w:ind w:left="720" w:hanging="266"/>
        <w:spacing w:after="0"/>
        <w:tabs>
          <w:tab w:leader="none" w:pos="7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employment and labor matters; (r) taxes and audits; (s) environmental matters; (t) brokers and finders; and</w:t>
      </w:r>
    </w:p>
    <w:p>
      <w:pPr>
        <w:spacing w:after="0" w:line="32" w:lineRule="exact"/>
        <w:rPr>
          <w:rFonts w:ascii="Arial" w:cs="Arial" w:eastAsia="Arial" w:hAnsi="Arial"/>
          <w:sz w:val="16"/>
          <w:szCs w:val="16"/>
          <w:color w:val="auto"/>
        </w:rPr>
      </w:pPr>
    </w:p>
    <w:p>
      <w:pPr>
        <w:ind w:left="700" w:hanging="246"/>
        <w:spacing w:after="0"/>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other customary representations and warranties.</w:t>
      </w:r>
    </w:p>
    <w:p>
      <w:pPr>
        <w:spacing w:after="0" w:line="14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the Merger Agreement, FS Development makes certain representations and warranties relating to, among other things: (a) proper corporate organization and similar corporate matters; (b) authorization, execution, delivery and enforceability of the Merger Agreement and other transaction documents; (c) brokers and finders;</w:t>
      </w:r>
    </w:p>
    <w:p>
      <w:pPr>
        <w:spacing w:after="0" w:line="2" w:lineRule="exact"/>
        <w:rPr>
          <w:sz w:val="20"/>
          <w:szCs w:val="20"/>
          <w:color w:val="auto"/>
        </w:rPr>
      </w:pPr>
    </w:p>
    <w:p>
      <w:pPr>
        <w:ind w:left="740" w:hanging="286"/>
        <w:spacing w:after="0"/>
        <w:tabs>
          <w:tab w:leader="none" w:pos="7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capital structure; (e) validity of share issuance; (f) minimum trust fund amount; (g) Nasdaq listing; and</w:t>
      </w:r>
    </w:p>
    <w:p>
      <w:pPr>
        <w:spacing w:after="0" w:line="20" w:lineRule="exact"/>
        <w:rPr>
          <w:rFonts w:ascii="Arial" w:cs="Arial" w:eastAsia="Arial" w:hAnsi="Arial"/>
          <w:sz w:val="17"/>
          <w:szCs w:val="17"/>
          <w:color w:val="auto"/>
        </w:rPr>
      </w:pPr>
    </w:p>
    <w:p>
      <w:pPr>
        <w:ind w:left="700" w:hanging="246"/>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SEC filing requirements.</w:t>
      </w:r>
    </w:p>
    <w:p>
      <w:pPr>
        <w:sectPr>
          <w:pgSz w:w="11900" w:h="16838" w:orient="portrait"/>
          <w:cols w:equalWidth="0" w:num="1">
            <w:col w:w="9019"/>
          </w:cols>
          <w:pgMar w:left="1440" w:top="274"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4" w:name="page115"/>
    <w:bookmarkEnd w:id="11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Conduct Prior to Closing; Covenants</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Merger Agreement contains certain customary covenants of FS Development and Gemini, including, among others, each of FS Development and Gemini having agreed to (i) operate its business in the ordinary course prior to the closing of the Business Combination (with certain exceptions) and (ii) use its commercially reasonable efforts to preserve intact its business relationships with employees, clients, suppliers, contract manufacturing organizations, contract research organizations and other third parties. Each party has also agreed not to take certain specified actions without the prior written consent of the other party.</w:t>
      </w:r>
    </w:p>
    <w:p>
      <w:pPr>
        <w:spacing w:after="0" w:line="9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addition, FS Development has agreed to adopt the Equity Incentive Plan as described elsewhere in this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Conditions</w:t>
      </w:r>
    </w:p>
    <w:p>
      <w:pPr>
        <w:spacing w:after="0" w:line="15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obligation of FS Development and Gemini to consummate the Business Combination is conditioned on, among other things, (a) the absence of any order, stay, judgment or decree by any government agency restraining or prohibiting or imposing any condition on the closing of the Business Combination; (b) all necessary governmental approvals having been obtained; (c) the absence of any litigation brought by a governmental agency seeking to enjoin or otherwise restrict the Closing; (d) FS Development shall not have redeemed Public Shares in an amount that would cause it to have net tangible assets of less than $5,000,001; and (e) each of FS Development and Gemini shall have obtained the approval of its stockholders.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Gemini’s Conditions to Closing</w:t>
      </w:r>
    </w:p>
    <w:p>
      <w:pPr>
        <w:spacing w:after="0" w:line="14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The obligations of Gemini to consummate the transactions contemplated by the Merger Agreement, in addition to the conditions described above, are conditioned upon, among other things, each of the following:</w:t>
      </w:r>
    </w:p>
    <w:p>
      <w:pPr>
        <w:spacing w:after="0" w:line="56" w:lineRule="exact"/>
        <w:rPr>
          <w:sz w:val="20"/>
          <w:szCs w:val="20"/>
          <w:color w:val="auto"/>
        </w:rPr>
      </w:pPr>
    </w:p>
    <w:p>
      <w:pPr>
        <w:jc w:val="both"/>
        <w:ind w:left="1320" w:right="459" w:hanging="434"/>
        <w:spacing w:after="0" w:line="279" w:lineRule="auto"/>
        <w:tabs>
          <w:tab w:leader="none" w:pos="136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FS Development and Merger Sub shall each have duly performed or complied with, in all material respects, all of its respective obligations under the Merger Agreement required to be performed or complied with (without giving effect to any materiality or similar qualifiers contained therein) by FS Development or Merger Sub, as applicable, at or prior to the Closing Date.</w:t>
      </w:r>
    </w:p>
    <w:p>
      <w:pPr>
        <w:spacing w:after="0" w:line="103" w:lineRule="exact"/>
        <w:rPr>
          <w:rFonts w:ascii="Arial" w:cs="Arial" w:eastAsia="Arial" w:hAnsi="Arial"/>
          <w:sz w:val="17"/>
          <w:szCs w:val="17"/>
          <w:color w:val="auto"/>
        </w:rPr>
      </w:pPr>
    </w:p>
    <w:p>
      <w:pPr>
        <w:jc w:val="both"/>
        <w:ind w:left="1320" w:right="459" w:hanging="434"/>
        <w:spacing w:after="0" w:line="287" w:lineRule="auto"/>
        <w:tabs>
          <w:tab w:leader="none" w:pos="141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representations and warranties of FS Development and Merger Sub contained in the Merger Agreement (disregarding all qualifications contained therein relating to materiality or Material Adverse Effect (as defined in the Merger Agreement)), other than the representations and warranties of FS Development and Merger Sub regarding corporate existence and power, authorization and finder’s fees, shall have been true and correct as of the date of the Merger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FS Development or on FS Development’s ability to consummate the transactions contemplated by the Merger Agreement and other specified agreements.</w:t>
      </w:r>
    </w:p>
    <w:p>
      <w:pPr>
        <w:spacing w:after="0" w:line="90" w:lineRule="exact"/>
        <w:rPr>
          <w:rFonts w:ascii="Arial" w:cs="Arial" w:eastAsia="Arial" w:hAnsi="Arial"/>
          <w:sz w:val="16"/>
          <w:szCs w:val="16"/>
          <w:color w:val="auto"/>
        </w:rPr>
      </w:pPr>
    </w:p>
    <w:p>
      <w:pPr>
        <w:jc w:val="both"/>
        <w:ind w:left="1320" w:right="459" w:hanging="434"/>
        <w:spacing w:after="0" w:line="291" w:lineRule="auto"/>
        <w:tabs>
          <w:tab w:leader="none" w:pos="156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representations and warranties of FS Development and Merger Sub regarding corporate existence and power, authorization and finder’s fees (disregarding all qualifications and exceptions contained therein relating to materiality or Material Adverse Effect) shall have been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98" w:lineRule="exact"/>
        <w:rPr>
          <w:rFonts w:ascii="Arial" w:cs="Arial" w:eastAsia="Arial" w:hAnsi="Arial"/>
          <w:sz w:val="16"/>
          <w:szCs w:val="16"/>
          <w:color w:val="auto"/>
        </w:rPr>
      </w:pPr>
    </w:p>
    <w:p>
      <w:pPr>
        <w:ind w:left="1320" w:right="479" w:hanging="434"/>
        <w:spacing w:after="0" w:line="277" w:lineRule="auto"/>
        <w:tabs>
          <w:tab w:leader="none" w:pos="13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Proposed Charter shall have been filed with, and declared effective by, the Delaware Secretary of State.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size and composition of the post-Closing board of directors shall have been appointed as set forth in Section 2.7 of the Merger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4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Aggregate Transaction Proceeds (as defined in the Merger Agreement) shall be equal to or greater than $170,000,000.</w:t>
      </w:r>
    </w:p>
    <w:p>
      <w:pPr>
        <w:spacing w:after="0" w:line="102" w:lineRule="exact"/>
        <w:rPr>
          <w:rFonts w:ascii="Arial" w:cs="Arial" w:eastAsia="Arial" w:hAnsi="Arial"/>
          <w:sz w:val="18"/>
          <w:szCs w:val="18"/>
          <w:color w:val="auto"/>
        </w:rPr>
      </w:pPr>
    </w:p>
    <w:p>
      <w:pPr>
        <w:jc w:val="both"/>
        <w:ind w:left="1320" w:right="459" w:hanging="434"/>
        <w:spacing w:after="0" w:line="273" w:lineRule="auto"/>
        <w:tabs>
          <w:tab w:leader="none" w:pos="155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FS Development’s initial listing application with Nasdaq in connection with the transactions contemplated by the Merger Agreement shall have been conditionally approved and, immediately following the effective time of the Merger, FS Development shall satisfy any applicable initial and continuing listing requirements of Nasdaq, and FS Development shall not have received any notice of non-compliance therewith, and the Closing Payment Shares (as defined in the Merger Agreement) shall have been approved for listing on Nasdaq.</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FS Development’s Conditions to Closing</w:t>
      </w:r>
    </w:p>
    <w:p>
      <w:pPr>
        <w:spacing w:after="0" w:line="15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obligations of FS Development to consummate the transactions contemplated by the Merger Agreement, in addition to the conditions described above in the first paragraph of this section, are conditioned upon, among other things, each of the following:</w:t>
      </w:r>
    </w:p>
    <w:p>
      <w:pPr>
        <w:spacing w:after="0" w:line="103" w:lineRule="exact"/>
        <w:rPr>
          <w:sz w:val="20"/>
          <w:szCs w:val="20"/>
          <w:color w:val="auto"/>
        </w:rPr>
      </w:pPr>
    </w:p>
    <w:p>
      <w:pPr>
        <w:jc w:val="both"/>
        <w:ind w:left="1320" w:right="479" w:hanging="434"/>
        <w:spacing w:after="0" w:line="286" w:lineRule="auto"/>
        <w:tabs>
          <w:tab w:leader="none" w:pos="139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Gemini shall have duly performed or complied with, in all material respects, all of its obligations under the Merger Agreement required to be performed or complied with (without giving effect to any materiality or similar qualifiers contained therein) by Gemini at or prior to the Closing Date.</w:t>
      </w:r>
    </w:p>
    <w:p>
      <w:pPr>
        <w:spacing w:after="0" w:line="97" w:lineRule="exact"/>
        <w:rPr>
          <w:rFonts w:ascii="Arial" w:cs="Arial" w:eastAsia="Arial" w:hAnsi="Arial"/>
          <w:sz w:val="17"/>
          <w:szCs w:val="17"/>
          <w:color w:val="auto"/>
        </w:rPr>
      </w:pPr>
    </w:p>
    <w:p>
      <w:pPr>
        <w:jc w:val="both"/>
        <w:ind w:left="1320" w:right="459" w:hanging="434"/>
        <w:spacing w:after="0" w:line="269" w:lineRule="auto"/>
        <w:tabs>
          <w:tab w:leader="none" w:pos="135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representations and warranties of Gemini contained in the Merger Agreement (disregarding all qualifications and exceptions contained therein relating to materiality or Material Adverse Effect), other than the representations and warranties of Gemini regarding corporate existence and power, authorization and finder’s fees, shall be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14" w:lineRule="exact"/>
        <w:rPr>
          <w:rFonts w:ascii="Arial" w:cs="Arial" w:eastAsia="Arial" w:hAnsi="Arial"/>
          <w:sz w:val="17"/>
          <w:szCs w:val="17"/>
          <w:color w:val="auto"/>
        </w:rPr>
      </w:pPr>
    </w:p>
    <w:p>
      <w:pPr>
        <w:jc w:val="both"/>
        <w:ind w:left="1320" w:right="459" w:hanging="434"/>
        <w:spacing w:after="0" w:line="272" w:lineRule="auto"/>
        <w:tabs>
          <w:tab w:leader="none" w:pos="172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representations and warranties of Gemini regarding corporate existence and power, authorization and finder’s fees, (disregarding all qualifications and exceptions contained therein relating to materiality or Material Adverse Effect) shall be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96" w:lineRule="exact"/>
        <w:rPr>
          <w:rFonts w:ascii="Arial" w:cs="Arial" w:eastAsia="Arial" w:hAnsi="Arial"/>
          <w:sz w:val="17"/>
          <w:szCs w:val="17"/>
          <w:color w:val="auto"/>
        </w:rPr>
      </w:pPr>
    </w:p>
    <w:p>
      <w:pPr>
        <w:ind w:left="1320" w:right="479" w:hanging="434"/>
        <w:spacing w:after="0" w:line="277" w:lineRule="auto"/>
        <w:tabs>
          <w:tab w:leader="none" w:pos="152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There shall not have been a Material Adverse Effect of Gemini since the date of the Merger Agreement that is continuing.</w:t>
      </w:r>
    </w:p>
    <w:p>
      <w:pPr>
        <w:spacing w:after="0" w:line="102" w:lineRule="exact"/>
        <w:rPr>
          <w:rFonts w:ascii="Arial" w:cs="Arial" w:eastAsia="Arial" w:hAnsi="Arial"/>
          <w:sz w:val="18"/>
          <w:szCs w:val="18"/>
          <w:color w:val="auto"/>
        </w:rPr>
      </w:pPr>
    </w:p>
    <w:p>
      <w:pPr>
        <w:jc w:val="both"/>
        <w:ind w:left="1320" w:right="479" w:hanging="434"/>
        <w:spacing w:after="0" w:line="286" w:lineRule="auto"/>
        <w:tabs>
          <w:tab w:leader="none" w:pos="140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Not more than three percent (3%) of the issued and outstanding shares of Gemini common stock (including shares of Gemini common stock issuable upon conversion of Gemini preferred stock) shall continue Dissenting Shares (as defined in the Merger Agreement).</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Gemini shall have obtained specified consents from third parties.</w:t>
      </w:r>
    </w:p>
    <w:p>
      <w:pPr>
        <w:spacing w:after="0" w:line="144" w:lineRule="exact"/>
        <w:rPr>
          <w:rFonts w:ascii="Arial" w:cs="Arial" w:eastAsia="Arial" w:hAnsi="Arial"/>
          <w:sz w:val="18"/>
          <w:szCs w:val="18"/>
          <w:color w:val="auto"/>
        </w:rPr>
      </w:pPr>
    </w:p>
    <w:p>
      <w:pPr>
        <w:jc w:val="both"/>
        <w:ind w:left="1320" w:right="459" w:hanging="434"/>
        <w:spacing w:after="0" w:line="257" w:lineRule="auto"/>
        <w:tabs>
          <w:tab w:leader="none" w:pos="152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Gemini shall have obtained the consent of the holders of outstanding awards under Gemini’s existing equity incentive plans, to ensure that no more than five percent (5%) of the outstanding equity and equity-based awards under Gemini’s existing equity incentive plans accelerate in connection with the consummation of the Merger or otherwise as a result of the transactions contemplated by the Merger Agreement.</w:t>
      </w:r>
    </w:p>
    <w:p>
      <w:pPr>
        <w:spacing w:after="0" w:line="120"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Gemini shall have delivered to FS Development copies of a lockup agreement duly executed by specified persons.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14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From and after the Closing, holders of shares of Gemini capital stock (collectively, the “</w:t>
      </w:r>
      <w:r>
        <w:rPr>
          <w:rFonts w:ascii="Arial" w:cs="Arial" w:eastAsia="Arial" w:hAnsi="Arial"/>
          <w:sz w:val="18"/>
          <w:szCs w:val="18"/>
          <w:b w:val="1"/>
          <w:bCs w:val="1"/>
          <w:color w:val="auto"/>
        </w:rPr>
        <w:t>Escrow Participants</w:t>
      </w:r>
      <w:r>
        <w:rPr>
          <w:rFonts w:ascii="Arial" w:cs="Arial" w:eastAsia="Arial" w:hAnsi="Arial"/>
          <w:sz w:val="18"/>
          <w:szCs w:val="18"/>
          <w:color w:val="auto"/>
        </w:rPr>
        <w:t>”) have agreed to indemnify and hold harmless FS Development, its officers, directors and affiliates and their respective successors and permitted assigns against and in respect of any and all out-of-pocket losses incurred or sustained by FS Development as a result of: (a) any breach or inaccuracy of any of the representations, warranties set forth in Article V of the Merger Agreement (as modified by the schedules to the Merger Agreement) or in a specified certificate delivered by Gemini to FS Development at closing, in each case as of the Closing Date or such other date as expressly set forth in such representation or warranty, and (b) any breach or nonfulfillment of any covenants of Gemini contained in the Merger Agreement to be performed at or prior to the Closing Date.</w:t>
      </w:r>
    </w:p>
    <w:p>
      <w:pPr>
        <w:spacing w:after="0" w:line="12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Two Million One Hundred Fifty Thousand (2,150,000) of the shares of FS Development Class A Common Stock otherwise issuable to (or reserved for issuance for) the Escrow Participants at the Closing shall be deposited into a third party escrow account (the “</w:t>
      </w:r>
      <w:r>
        <w:rPr>
          <w:rFonts w:ascii="Arial" w:cs="Arial" w:eastAsia="Arial" w:hAnsi="Arial"/>
          <w:sz w:val="16"/>
          <w:szCs w:val="16"/>
          <w:b w:val="1"/>
          <w:bCs w:val="1"/>
          <w:color w:val="auto"/>
        </w:rPr>
        <w:t>Escrow Shares</w:t>
      </w:r>
      <w:r>
        <w:rPr>
          <w:rFonts w:ascii="Arial" w:cs="Arial" w:eastAsia="Arial" w:hAnsi="Arial"/>
          <w:sz w:val="16"/>
          <w:szCs w:val="16"/>
          <w:color w:val="auto"/>
        </w:rPr>
        <w:t>”). FS Development’s sole and exclusive remedy for such losses under the Merger Agreement shall be the recovery of a number of Escrow Shares from the then remaining Escrow Shares having a value equal to the losses that have been finally determined to be owing to FS Development in accordance with Article XI of the Merger Agreement (at an assumed value equal to the greater of: (a) $10.00 per share and (b) the volume weighted average price of the FS Development Class A Common Stock for the ten (10) trading days ending on the trading day immediately preceding the Closing Date (the “</w:t>
      </w:r>
      <w:r>
        <w:rPr>
          <w:rFonts w:ascii="Arial" w:cs="Arial" w:eastAsia="Arial" w:hAnsi="Arial"/>
          <w:sz w:val="16"/>
          <w:szCs w:val="16"/>
          <w:b w:val="1"/>
          <w:bCs w:val="1"/>
          <w:color w:val="auto"/>
        </w:rPr>
        <w:t>Escrow Share Value</w:t>
      </w:r>
      <w:r>
        <w:rPr>
          <w:rFonts w:ascii="Arial" w:cs="Arial" w:eastAsia="Arial" w:hAnsi="Arial"/>
          <w:sz w:val="16"/>
          <w:szCs w:val="16"/>
          <w:color w:val="auto"/>
        </w:rPr>
        <w:t>”)), in each case, subject to the limitations set forth in Article XI of the Merger Agreement, including the Indemnifiable Loss Limit (as defined below).</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w:t>
      </w:r>
    </w:p>
    <w:p>
      <w:pPr>
        <w:spacing w:after="0" w:line="144" w:lineRule="exact"/>
        <w:rPr>
          <w:sz w:val="20"/>
          <w:szCs w:val="20"/>
          <w:color w:val="auto"/>
        </w:rPr>
      </w:pPr>
    </w:p>
    <w:p>
      <w:pPr>
        <w:jc w:val="both"/>
        <w:ind w:left="1320" w:right="479" w:hanging="434"/>
        <w:spacing w:after="0" w:line="259" w:lineRule="auto"/>
        <w:tabs>
          <w:tab w:leader="none" w:pos="14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maximum liability of the Escrow Participants under the Merger Agreement or otherwise in connection with the transactions contemplated by the Merger Agreement shall in no event exceed an amount equal to: (i) the Escrow Share Value, multiplied by (ii) the Escrow Shares (the “</w:t>
      </w:r>
      <w:r>
        <w:rPr>
          <w:rFonts w:ascii="Arial" w:cs="Arial" w:eastAsia="Arial" w:hAnsi="Arial"/>
          <w:sz w:val="18"/>
          <w:szCs w:val="18"/>
          <w:b w:val="1"/>
          <w:bCs w:val="1"/>
          <w:color w:val="auto"/>
        </w:rPr>
        <w:t>Indemnifiable Loss Limit</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jc w:val="both"/>
        <w:ind w:left="1320" w:right="459" w:hanging="434"/>
        <w:spacing w:after="0" w:line="257" w:lineRule="auto"/>
        <w:tabs>
          <w:tab w:leader="none" w:pos="14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FS Development shall not be entitled to indemnification pursuant to Section 11.1 of the Merger Agreement unless and until the aggregate amount of losses to FS Development equal at least $1,612,500 (the “</w:t>
      </w:r>
      <w:r>
        <w:rPr>
          <w:rFonts w:ascii="Arial" w:cs="Arial" w:eastAsia="Arial" w:hAnsi="Arial"/>
          <w:sz w:val="18"/>
          <w:szCs w:val="18"/>
          <w:b w:val="1"/>
          <w:bCs w:val="1"/>
          <w:color w:val="auto"/>
        </w:rPr>
        <w:t>Basket</w:t>
      </w:r>
      <w:r>
        <w:rPr>
          <w:rFonts w:ascii="Arial" w:cs="Arial" w:eastAsia="Arial" w:hAnsi="Arial"/>
          <w:sz w:val="18"/>
          <w:szCs w:val="18"/>
          <w:color w:val="auto"/>
        </w:rPr>
        <w:t>”), at which time, subject to the other limitations set forth in the Merger Agreement, FS Development shall be entitled to indemnification for any losses above the Basket, subject to the Indemnifiable Loss Limit.</w:t>
      </w:r>
    </w:p>
    <w:p>
      <w:pPr>
        <w:spacing w:after="0" w:line="120" w:lineRule="exact"/>
        <w:rPr>
          <w:rFonts w:ascii="Arial" w:cs="Arial" w:eastAsia="Arial" w:hAnsi="Arial"/>
          <w:sz w:val="18"/>
          <w:szCs w:val="18"/>
          <w:color w:val="auto"/>
        </w:rPr>
      </w:pPr>
    </w:p>
    <w:p>
      <w:pPr>
        <w:jc w:val="both"/>
        <w:ind w:left="1320" w:right="459" w:hanging="434"/>
        <w:spacing w:after="0" w:line="259" w:lineRule="auto"/>
        <w:tabs>
          <w:tab w:leader="none" w:pos="139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Escrow Participants shall have no liability or obligation to indemnify FS Development under the Merger Agreement with respect to the breach or inaccuracy of any representation or warranty based on any matter, fact or circumstance known by FS Development as of the date of the Merger Agreement.</w:t>
      </w:r>
    </w:p>
    <w:p>
      <w:pPr>
        <w:spacing w:after="0" w:line="105" w:lineRule="exact"/>
        <w:rPr>
          <w:rFonts w:ascii="Arial" w:cs="Arial" w:eastAsia="Arial" w:hAnsi="Arial"/>
          <w:sz w:val="18"/>
          <w:szCs w:val="18"/>
          <w:color w:val="auto"/>
        </w:rPr>
      </w:pPr>
    </w:p>
    <w:p>
      <w:pPr>
        <w:jc w:val="both"/>
        <w:ind w:left="1320" w:right="459" w:hanging="434"/>
        <w:spacing w:after="0" w:line="275" w:lineRule="auto"/>
        <w:tabs>
          <w:tab w:leader="none" w:pos="137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Nothing in the Merger Agreement will (i) limit the parties’ rights to seek injunctive relief or other equitable remedies, (ii) prevent FS Development from bringing an action for fraud (with scienter) against the Person who committed such fraud (with scienter) or (iii) limit the right of any person or entity to pursue remedies under any other agreement entered into in connection with the transactions contemplated by the Merger Agreement against the parties thereto.</w:t>
      </w:r>
    </w:p>
    <w:p>
      <w:pPr>
        <w:spacing w:after="0" w:line="10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indemnification to which FS Development is entitled from the Escrow Participants pursuant to Section 11.1 of the Merger Agreement for losses shall be effective so long as it is asserted prior to the expiration of the twelve (12) month anniversary of the Closing date (the “</w:t>
      </w:r>
      <w:r>
        <w:rPr>
          <w:rFonts w:ascii="Arial" w:cs="Arial" w:eastAsia="Arial" w:hAnsi="Arial"/>
          <w:sz w:val="17"/>
          <w:szCs w:val="17"/>
          <w:b w:val="1"/>
          <w:bCs w:val="1"/>
          <w:color w:val="auto"/>
        </w:rPr>
        <w:t>Survival Period</w:t>
      </w:r>
      <w:r>
        <w:rPr>
          <w:rFonts w:ascii="Arial" w:cs="Arial" w:eastAsia="Arial" w:hAnsi="Arial"/>
          <w:sz w:val="17"/>
          <w:szCs w:val="17"/>
          <w:color w:val="auto"/>
        </w:rPr>
        <w:t>”); provided, that in the event that any indemnification notice shall have been given by FS Development in accordance with the provisions of the Merger Agreement (each, an “</w:t>
      </w:r>
      <w:r>
        <w:rPr>
          <w:rFonts w:ascii="Arial" w:cs="Arial" w:eastAsia="Arial" w:hAnsi="Arial"/>
          <w:sz w:val="17"/>
          <w:szCs w:val="17"/>
          <w:b w:val="1"/>
          <w:bCs w:val="1"/>
          <w:color w:val="auto"/>
        </w:rPr>
        <w:t>Indemnification Notice</w:t>
      </w:r>
      <w:r>
        <w:rPr>
          <w:rFonts w:ascii="Arial" w:cs="Arial" w:eastAsia="Arial" w:hAnsi="Arial"/>
          <w:sz w:val="17"/>
          <w:szCs w:val="17"/>
          <w:color w:val="auto"/>
        </w:rPr>
        <w:t>”) prior to the expiration of the Survival Period and such claim has not been finally resolved by the expiration of the Survival Period, the representations, warranties, covenants, agreements or obligations that are the subject of such Indemnification Notice shall survive solely for purposes of resolving such claim until such matters are finally resolved.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may be terminated at any time prior to the Closing by:</w:t>
      </w:r>
    </w:p>
    <w:p>
      <w:pPr>
        <w:spacing w:after="0" w:line="158" w:lineRule="exact"/>
        <w:rPr>
          <w:sz w:val="20"/>
          <w:szCs w:val="20"/>
          <w:color w:val="auto"/>
        </w:rPr>
      </w:pPr>
    </w:p>
    <w:p>
      <w:pPr>
        <w:jc w:val="both"/>
        <w:ind w:left="1320" w:right="459" w:hanging="434"/>
        <w:spacing w:after="0" w:line="259" w:lineRule="auto"/>
        <w:tabs>
          <w:tab w:leader="none" w:pos="141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FS Development or Gemini, in the event (i) a governmental authority shall have issued an order, having the effect of permanently restraining, enjoining or otherwise prohibiting the Merger, which order is final and non-appealable or (ii) any applicable law is in effect making the consummation of the Merger illegal.</w:t>
      </w:r>
    </w:p>
    <w:p>
      <w:pPr>
        <w:spacing w:after="0" w:line="119" w:lineRule="exact"/>
        <w:rPr>
          <w:rFonts w:ascii="Arial" w:cs="Arial" w:eastAsia="Arial" w:hAnsi="Arial"/>
          <w:sz w:val="18"/>
          <w:szCs w:val="18"/>
          <w:color w:val="auto"/>
        </w:rPr>
      </w:pPr>
    </w:p>
    <w:p>
      <w:pPr>
        <w:jc w:val="both"/>
        <w:ind w:left="1320" w:right="459" w:hanging="434"/>
        <w:spacing w:after="0" w:line="275" w:lineRule="auto"/>
        <w:tabs>
          <w:tab w:leader="none" w:pos="147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FS Development or Gemini, if the Closing has not occurred on or prior to April 15, 2021 (the “</w:t>
      </w:r>
      <w:r>
        <w:rPr>
          <w:rFonts w:ascii="Arial" w:cs="Arial" w:eastAsia="Arial" w:hAnsi="Arial"/>
          <w:sz w:val="17"/>
          <w:szCs w:val="17"/>
          <w:b w:val="1"/>
          <w:bCs w:val="1"/>
          <w:color w:val="auto"/>
        </w:rPr>
        <w:t>Outside Closing Date</w:t>
      </w:r>
      <w:r>
        <w:rPr>
          <w:rFonts w:ascii="Arial" w:cs="Arial" w:eastAsia="Arial" w:hAnsi="Arial"/>
          <w:sz w:val="17"/>
          <w:szCs w:val="17"/>
          <w:color w:val="auto"/>
        </w:rPr>
        <w:t>”); provided, that if the SEC has not declared FS Development’s proxy statement effective on or prior to January 15, 2021, the Outside Closing Date shall be automatically extended to May 15, 2021; provided, further, that FS Development or Gemini, as applicable, is not in material breach of any of its obligations under the Merger Agreement; or</w:t>
      </w:r>
    </w:p>
    <w:p>
      <w:pPr>
        <w:spacing w:after="0" w:line="95" w:lineRule="exact"/>
        <w:rPr>
          <w:rFonts w:ascii="Arial" w:cs="Arial" w:eastAsia="Arial" w:hAnsi="Arial"/>
          <w:sz w:val="17"/>
          <w:szCs w:val="17"/>
          <w:color w:val="auto"/>
        </w:rPr>
      </w:pPr>
    </w:p>
    <w:p>
      <w:pPr>
        <w:jc w:val="both"/>
        <w:ind w:left="1320" w:right="459" w:hanging="434"/>
        <w:spacing w:after="0" w:line="254" w:lineRule="auto"/>
        <w:tabs>
          <w:tab w:leader="none" w:pos="145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FS Development, if: (i) Gemini shall have breached any representation, warranty, agreement or covenant contained in the Merger Agreement to be performed on or prior to the Closing Date, which has rendered or would render the satisfaction of any of the conditions set forth in Section 10.2 of the Merger Agreement impossible; and (ii) such breach cannot be cured or is not cured by the earlier of the Outside Closing Date and thirty (30) days following receipt by the breaching party of a written notice from the non-breaching party describing in reasonable detail the nature of such breach.</w:t>
      </w:r>
    </w:p>
    <w:p>
      <w:pPr>
        <w:spacing w:after="0" w:line="127" w:lineRule="exact"/>
        <w:rPr>
          <w:rFonts w:ascii="Arial" w:cs="Arial" w:eastAsia="Arial" w:hAnsi="Arial"/>
          <w:sz w:val="18"/>
          <w:szCs w:val="18"/>
          <w:color w:val="auto"/>
        </w:rPr>
      </w:pPr>
    </w:p>
    <w:p>
      <w:pPr>
        <w:jc w:val="both"/>
        <w:ind w:left="1320" w:right="459" w:hanging="434"/>
        <w:spacing w:after="0" w:line="272" w:lineRule="auto"/>
        <w:tabs>
          <w:tab w:leader="none" w:pos="140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FS Development, if: Gemini has not delivered evidence of the Gemini stockholders’ approval by written consent of the Merger Agreement and the transactions contemplated thereby to FS Development by no later than two business days following the effective date of this proxy statement (the “</w:t>
      </w:r>
      <w:r>
        <w:rPr>
          <w:rFonts w:ascii="Arial" w:cs="Arial" w:eastAsia="Arial" w:hAnsi="Arial"/>
          <w:sz w:val="17"/>
          <w:szCs w:val="17"/>
          <w:b w:val="1"/>
          <w:bCs w:val="1"/>
          <w:color w:val="auto"/>
        </w:rPr>
        <w:t>Gemini Stockholder Approval Termination Right</w:t>
      </w:r>
      <w:r>
        <w:rPr>
          <w:rFonts w:ascii="Arial" w:cs="Arial" w:eastAsia="Arial" w:hAnsi="Arial"/>
          <w:sz w:val="17"/>
          <w:szCs w:val="17"/>
          <w:color w:val="auto"/>
        </w:rPr>
        <w:t>”); provided, that FS Development shall not be permitted to terminate the Merger Agreement pursuant to the Gemini Stockholder Approval Right at any time (A) prior to two business days following the effective date of this proxy statement or (B) after such evidence has been delivered to FS Development.</w:t>
      </w:r>
    </w:p>
    <w:p>
      <w:pPr>
        <w:spacing w:after="0" w:line="109" w:lineRule="exact"/>
        <w:rPr>
          <w:rFonts w:ascii="Arial" w:cs="Arial" w:eastAsia="Arial" w:hAnsi="Arial"/>
          <w:sz w:val="17"/>
          <w:szCs w:val="17"/>
          <w:color w:val="auto"/>
        </w:rPr>
      </w:pPr>
    </w:p>
    <w:p>
      <w:pPr>
        <w:jc w:val="both"/>
        <w:ind w:left="1320" w:right="459" w:hanging="434"/>
        <w:spacing w:after="0" w:line="254" w:lineRule="auto"/>
        <w:tabs>
          <w:tab w:leader="none" w:pos="145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Gemini, if: (i) FS Development shall have breached any representation, warranty, agreement or covenant contained in the Merger Agreement to be performed on or prior to the Closing Date, which has rendered or would render the satisfaction of any of the conditions set forth in Section 10.3 of the Merger Agreement impossible; and (ii) such breach cannot be cured or is not cured by the earlier of the Outside Closing Date and thirty (30) days following receipt by FS Development of a written notice from Gemini describing in reasonable detail the nature of such breach.</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Ancillary Agreements Related to the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Subscription Agreements</w:t>
      </w:r>
    </w:p>
    <w:p>
      <w:pPr>
        <w:spacing w:after="0" w:line="144"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In connection with the Business Combination, FS Development entered into the Subscription Agreements with certain investors, including our Sponsor, pursuant to which, among other things, such investors have agreed to purchase immediately prior to the Closing, an aggregate of 9,506,000 shares of Class A Common Stock at a purchase price of $10.00 per share, for aggregate gross proceeds of $95,060,000. The obligations to consummate the subscriptions are conditioned upon, among other things, customary closing conditions.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Non-Redemption Agreements</w:t>
      </w:r>
    </w:p>
    <w:p>
      <w:pPr>
        <w:spacing w:after="0" w:line="158"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In connection with the execution of the Merger Agreement, certain stockholders of FS Development entered into non-redemption letter agreements with FS Development,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Gemini Support Agreements</w:t>
      </w:r>
    </w:p>
    <w:p>
      <w:pPr>
        <w:spacing w:after="0" w:line="154" w:lineRule="exact"/>
        <w:rPr>
          <w:sz w:val="20"/>
          <w:szCs w:val="20"/>
          <w:color w:val="auto"/>
        </w:rPr>
      </w:pPr>
    </w:p>
    <w:p>
      <w:pPr>
        <w:jc w:val="both"/>
        <w:ind w:left="460" w:right="459"/>
        <w:spacing w:after="0" w:line="258" w:lineRule="auto"/>
        <w:rPr>
          <w:sz w:val="20"/>
          <w:szCs w:val="20"/>
          <w:color w:val="auto"/>
        </w:rPr>
      </w:pPr>
      <w:r>
        <w:rPr>
          <w:rFonts w:ascii="Arial" w:cs="Arial" w:eastAsia="Arial" w:hAnsi="Arial"/>
          <w:sz w:val="18"/>
          <w:szCs w:val="18"/>
          <w:color w:val="auto"/>
        </w:rPr>
        <w:t>In connection with the execution of the Merger Agreement, certain Gemini stockholders (the “</w:t>
      </w:r>
      <w:r>
        <w:rPr>
          <w:rFonts w:ascii="Arial" w:cs="Arial" w:eastAsia="Arial" w:hAnsi="Arial"/>
          <w:sz w:val="18"/>
          <w:szCs w:val="18"/>
          <w:b w:val="1"/>
          <w:bCs w:val="1"/>
          <w:color w:val="auto"/>
        </w:rPr>
        <w:t>Gemini</w:t>
      </w:r>
      <w:r>
        <w:rPr>
          <w:rFonts w:ascii="Arial" w:cs="Arial" w:eastAsia="Arial" w:hAnsi="Arial"/>
          <w:sz w:val="18"/>
          <w:szCs w:val="18"/>
          <w:color w:val="auto"/>
        </w:rPr>
        <w:t xml:space="preserve"> </w:t>
      </w:r>
      <w:r>
        <w:rPr>
          <w:rFonts w:ascii="Arial" w:cs="Arial" w:eastAsia="Arial" w:hAnsi="Arial"/>
          <w:sz w:val="18"/>
          <w:szCs w:val="18"/>
          <w:b w:val="1"/>
          <w:bCs w:val="1"/>
          <w:color w:val="auto"/>
        </w:rPr>
        <w:t>Supporting Stockholders</w:t>
      </w:r>
      <w:r>
        <w:rPr>
          <w:rFonts w:ascii="Arial" w:cs="Arial" w:eastAsia="Arial" w:hAnsi="Arial"/>
          <w:sz w:val="18"/>
          <w:szCs w:val="18"/>
          <w:color w:val="auto"/>
        </w:rPr>
        <w:t>”) entered into support agreements with FS Development (the “</w:t>
      </w:r>
      <w:r>
        <w:rPr>
          <w:rFonts w:ascii="Arial" w:cs="Arial" w:eastAsia="Arial" w:hAnsi="Arial"/>
          <w:sz w:val="18"/>
          <w:szCs w:val="18"/>
          <w:b w:val="1"/>
          <w:bCs w:val="1"/>
          <w:color w:val="auto"/>
        </w:rPr>
        <w:t>Gemini Support Agreements</w:t>
      </w:r>
      <w:r>
        <w:rPr>
          <w:rFonts w:ascii="Arial" w:cs="Arial" w:eastAsia="Arial" w:hAnsi="Arial"/>
          <w:sz w:val="18"/>
          <w:szCs w:val="18"/>
          <w:color w:val="auto"/>
        </w:rPr>
        <w:t>”). Under the Gemini Support Agreements, each Gemini Supporting Stockholder agreed, as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as reasonably practicable (and in any event within two (2) business days) following the SEC declaring this proxy statement/prospectus effective, to execute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8" w:name="page119"/>
    <w:bookmarkEnd w:id="11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and deliver a written consent with respect to the outstanding shares of the Gemini Stock held by such Gemini Supporting Stockholder (the “</w:t>
      </w:r>
      <w:r>
        <w:rPr>
          <w:rFonts w:ascii="Arial" w:cs="Arial" w:eastAsia="Arial" w:hAnsi="Arial"/>
          <w:sz w:val="16"/>
          <w:szCs w:val="16"/>
          <w:b w:val="1"/>
          <w:bCs w:val="1"/>
          <w:color w:val="auto"/>
        </w:rPr>
        <w:t>Subject Gemini Shares</w:t>
      </w:r>
      <w:r>
        <w:rPr>
          <w:rFonts w:ascii="Arial" w:cs="Arial" w:eastAsia="Arial" w:hAnsi="Arial"/>
          <w:sz w:val="16"/>
          <w:szCs w:val="16"/>
          <w:color w:val="auto"/>
        </w:rPr>
        <w:t>”)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Business Combination (ii) against any alternative transaction; and (iii) 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(including any provisions of any such agreement that, by its terms, survive such termination), effective as of, and subject to and condition upon the occurrence of, the Closing. The Subject Gemini Shares owned by the Gemini Supporting Stockholders and subject to the Gemini Support Agreements represent over % of the outstanding voting power of Gemini Stock. In addition, the Gemini Support Agreements prohibit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foregoing.</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FS Development Support Agreements</w:t>
      </w:r>
    </w:p>
    <w:p>
      <w:pPr>
        <w:spacing w:after="0" w:line="15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the execution of the Merger Agreement, certain stockholders of FS Development (the “</w:t>
      </w:r>
      <w:r>
        <w:rPr>
          <w:rFonts w:ascii="Arial" w:cs="Arial" w:eastAsia="Arial" w:hAnsi="Arial"/>
          <w:sz w:val="17"/>
          <w:szCs w:val="17"/>
          <w:b w:val="1"/>
          <w:bCs w:val="1"/>
          <w:color w:val="auto"/>
        </w:rPr>
        <w:t>FS Development Supporting Stockholders</w:t>
      </w:r>
      <w:r>
        <w:rPr>
          <w:rFonts w:ascii="Arial" w:cs="Arial" w:eastAsia="Arial" w:hAnsi="Arial"/>
          <w:sz w:val="17"/>
          <w:szCs w:val="17"/>
          <w:color w:val="auto"/>
        </w:rPr>
        <w:t>”) entered into support agreements with FS Development, Gemini and the Sponsor (the “</w:t>
      </w:r>
      <w:r>
        <w:rPr>
          <w:rFonts w:ascii="Arial" w:cs="Arial" w:eastAsia="Arial" w:hAnsi="Arial"/>
          <w:sz w:val="17"/>
          <w:szCs w:val="17"/>
          <w:b w:val="1"/>
          <w:bCs w:val="1"/>
          <w:color w:val="auto"/>
        </w:rPr>
        <w:t>FS Development Support Agreements</w:t>
      </w:r>
      <w:r>
        <w:rPr>
          <w:rFonts w:ascii="Arial" w:cs="Arial" w:eastAsia="Arial" w:hAnsi="Arial"/>
          <w:sz w:val="17"/>
          <w:szCs w:val="17"/>
          <w:color w:val="auto"/>
        </w:rPr>
        <w:t>”). Under FS Development Support Agreements, each FS Development Supporting Stockholder agreed to vote, at any meeting of the stockholders of FS Development, and in any action by written consent of the stockholders of FS Development, all of such FS Development Supporting Stockholder’s FS Development Common Stock (i) in favor of the Merger Agreement, certain proposals requiring approval by the stockholders of FS Development in connection with Business Combination and the transactions contemplated by the Merger Agreement and FS Development Support Agreement, and (ii) in favor of any other matter reasonably necessary to the consummation of the transactions contemplated by the Merger Agreement and the approval of the Parent Proposals (as defined in the Merger Agreement). The shares of FS Development Common Stock owned by the FS Development Supporting Stockholders and subject to the FS Development Support Agreements represent over % of the outstanding voting power of FS Development Common Stock. In addition, FS Development Support Agreements prohibit FS Development Supporting Stockholders from, among other things, selling, assigning or transferring any FS Development Common Stock of FS Development held by FS Development Supporting Stockholders or taking any action that would prevent or disable FS Development Support Stockholders from performing its obligations thereunder.</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Registration Rights Agreement</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connection with the Closing, the initial stockholders and certain other stockholders will enter into a registration rights agreement with FS Development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certain lock-up period with respect to such registrable securities. The presence of these additional shares of common stock trading in the public market may have an adverse effect on the market price of the Combined Entity’s securities.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Agreement</w:t>
      </w:r>
    </w:p>
    <w:p>
      <w:pPr>
        <w:spacing w:after="0" w:line="144"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In connection with the Closing, the Sponsor, FS Development, certain stockholders of FS Development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w:t>
      </w:r>
      <w:r>
        <w:rPr>
          <w:rFonts w:ascii="Arial" w:cs="Arial" w:eastAsia="Arial" w:hAnsi="Arial"/>
          <w:sz w:val="20"/>
          <w:szCs w:val="20"/>
          <w:color w:val="auto"/>
          <w:vertAlign w:val="superscript"/>
        </w:rPr>
        <w:t>th</w:t>
      </w:r>
      <w:r>
        <w:rPr>
          <w:rFonts w:ascii="Arial" w:cs="Arial" w:eastAsia="Arial" w:hAnsi="Arial"/>
          <w:sz w:val="18"/>
          <w:szCs w:val="18"/>
          <w:color w:val="auto"/>
        </w:rPr>
        <w:t>) anniversary of the date of the voting agreement, subject to certain terms and holding requirements set forth therein.</w:t>
      </w:r>
    </w:p>
    <w:p>
      <w:pPr>
        <w:sectPr>
          <w:pgSz w:w="11900" w:h="16838" w:orient="portrait"/>
          <w:cols w:equalWidth="0" w:num="1">
            <w:col w:w="9019"/>
          </w:cols>
          <w:pgMar w:left="1440" w:top="274"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9" w:name="page120"/>
    <w:bookmarkEnd w:id="11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Lockup Agreement</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Classified Board of Directors</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09"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360"/>
              <w:spacing w:after="0"/>
              <w:rPr>
                <w:sz w:val="20"/>
                <w:szCs w:val="20"/>
                <w:color w:val="auto"/>
              </w:rPr>
            </w:pPr>
            <w:r>
              <w:rPr>
                <w:rFonts w:ascii="Arial" w:cs="Arial" w:eastAsia="Arial" w:hAnsi="Arial"/>
                <w:sz w:val="18"/>
                <w:szCs w:val="18"/>
                <w:color w:val="auto"/>
              </w:rPr>
              <w:t>the Class I directors will be</w:t>
            </w:r>
          </w:p>
        </w:tc>
        <w:tc>
          <w:tcPr>
            <w:tcW w:w="3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4000" w:type="dxa"/>
            <w:vAlign w:val="bottom"/>
          </w:tcPr>
          <w:p>
            <w:pPr>
              <w:jc w:val="right"/>
              <w:spacing w:after="0"/>
              <w:rPr>
                <w:sz w:val="20"/>
                <w:szCs w:val="20"/>
                <w:color w:val="auto"/>
              </w:rPr>
            </w:pPr>
            <w:r>
              <w:rPr>
                <w:rFonts w:ascii="Arial" w:cs="Arial" w:eastAsia="Arial" w:hAnsi="Arial"/>
                <w:sz w:val="18"/>
                <w:szCs w:val="18"/>
                <w:color w:val="auto"/>
                <w:w w:val="98"/>
              </w:rPr>
              <w:t>and their terms will expire at the annual meeting of</w:t>
            </w:r>
          </w:p>
        </w:tc>
      </w:tr>
      <w:tr>
        <w:trPr>
          <w:trHeight w:val="230"/>
        </w:trPr>
        <w:tc>
          <w:tcPr>
            <w:tcW w:w="24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w w:val="91"/>
              </w:rPr>
              <w:t>stockholders to be held in 2021;</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3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200"/>
              <w:spacing w:after="0"/>
              <w:rPr>
                <w:sz w:val="20"/>
                <w:szCs w:val="20"/>
                <w:color w:val="auto"/>
              </w:rPr>
            </w:pPr>
            <w:r>
              <w:rPr>
                <w:rFonts w:ascii="Arial" w:cs="Arial" w:eastAsia="Arial" w:hAnsi="Arial"/>
                <w:sz w:val="18"/>
                <w:szCs w:val="18"/>
                <w:color w:val="auto"/>
              </w:rPr>
              <w:t>the Class II directors will be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4000" w:type="dxa"/>
            <w:vAlign w:val="bottom"/>
          </w:tcPr>
          <w:p>
            <w:pPr>
              <w:jc w:val="right"/>
              <w:spacing w:after="0"/>
              <w:rPr>
                <w:sz w:val="20"/>
                <w:szCs w:val="20"/>
                <w:color w:val="auto"/>
              </w:rPr>
            </w:pPr>
            <w:r>
              <w:rPr>
                <w:rFonts w:ascii="Arial" w:cs="Arial" w:eastAsia="Arial" w:hAnsi="Arial"/>
                <w:sz w:val="18"/>
                <w:szCs w:val="18"/>
                <w:color w:val="auto"/>
                <w:w w:val="96"/>
              </w:rPr>
              <w:t>, and their terms will expire at the annual meeting of</w:t>
            </w:r>
          </w:p>
        </w:tc>
      </w:tr>
      <w:tr>
        <w:trPr>
          <w:trHeight w:val="230"/>
        </w:trPr>
        <w:tc>
          <w:tcPr>
            <w:tcW w:w="240" w:type="dxa"/>
            <w:vAlign w:val="bottom"/>
          </w:tcPr>
          <w:p>
            <w:pPr>
              <w:spacing w:after="0"/>
              <w:rPr>
                <w:sz w:val="20"/>
                <w:szCs w:val="20"/>
                <w:color w:val="auto"/>
              </w:rPr>
            </w:pP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w w:val="91"/>
              </w:rPr>
              <w:t>stockholders to be held in 2022; and</w:t>
            </w:r>
          </w:p>
        </w:tc>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180"/>
              <w:spacing w:after="0"/>
              <w:rPr>
                <w:sz w:val="20"/>
                <w:szCs w:val="20"/>
                <w:color w:val="auto"/>
              </w:rPr>
            </w:pPr>
            <w:r>
              <w:rPr>
                <w:rFonts w:ascii="Arial" w:cs="Arial" w:eastAsia="Arial" w:hAnsi="Arial"/>
                <w:sz w:val="18"/>
                <w:szCs w:val="18"/>
                <w:color w:val="auto"/>
              </w:rPr>
              <w:t>the Class III directors will be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 and</w:t>
            </w:r>
          </w:p>
        </w:tc>
        <w:tc>
          <w:tcPr>
            <w:tcW w:w="4000" w:type="dxa"/>
            <w:vAlign w:val="bottom"/>
          </w:tcPr>
          <w:p>
            <w:pPr>
              <w:jc w:val="right"/>
              <w:spacing w:after="0"/>
              <w:rPr>
                <w:sz w:val="20"/>
                <w:szCs w:val="20"/>
                <w:color w:val="auto"/>
              </w:rPr>
            </w:pPr>
            <w:r>
              <w:rPr>
                <w:rFonts w:ascii="Arial" w:cs="Arial" w:eastAsia="Arial" w:hAnsi="Arial"/>
                <w:sz w:val="18"/>
                <w:szCs w:val="18"/>
                <w:color w:val="auto"/>
                <w:w w:val="96"/>
              </w:rPr>
              <w:t>, and their terms will expire at the annual meeting of</w:t>
            </w:r>
          </w:p>
        </w:tc>
      </w:tr>
      <w:tr>
        <w:trPr>
          <w:trHeight w:val="230"/>
        </w:trPr>
        <w:tc>
          <w:tcPr>
            <w:tcW w:w="24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w w:val="91"/>
              </w:rPr>
              <w:t>stockholders to be held in 2023.</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p>
        </w:tc>
      </w:tr>
    </w:tbl>
    <w:p>
      <w:pPr>
        <w:spacing w:after="0" w:line="13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Satisfaction of 80% Test</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Board concluded that the Business Combination met all of the requirements disclosed in the prospectus for the FS Development IPO with respect to FS Development’s initial business combination, including that the Business Combination had a fair market value of at least 80% of the balance of the funds in the Trust Account at the time of execution of the Merger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Interests of FS Development’s Directors and Officers and Others in the Business Combination</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When you consider the recommendation of the Board in favor of approval of the Business Combination Proposal and the other proposals, you should keep in mind that the Sponsor and FS Development’s directors and officers, have interests in such proposals that are different from, or in addition to, your interests as a stockholder. These interests include, among other things:</w:t>
      </w:r>
    </w:p>
    <w:p>
      <w:pPr>
        <w:spacing w:after="0" w:line="119" w:lineRule="exact"/>
        <w:rPr>
          <w:sz w:val="20"/>
          <w:szCs w:val="20"/>
          <w:color w:val="auto"/>
        </w:rPr>
      </w:pPr>
    </w:p>
    <w:p>
      <w:pPr>
        <w:jc w:val="both"/>
        <w:ind w:left="1320" w:right="459" w:hanging="434"/>
        <w:spacing w:after="0" w:line="287" w:lineRule="auto"/>
        <w:tabs>
          <w:tab w:leader="none" w:pos="132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we are unable to complete our initial business combination by August 14, 2022,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the Board, liquidate and dissolve, subject in each case to our obligations under Delaware law to provide for claims of creditors and the requirements of other applicable law.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7" w:lineRule="auto"/>
        <w:tabs>
          <w:tab w:leader="none" w:pos="14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There will be no liquidating distributions from the Trust Account with respect to the Founders Shares if we fail to complete a business combination within the required period. Our initial stockholders purchased the Founders Shares prior to our initial public offering for an aggregate purchase price of $25,000. Upon the Closing, such Founders Shares will convert into 2,928,750 shares of Class A Common Stock.</w:t>
      </w:r>
    </w:p>
    <w:p>
      <w:pPr>
        <w:spacing w:after="0" w:line="120" w:lineRule="exact"/>
        <w:rPr>
          <w:rFonts w:ascii="Arial" w:cs="Arial" w:eastAsia="Arial" w:hAnsi="Arial"/>
          <w:sz w:val="18"/>
          <w:szCs w:val="18"/>
          <w:color w:val="auto"/>
        </w:rPr>
      </w:pPr>
    </w:p>
    <w:p>
      <w:pPr>
        <w:jc w:val="both"/>
        <w:ind w:left="1320" w:right="459" w:hanging="434"/>
        <w:spacing w:after="0" w:line="254" w:lineRule="auto"/>
        <w:tabs>
          <w:tab w:leader="none" w:pos="131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Simultaneously with the closing of its initial public offering, FS Development consummated the sale of 441,500 shares of its Class B Common Stock at a price of $10.00 per share in a private placement to the Sponsor. Upon the Closing of the Business Combination such shares will convert into 441,500 shares of Class A Common Stock. If we do not consummate a business combination transaction by August 14, 2022, then the proceeds from the sale of the private placement shares will be part of the liquidating distribution to the public stockholders and the shares held by our initial stockholders will be worthless.</w:t>
      </w:r>
    </w:p>
    <w:p>
      <w:pPr>
        <w:spacing w:after="0" w:line="127" w:lineRule="exact"/>
        <w:rPr>
          <w:rFonts w:ascii="Arial" w:cs="Arial" w:eastAsia="Arial" w:hAnsi="Arial"/>
          <w:sz w:val="18"/>
          <w:szCs w:val="18"/>
          <w:color w:val="auto"/>
        </w:rPr>
      </w:pPr>
    </w:p>
    <w:p>
      <w:pPr>
        <w:jc w:val="both"/>
        <w:ind w:left="1320" w:right="459" w:hanging="434"/>
        <w:spacing w:after="0" w:line="257" w:lineRule="auto"/>
        <w:tabs>
          <w:tab w:leader="none" w:pos="14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Sponsor and our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6" w:lineRule="exact"/>
        <w:rPr>
          <w:rFonts w:ascii="Arial" w:cs="Arial" w:eastAsia="Arial" w:hAnsi="Arial"/>
          <w:sz w:val="18"/>
          <w:szCs w:val="18"/>
          <w:color w:val="auto"/>
        </w:rPr>
      </w:pPr>
    </w:p>
    <w:p>
      <w:pPr>
        <w:jc w:val="both"/>
        <w:ind w:left="1320" w:right="479" w:hanging="434"/>
        <w:spacing w:after="0" w:line="263" w:lineRule="auto"/>
        <w:tabs>
          <w:tab w:leader="none" w:pos="159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Our initial stockholders and our officers and directors have agreed to waive their rights to liquidating distributions from the Trust Account with respect to their Founders Shares if FS Development fails to complete a business combination by August 14, 2022.</w:t>
      </w:r>
    </w:p>
    <w:p>
      <w:pPr>
        <w:spacing w:after="0" w:line="116" w:lineRule="exact"/>
        <w:rPr>
          <w:rFonts w:ascii="Arial" w:cs="Arial" w:eastAsia="Arial" w:hAnsi="Arial"/>
          <w:sz w:val="18"/>
          <w:szCs w:val="18"/>
          <w:color w:val="auto"/>
        </w:rPr>
      </w:pPr>
    </w:p>
    <w:p>
      <w:pPr>
        <w:jc w:val="both"/>
        <w:ind w:left="1320" w:right="479" w:hanging="434"/>
        <w:spacing w:after="0" w:line="291" w:lineRule="auto"/>
        <w:tabs>
          <w:tab w:leader="none" w:pos="141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98" w:lineRule="exact"/>
        <w:rPr>
          <w:rFonts w:ascii="Arial" w:cs="Arial" w:eastAsia="Arial" w:hAnsi="Arial"/>
          <w:sz w:val="16"/>
          <w:szCs w:val="16"/>
          <w:color w:val="auto"/>
        </w:rPr>
      </w:pPr>
    </w:p>
    <w:p>
      <w:pPr>
        <w:jc w:val="both"/>
        <w:ind w:left="1320" w:right="459" w:hanging="434"/>
        <w:spacing w:after="0" w:line="293" w:lineRule="auto"/>
        <w:tabs>
          <w:tab w:leader="none" w:pos="135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83" w:lineRule="exact"/>
        <w:rPr>
          <w:rFonts w:ascii="Arial" w:cs="Arial" w:eastAsia="Arial" w:hAnsi="Arial"/>
          <w:sz w:val="16"/>
          <w:szCs w:val="16"/>
          <w:color w:val="auto"/>
        </w:rPr>
      </w:pPr>
    </w:p>
    <w:p>
      <w:pPr>
        <w:ind w:left="1320" w:right="479" w:hanging="434"/>
        <w:spacing w:after="0" w:line="277" w:lineRule="auto"/>
        <w:tabs>
          <w:tab w:leader="none" w:pos="14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Following the Closing, we will continue to indemnify our existing directors and officers and will maintain a directors’ and officers’ liability insurance policy.</w:t>
      </w:r>
    </w:p>
    <w:p>
      <w:pPr>
        <w:spacing w:after="0" w:line="102" w:lineRule="exact"/>
        <w:rPr>
          <w:rFonts w:ascii="Arial" w:cs="Arial" w:eastAsia="Arial" w:hAnsi="Arial"/>
          <w:sz w:val="18"/>
          <w:szCs w:val="18"/>
          <w:color w:val="auto"/>
        </w:rPr>
      </w:pPr>
    </w:p>
    <w:p>
      <w:pPr>
        <w:jc w:val="both"/>
        <w:ind w:left="1320" w:right="459" w:hanging="434"/>
        <w:spacing w:after="0" w:line="254" w:lineRule="auto"/>
        <w:tabs>
          <w:tab w:leader="none" w:pos="139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Upon the Closing, subject to the terms and conditions of the Merger Agreement, the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Company Shares to be Issued in the Business Combination</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It is anticipated that, upon completion of the Business Combination, the Company’s public stockholders (other than investors in the PIPE Investment) will retain an ownership interest of approximately 26 % in the Combined Entity, the PIPE Investment investors will own approximately 21% of the outstanding common stock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This ownership interest assumes that no shares are elected to be redeemed.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and Uses for the Business Combination</w:t>
      </w:r>
    </w:p>
    <w:p>
      <w:pPr>
        <w:spacing w:after="0" w:line="144"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color w:val="auto"/>
        </w:rPr>
        <w:t>The following tables summarizes the sources and uses for funding the Business Combination based on (i) the assumption that there will be no redemptions and (ii) the assumption that there will be maximum redemptions.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No redemptions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2280" w:type="dxa"/>
            <w:vAlign w:val="bottom"/>
          </w:tcPr>
          <w:p>
            <w:pPr>
              <w:ind w:left="540"/>
              <w:spacing w:after="0"/>
              <w:rPr>
                <w:sz w:val="20"/>
                <w:szCs w:val="20"/>
                <w:color w:val="auto"/>
              </w:rPr>
            </w:pPr>
            <w:r>
              <w:rPr>
                <w:rFonts w:ascii="Arial" w:cs="Arial" w:eastAsia="Arial" w:hAnsi="Arial"/>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Arial" w:cs="Arial" w:eastAsia="Arial" w:hAnsi="Arial"/>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Existing Cash in Trust Account</w:t>
            </w: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120,750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7"/>
              </w:rPr>
              <w:t>Gemini Equityholders’ Retained Equity Value</w:t>
            </w: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gridSpan w:val="2"/>
          </w:tcPr>
          <w:p>
            <w:pPr>
              <w:spacing w:after="0"/>
              <w:rPr>
                <w:sz w:val="20"/>
                <w:szCs w:val="20"/>
                <w:color w:val="auto"/>
              </w:rPr>
            </w:pPr>
            <w:r>
              <w:rPr>
                <w:rFonts w:ascii="Arial" w:cs="Arial" w:eastAsia="Arial" w:hAnsi="Arial"/>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95,060</w:t>
            </w:r>
          </w:p>
        </w:tc>
        <w:tc>
          <w:tcPr>
            <w:tcW w:w="3180" w:type="dxa"/>
            <w:vAlign w:val="bottom"/>
          </w:tcPr>
          <w:p>
            <w:pPr>
              <w:ind w:left="60"/>
              <w:spacing w:after="0"/>
              <w:rPr>
                <w:sz w:val="20"/>
                <w:szCs w:val="20"/>
                <w:color w:val="auto"/>
              </w:rPr>
            </w:pPr>
            <w:r>
              <w:rPr>
                <w:rFonts w:ascii="Arial" w:cs="Arial" w:eastAsia="Arial" w:hAnsi="Arial"/>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196,360</w:t>
            </w:r>
          </w:p>
        </w:tc>
        <w:tc>
          <w:tcPr>
            <w:tcW w:w="0" w:type="dxa"/>
            <w:vAlign w:val="bottom"/>
          </w:tcPr>
          <w:p>
            <w:pPr>
              <w:spacing w:after="0"/>
              <w:rPr>
                <w:sz w:val="1"/>
                <w:szCs w:val="1"/>
                <w:color w:val="auto"/>
              </w:rPr>
            </w:pPr>
          </w:p>
        </w:tc>
      </w:tr>
      <w:tr>
        <w:trPr>
          <w:trHeight w:val="47"/>
        </w:trPr>
        <w:tc>
          <w:tcPr>
            <w:tcW w:w="8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8"/>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4"/>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2" w:lineRule="exact"/>
              <w:rPr>
                <w:sz w:val="20"/>
                <w:szCs w:val="20"/>
                <w:color w:val="auto"/>
              </w:rPr>
            </w:pPr>
            <w:r>
              <w:rPr>
                <w:rFonts w:ascii="Arial" w:cs="Arial" w:eastAsia="Arial" w:hAnsi="Arial"/>
                <w:sz w:val="16"/>
                <w:szCs w:val="16"/>
                <w:color w:val="auto"/>
                <w:w w:val="87"/>
              </w:rPr>
              <w:t>Total Sources</w:t>
            </w:r>
          </w:p>
        </w:tc>
        <w:tc>
          <w:tcPr>
            <w:tcW w:w="2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Arial" w:cs="Arial" w:eastAsia="Arial" w:hAnsi="Arial"/>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430,810</w:t>
            </w:r>
          </w:p>
        </w:tc>
        <w:tc>
          <w:tcPr>
            <w:tcW w:w="3180" w:type="dxa"/>
            <w:vAlign w:val="bottom"/>
            <w:vMerge w:val="continue"/>
          </w:tcPr>
          <w:p>
            <w:pPr>
              <w:spacing w:after="0"/>
              <w:rPr>
                <w:sz w:val="12"/>
                <w:szCs w:val="12"/>
                <w:color w:val="auto"/>
              </w:rPr>
            </w:pPr>
          </w:p>
        </w:tc>
        <w:tc>
          <w:tcPr>
            <w:tcW w:w="220" w:type="dxa"/>
            <w:vAlign w:val="bottom"/>
            <w:vMerge w:val="restart"/>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430,810</w:t>
            </w:r>
          </w:p>
        </w:tc>
        <w:tc>
          <w:tcPr>
            <w:tcW w:w="0" w:type="dxa"/>
            <w:vAlign w:val="bottom"/>
          </w:tcPr>
          <w:p>
            <w:pPr>
              <w:spacing w:after="0"/>
              <w:rPr>
                <w:sz w:val="1"/>
                <w:szCs w:val="1"/>
                <w:color w:val="auto"/>
              </w:rPr>
            </w:pPr>
          </w:p>
        </w:tc>
      </w:tr>
      <w:tr>
        <w:trPr>
          <w:trHeight w:val="82"/>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(ii) Maximum redemptions</w:t>
            </w:r>
          </w:p>
        </w:tc>
        <w:tc>
          <w:tcPr>
            <w:tcW w:w="18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1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continue"/>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80" w:type="dxa"/>
            <w:vAlign w:val="bottom"/>
          </w:tcPr>
          <w:p>
            <w:pPr>
              <w:spacing w:after="0"/>
              <w:rPr>
                <w:sz w:val="24"/>
                <w:szCs w:val="24"/>
                <w:color w:val="auto"/>
              </w:rPr>
            </w:pPr>
          </w:p>
        </w:tc>
        <w:tc>
          <w:tcPr>
            <w:tcW w:w="2280" w:type="dxa"/>
            <w:vAlign w:val="bottom"/>
          </w:tcPr>
          <w:p>
            <w:pPr>
              <w:ind w:left="540"/>
              <w:spacing w:after="0"/>
              <w:rPr>
                <w:sz w:val="20"/>
                <w:szCs w:val="20"/>
                <w:color w:val="auto"/>
              </w:rPr>
            </w:pPr>
            <w:r>
              <w:rPr>
                <w:rFonts w:ascii="Arial" w:cs="Arial" w:eastAsia="Arial" w:hAnsi="Arial"/>
                <w:sz w:val="14"/>
                <w:szCs w:val="14"/>
                <w:b w:val="1"/>
                <w:bCs w:val="1"/>
                <w:color w:val="auto"/>
              </w:rPr>
              <w:t>Sources of Funds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ind w:left="1920"/>
              <w:spacing w:after="0"/>
              <w:rPr>
                <w:sz w:val="20"/>
                <w:szCs w:val="20"/>
                <w:color w:val="auto"/>
              </w:rPr>
            </w:pPr>
            <w:r>
              <w:rPr>
                <w:rFonts w:ascii="Arial" w:cs="Arial" w:eastAsia="Arial" w:hAnsi="Arial"/>
                <w:sz w:val="14"/>
                <w:szCs w:val="14"/>
                <w:b w:val="1"/>
                <w:bCs w:val="1"/>
                <w:color w:val="auto"/>
              </w:rPr>
              <w:t>Uses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Existing Cash in Trust Account</w:t>
            </w: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7"/>
              </w:rPr>
              <w:t>Gemini Equityholders’ Retained Equity Value</w:t>
            </w: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gridSpan w:val="2"/>
          </w:tcPr>
          <w:p>
            <w:pPr>
              <w:spacing w:after="0"/>
              <w:rPr>
                <w:sz w:val="20"/>
                <w:szCs w:val="20"/>
                <w:color w:val="auto"/>
              </w:rPr>
            </w:pPr>
            <w:r>
              <w:rPr>
                <w:rFonts w:ascii="Arial" w:cs="Arial" w:eastAsia="Arial" w:hAnsi="Arial"/>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95,060</w:t>
            </w:r>
          </w:p>
        </w:tc>
        <w:tc>
          <w:tcPr>
            <w:tcW w:w="3180" w:type="dxa"/>
            <w:vAlign w:val="bottom"/>
          </w:tcPr>
          <w:p>
            <w:pPr>
              <w:ind w:left="60"/>
              <w:spacing w:after="0"/>
              <w:rPr>
                <w:sz w:val="20"/>
                <w:szCs w:val="20"/>
                <w:color w:val="auto"/>
              </w:rPr>
            </w:pPr>
            <w:r>
              <w:rPr>
                <w:rFonts w:ascii="Arial" w:cs="Arial" w:eastAsia="Arial" w:hAnsi="Arial"/>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80,610</w:t>
            </w:r>
          </w:p>
        </w:tc>
        <w:tc>
          <w:tcPr>
            <w:tcW w:w="0" w:type="dxa"/>
            <w:vAlign w:val="bottom"/>
          </w:tcPr>
          <w:p>
            <w:pPr>
              <w:spacing w:after="0"/>
              <w:rPr>
                <w:sz w:val="1"/>
                <w:szCs w:val="1"/>
                <w:color w:val="auto"/>
              </w:rPr>
            </w:pPr>
          </w:p>
        </w:tc>
      </w:tr>
      <w:tr>
        <w:trPr>
          <w:trHeight w:val="47"/>
        </w:trPr>
        <w:tc>
          <w:tcPr>
            <w:tcW w:w="8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8"/>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4"/>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line="183" w:lineRule="exact"/>
              <w:rPr>
                <w:sz w:val="20"/>
                <w:szCs w:val="20"/>
                <w:color w:val="auto"/>
              </w:rPr>
            </w:pPr>
            <w:r>
              <w:rPr>
                <w:rFonts w:ascii="Arial" w:cs="Arial" w:eastAsia="Arial" w:hAnsi="Arial"/>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line="183" w:lineRule="exact"/>
              <w:rPr>
                <w:sz w:val="20"/>
                <w:szCs w:val="20"/>
                <w:color w:val="auto"/>
              </w:rPr>
            </w:pPr>
            <w:r>
              <w:rPr>
                <w:rFonts w:ascii="Arial" w:cs="Arial" w:eastAsia="Arial" w:hAnsi="Arial"/>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gridSpan w:val="2"/>
            <w:vMerge w:val="continue"/>
          </w:tcPr>
          <w:p>
            <w:pPr>
              <w:spacing w:after="0"/>
              <w:rPr>
                <w:sz w:val="15"/>
                <w:szCs w:val="15"/>
                <w:color w:val="auto"/>
              </w:rPr>
            </w:pPr>
          </w:p>
        </w:tc>
        <w:tc>
          <w:tcPr>
            <w:tcW w:w="180" w:type="dxa"/>
            <w:vAlign w:val="bottom"/>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315,060</w:t>
            </w:r>
          </w:p>
        </w:tc>
        <w:tc>
          <w:tcPr>
            <w:tcW w:w="3180" w:type="dxa"/>
            <w:vAlign w:val="bottom"/>
            <w:vMerge w:val="continue"/>
          </w:tcPr>
          <w:p>
            <w:pPr>
              <w:spacing w:after="0"/>
              <w:rPr>
                <w:sz w:val="15"/>
                <w:szCs w:val="15"/>
                <w:color w:val="auto"/>
              </w:rPr>
            </w:pP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315,060</w:t>
            </w:r>
          </w:p>
        </w:tc>
        <w:tc>
          <w:tcPr>
            <w:tcW w:w="0" w:type="dxa"/>
            <w:vAlign w:val="bottom"/>
          </w:tcPr>
          <w:p>
            <w:pPr>
              <w:spacing w:after="0"/>
              <w:rPr>
                <w:sz w:val="1"/>
                <w:szCs w:val="1"/>
                <w:color w:val="auto"/>
              </w:rPr>
            </w:pPr>
          </w:p>
        </w:tc>
      </w:tr>
      <w:tr>
        <w:trPr>
          <w:trHeight w:val="48"/>
        </w:trPr>
        <w:tc>
          <w:tcPr>
            <w:tcW w:w="88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Certificate of Incorporation; By-laws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Pursuant to the Merger Agreement, upon the closing of the Business Combination, FS Development’s Current Charter and Current By-laws will be amended and restated as set forth in the Proposed Charter and Amended By-laws. See section titled “</w:t>
      </w:r>
      <w:r>
        <w:rPr>
          <w:rFonts w:ascii="Arial" w:cs="Arial" w:eastAsia="Arial" w:hAnsi="Arial"/>
          <w:sz w:val="18"/>
          <w:szCs w:val="18"/>
          <w:i w:val="1"/>
          <w:iCs w:val="1"/>
          <w:color w:val="auto"/>
        </w:rPr>
        <w:t>The Charter Amendment Proposal</w:t>
      </w:r>
      <w:r>
        <w:rPr>
          <w:rFonts w:ascii="Arial" w:cs="Arial" w:eastAsia="Arial" w:hAnsi="Arial"/>
          <w:sz w:val="18"/>
          <w:szCs w:val="18"/>
          <w:color w:val="auto"/>
        </w:rPr>
        <w:t>,” for more information regarding the proposed amendments to the Current Charter.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Name; Headquarters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name of the Combined Entity will be Gemini Therapeutics, Inc. and its headquarters will be located at One Kendall Square, Cambridge, Massachusetts.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Material U.S. Federal Income Tax Considerations of the Redemption</w:t>
      </w:r>
    </w:p>
    <w:p>
      <w:pPr>
        <w:spacing w:after="0" w:line="16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following discussion is a summary of certain material U.S. federal income tax considerations for holders of our Common Stock that elect to have their Common Stock redeemed pursuant to the Current Charter, which is referred to as the “</w:t>
      </w:r>
      <w:r>
        <w:rPr>
          <w:rFonts w:ascii="Arial" w:cs="Arial" w:eastAsia="Arial" w:hAnsi="Arial"/>
          <w:sz w:val="17"/>
          <w:szCs w:val="17"/>
          <w:b w:val="1"/>
          <w:bCs w:val="1"/>
          <w:color w:val="auto"/>
        </w:rPr>
        <w:t>Redemption.</w:t>
      </w:r>
      <w:r>
        <w:rPr>
          <w:rFonts w:ascii="Arial" w:cs="Arial" w:eastAsia="Arial" w:hAnsi="Arial"/>
          <w:sz w:val="17"/>
          <w:szCs w:val="17"/>
          <w:color w:val="auto"/>
        </w:rPr>
        <w:t>” 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our Common Stock as part of a “straddle,” “hedge,” “conversion transaction,” “synthetic security,” “constructive ownership transaction,” “constructive sale,” or other integrated transaction for U.S. federal income tax purposes, U.S. Holders (as defined below) that have a functional currency other than the U.S. dollar, certain former U.S. citizens or long-term residents, investors that directly, indirectly, or constructively own 5 percent or more (by vote or value) of our Common Stock, “specified foreign corporations” (including “controlled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2" w:name="page123"/>
    <w:bookmarkEnd w:id="12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foreign corporations”), “passive foreign investment companies” and corporations that accumulate earnings to avoid U.S. federal income tax, governments or agencies or instrumentalities thereof, persons who received their shares of our Common Stock pursuant to an exercise of employee share options, in connection with employee share incentive plans or otherwise as compensation, and Non-U.S.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investors that hold our Common Stock as “capital assets” under the Code (generally, property held for investment).</w:t>
      </w:r>
    </w:p>
    <w:p>
      <w:pPr>
        <w:spacing w:after="0" w:line="11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our Common Stock, the U.S. federal income tax treatment of a partner in such partnership will generally depend upon the status of the partner, the activities of the partnership and certain determinations made at the partner level. If you are a partnership or a partner of a partnership holding our Common Stock, you are urged to consult your tax advisor regarding the tax consequences of a Redemption.</w:t>
      </w:r>
    </w:p>
    <w:p>
      <w:pPr>
        <w:spacing w:after="0" w:line="90"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WE URGE HOLDERS OF OUR COMMON STOCK CONTEMPLATING EXERCISE OF THEIR REDEMPTION RIGHTS TO CONSULT THEIR OWN TAX ADVISORS CONCERNING THE U.S. FEDERAL, STATE, LOCAL AND NON-U.S. INCOME AND OTHER TAX CONSEQUENCES THEREOF.</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Federal Income Tax Considerations to U.S. Holders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This section is addressed to U.S. Holders of our Common Stock that elect to have their Common Stock redeemed pursuant to the Redemption. For purposes of this discussion, a “U.S. Holder” is a beneficial owner of our Common Stock who or that is, for U.S. federal income tax purposes:</w:t>
      </w:r>
    </w:p>
    <w:p>
      <w:pPr>
        <w:spacing w:after="0" w:line="116" w:lineRule="exact"/>
        <w:rPr>
          <w:sz w:val="20"/>
          <w:szCs w:val="20"/>
          <w:color w:val="auto"/>
        </w:rPr>
      </w:pPr>
    </w:p>
    <w:p>
      <w:pPr>
        <w:ind w:left="1300" w:hanging="414"/>
        <w:spacing w:after="0"/>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43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3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the event that a U.S. Holder’s Common Stock is redeemed pursuant to the Redemption,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held or treated as held by the U.S. Holder both before and after the Redemption (including any stock constructively owned by the U.S. Holder as a result of owning warrants and stock ownership attributed to such U.S. Holder under applicable attribution rules)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0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generally would include Common Stock that could be acquired</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3" w:name="page124"/>
    <w:bookmarkEnd w:id="12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pursuant to the exercise of the warrants. Moreover, any of our stock that a U.S. Holder directly or constructively acquires pursuant to the Business Combination or the PIPE Investment generally should be included in determining the U.S. federal income tax treatment of the Redemption.</w:t>
      </w:r>
    </w:p>
    <w:p>
      <w:pPr>
        <w:spacing w:after="0" w:line="11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order to meet the substantially disproportionate test, the percentage of our outstanding voting stock actually and constructively owned by the U.S. Holder immediately following the Redemption must, among other requirements, be less than 80% of the percentage of our outstanding voting stock actually and constructively owned by the U.S. Holder immediately before the Redemption (taking into account both redemptions by other holders of Common Stock and the Common Stock to be issued pursuant to the Business Combination or the PIPE Investment).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holder as a result of owning warrants). The Redemption will be not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2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none of the foregoing tests are satisfied, then the Redemption will be treated as a distribution and the tax effects will be as described below under “</w:t>
      </w:r>
      <w:r>
        <w:rPr>
          <w:rFonts w:ascii="Arial" w:cs="Arial" w:eastAsia="Arial" w:hAnsi="Arial"/>
          <w:sz w:val="18"/>
          <w:szCs w:val="18"/>
          <w:i w:val="1"/>
          <w:iCs w:val="1"/>
          <w:color w:val="auto"/>
        </w:rPr>
        <w:t>U.S. Federal Income Tax Considerations to U.S. Holders — Taxation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Distributions</w:t>
      </w:r>
      <w:r>
        <w:rPr>
          <w:rFonts w:ascii="Arial" w:cs="Arial" w:eastAsia="Arial" w:hAnsi="Arial"/>
          <w:sz w:val="18"/>
          <w:szCs w:val="18"/>
          <w:color w:val="auto"/>
        </w:rPr>
        <w:t>.” U.S. Holders of our Common Stock considering exercising their redemption rights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 their own tax advisors as to whether the Redemption will be treated as a sale or as a distribution under the Code.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the Redemption qualifies as a sale of Common Stock, generally, a U.S. Holder will recognize gain or loss in an amount equal to the difference between (i) the sum of cash and the fair market value of any property received in such disposition and (ii) the U.S. Holder’s adjusted tax basis in its Common Stock so disposed of.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statement/prospectus may suspend the running of the applicable holding period for this purpose. A U.S. Holder’s adjusted tax basis in its Common Stock generally will equal the U.S. Holder’s acquisition cost less any prior distributions treated as a return of capital. Long-term capital gain recognized by a non-corporate U.S. Holder generally will be taxable at a reduced rate. The deduction of capital losses is subject to limitations.</w:t>
      </w:r>
    </w:p>
    <w:p>
      <w:pPr>
        <w:spacing w:after="0" w:line="11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Arial" w:cs="Arial" w:eastAsia="Arial" w:hAnsi="Arial"/>
          <w:sz w:val="17"/>
          <w:szCs w:val="17"/>
          <w:i w:val="1"/>
          <w:iCs w:val="1"/>
          <w:color w:val="auto"/>
        </w:rPr>
        <w:t>U.S. Federal 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Considerations to FS Development U.S. Holders — Gain or Loss on Sale, Taxable Exchange or Other Taxable Disposition of Common Stock</w:t>
      </w:r>
      <w:r>
        <w:rPr>
          <w:rFonts w:ascii="Arial" w:cs="Arial" w:eastAsia="Arial" w:hAnsi="Arial"/>
          <w:sz w:val="17"/>
          <w:szCs w:val="17"/>
          <w:color w:val="auto"/>
        </w:rPr>
        <w:t>.”</w:t>
      </w:r>
    </w:p>
    <w:p>
      <w:pPr>
        <w:spacing w:after="0" w:line="10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taxable at a reduced rate. It is unclear whether the redemption rights with respect to the Common</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4" w:name="page125"/>
    <w:bookmarkEnd w:id="12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Stock described in this proxy statement/prospectus may prevent a U.S. Holder from satisfying the applicable holding period requirements with respect to the dividends received deduction or the preferential tax rate on qualified dividend income, as the case may be.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Federal Income Tax Considerations to Non-U.S. Holders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This section is addressed to Non-U.S. Holders of our Common Stock that elect to have their Common Stock redeemed pursuant to the Redemption. For purposes of this discussion, a “Non-U.S. Holder” is a beneficial owner of our Common Stock (other than a partnership) that is not a U.S. Holder. The characterization for U.S. federal income tax purposes of the Redemption generally will correspond to the U.S. federal income tax characterization of the Redemption as described under “</w:t>
      </w:r>
      <w:r>
        <w:rPr>
          <w:rFonts w:ascii="Arial" w:cs="Arial" w:eastAsia="Arial" w:hAnsi="Arial"/>
          <w:sz w:val="18"/>
          <w:szCs w:val="18"/>
          <w:i w:val="1"/>
          <w:iCs w:val="1"/>
          <w:color w:val="auto"/>
        </w:rPr>
        <w:t>U.S. Federal Income Tax Considerations to U.S.</w:t>
      </w:r>
      <w:r>
        <w:rPr>
          <w:rFonts w:ascii="Arial" w:cs="Arial" w:eastAsia="Arial" w:hAnsi="Arial"/>
          <w:sz w:val="18"/>
          <w:szCs w:val="18"/>
          <w:color w:val="auto"/>
        </w:rPr>
        <w:t xml:space="preserve"> </w:t>
      </w:r>
      <w:r>
        <w:rPr>
          <w:rFonts w:ascii="Arial" w:cs="Arial" w:eastAsia="Arial" w:hAnsi="Arial"/>
          <w:sz w:val="18"/>
          <w:szCs w:val="18"/>
          <w:i w:val="1"/>
          <w:iCs w:val="1"/>
          <w:color w:val="auto"/>
        </w:rPr>
        <w:t>Holders</w:t>
      </w:r>
      <w:r>
        <w:rPr>
          <w:rFonts w:ascii="Arial" w:cs="Arial" w:eastAsia="Arial" w:hAnsi="Arial"/>
          <w:sz w:val="18"/>
          <w:szCs w:val="18"/>
          <w:color w:val="auto"/>
        </w:rPr>
        <w:t>.”</w:t>
      </w:r>
    </w:p>
    <w:p>
      <w:pPr>
        <w:spacing w:after="0" w:line="111"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Non-U.S. Holders of our Common Stock considering exercising their redemption rights should consult their own tax advisors as to whether the Redemption will be treated as a sale or as a distribution under the Code.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If the redemption qualifies as a sale of Common Stock, subject to the discussions of FATCA (as defined below) and backup withholding below, a Non-U.S. Holder generally will not be subject to U.S. federal income or withholding tax in respect of gain recognized on a sale of its Common Stock, unless:</w:t>
      </w:r>
    </w:p>
    <w:p>
      <w:pPr>
        <w:spacing w:after="0" w:line="98" w:lineRule="exact"/>
        <w:rPr>
          <w:sz w:val="20"/>
          <w:szCs w:val="20"/>
          <w:color w:val="auto"/>
        </w:rPr>
      </w:pPr>
    </w:p>
    <w:p>
      <w:pPr>
        <w:jc w:val="both"/>
        <w:ind w:left="1320" w:right="459" w:hanging="434"/>
        <w:spacing w:after="0" w:line="272" w:lineRule="auto"/>
        <w:tabs>
          <w:tab w:leader="none" w:pos="141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in which case, unless an applicable income tax treaty provides otherwise, the Non-U.S. Holder will generally be subject to the same treatment as a U.S. Holder with respect to the Redemption, and a corporate Non-U.S. Holder may be subject to an additional branch profits tax at a 30% rate (or lower rate as may be specified by an applicable income tax treaty);</w:t>
      </w:r>
    </w:p>
    <w:p>
      <w:pPr>
        <w:spacing w:after="0" w:line="96" w:lineRule="exact"/>
        <w:rPr>
          <w:rFonts w:ascii="Arial" w:cs="Arial" w:eastAsia="Arial" w:hAnsi="Arial"/>
          <w:sz w:val="17"/>
          <w:szCs w:val="17"/>
          <w:color w:val="auto"/>
        </w:rPr>
      </w:pPr>
    </w:p>
    <w:p>
      <w:pPr>
        <w:jc w:val="both"/>
        <w:ind w:left="1320" w:right="459" w:hanging="434"/>
        <w:spacing w:after="0" w:line="255" w:lineRule="auto"/>
        <w:tabs>
          <w:tab w:leader="none" w:pos="131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(including any gain realized in connection with the Redemption) for the year (which gain may be offset by certain U.S.-source capital losses), even though the Non-U.S. Holder is not considered a resident of the United States; or</w:t>
      </w:r>
    </w:p>
    <w:p>
      <w:pPr>
        <w:spacing w:after="0" w:line="124" w:lineRule="exact"/>
        <w:rPr>
          <w:rFonts w:ascii="Arial" w:cs="Arial" w:eastAsia="Arial" w:hAnsi="Arial"/>
          <w:sz w:val="18"/>
          <w:szCs w:val="18"/>
          <w:color w:val="auto"/>
        </w:rPr>
      </w:pPr>
    </w:p>
    <w:p>
      <w:pPr>
        <w:jc w:val="both"/>
        <w:ind w:left="1320" w:right="459" w:hanging="434"/>
        <w:spacing w:after="0" w:line="286" w:lineRule="auto"/>
        <w:tabs>
          <w:tab w:leader="none" w:pos="132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in which case, gain recognized by such holder in connection with the Redemption will be subject to tax at generally applicable U.S. federal income tax rates. In addition, we may be required to withhold U.S. federal income tax at a rate of 15% of the amount realized upon such Redemption. There can be no assurance that our Common Stock is or has been treated as regularly traded on an established securities market for this purpose. We believe that we are not, and have not been at any time since our formation, a United States real property holding corporation and we do not expect to be a United States real property holding corporation immediately after the Business Combination is completed.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5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w:t>
      </w:r>
    </w:p>
    <w:p>
      <w:pPr>
        <w:sectPr>
          <w:pgSz w:w="11900" w:h="16838" w:orient="portrait"/>
          <w:cols w:equalWidth="0" w:num="1">
            <w:col w:w="9019"/>
          </w:cols>
          <w:pgMar w:left="1440" w:top="274"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Any distribution not constituting a dividend will be treated first as reducing (but not below zero) the Non-U.S. Holder’s adjusted tax basis in its shares of our Common Stock redeemed and, to the extent such distribution exceeds the Non-U.S. Holder’s adjusted tax basis, as gain realized from the sale or other disposition of the Common Stock, which will be treated as described under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to Non-U.S. Holders — Gain on Sale, Taxable Exchange or Other Taxable Disposition of Common Stock</w:t>
      </w:r>
      <w:r>
        <w:rPr>
          <w:rFonts w:ascii="Arial" w:cs="Arial" w:eastAsia="Arial" w:hAnsi="Arial"/>
          <w:sz w:val="17"/>
          <w:szCs w:val="17"/>
          <w:color w:val="auto"/>
        </w:rPr>
        <w:t>.” If it</w:t>
      </w:r>
      <w:r>
        <w:rPr>
          <w:rFonts w:ascii="Arial" w:cs="Arial" w:eastAsia="Arial" w:hAnsi="Arial"/>
          <w:sz w:val="17"/>
          <w:szCs w:val="17"/>
          <w:i w:val="1"/>
          <w:iCs w:val="1"/>
          <w:color w:val="auto"/>
        </w:rPr>
        <w:t xml:space="preserve"> </w:t>
      </w:r>
      <w:r>
        <w:rPr>
          <w:rFonts w:ascii="Arial" w:cs="Arial" w:eastAsia="Arial" w:hAnsi="Arial"/>
          <w:sz w:val="17"/>
          <w:szCs w:val="17"/>
          <w:color w:val="auto"/>
        </w:rPr>
        <w:t>cannot be determined at the time a distribution is made whether or not such distribution will be in excess of our current and accumulated earnings and profits, the distribution will be subject to withholding at the same 30% rate discussed in the last paragraph unless a Non-U.S. Holder is eligible for a reduced rate of withholding tax under an applicable income tax treaty and timely provides proper certification of its eligibility for such reduced rate (usually on an IRS Form W-8BEN or W-8BEN-E).</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Because (i) it may not be certain at the time a Non-U.S. Holder is redeemed whether such Non-U.S. Holder’s Redemption will be treated as a sale of shares or a distribution constituting a dividend, (ii) such determination will depend in part on a Non-U.S. Holder’s particular circumstances, and (iii) we generally cannot determine at the time we make a distribution whether or not the distribution will exceed our current and accumulated earnings and profits, we or the applicable withholding agent generally will withhold tax on the entire amount of any distribution at the 30% rate (subject to reduction by an applicable income tax treaty). However, if we or an applicable withholding agent withhold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1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generally will not be subject to U.S. federal withholding tax, provided that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Information returns will be filed with the IRS in connection with payments resulting from our Redemption. U.S. Holders will have to provide their taxpayer identification number and comply with certain certification requirements to avoid backup withholding. A Non-U.S. holder may have to comply with certification procedures to establish that it is not a United States person in order to avoid information reporting and backup withholding requirements. Backup withholding is not an additional tax. The amount of any backup withholding from a payment to a holder may be allowed as a credit against such holder’s U.S. federal income tax liability and may entitle such holder to a refund, provided that an appropriate claim for refund is timely filed with the IRS and the required information is timely furnished to the IRS.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FATCA</w:t>
      </w:r>
    </w:p>
    <w:p>
      <w:pPr>
        <w:spacing w:after="0" w:line="15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to as the “Foreign Account Tax Compliance Act” or “FATCA”) generally impose a 30% withholding tax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and complies with,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Thirty percent (30%) withholding under FATCA was scheduled to apply to the gross proceeds of a disposition of any stock, debt instrument, or other property that can produce U.S.-source dividends or interest beginning on January 1, 2019, but on December 13, 2018, the IRS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6" w:name="page127"/>
    <w:bookmarkEnd w:id="12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released proposed regulations that, if finalized in their proposed form, would eliminate the obligation to withhold on gross proceeds. Although these proposed Treasury Regulations are not final, taxpayers generally may rely on them until final Treasury Regulations are issued.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160"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Certain Material U.S. Federal Income Tax Considerations of the Business Combination to Gemini Equityholders</w:t>
      </w:r>
    </w:p>
    <w:p>
      <w:pPr>
        <w:spacing w:after="0" w:line="9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following discussion is a summary of certain material U.S. federal income tax considerations of the Business Combination for U.S. Gemini Holders (as defined below) and Non-U.S. Gemini Holders (as defined below, and together, the “Gemini Holders”) who exchange their Gemini Stock for the Merger Consideration in the Business Combination. 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w:t>
      </w:r>
    </w:p>
    <w:p>
      <w:pPr>
        <w:spacing w:after="0" w:line="9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Gemini Stock as part of a “straddle,” “hedge,” “conversion transaction,” “synthetic security,” “constructive ownership transaction,” “constructive sale,” or other integrated transaction for U.S. federal income tax purposes, U.S. Gemini Holders (as defined below) that have a functional currency other than the U.S. dollar, certain former U.S. citizens or long-term residents, investors that directly, indirectly or constructively own 5 percent or more (by vote or value) of the Gemini Stock, “specified foreign corporations” (including “controlled foreign corporations”), “passive foreign investment companies” and corporations that accumulate earnings to avoid U.S. federal income tax, governments or agencies or instrumentalities thereof, persons who received their Gemini Stock pursuant to an exercise of employee share options, in connection with employee share incentive plans or otherwise as compensation, and Non-U.S. Gemini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Gemini Holders that hold Gemini Stock as “capital assets” under the Code (generally, property held for investment).</w:t>
      </w:r>
    </w:p>
    <w:p>
      <w:pPr>
        <w:spacing w:after="0" w:line="31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For purposes of this discussion, a “U.S. Gemini Holder” is a beneficial owner of Gemini Stock who or that is, for U.S. federal income tax purposes:</w:t>
      </w:r>
    </w:p>
    <w:p>
      <w:pPr>
        <w:spacing w:after="0" w:line="103" w:lineRule="exact"/>
        <w:rPr>
          <w:sz w:val="20"/>
          <w:szCs w:val="20"/>
          <w:color w:val="auto"/>
        </w:rPr>
      </w:pPr>
    </w:p>
    <w:p>
      <w:pPr>
        <w:ind w:left="1300" w:hanging="41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4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0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3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19"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For purposes of this discussion, a “Non-U.S. Gemini Holder” is a beneficial owner of Gemini Stock (other than a partnership) that is not a U.S. Gemini Holder.</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7" w:name="page128"/>
    <w:bookmarkEnd w:id="12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Gemini Stock, the U.S. federal income tax treatment of a partner in such partnership will generally depend upon the status of the partner, the activities of the partnership and certain determinations made at the partner level. If you are a partnership or a partner of a partnership holding Gemini Stock, you are urged to consult your tax advisor regarding the tax consequences of the Business Combination.</w:t>
      </w:r>
    </w:p>
    <w:p>
      <w:pPr>
        <w:spacing w:after="0" w:line="10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WE URGE GEMINI HOLDERS TO CONSULT THEIR OWN TAX ADVISORS CONCERNING THE U.S. FEDERAL, STATE, LOCAL AND NON-U.S. INCOME AND OTHER TAX CONSEQUENCES OF THE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Consequences if the Business Combination Qualifies as a Reorganization</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 xml:space="preserve">Subject to the qualifications and assumptions described in this proxy statement/prospectus, FS Development and Gemini intend for the Business Combination to be treated for U.S. federal income tax purposes as a reorganization within the meaning of Section 368(a) of the Code. Nevertheless, the parties’ intentions and this proxy statement/prospectus are not binding on the IRS, and the IRS or a U.S. court could disagree with one or more of the positions discussed in this proxy statement/prospectus. Indeed, the IRS has announced that it will not issue favorable reorganization rulings with respect to escrow stock arrangements unless such arrangements comply with certain requirements. Neither FS Development nor Gemini has requested an opinion from U.S. tax counsel or a ruling from the IRS regarding the U.S. federal income tax consequences arising from and relating to the Business Combination. For a discussion of the U.S. federal income tax consequences if the Business Combination fails to qualify as a reorganization within the meaning of Section 368(a) of the Code, see “— </w:t>
      </w:r>
      <w:r>
        <w:rPr>
          <w:rFonts w:ascii="Arial" w:cs="Arial" w:eastAsia="Arial" w:hAnsi="Arial"/>
          <w:sz w:val="16"/>
          <w:szCs w:val="16"/>
          <w:i w:val="1"/>
          <w:iCs w:val="1"/>
          <w:color w:val="auto"/>
        </w:rPr>
        <w:t>Tax</w:t>
      </w:r>
      <w:r>
        <w:rPr>
          <w:rFonts w:ascii="Arial" w:cs="Arial" w:eastAsia="Arial" w:hAnsi="Arial"/>
          <w:sz w:val="16"/>
          <w:szCs w:val="16"/>
          <w:color w:val="auto"/>
        </w:rPr>
        <w:t xml:space="preserve"> </w:t>
      </w:r>
      <w:r>
        <w:rPr>
          <w:rFonts w:ascii="Arial" w:cs="Arial" w:eastAsia="Arial" w:hAnsi="Arial"/>
          <w:sz w:val="16"/>
          <w:szCs w:val="16"/>
          <w:i w:val="1"/>
          <w:iCs w:val="1"/>
          <w:color w:val="auto"/>
        </w:rPr>
        <w:t>Consequences if the Business Combination Fails to Qualify as a Reorganization</w:t>
      </w:r>
      <w:r>
        <w:rPr>
          <w:rFonts w:ascii="Arial" w:cs="Arial" w:eastAsia="Arial" w:hAnsi="Arial"/>
          <w:sz w:val="16"/>
          <w:szCs w:val="16"/>
          <w:color w:val="auto"/>
        </w:rPr>
        <w:t>” below. The remainder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discussion “— </w:t>
      </w:r>
      <w:r>
        <w:rPr>
          <w:rFonts w:ascii="Arial" w:cs="Arial" w:eastAsia="Arial" w:hAnsi="Arial"/>
          <w:sz w:val="16"/>
          <w:szCs w:val="16"/>
          <w:i w:val="1"/>
          <w:iCs w:val="1"/>
          <w:color w:val="auto"/>
        </w:rPr>
        <w:t>Tax Consequences if the Business Combination Qualifies as a Reorganization</w:t>
      </w:r>
      <w:r>
        <w:rPr>
          <w:rFonts w:ascii="Arial" w:cs="Arial" w:eastAsia="Arial" w:hAnsi="Arial"/>
          <w:sz w:val="16"/>
          <w:szCs w:val="16"/>
          <w:color w:val="auto"/>
        </w:rPr>
        <w:t>” summarizes certain material U.S. federal income tax consequences of the Business Combination to Gemini Holders assuming that the Business Combination qualifies as a reorganization within the meaning of Section 368(a) of the Code. In addition, the discussion below assumes that the Escrow Shares in the Escrow Fund will be treated as having been received by the Gemini Holders at the time of the Business Combination.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for FS Development Common Stock</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Provided that the Business Combination qualifies as a reorganization within the meaning of Section 368(a) of the Code, in general, the following U.S. federal income tax consequences would result to Gemini Holders who exchange shares of Gemini Stock for FS Development Common Stock:</w:t>
      </w:r>
    </w:p>
    <w:p>
      <w:pPr>
        <w:spacing w:after="0" w:line="116" w:lineRule="exact"/>
        <w:rPr>
          <w:sz w:val="20"/>
          <w:szCs w:val="20"/>
          <w:color w:val="auto"/>
        </w:rPr>
      </w:pPr>
    </w:p>
    <w:p>
      <w:pPr>
        <w:jc w:val="both"/>
        <w:ind w:left="1320" w:right="479" w:hanging="434"/>
        <w:spacing w:after="0" w:line="263" w:lineRule="auto"/>
        <w:tabs>
          <w:tab w:leader="none" w:pos="137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Gemini Holders will not recognize gain or loss on the exchange of Gemini Stock for shares of FS Development Common Stock (including FS Development Common Stock held in the Escrow Fund) in the Business Combination.</w:t>
      </w:r>
    </w:p>
    <w:p>
      <w:pPr>
        <w:spacing w:after="0" w:line="116" w:lineRule="exact"/>
        <w:rPr>
          <w:rFonts w:ascii="Arial" w:cs="Arial" w:eastAsia="Arial" w:hAnsi="Arial"/>
          <w:sz w:val="18"/>
          <w:szCs w:val="18"/>
          <w:color w:val="auto"/>
        </w:rPr>
      </w:pPr>
    </w:p>
    <w:p>
      <w:pPr>
        <w:jc w:val="both"/>
        <w:ind w:left="1320" w:right="479" w:hanging="434"/>
        <w:spacing w:after="0" w:line="286" w:lineRule="auto"/>
        <w:tabs>
          <w:tab w:leader="none" w:pos="151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aggregate tax basis in shares of FS Development Common Stock received (including FS Development Common Stock held in the Escrow Fund) in the Business Combination will be equal to the aggregate tax basis of the Gemini Stock exchanged in the Business Combination.</w:t>
      </w:r>
    </w:p>
    <w:p>
      <w:pPr>
        <w:spacing w:after="0" w:line="84" w:lineRule="exact"/>
        <w:rPr>
          <w:rFonts w:ascii="Arial" w:cs="Arial" w:eastAsia="Arial" w:hAnsi="Arial"/>
          <w:sz w:val="17"/>
          <w:szCs w:val="17"/>
          <w:color w:val="auto"/>
        </w:rPr>
      </w:pPr>
    </w:p>
    <w:p>
      <w:pPr>
        <w:jc w:val="both"/>
        <w:ind w:left="1320" w:right="459" w:hanging="434"/>
        <w:spacing w:after="0" w:line="286" w:lineRule="auto"/>
        <w:tabs>
          <w:tab w:leader="none" w:pos="152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holding period of FS Development Common Stock received (including FS Development Common Stock held in the Escrow Fund) in the Business Combination by a Gemini Holder will include the holding period of the Gemini Stock that it surrendered in exchange therefor.</w:t>
      </w:r>
    </w:p>
    <w:p>
      <w:pPr>
        <w:spacing w:after="0" w:line="9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Until the Escrow Shares are released to the Gemini Holders, the interim basis of the FS Development Stock received by Gemini Holders pursuant to the Business Combination will be determined by treating the Escrow Shares as having been received by the Gemini Holders. No gain or loss will be recognized and no amount will be included in the income of the Gemini Holders by reason of the release of Escrow Shares to the Gemini Holders (although, for the avoidance of doubt, the amount of any dividends or other taxable distributions made in respect of the Escrow Shares will be includable in the income of the Gemini Holders prior to the release of such amounts to the Gemini Holders). In the event that any Escrow Shares are not released to Gemini Holders, the interim basis allocated to such Escrow Shares will be reallocated to the Gemini Holders’ remaining FS Development Common Stock received pursuant to the Business Combination, if any, or may result in recognition of capital loss in the event the Gemini Holder no longer holds any FS Development Common Stock. Gemini Holders should consult their tax advisors regarding the manner in which the above rules apply in light of the contingent right to receive Escrow Shares and the tax consequences of the release of Escrow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Consequences if the Business Combination Fails to Qualify as a Reorganization</w:t>
      </w:r>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If the Business Combination fails to qualify as a reorganization under Section 368(a) of the Code, the Business Combination will be a fully taxable transaction to each Gemini Holder. In such case, each U.S. Gemini Holder will recognize gain or loss measured by the difference between the fair market value of the Merger Consideration received in the Business Combination and the U.S. Gemini Holder’s tax basis in the shares of Gemini Stock surrendered in the Business Combination. The aggregate tax basis in the FS Development Common Stock (including the Escrow Shares) received pursuant to the Business Combination will be equal to the fair market value of such FS Development Common Stock (including the Escrow Shares) as of date received (including in the Escrow Fund). The holding period of such FS Development Common Stock (including the Escrow Shares) will begin on the date immediately following the date received. Gain or loss recognized will generally be capital gain or loss and will be a long-term capital gain or loss if the U.S. Gemini Holder will have held the Gemini Stock for more than one year at the Effective Time. Long-term capital gains of U.S. Gemini Holders that are non-corporate taxpayers are currently taxed at preferential U.S. federal income tax rates. Short-term capital gains are taxed at ordinary income tax rates. The deductibility of capital losses is generally subject to limitations. Gain or loss must be calculated separately for each block of Gemini Stock acquired at the same time in a single transaction. U.S. Gemini Holders are urged to consult with their tax advisors regarding the manner in which gain or loss should be calculated among different blocks of Gemini Stock surrendered in the Business Combination.</w:t>
      </w:r>
    </w:p>
    <w:p>
      <w:pPr>
        <w:spacing w:after="0" w:line="12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tax consequences to a Non-U.S. Gemini Holder if the Business Combination is treated as a taxable transaction generally will be the same as described above under the section titled “</w:t>
      </w:r>
      <w:r>
        <w:rPr>
          <w:rFonts w:ascii="Arial" w:cs="Arial" w:eastAsia="Arial" w:hAnsi="Arial"/>
          <w:sz w:val="17"/>
          <w:szCs w:val="17"/>
          <w:i w:val="1"/>
          <w:iCs w:val="1"/>
          <w:color w:val="auto"/>
        </w:rPr>
        <w:t>Certain Material U.S.</w:t>
      </w:r>
      <w:r>
        <w:rPr>
          <w:rFonts w:ascii="Arial" w:cs="Arial" w:eastAsia="Arial" w:hAnsi="Arial"/>
          <w:sz w:val="17"/>
          <w:szCs w:val="17"/>
          <w:color w:val="auto"/>
        </w:rPr>
        <w:t xml:space="preserve"> </w:t>
      </w:r>
      <w:r>
        <w:rPr>
          <w:rFonts w:ascii="Arial" w:cs="Arial" w:eastAsia="Arial" w:hAnsi="Arial"/>
          <w:sz w:val="17"/>
          <w:szCs w:val="17"/>
          <w:i w:val="1"/>
          <w:iCs w:val="1"/>
          <w:color w:val="auto"/>
        </w:rPr>
        <w:t>Federal Income Tax Considerations of the Redemption — U.S. Federal Income Tax Considerations to Non-U.S. Holders — Gain on Sale, Taxable Exchange or Other Taxable Disposition of Common Stock</w:t>
      </w:r>
      <w:r>
        <w:rPr>
          <w:rFonts w:ascii="Arial" w:cs="Arial" w:eastAsia="Arial" w:hAnsi="Arial"/>
          <w:sz w:val="17"/>
          <w:szCs w:val="17"/>
          <w:color w:val="auto"/>
        </w:rPr>
        <w:t>” as if the Non-U.S.</w:t>
      </w:r>
      <w:r>
        <w:rPr>
          <w:rFonts w:ascii="Arial" w:cs="Arial" w:eastAsia="Arial" w:hAnsi="Arial"/>
          <w:sz w:val="17"/>
          <w:szCs w:val="17"/>
          <w:i w:val="1"/>
          <w:iCs w:val="1"/>
          <w:color w:val="auto"/>
        </w:rPr>
        <w:t xml:space="preserve"> </w:t>
      </w:r>
      <w:r>
        <w:rPr>
          <w:rFonts w:ascii="Arial" w:cs="Arial" w:eastAsia="Arial" w:hAnsi="Arial"/>
          <w:sz w:val="17"/>
          <w:szCs w:val="17"/>
          <w:color w:val="auto"/>
        </w:rPr>
        <w:t>Gemini Holder exchanging its Gemini Stock for FS Development Common Stock were a Non-U.S. Holder (as defined therein) selling its Common Stock for property. The Merger Agreement obligates Gemini to deliver a certificate to FS Development on or prior to the Closing Date that as of the date of the certificate, Gemini is not a United States real property holding 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 U.S. Gemini Holder may be subject to information reporting and backup withholding unless the U.S Gemini Holder is an exempt recipient. Backup withholding may apply to such payments if the U.S. Gemini Holder fails to furnish a correct taxpayer identification number, a certification of exempt status or has been notified by the IRS that it is subject to backup withholding (and such notification has not been withdrawn). Each U.S. Gemini Holder should properly complete and sign, and deliver, an IRS Form W-9 in order to provide the information and certification necessary to avoid backup withholding, or otherwise establish an applicable exemption in a manner acceptable to the paying agent. U.S. Gemini Holders should consult their tax advisors regarding their qualification for an exemption from backup withholding and the procedures for obtaining such an exemption.</w:t>
      </w:r>
    </w:p>
    <w:p>
      <w:pPr>
        <w:spacing w:after="0" w:line="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 Non-U.S. Gemini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1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Backup withholding is not an additional tax. Any amounts withheld will be allowed as a credit against a Gemini Holder’s federal income tax liability and may entitle such holder to a refund, provided the required information is timely furnished to the IRS. Gemini Holders should consult their tax advisors regarding their qualification for an exemption from backup withholding and the procedures for obtaining such an exemption.</w:t>
      </w:r>
    </w:p>
    <w:p>
      <w:pPr>
        <w:spacing w:after="0" w:line="9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Gemini Holder that receives FS Development Common Stock as a result of the Business Combination should retain records pertaining to the Business Combination, including records relating to the number of shares and the tax basis of such holder’s Gemini Stock. Each Gemini Holder that is required to file a U.S. federal income tax return and that is a “significant holder” that receives FS Development Common Stock in the Business Combination will be required to file a statement with such U.S. federal income tax return in accordance with Treasury regulations Section 1.368-3 setting forth such holder’s tax basis in the Gemini Stock surrendered, the fair market value of the FS Development Common Stock received in the Business Combination, and certain other information.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stockholders comprising a relative majority of the voting power of the Combined Entity, Gemini’s operations prior to the acquisition comprising the only ongoing operations of Combined Entity, and Gemini’s senior management comprising the senior management of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This Business Combination Proposal (and consequently, the Merger Agreement and the transactions contemplated thereby, including the Business Combination) will be approved and adopted only with the affirmative vote of at least a majority of the votes cast by FS Development stockholders present in person, online or represented by proxy at the Special Meeting and entitled to vote thereon, voting together as a single class. The Business Combination is conditioned upon the approval of the Business Combination Proposal, subject to the terms of the Merger Agreement. If the Business Combination Proposal is not approved, the other Proposals (except the Adjournment Proposal, as described below) will not be presented to the stockholders for a vote. Abstentions and broker non-votes will have no effect on the outcome of the vote on the Business Combination Proposal.</w:t>
      </w:r>
    </w:p>
    <w:p>
      <w:pPr>
        <w:spacing w:after="0" w:line="129"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Approval of the Nasdaq Stock Issuance Proposal, the Charter Amendment Proposal, and the Incentive Plan Proposal are conditioned on the approval of the Business Combination Proposal at the Special Meeting.</w:t>
      </w:r>
    </w:p>
    <w:p>
      <w:pPr>
        <w:spacing w:after="0" w:line="4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As of the Record Date, FS Development’s Sponsor, directors and officers have agreed to vote any shares of Common Stock owned by them in favor of the Business Combination. As of the date hereof, the Sponsor, directors and officers have not purchased any Public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BOARD UNANIMOUSLY RECOMMENDS THAT OUR STOCKHOLDERS VOTE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APPROVAL OF THE BUSINESS COMBINATION PROPOSAL.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ISSUANCE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Background and 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Assuming the Business Combination Proposal is approved, FS Development’s stockholders are also being asked to approve (a) the issuance of up to 21,500,000 newly issued shares of FS Development Common Stock in the Business Combination determined as described in more detail under the heading titled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 — Acquisition of Gemini; Merger Consideration</w:t>
      </w:r>
      <w:r>
        <w:rPr>
          <w:rFonts w:ascii="Arial" w:cs="Arial" w:eastAsia="Arial" w:hAnsi="Arial"/>
          <w:sz w:val="18"/>
          <w:szCs w:val="18"/>
          <w:color w:val="auto"/>
        </w:rPr>
        <w:t>” and (b) the issuance of 9,506,000</w:t>
      </w:r>
      <w:r>
        <w:rPr>
          <w:rFonts w:ascii="Arial" w:cs="Arial" w:eastAsia="Arial" w:hAnsi="Arial"/>
          <w:sz w:val="18"/>
          <w:szCs w:val="18"/>
          <w:i w:val="1"/>
          <w:iCs w:val="1"/>
          <w:color w:val="auto"/>
        </w:rPr>
        <w:t xml:space="preserve"> </w:t>
      </w:r>
      <w:r>
        <w:rPr>
          <w:rFonts w:ascii="Arial" w:cs="Arial" w:eastAsia="Arial" w:hAnsi="Arial"/>
          <w:sz w:val="18"/>
          <w:szCs w:val="18"/>
          <w:color w:val="auto"/>
        </w:rPr>
        <w:t>newly issued shares of FS Development Common Stock in the PIPE Investment for the purposes of complying with the applicable provisions of the Nasdaq Stock Exchange Listing Rules (each, a “</w:t>
      </w:r>
      <w:r>
        <w:rPr>
          <w:rFonts w:ascii="Arial" w:cs="Arial" w:eastAsia="Arial" w:hAnsi="Arial"/>
          <w:sz w:val="18"/>
          <w:szCs w:val="18"/>
          <w:b w:val="1"/>
          <w:bCs w:val="1"/>
          <w:color w:val="auto"/>
        </w:rPr>
        <w:t>Nasdaq Listing Rule</w:t>
      </w:r>
      <w:r>
        <w:rPr>
          <w:rFonts w:ascii="Arial" w:cs="Arial" w:eastAsia="Arial" w:hAnsi="Arial"/>
          <w:sz w:val="18"/>
          <w:szCs w:val="18"/>
          <w:color w:val="auto"/>
        </w:rPr>
        <w:t>”) 5635(a), (b) and (d), to the extent such issuance would require a stockholder vote under Nasdaq Listing Rule 5635(a), (b), or (d).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Reasons for the Approval for Purposes of Nasdaq Listing Rule 5635</w:t>
      </w:r>
    </w:p>
    <w:p>
      <w:pPr>
        <w:spacing w:after="0" w:line="16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Under Nasdaq Listing Rule 5635(a)(1), stockholder approval is required prior to the issuance of securities in connection with the acquisition of another company if such securities are not issued in a public offering for cash and (i) the common stock have, or will have upon issuance, voting power equal to or in excess of 20% of the voting power outstanding before the issuance of common stock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stockholder approval is required prior to the issuance of securities when the issuance or potential issuance will result in a change of control of the issuer.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the official Nasdaq closing price immediately before signing of the binding agreement and the average official Nasdaq closing price for the five trading days immediately preceding the signing of the binding agreement of the common stock if the number of shares of common stock to be issued is or may be equal to 20% or more of the common stock, or 20% or more of the voting power, outstanding before the issuance. If the Business Combination is completed pursuant to the Merger Agreement, FS Development currently expects to issue an estimated 31,006,000 shares of FS Development Class A Common Stock (assuming that none of FS Development’s outstanding Public Shares are redeemed) in connection with the Business Combination and the PIPE Investment.</w:t>
      </w:r>
    </w:p>
    <w:p>
      <w:pPr>
        <w:spacing w:after="0" w:line="10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Additionally, pursuant to Nasdaq Listing Rule 5635(a)(2), when a Nasdaq-listed company proposes to issue securities in connection with the acquisition of the stock or assets of another company, stockholder approval is required if any director, officer or substantial stockholder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FS Development’s Common Stock,</w:t>
      </w:r>
    </w:p>
    <w:p>
      <w:pPr>
        <w:spacing w:after="0" w:line="6" w:lineRule="exact"/>
        <w:rPr>
          <w:sz w:val="20"/>
          <w:szCs w:val="20"/>
          <w:color w:val="auto"/>
        </w:rPr>
      </w:pPr>
    </w:p>
    <w:p>
      <w:pPr>
        <w:ind w:left="460" w:right="479"/>
        <w:spacing w:after="0" w:line="255" w:lineRule="auto"/>
        <w:rPr>
          <w:sz w:val="20"/>
          <w:szCs w:val="20"/>
          <w:color w:val="auto"/>
        </w:rPr>
      </w:pPr>
      <w:r>
        <w:rPr>
          <w:rFonts w:ascii="Arial" w:cs="Arial" w:eastAsia="Arial" w:hAnsi="Arial"/>
          <w:sz w:val="18"/>
          <w:szCs w:val="18"/>
          <w:color w:val="auto"/>
        </w:rPr>
        <w:t>Sponsor and are considered substantial stockholders of FS Development under Nasdaq Listing Rule 5635(e)(3). In connection with the PIPE Investment, is expected to be issued shares of FS Development Class A Common Stock.</w:t>
      </w:r>
    </w:p>
    <w:p>
      <w:pPr>
        <w:spacing w:after="0" w:line="10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the event that this proposal is not approved by FS Development stockholders, the Business Combination cannot be consummated. In the event that this proposal is approved by FS Development stockholders, but the Merger Agreement is terminated (without the Business Combination being consummated) prior to the issuance of shares of FS Development Class A Common Stock pursuant to the Merger Agreement, FS Development will not issue such shares of FS Development Class A Common Stock.</w:t>
      </w:r>
    </w:p>
    <w:p>
      <w:pPr>
        <w:spacing w:after="0" w:line="10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currently have 15,535,250 shares of FS Development Common Stock outstanding. Pursuant to the Business Combination and the Subscription Agreements, we will issue 31,006,000 shares of FS Development Class A Common Stock, representing 200% of our outstanding shares of FS Development Common Stock prior to such issuance, at a price less than the greater of the book value or market of the shares. The FS Development Class A</w:t>
      </w:r>
    </w:p>
    <w:p>
      <w:pPr>
        <w:spacing w:after="0" w:line="1" w:lineRule="exact"/>
        <w:rPr>
          <w:sz w:val="20"/>
          <w:szCs w:val="20"/>
          <w:color w:val="auto"/>
        </w:rPr>
      </w:pPr>
    </w:p>
    <w:p>
      <w:pPr>
        <w:jc w:val="both"/>
        <w:ind w:left="460" w:right="479"/>
        <w:spacing w:after="0" w:line="260" w:lineRule="auto"/>
        <w:rPr>
          <w:sz w:val="20"/>
          <w:szCs w:val="20"/>
          <w:color w:val="auto"/>
        </w:rPr>
      </w:pPr>
      <w:r>
        <w:rPr>
          <w:rFonts w:ascii="Arial" w:cs="Arial" w:eastAsia="Arial" w:hAnsi="Arial"/>
          <w:sz w:val="18"/>
          <w:szCs w:val="18"/>
          <w:color w:val="auto"/>
        </w:rPr>
        <w:t>Common Stock had a book value of $ and market value of $ on , 2020. Accordingly, we need stockholder approval of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issuance of more than 20% of our issued and outstanding FS Development Common Stock at a price that may</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w w:val="92"/>
              </w:rPr>
              <w:t>be less than the greater of book or market value of FS Development’s Class A Common Stock as of</w:t>
            </w:r>
          </w:p>
        </w:tc>
        <w:tc>
          <w:tcPr>
            <w:tcW w:w="6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162"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If the Nasdaq Stock Issuance Proposal is adopted, up to an aggregate of 31,006,000 shares of FS Development Class A Common Stock may be issued in connection with the Business Combination and the PIPE Investment, representing up to 200% of the shares of FS Development Class A Common Stock outstanding on the date hereof. The issuance of such shares would result in significant dilution to our stockholders, and result in our stockholders having a smaller percentage interest in the voting power, liquidation value and aggregate book value of FS Development.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Approval of the Nasdaq Stock Issuance Proposal, the Charter Amendment Proposal, and the Incentive Plan Proposal are conditioned on the approval of the Business Combination Proposal at the Special Meeting.</w:t>
      </w:r>
    </w:p>
    <w:p>
      <w:pPr>
        <w:spacing w:after="0" w:line="56"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Approval of the Nasdaq Stock Issuance Proposal requires the affirmative vote of a majority of the votes cast by the stockholders represented in person or by proxy and entitled to vote thereon at the Special Meeting, voting together as a single class, assuming that a quorum is present. Failure to vote by proxy or to vote online at the special meeting or an abstention from voting will have no effect on the outcome of the vote on the Nasdaq Stock Issuance Proposal.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1400" w:right="1059" w:hanging="396"/>
        <w:spacing w:after="0" w:line="282" w:lineRule="auto"/>
        <w:rPr>
          <w:sz w:val="20"/>
          <w:szCs w:val="20"/>
          <w:color w:val="auto"/>
        </w:rPr>
      </w:pPr>
      <w:r>
        <w:rPr>
          <w:rFonts w:ascii="Arial" w:cs="Arial" w:eastAsia="Arial" w:hAnsi="Arial"/>
          <w:sz w:val="18"/>
          <w:szCs w:val="18"/>
          <w:b w:val="1"/>
          <w:bCs w:val="1"/>
          <w:color w:val="auto"/>
        </w:rPr>
        <w:t>OUR BOARD UNANIMOUSLY RECOMMENDS THAT OUR STOCKHOLDERS VOTE “FOR” THE APPROVAL OF THE NASDAQ STOCK ISSUANCE PROPOSAL.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CHARTER AMENDMENT PROPOSAL</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 xml:space="preserve">The following table sets forth a summary of the provisions of the Current Charter and the Proposed Charter. This summary is qualified by reference to the complete text of Proposed Charter, a copy of which is attached to this proxy statement/prospectus as </w:t>
      </w:r>
      <w:r>
        <w:rPr>
          <w:rFonts w:ascii="Arial" w:cs="Arial" w:eastAsia="Arial" w:hAnsi="Arial"/>
          <w:sz w:val="18"/>
          <w:szCs w:val="18"/>
          <w:i w:val="1"/>
          <w:iCs w:val="1"/>
          <w:u w:val="single" w:color="auto"/>
          <w:color w:val="auto"/>
        </w:rPr>
        <w:t>Annex B</w:t>
      </w:r>
      <w:r>
        <w:rPr>
          <w:rFonts w:ascii="Arial" w:cs="Arial" w:eastAsia="Arial" w:hAnsi="Arial"/>
          <w:sz w:val="18"/>
          <w:szCs w:val="18"/>
          <w:color w:val="auto"/>
        </w:rPr>
        <w:t>. All stockholders are encouraged to read the Proposed Charter in its entirety for a more complete description of its terms.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ind w:left="320"/>
              <w:spacing w:after="0"/>
              <w:rPr>
                <w:sz w:val="20"/>
                <w:szCs w:val="20"/>
                <w:color w:val="auto"/>
              </w:rPr>
            </w:pPr>
            <w:r>
              <w:rPr>
                <w:rFonts w:ascii="Arial" w:cs="Arial" w:eastAsia="Arial" w:hAnsi="Arial"/>
                <w:sz w:val="16"/>
                <w:szCs w:val="16"/>
                <w:b w:val="1"/>
                <w:bCs w:val="1"/>
                <w:color w:val="auto"/>
              </w:rPr>
              <w:t>Current Charter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Proposed Charter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Classified Board</w:t>
            </w:r>
          </w:p>
        </w:tc>
        <w:tc>
          <w:tcPr>
            <w:tcW w:w="2900" w:type="dxa"/>
            <w:vAlign w:val="bottom"/>
            <w:tcBorders>
              <w:bottom w:val="single" w:sz="8" w:color="auto"/>
            </w:tcBorders>
            <w:gridSpan w:val="4"/>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30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80" w:type="dxa"/>
            <w:vAlign w:val="bottom"/>
            <w:vMerge w:val="continue"/>
          </w:tcPr>
          <w:p>
            <w:pPr>
              <w:spacing w:after="0"/>
              <w:rPr>
                <w:sz w:val="16"/>
                <w:szCs w:val="16"/>
                <w:color w:val="auto"/>
              </w:rPr>
            </w:pPr>
          </w:p>
        </w:tc>
        <w:tc>
          <w:tcPr>
            <w:tcW w:w="2900" w:type="dxa"/>
            <w:vAlign w:val="bottom"/>
            <w:gridSpan w:val="4"/>
          </w:tcPr>
          <w:p>
            <w:pPr>
              <w:spacing w:after="0" w:line="195" w:lineRule="exact"/>
              <w:rPr>
                <w:sz w:val="20"/>
                <w:szCs w:val="20"/>
                <w:color w:val="auto"/>
              </w:rPr>
            </w:pPr>
            <w:r>
              <w:rPr>
                <w:rFonts w:ascii="Arial" w:cs="Arial" w:eastAsia="Arial" w:hAnsi="Arial"/>
                <w:sz w:val="18"/>
                <w:szCs w:val="18"/>
                <w:color w:val="auto"/>
                <w:w w:val="94"/>
              </w:rPr>
              <w:t>The Current Charter divides the board</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3020" w:type="dxa"/>
            <w:vAlign w:val="bottom"/>
            <w:gridSpan w:val="4"/>
          </w:tcPr>
          <w:p>
            <w:pPr>
              <w:spacing w:after="0" w:line="195" w:lineRule="exact"/>
              <w:rPr>
                <w:sz w:val="20"/>
                <w:szCs w:val="20"/>
                <w:color w:val="auto"/>
              </w:rPr>
            </w:pPr>
            <w:r>
              <w:rPr>
                <w:rFonts w:ascii="Arial" w:cs="Arial" w:eastAsia="Arial" w:hAnsi="Arial"/>
                <w:sz w:val="18"/>
                <w:szCs w:val="18"/>
                <w:color w:val="auto"/>
                <w:w w:val="93"/>
              </w:rPr>
              <w:t>The Proposed Charter divides the board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9"/>
              </w:rPr>
              <w:t>of  directors  into  three  classes  with</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6"/>
              </w:rPr>
              <w:t>of directors of the Combined Entity into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w w:val="93"/>
              </w:rPr>
              <w:t>staggered three-year terms.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5"/>
              </w:rPr>
              <w:t>three classes with staggered three-year</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terms.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80" w:type="dxa"/>
            <w:vAlign w:val="bottom"/>
          </w:tcPr>
          <w:p>
            <w:pPr>
              <w:spacing w:after="0"/>
              <w:rPr>
                <w:sz w:val="20"/>
                <w:szCs w:val="20"/>
                <w:color w:val="auto"/>
              </w:rPr>
            </w:pPr>
            <w:r>
              <w:rPr>
                <w:rFonts w:ascii="Arial" w:cs="Arial" w:eastAsia="Arial" w:hAnsi="Arial"/>
                <w:sz w:val="18"/>
                <w:szCs w:val="18"/>
                <w:b w:val="1"/>
                <w:bCs w:val="1"/>
                <w:color w:val="auto"/>
              </w:rPr>
              <w:t>Charter Amendment</w:t>
            </w:r>
          </w:p>
        </w:tc>
        <w:tc>
          <w:tcPr>
            <w:tcW w:w="2960" w:type="dxa"/>
            <w:vAlign w:val="bottom"/>
            <w:gridSpan w:val="5"/>
          </w:tcPr>
          <w:p>
            <w:pPr>
              <w:spacing w:after="0"/>
              <w:rPr>
                <w:sz w:val="20"/>
                <w:szCs w:val="20"/>
                <w:color w:val="auto"/>
              </w:rPr>
            </w:pPr>
            <w:r>
              <w:rPr>
                <w:rFonts w:ascii="Arial" w:cs="Arial" w:eastAsia="Arial" w:hAnsi="Arial"/>
                <w:sz w:val="18"/>
                <w:szCs w:val="18"/>
                <w:color w:val="auto"/>
              </w:rPr>
              <w:t>The Current Charter is silent on the</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8"/>
              </w:rPr>
              <w:t>The Proposed Charter any will require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6"/>
              </w:rPr>
              <w:t>issue of minimum voting requirements</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3"/>
              </w:rPr>
              <w:t>the affirmative vote of the majority of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for  amending  the  Current  Charter,</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6"/>
              </w:rPr>
              <w:t>provided that provisions in the Current</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5"/>
              </w:rPr>
              <w:t>entitled  to  vote  on  such  amendment,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Charter  related  to  (i)  the  rights,</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3"/>
              </w:rPr>
              <w:t>provided that provisions in the Proposed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w w:val="96"/>
              </w:rPr>
              <w:t>preferences  and</w:t>
            </w:r>
          </w:p>
        </w:tc>
        <w:tc>
          <w:tcPr>
            <w:tcW w:w="1640" w:type="dxa"/>
            <w:vAlign w:val="bottom"/>
            <w:gridSpan w:val="3"/>
          </w:tcPr>
          <w:p>
            <w:pPr>
              <w:ind w:left="140"/>
              <w:spacing w:after="0"/>
              <w:rPr>
                <w:sz w:val="20"/>
                <w:szCs w:val="20"/>
                <w:color w:val="auto"/>
              </w:rPr>
            </w:pPr>
            <w:r>
              <w:rPr>
                <w:rFonts w:ascii="Arial" w:cs="Arial" w:eastAsia="Arial" w:hAnsi="Arial"/>
                <w:sz w:val="18"/>
                <w:szCs w:val="18"/>
                <w:color w:val="auto"/>
              </w:rPr>
              <w:t>privileges  of  the</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rPr>
              <w:t>Charter   in   Article   V   (covering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Class B Common Stock may only be</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1"/>
              </w:rPr>
              <w:t>stockholder</w:t>
            </w:r>
          </w:p>
        </w:tc>
        <w:tc>
          <w:tcPr>
            <w:tcW w:w="1080" w:type="dxa"/>
            <w:vAlign w:val="bottom"/>
          </w:tcPr>
          <w:p>
            <w:pPr>
              <w:ind w:left="260"/>
              <w:spacing w:after="0"/>
              <w:rPr>
                <w:sz w:val="20"/>
                <w:szCs w:val="20"/>
                <w:color w:val="auto"/>
              </w:rPr>
            </w:pPr>
            <w:r>
              <w:rPr>
                <w:rFonts w:ascii="Arial" w:cs="Arial" w:eastAsia="Arial" w:hAnsi="Arial"/>
                <w:sz w:val="18"/>
                <w:szCs w:val="18"/>
                <w:color w:val="auto"/>
              </w:rPr>
              <w:t>actions),</w:t>
            </w:r>
          </w:p>
        </w:tc>
        <w:tc>
          <w:tcPr>
            <w:tcW w:w="700" w:type="dxa"/>
            <w:vAlign w:val="bottom"/>
          </w:tcPr>
          <w:p>
            <w:pPr>
              <w:ind w:left="60"/>
              <w:spacing w:after="0"/>
              <w:rPr>
                <w:sz w:val="20"/>
                <w:szCs w:val="20"/>
                <w:color w:val="auto"/>
              </w:rPr>
            </w:pPr>
            <w:r>
              <w:rPr>
                <w:rFonts w:ascii="Arial" w:cs="Arial" w:eastAsia="Arial" w:hAnsi="Arial"/>
                <w:sz w:val="18"/>
                <w:szCs w:val="18"/>
                <w:color w:val="auto"/>
              </w:rPr>
              <w:t>Article</w:t>
            </w:r>
          </w:p>
        </w:tc>
        <w:tc>
          <w:tcPr>
            <w:tcW w:w="380" w:type="dxa"/>
            <w:vAlign w:val="bottom"/>
          </w:tcPr>
          <w:p>
            <w:pPr>
              <w:ind w:left="140"/>
              <w:spacing w:after="0"/>
              <w:rPr>
                <w:sz w:val="20"/>
                <w:szCs w:val="20"/>
                <w:color w:val="auto"/>
              </w:rPr>
            </w:pPr>
            <w:r>
              <w:rPr>
                <w:rFonts w:ascii="Arial" w:cs="Arial" w:eastAsia="Arial" w:hAnsi="Arial"/>
                <w:sz w:val="18"/>
                <w:szCs w:val="18"/>
                <w:color w:val="auto"/>
                <w:w w:val="99"/>
              </w:rPr>
              <w:t>VI,</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amended  with  the  approval  of  the</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8"/>
              </w:rPr>
              <w:t>Section 3 (covering classified board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holders of at least a majority of the</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4"/>
              </w:rPr>
              <w:t>directors), Article VI, Section 5 (removal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7"/>
              </w:rPr>
              <w:t>then-outstanding  shares  of  Class  B</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rPr>
              <w:t>of  directors),  Article  VII,  Section  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8"/>
              </w:rPr>
              <w:t>Common Stock and (ii) the provisions</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rPr>
              <w:t>(limitation  on  director  liability)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set  forth  in  Article  IX  (provisions</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6"/>
              </w:rPr>
              <w:t>Article VIII (amendment of by-laws) will</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2960" w:type="dxa"/>
            <w:vAlign w:val="bottom"/>
            <w:gridSpan w:val="5"/>
          </w:tcPr>
          <w:p>
            <w:pPr>
              <w:spacing w:after="0" w:line="183" w:lineRule="exact"/>
              <w:rPr>
                <w:sz w:val="20"/>
                <w:szCs w:val="20"/>
                <w:color w:val="auto"/>
              </w:rPr>
            </w:pPr>
            <w:r>
              <w:rPr>
                <w:rFonts w:ascii="Arial" w:cs="Arial" w:eastAsia="Arial" w:hAnsi="Arial"/>
                <w:sz w:val="18"/>
                <w:szCs w:val="18"/>
                <w:color w:val="auto"/>
                <w:w w:val="93"/>
              </w:rPr>
              <w:t>related to a blank check company) may</w:t>
            </w:r>
          </w:p>
        </w:tc>
        <w:tc>
          <w:tcPr>
            <w:tcW w:w="3060" w:type="dxa"/>
            <w:vAlign w:val="bottom"/>
            <w:gridSpan w:val="5"/>
          </w:tcPr>
          <w:p>
            <w:pPr>
              <w:ind w:left="40"/>
              <w:spacing w:after="0" w:line="183" w:lineRule="exact"/>
              <w:rPr>
                <w:sz w:val="20"/>
                <w:szCs w:val="20"/>
                <w:color w:val="auto"/>
              </w:rPr>
            </w:pPr>
            <w:r>
              <w:rPr>
                <w:rFonts w:ascii="Arial" w:cs="Arial" w:eastAsia="Arial" w:hAnsi="Arial"/>
                <w:sz w:val="18"/>
                <w:szCs w:val="18"/>
                <w:color w:val="auto"/>
                <w:w w:val="91"/>
              </w:rPr>
              <w:t>require approval of the holders of at least</w:t>
            </w:r>
          </w:p>
        </w:tc>
        <w:tc>
          <w:tcPr>
            <w:tcW w:w="0" w:type="dxa"/>
            <w:vAlign w:val="bottom"/>
          </w:tcPr>
          <w:p>
            <w:pPr>
              <w:spacing w:after="0"/>
              <w:rPr>
                <w:sz w:val="1"/>
                <w:szCs w:val="1"/>
                <w:color w:val="auto"/>
              </w:rPr>
            </w:pPr>
          </w:p>
        </w:tc>
      </w:tr>
      <w:tr>
        <w:trPr>
          <w:trHeight w:val="249"/>
        </w:trPr>
        <w:tc>
          <w:tcPr>
            <w:tcW w:w="20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8"/>
              </w:rPr>
              <w:t>only be amended with the approval of</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rPr>
              <w:t>66⅔% 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6"/>
              </w:rPr>
              <w:t>the holders of at least 65% of the then</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issued  and  outstanding  shares  of</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1"/>
              </w:rPr>
              <w:t>entitled to vote generally at an election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common stock, voting together as a</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directors.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single class.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80" w:type="dxa"/>
            <w:vAlign w:val="bottom"/>
          </w:tcPr>
          <w:p>
            <w:pPr>
              <w:spacing w:after="0"/>
              <w:rPr>
                <w:sz w:val="20"/>
                <w:szCs w:val="20"/>
                <w:color w:val="auto"/>
              </w:rPr>
            </w:pPr>
            <w:r>
              <w:rPr>
                <w:rFonts w:ascii="Arial" w:cs="Arial" w:eastAsia="Arial" w:hAnsi="Arial"/>
                <w:sz w:val="18"/>
                <w:szCs w:val="18"/>
                <w:b w:val="1"/>
                <w:bCs w:val="1"/>
                <w:color w:val="auto"/>
              </w:rPr>
              <w:t>Section 203</w:t>
            </w:r>
          </w:p>
        </w:tc>
        <w:tc>
          <w:tcPr>
            <w:tcW w:w="2960" w:type="dxa"/>
            <w:vAlign w:val="bottom"/>
            <w:gridSpan w:val="5"/>
          </w:tcPr>
          <w:p>
            <w:pPr>
              <w:spacing w:after="0"/>
              <w:rPr>
                <w:sz w:val="20"/>
                <w:szCs w:val="20"/>
                <w:color w:val="auto"/>
              </w:rPr>
            </w:pPr>
            <w:r>
              <w:rPr>
                <w:rFonts w:ascii="Arial" w:cs="Arial" w:eastAsia="Arial" w:hAnsi="Arial"/>
                <w:sz w:val="18"/>
                <w:szCs w:val="18"/>
                <w:color w:val="auto"/>
                <w:w w:val="98"/>
              </w:rPr>
              <w:t>The Current Charter does not provide</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4"/>
              </w:rPr>
              <w:t>The Proposed Charter provides that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for the opt out of Section 203 of the</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3"/>
              </w:rPr>
              <w:t>Combined Entity opts out of Section 203</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4"/>
              </w:rPr>
              <w:t>DGLC.</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Arial" w:cs="Arial" w:eastAsia="Arial" w:hAnsi="Arial"/>
                <w:sz w:val="18"/>
                <w:szCs w:val="18"/>
                <w:color w:val="auto"/>
              </w:rPr>
              <w:t>of the DGCL.</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Arial" w:cs="Arial" w:eastAsia="Arial" w:hAnsi="Arial"/>
                <w:sz w:val="18"/>
                <w:szCs w:val="18"/>
                <w:b w:val="1"/>
                <w:bCs w:val="1"/>
                <w:color w:val="auto"/>
              </w:rPr>
              <w:t>Securities Act Disputes</w:t>
            </w:r>
          </w:p>
        </w:tc>
        <w:tc>
          <w:tcPr>
            <w:tcW w:w="2960" w:type="dxa"/>
            <w:vAlign w:val="bottom"/>
            <w:gridSpan w:val="5"/>
          </w:tcPr>
          <w:p>
            <w:pPr>
              <w:spacing w:after="0"/>
              <w:rPr>
                <w:sz w:val="20"/>
                <w:szCs w:val="20"/>
                <w:color w:val="auto"/>
              </w:rPr>
            </w:pPr>
            <w:r>
              <w:rPr>
                <w:rFonts w:ascii="Arial" w:cs="Arial" w:eastAsia="Arial" w:hAnsi="Arial"/>
                <w:sz w:val="18"/>
                <w:szCs w:val="18"/>
                <w:color w:val="auto"/>
                <w:w w:val="96"/>
              </w:rPr>
              <w:t>The Current Charter provides the U.S.</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4"/>
              </w:rPr>
              <w:t>The Proposed Charter is silent as to the</w:t>
            </w:r>
          </w:p>
        </w:tc>
        <w:tc>
          <w:tcPr>
            <w:tcW w:w="0" w:type="dxa"/>
            <w:vAlign w:val="bottom"/>
          </w:tcPr>
          <w:p>
            <w:pPr>
              <w:spacing w:after="0"/>
              <w:rPr>
                <w:sz w:val="1"/>
                <w:szCs w:val="1"/>
                <w:color w:val="auto"/>
              </w:rPr>
            </w:pPr>
          </w:p>
        </w:tc>
      </w:tr>
      <w:tr>
        <w:trPr>
          <w:trHeight w:val="220"/>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Forum</w:t>
            </w:r>
          </w:p>
        </w:tc>
        <w:tc>
          <w:tcPr>
            <w:tcW w:w="2960" w:type="dxa"/>
            <w:vAlign w:val="bottom"/>
            <w:gridSpan w:val="5"/>
          </w:tcPr>
          <w:p>
            <w:pPr>
              <w:spacing w:after="0"/>
              <w:rPr>
                <w:sz w:val="20"/>
                <w:szCs w:val="20"/>
                <w:color w:val="auto"/>
              </w:rPr>
            </w:pPr>
            <w:r>
              <w:rPr>
                <w:rFonts w:ascii="Arial" w:cs="Arial" w:eastAsia="Arial" w:hAnsi="Arial"/>
                <w:sz w:val="18"/>
                <w:szCs w:val="18"/>
                <w:color w:val="auto"/>
              </w:rPr>
              <w:t>federal district courts have exclusive</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2"/>
              </w:rPr>
              <w:t>forum for causes of actions arising under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2"/>
              </w:rPr>
              <w:t>jurisdiction over causes of action arising</w:t>
            </w:r>
          </w:p>
        </w:tc>
        <w:tc>
          <w:tcPr>
            <w:tcW w:w="1980" w:type="dxa"/>
            <w:vAlign w:val="bottom"/>
            <w:gridSpan w:val="3"/>
          </w:tcPr>
          <w:p>
            <w:pPr>
              <w:ind w:left="40"/>
              <w:spacing w:after="0"/>
              <w:rPr>
                <w:sz w:val="20"/>
                <w:szCs w:val="20"/>
                <w:color w:val="auto"/>
              </w:rPr>
            </w:pPr>
            <w:r>
              <w:rPr>
                <w:rFonts w:ascii="Arial" w:cs="Arial" w:eastAsia="Arial" w:hAnsi="Arial"/>
                <w:sz w:val="18"/>
                <w:szCs w:val="18"/>
                <w:color w:val="auto"/>
              </w:rPr>
              <w:t>the Securities Act.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under the Securities Act.</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80" w:type="dxa"/>
            <w:vAlign w:val="bottom"/>
          </w:tcPr>
          <w:p>
            <w:pPr>
              <w:spacing w:after="0"/>
              <w:rPr>
                <w:sz w:val="20"/>
                <w:szCs w:val="20"/>
                <w:color w:val="auto"/>
              </w:rPr>
            </w:pPr>
            <w:r>
              <w:rPr>
                <w:rFonts w:ascii="Arial" w:cs="Arial" w:eastAsia="Arial" w:hAnsi="Arial"/>
                <w:sz w:val="18"/>
                <w:szCs w:val="18"/>
                <w:b w:val="1"/>
                <w:bCs w:val="1"/>
                <w:color w:val="auto"/>
              </w:rPr>
              <w:t>Director Removal</w:t>
            </w:r>
          </w:p>
        </w:tc>
        <w:tc>
          <w:tcPr>
            <w:tcW w:w="2960" w:type="dxa"/>
            <w:vAlign w:val="bottom"/>
            <w:gridSpan w:val="5"/>
          </w:tcPr>
          <w:p>
            <w:pPr>
              <w:spacing w:after="0"/>
              <w:rPr>
                <w:sz w:val="20"/>
                <w:szCs w:val="20"/>
                <w:color w:val="auto"/>
              </w:rPr>
            </w:pPr>
            <w:r>
              <w:rPr>
                <w:rFonts w:ascii="Arial" w:cs="Arial" w:eastAsia="Arial" w:hAnsi="Arial"/>
                <w:sz w:val="18"/>
                <w:szCs w:val="18"/>
                <w:color w:val="auto"/>
              </w:rPr>
              <w:t>The Current Charter has a provision</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6"/>
              </w:rPr>
              <w:t>Under the Proposed Charter, a director</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2960" w:type="dxa"/>
            <w:vAlign w:val="bottom"/>
            <w:gridSpan w:val="5"/>
          </w:tcPr>
          <w:p>
            <w:pPr>
              <w:spacing w:after="0" w:line="183" w:lineRule="exact"/>
              <w:rPr>
                <w:sz w:val="20"/>
                <w:szCs w:val="20"/>
                <w:color w:val="auto"/>
              </w:rPr>
            </w:pPr>
            <w:r>
              <w:rPr>
                <w:rFonts w:ascii="Arial" w:cs="Arial" w:eastAsia="Arial" w:hAnsi="Arial"/>
                <w:sz w:val="18"/>
                <w:szCs w:val="18"/>
                <w:color w:val="auto"/>
                <w:w w:val="98"/>
              </w:rPr>
              <w:t>providing for the removal of a director</w:t>
            </w:r>
          </w:p>
        </w:tc>
        <w:tc>
          <w:tcPr>
            <w:tcW w:w="3060" w:type="dxa"/>
            <w:vAlign w:val="bottom"/>
            <w:gridSpan w:val="5"/>
          </w:tcPr>
          <w:p>
            <w:pPr>
              <w:ind w:left="40"/>
              <w:spacing w:after="0" w:line="183" w:lineRule="exact"/>
              <w:rPr>
                <w:sz w:val="20"/>
                <w:szCs w:val="20"/>
                <w:color w:val="auto"/>
              </w:rPr>
            </w:pPr>
            <w:r>
              <w:rPr>
                <w:rFonts w:ascii="Arial" w:cs="Arial" w:eastAsia="Arial" w:hAnsi="Arial"/>
                <w:sz w:val="18"/>
                <w:szCs w:val="18"/>
                <w:color w:val="auto"/>
                <w:w w:val="98"/>
              </w:rPr>
              <w:t>can only be removed for clause by the</w:t>
            </w:r>
          </w:p>
        </w:tc>
        <w:tc>
          <w:tcPr>
            <w:tcW w:w="0" w:type="dxa"/>
            <w:vAlign w:val="bottom"/>
          </w:tcPr>
          <w:p>
            <w:pPr>
              <w:spacing w:after="0"/>
              <w:rPr>
                <w:sz w:val="1"/>
                <w:szCs w:val="1"/>
                <w:color w:val="auto"/>
              </w:rPr>
            </w:pPr>
          </w:p>
        </w:tc>
      </w:tr>
      <w:tr>
        <w:trPr>
          <w:trHeight w:val="249"/>
        </w:trPr>
        <w:tc>
          <w:tcPr>
            <w:tcW w:w="20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6"/>
              </w:rPr>
              <w:t>for cause only with the approval of the</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3"/>
              </w:rPr>
              <w:t>approval of the holders of at least 66⅔%</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2"/>
              </w:rPr>
              <w:t>holders of a majority of the capital stock</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rPr>
              <w:t>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of then issued and outstanding.</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1"/>
              </w:rPr>
              <w:t>entitled to vote generally at an election of</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directors.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80" w:type="dxa"/>
            <w:vAlign w:val="bottom"/>
          </w:tcPr>
          <w:p>
            <w:pPr>
              <w:spacing w:after="0"/>
              <w:rPr>
                <w:sz w:val="20"/>
                <w:szCs w:val="20"/>
                <w:color w:val="auto"/>
              </w:rPr>
            </w:pPr>
            <w:r>
              <w:rPr>
                <w:rFonts w:ascii="Arial" w:cs="Arial" w:eastAsia="Arial" w:hAnsi="Arial"/>
                <w:sz w:val="18"/>
                <w:szCs w:val="18"/>
                <w:b w:val="1"/>
                <w:bCs w:val="1"/>
                <w:color w:val="auto"/>
              </w:rPr>
              <w:t>Name Change</w:t>
            </w:r>
          </w:p>
        </w:tc>
        <w:tc>
          <w:tcPr>
            <w:tcW w:w="2960" w:type="dxa"/>
            <w:vAlign w:val="bottom"/>
            <w:gridSpan w:val="5"/>
          </w:tcPr>
          <w:p>
            <w:pPr>
              <w:spacing w:after="0"/>
              <w:rPr>
                <w:sz w:val="20"/>
                <w:szCs w:val="20"/>
                <w:color w:val="auto"/>
              </w:rPr>
            </w:pPr>
            <w:r>
              <w:rPr>
                <w:rFonts w:ascii="Arial" w:cs="Arial" w:eastAsia="Arial" w:hAnsi="Arial"/>
                <w:sz w:val="18"/>
                <w:szCs w:val="18"/>
                <w:color w:val="auto"/>
                <w:w w:val="96"/>
              </w:rPr>
              <w:t>FS Development’s current name is FS</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9"/>
              </w:rPr>
              <w:t>Under   the   Proposed   Charter,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Development Corp.</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6"/>
              </w:rPr>
              <w:t>Combined Entity’s name will be Gemini</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Arial" w:cs="Arial" w:eastAsia="Arial" w:hAnsi="Arial"/>
                <w:sz w:val="18"/>
                <w:szCs w:val="18"/>
                <w:color w:val="auto"/>
              </w:rPr>
              <w:t>Therapeutics, Inc.</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8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540" w:type="dxa"/>
            <w:vAlign w:val="bottom"/>
          </w:tcPr>
          <w:p>
            <w:pPr>
              <w:spacing w:after="0"/>
              <w:rPr>
                <w:sz w:val="20"/>
                <w:szCs w:val="20"/>
                <w:color w:val="auto"/>
              </w:rPr>
            </w:pPr>
            <w:r>
              <w:rPr>
                <w:rFonts w:ascii="Arial" w:cs="Arial" w:eastAsia="Arial" w:hAnsi="Arial"/>
                <w:sz w:val="18"/>
                <w:szCs w:val="18"/>
                <w:color w:val="auto"/>
              </w:rPr>
              <w:t>The</w:t>
            </w:r>
          </w:p>
        </w:tc>
        <w:tc>
          <w:tcPr>
            <w:tcW w:w="780" w:type="dxa"/>
            <w:vAlign w:val="bottom"/>
          </w:tcPr>
          <w:p>
            <w:pPr>
              <w:spacing w:after="0"/>
              <w:rPr>
                <w:sz w:val="20"/>
                <w:szCs w:val="20"/>
                <w:color w:val="auto"/>
              </w:rPr>
            </w:pPr>
            <w:r>
              <w:rPr>
                <w:rFonts w:ascii="Arial" w:cs="Arial" w:eastAsia="Arial" w:hAnsi="Arial"/>
                <w:sz w:val="18"/>
                <w:szCs w:val="18"/>
                <w:color w:val="auto"/>
              </w:rPr>
              <w:t>Current</w:t>
            </w:r>
          </w:p>
        </w:tc>
        <w:tc>
          <w:tcPr>
            <w:tcW w:w="780" w:type="dxa"/>
            <w:vAlign w:val="bottom"/>
          </w:tcPr>
          <w:p>
            <w:pPr>
              <w:ind w:left="40"/>
              <w:spacing w:after="0"/>
              <w:rPr>
                <w:sz w:val="20"/>
                <w:szCs w:val="20"/>
                <w:color w:val="auto"/>
              </w:rPr>
            </w:pPr>
            <w:r>
              <w:rPr>
                <w:rFonts w:ascii="Arial" w:cs="Arial" w:eastAsia="Arial" w:hAnsi="Arial"/>
                <w:sz w:val="18"/>
                <w:szCs w:val="18"/>
                <w:color w:val="auto"/>
              </w:rPr>
              <w:t>Charter</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3"/>
              </w:rPr>
              <w:t>authorizes</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7"/>
              </w:rPr>
              <w:t>The  Proposed  Charter  will  authorize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4"/>
              </w:rPr>
              <w:t>110,000,000 shares of Common Stock,</w:t>
            </w:r>
          </w:p>
        </w:tc>
        <w:tc>
          <w:tcPr>
            <w:tcW w:w="1980" w:type="dxa"/>
            <w:vAlign w:val="bottom"/>
            <w:gridSpan w:val="3"/>
          </w:tcPr>
          <w:p>
            <w:pPr>
              <w:ind w:left="40"/>
              <w:spacing w:after="0"/>
              <w:rPr>
                <w:sz w:val="20"/>
                <w:szCs w:val="20"/>
                <w:color w:val="auto"/>
              </w:rPr>
            </w:pPr>
            <w:r>
              <w:rPr>
                <w:rFonts w:ascii="Arial" w:cs="Arial" w:eastAsia="Arial" w:hAnsi="Arial"/>
                <w:sz w:val="18"/>
                <w:szCs w:val="18"/>
                <w:color w:val="auto"/>
                <w:w w:val="92"/>
              </w:rPr>
              <w:t>shares of Common Stock.</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9"/>
              </w:rPr>
              <w:t>including  (i)  100,000,000  shares  of</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Class  A  Common  Stock  and  (ii)</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3"/>
              </w:rPr>
              <w:t>10,000,000 shares of Class B Common</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Stock.</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8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540" w:type="dxa"/>
            <w:vAlign w:val="bottom"/>
          </w:tcPr>
          <w:p>
            <w:pPr>
              <w:spacing w:after="0"/>
              <w:rPr>
                <w:sz w:val="20"/>
                <w:szCs w:val="20"/>
                <w:color w:val="auto"/>
              </w:rPr>
            </w:pPr>
            <w:r>
              <w:rPr>
                <w:rFonts w:ascii="Arial" w:cs="Arial" w:eastAsia="Arial" w:hAnsi="Arial"/>
                <w:sz w:val="18"/>
                <w:szCs w:val="18"/>
                <w:color w:val="auto"/>
              </w:rPr>
              <w:t>The</w:t>
            </w:r>
          </w:p>
        </w:tc>
        <w:tc>
          <w:tcPr>
            <w:tcW w:w="780" w:type="dxa"/>
            <w:vAlign w:val="bottom"/>
          </w:tcPr>
          <w:p>
            <w:pPr>
              <w:spacing w:after="0"/>
              <w:rPr>
                <w:sz w:val="20"/>
                <w:szCs w:val="20"/>
                <w:color w:val="auto"/>
              </w:rPr>
            </w:pPr>
            <w:r>
              <w:rPr>
                <w:rFonts w:ascii="Arial" w:cs="Arial" w:eastAsia="Arial" w:hAnsi="Arial"/>
                <w:sz w:val="18"/>
                <w:szCs w:val="18"/>
                <w:color w:val="auto"/>
              </w:rPr>
              <w:t>Current</w:t>
            </w:r>
          </w:p>
        </w:tc>
        <w:tc>
          <w:tcPr>
            <w:tcW w:w="780" w:type="dxa"/>
            <w:vAlign w:val="bottom"/>
          </w:tcPr>
          <w:p>
            <w:pPr>
              <w:ind w:left="40"/>
              <w:spacing w:after="0"/>
              <w:rPr>
                <w:sz w:val="20"/>
                <w:szCs w:val="20"/>
                <w:color w:val="auto"/>
              </w:rPr>
            </w:pPr>
            <w:r>
              <w:rPr>
                <w:rFonts w:ascii="Arial" w:cs="Arial" w:eastAsia="Arial" w:hAnsi="Arial"/>
                <w:sz w:val="18"/>
                <w:szCs w:val="18"/>
                <w:color w:val="auto"/>
              </w:rPr>
              <w:t>Charter</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3"/>
              </w:rPr>
              <w:t>authorizes</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4"/>
              </w:rPr>
              <w:t>The Proposed Charter will authorize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7"/>
              </w:rPr>
              <w:t>1,000,0000  shares  of  “blank  check”</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3"/>
              </w:rPr>
              <w:t>issuance of 10,000,000 shares of “blank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preferred  stock,  that  the  board  of</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0"/>
              </w:rPr>
              <w:t>check” preferred stock that the Combined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directors could issue to discourage a</w:t>
            </w: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4"/>
              </w:rPr>
              <w:t>Entity’s board of directors could issue 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w w:val="93"/>
              </w:rPr>
              <w:t>takeover attempt.</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9"/>
              </w:rPr>
              <w:t>increase  the  number  of  outstanding</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color w:val="auto"/>
                <w:w w:val="91"/>
              </w:rPr>
              <w:t>shares to discourage a takeover attempt.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128"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28" w:gutter="0" w:footer="0" w:header="0"/>
          <w:type w:val="continuous"/>
        </w:sectPr>
      </w:pPr>
    </w:p>
    <w:bookmarkStart w:id="133" w:name="page134"/>
    <w:bookmarkEnd w:id="13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right"/>
        <w:ind w:right="1339"/>
        <w:spacing w:after="0"/>
        <w:tabs>
          <w:tab w:leader="none" w:pos="1240" w:val="left"/>
        </w:tabs>
        <w:rPr>
          <w:sz w:val="20"/>
          <w:szCs w:val="20"/>
          <w:color w:val="auto"/>
        </w:rPr>
      </w:pPr>
      <w:r>
        <w:rPr>
          <w:rFonts w:ascii="Arial" w:cs="Arial" w:eastAsia="Arial" w:hAnsi="Arial"/>
          <w:sz w:val="16"/>
          <w:szCs w:val="16"/>
          <w:b w:val="1"/>
          <w:bCs w:val="1"/>
          <w:color w:val="auto"/>
        </w:rPr>
        <w:t>Current Charter</w:t>
      </w:r>
      <w:r>
        <w:rPr>
          <w:sz w:val="20"/>
          <w:szCs w:val="20"/>
          <w:color w:val="auto"/>
        </w:rPr>
        <w:tab/>
      </w:r>
      <w:r>
        <w:rPr>
          <w:rFonts w:ascii="Arial" w:cs="Arial" w:eastAsia="Arial" w:hAnsi="Arial"/>
          <w:sz w:val="14"/>
          <w:szCs w:val="14"/>
          <w:b w:val="1"/>
          <w:bCs w:val="1"/>
          <w:color w:val="auto"/>
        </w:rPr>
        <w:t>Proposed Charter</w:t>
      </w:r>
    </w:p>
    <w:p>
      <w:pPr>
        <w:sectPr>
          <w:pgSz w:w="11900" w:h="16838" w:orient="portrait"/>
          <w:cols w:equalWidth="0" w:num="1">
            <w:col w:w="9019"/>
          </w:cols>
          <w:pgMar w:left="1440" w:top="274" w:right="1440" w:bottom="1440" w:gutter="0" w:footer="0" w:header="0"/>
        </w:sectPr>
      </w:pPr>
    </w:p>
    <w:p>
      <w:pPr>
        <w:spacing w:after="0" w:line="55" w:lineRule="exact"/>
        <w:rPr>
          <w:sz w:val="20"/>
          <w:szCs w:val="20"/>
          <w:color w:val="auto"/>
        </w:rPr>
      </w:pPr>
    </w:p>
    <w:p>
      <w:pPr>
        <w:ind w:left="640" w:hanging="179"/>
        <w:spacing w:after="0" w:line="347" w:lineRule="auto"/>
        <w:rPr>
          <w:sz w:val="20"/>
          <w:szCs w:val="20"/>
          <w:color w:val="auto"/>
        </w:rPr>
      </w:pPr>
      <w:r>
        <w:rPr>
          <w:rFonts w:ascii="Arial" w:cs="Arial" w:eastAsia="Arial" w:hAnsi="Arial"/>
          <w:sz w:val="16"/>
          <w:szCs w:val="16"/>
          <w:b w:val="1"/>
          <w:bCs w:val="1"/>
          <w:color w:val="auto"/>
        </w:rPr>
        <w:t>Provisions Specific to a Blank Check Company</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195"/>
        </w:trPr>
        <w:tc>
          <w:tcPr>
            <w:tcW w:w="3000" w:type="dxa"/>
            <w:vAlign w:val="bottom"/>
            <w:gridSpan w:val="4"/>
          </w:tcPr>
          <w:p>
            <w:pPr>
              <w:spacing w:after="0" w:line="195" w:lineRule="exact"/>
              <w:rPr>
                <w:sz w:val="20"/>
                <w:szCs w:val="20"/>
                <w:color w:val="auto"/>
              </w:rPr>
            </w:pPr>
            <w:r>
              <w:rPr>
                <w:rFonts w:ascii="Arial" w:cs="Arial" w:eastAsia="Arial" w:hAnsi="Arial"/>
                <w:sz w:val="18"/>
                <w:szCs w:val="18"/>
                <w:color w:val="auto"/>
              </w:rPr>
              <w:t>Under  the  Current  Charter,  Article</w:t>
            </w:r>
          </w:p>
        </w:tc>
        <w:tc>
          <w:tcPr>
            <w:tcW w:w="3020" w:type="dxa"/>
            <w:vAlign w:val="bottom"/>
          </w:tcPr>
          <w:p>
            <w:pPr>
              <w:spacing w:after="0" w:line="195" w:lineRule="exact"/>
              <w:rPr>
                <w:sz w:val="20"/>
                <w:szCs w:val="20"/>
                <w:color w:val="auto"/>
              </w:rPr>
            </w:pPr>
            <w:r>
              <w:rPr>
                <w:rFonts w:ascii="Arial" w:cs="Arial" w:eastAsia="Arial" w:hAnsi="Arial"/>
                <w:sz w:val="18"/>
                <w:szCs w:val="18"/>
                <w:color w:val="auto"/>
                <w:w w:val="91"/>
              </w:rPr>
              <w:t>The p Proposed Charter does not include</w:t>
            </w:r>
          </w:p>
        </w:tc>
      </w:tr>
      <w:tr>
        <w:trPr>
          <w:trHeight w:val="216"/>
        </w:trPr>
        <w:tc>
          <w:tcPr>
            <w:tcW w:w="3000" w:type="dxa"/>
            <w:vAlign w:val="bottom"/>
            <w:gridSpan w:val="4"/>
          </w:tcPr>
          <w:p>
            <w:pPr>
              <w:spacing w:after="0"/>
              <w:rPr>
                <w:sz w:val="20"/>
                <w:szCs w:val="20"/>
                <w:color w:val="auto"/>
              </w:rPr>
            </w:pPr>
            <w:r>
              <w:rPr>
                <w:rFonts w:ascii="Arial" w:cs="Arial" w:eastAsia="Arial" w:hAnsi="Arial"/>
                <w:sz w:val="18"/>
                <w:szCs w:val="18"/>
                <w:color w:val="auto"/>
              </w:rPr>
              <w:t>NINTH sets forth various provisions</w:t>
            </w:r>
          </w:p>
        </w:tc>
        <w:tc>
          <w:tcPr>
            <w:tcW w:w="3020" w:type="dxa"/>
            <w:vAlign w:val="bottom"/>
          </w:tcPr>
          <w:p>
            <w:pPr>
              <w:spacing w:after="0"/>
              <w:rPr>
                <w:sz w:val="20"/>
                <w:szCs w:val="20"/>
                <w:color w:val="auto"/>
              </w:rPr>
            </w:pPr>
            <w:r>
              <w:rPr>
                <w:rFonts w:ascii="Arial" w:cs="Arial" w:eastAsia="Arial" w:hAnsi="Arial"/>
                <w:sz w:val="18"/>
                <w:szCs w:val="18"/>
                <w:color w:val="auto"/>
                <w:w w:val="97"/>
              </w:rPr>
              <w:t>these blank check company provisions</w:t>
            </w:r>
          </w:p>
        </w:tc>
      </w:tr>
      <w:tr>
        <w:trPr>
          <w:trHeight w:val="216"/>
        </w:trPr>
        <w:tc>
          <w:tcPr>
            <w:tcW w:w="3000" w:type="dxa"/>
            <w:vAlign w:val="bottom"/>
            <w:gridSpan w:val="4"/>
          </w:tcPr>
          <w:p>
            <w:pPr>
              <w:spacing w:after="0"/>
              <w:rPr>
                <w:sz w:val="20"/>
                <w:szCs w:val="20"/>
                <w:color w:val="auto"/>
              </w:rPr>
            </w:pPr>
            <w:r>
              <w:rPr>
                <w:rFonts w:ascii="Arial" w:cs="Arial" w:eastAsia="Arial" w:hAnsi="Arial"/>
                <w:sz w:val="18"/>
                <w:szCs w:val="18"/>
                <w:color w:val="auto"/>
                <w:w w:val="91"/>
              </w:rPr>
              <w:t>related to its operations as a blank check</w:t>
            </w:r>
          </w:p>
        </w:tc>
        <w:tc>
          <w:tcPr>
            <w:tcW w:w="3020" w:type="dxa"/>
            <w:vAlign w:val="bottom"/>
          </w:tcPr>
          <w:p>
            <w:pPr>
              <w:spacing w:after="0"/>
              <w:rPr>
                <w:sz w:val="20"/>
                <w:szCs w:val="20"/>
                <w:color w:val="auto"/>
              </w:rPr>
            </w:pPr>
            <w:r>
              <w:rPr>
                <w:rFonts w:ascii="Arial" w:cs="Arial" w:eastAsia="Arial" w:hAnsi="Arial"/>
                <w:sz w:val="18"/>
                <w:szCs w:val="18"/>
                <w:color w:val="auto"/>
                <w:w w:val="91"/>
              </w:rPr>
              <w:t>because, upon Closing, FS Development</w:t>
            </w:r>
          </w:p>
        </w:tc>
      </w:tr>
      <w:tr>
        <w:trPr>
          <w:trHeight w:val="216"/>
        </w:trPr>
        <w:tc>
          <w:tcPr>
            <w:tcW w:w="3000" w:type="dxa"/>
            <w:vAlign w:val="bottom"/>
            <w:gridSpan w:val="4"/>
          </w:tcPr>
          <w:p>
            <w:pPr>
              <w:spacing w:after="0"/>
              <w:rPr>
                <w:sz w:val="20"/>
                <w:szCs w:val="20"/>
                <w:color w:val="auto"/>
              </w:rPr>
            </w:pPr>
            <w:r>
              <w:rPr>
                <w:rFonts w:ascii="Arial" w:cs="Arial" w:eastAsia="Arial" w:hAnsi="Arial"/>
                <w:sz w:val="18"/>
                <w:szCs w:val="18"/>
                <w:color w:val="auto"/>
                <w:w w:val="97"/>
              </w:rPr>
              <w:t>company prior to the consummation of</w:t>
            </w:r>
          </w:p>
        </w:tc>
        <w:tc>
          <w:tcPr>
            <w:tcW w:w="3020" w:type="dxa"/>
            <w:vAlign w:val="bottom"/>
          </w:tcPr>
          <w:p>
            <w:pPr>
              <w:spacing w:after="0"/>
              <w:rPr>
                <w:sz w:val="20"/>
                <w:szCs w:val="20"/>
                <w:color w:val="auto"/>
              </w:rPr>
            </w:pPr>
            <w:r>
              <w:rPr>
                <w:rFonts w:ascii="Arial" w:cs="Arial" w:eastAsia="Arial" w:hAnsi="Arial"/>
                <w:sz w:val="18"/>
                <w:szCs w:val="18"/>
                <w:color w:val="auto"/>
                <w:w w:val="93"/>
              </w:rPr>
              <w:t>will cease to be a blank check company.</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an   initial</w:t>
            </w:r>
          </w:p>
        </w:tc>
        <w:tc>
          <w:tcPr>
            <w:tcW w:w="800" w:type="dxa"/>
            <w:vAlign w:val="bottom"/>
          </w:tcPr>
          <w:p>
            <w:pPr>
              <w:ind w:left="80"/>
              <w:spacing w:after="0"/>
              <w:rPr>
                <w:sz w:val="20"/>
                <w:szCs w:val="20"/>
                <w:color w:val="auto"/>
              </w:rPr>
            </w:pPr>
            <w:r>
              <w:rPr>
                <w:rFonts w:ascii="Arial" w:cs="Arial" w:eastAsia="Arial" w:hAnsi="Arial"/>
                <w:sz w:val="18"/>
                <w:szCs w:val="18"/>
                <w:color w:val="auto"/>
                <w:w w:val="98"/>
              </w:rPr>
              <w:t>business</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combination.</w:t>
            </w:r>
          </w:p>
        </w:tc>
        <w:tc>
          <w:tcPr>
            <w:tcW w:w="3020" w:type="dxa"/>
            <w:vAlign w:val="bottom"/>
          </w:tcPr>
          <w:p>
            <w:pPr>
              <w:spacing w:after="0"/>
              <w:rPr>
                <w:sz w:val="20"/>
                <w:szCs w:val="20"/>
                <w:color w:val="auto"/>
              </w:rPr>
            </w:pPr>
            <w:r>
              <w:rPr>
                <w:rFonts w:ascii="Arial" w:cs="Arial" w:eastAsia="Arial" w:hAnsi="Arial"/>
                <w:sz w:val="18"/>
                <w:szCs w:val="18"/>
                <w:color w:val="auto"/>
                <w:w w:val="95"/>
              </w:rPr>
              <w:t>In addition, the provisions requiring that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6"/>
              </w:rPr>
              <w:t>Furthermore,</w:t>
            </w:r>
          </w:p>
        </w:tc>
        <w:tc>
          <w:tcPr>
            <w:tcW w:w="800" w:type="dxa"/>
            <w:vAlign w:val="bottom"/>
          </w:tcPr>
          <w:p>
            <w:pPr>
              <w:ind w:left="320"/>
              <w:spacing w:after="0"/>
              <w:rPr>
                <w:sz w:val="20"/>
                <w:szCs w:val="20"/>
                <w:color w:val="auto"/>
              </w:rPr>
            </w:pPr>
            <w:r>
              <w:rPr>
                <w:rFonts w:ascii="Arial" w:cs="Arial" w:eastAsia="Arial" w:hAnsi="Arial"/>
                <w:sz w:val="18"/>
                <w:szCs w:val="18"/>
                <w:color w:val="auto"/>
              </w:rPr>
              <w:t>FS</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Development</w:t>
            </w:r>
          </w:p>
        </w:tc>
        <w:tc>
          <w:tcPr>
            <w:tcW w:w="3020" w:type="dxa"/>
            <w:vAlign w:val="bottom"/>
          </w:tcPr>
          <w:p>
            <w:pPr>
              <w:spacing w:after="0"/>
              <w:rPr>
                <w:sz w:val="20"/>
                <w:szCs w:val="20"/>
                <w:color w:val="auto"/>
              </w:rPr>
            </w:pPr>
            <w:r>
              <w:rPr>
                <w:rFonts w:ascii="Arial" w:cs="Arial" w:eastAsia="Arial" w:hAnsi="Arial"/>
                <w:sz w:val="18"/>
                <w:szCs w:val="18"/>
                <w:color w:val="auto"/>
              </w:rPr>
              <w:t>the  proceeds  from  its  initial  public</w:t>
            </w:r>
          </w:p>
        </w:tc>
      </w:tr>
      <w:tr>
        <w:trPr>
          <w:trHeight w:val="216"/>
        </w:trPr>
        <w:tc>
          <w:tcPr>
            <w:tcW w:w="3000" w:type="dxa"/>
            <w:vAlign w:val="bottom"/>
            <w:gridSpan w:val="4"/>
          </w:tcPr>
          <w:p>
            <w:pPr>
              <w:spacing w:after="0"/>
              <w:rPr>
                <w:sz w:val="20"/>
                <w:szCs w:val="20"/>
                <w:color w:val="auto"/>
              </w:rPr>
            </w:pPr>
            <w:r>
              <w:rPr>
                <w:rFonts w:ascii="Arial" w:cs="Arial" w:eastAsia="Arial" w:hAnsi="Arial"/>
                <w:sz w:val="18"/>
                <w:szCs w:val="18"/>
                <w:color w:val="auto"/>
              </w:rPr>
              <w:t>corporate is required to be dissolved</w:t>
            </w:r>
          </w:p>
        </w:tc>
        <w:tc>
          <w:tcPr>
            <w:tcW w:w="3020" w:type="dxa"/>
            <w:vAlign w:val="bottom"/>
          </w:tcPr>
          <w:p>
            <w:pPr>
              <w:spacing w:after="0"/>
              <w:rPr>
                <w:sz w:val="20"/>
                <w:szCs w:val="20"/>
                <w:color w:val="auto"/>
              </w:rPr>
            </w:pPr>
            <w:r>
              <w:rPr>
                <w:rFonts w:ascii="Arial" w:cs="Arial" w:eastAsia="Arial" w:hAnsi="Arial"/>
                <w:sz w:val="18"/>
                <w:szCs w:val="18"/>
                <w:color w:val="auto"/>
                <w:w w:val="93"/>
              </w:rPr>
              <w:t>offering be held in a trust account until a</w:t>
            </w:r>
          </w:p>
        </w:tc>
      </w:tr>
      <w:tr>
        <w:trPr>
          <w:trHeight w:val="216"/>
        </w:trPr>
        <w:tc>
          <w:tcPr>
            <w:tcW w:w="3000" w:type="dxa"/>
            <w:vAlign w:val="bottom"/>
            <w:gridSpan w:val="4"/>
          </w:tcPr>
          <w:p>
            <w:pPr>
              <w:spacing w:after="0"/>
              <w:rPr>
                <w:sz w:val="20"/>
                <w:szCs w:val="20"/>
                <w:color w:val="auto"/>
              </w:rPr>
            </w:pPr>
            <w:r>
              <w:rPr>
                <w:rFonts w:ascii="Arial" w:cs="Arial" w:eastAsia="Arial" w:hAnsi="Arial"/>
                <w:sz w:val="18"/>
                <w:szCs w:val="18"/>
                <w:color w:val="auto"/>
                <w:w w:val="97"/>
              </w:rPr>
              <w:t>and liquidated 24 months following the</w:t>
            </w:r>
          </w:p>
        </w:tc>
        <w:tc>
          <w:tcPr>
            <w:tcW w:w="3020" w:type="dxa"/>
            <w:vAlign w:val="bottom"/>
          </w:tcPr>
          <w:p>
            <w:pPr>
              <w:spacing w:after="0"/>
              <w:rPr>
                <w:sz w:val="20"/>
                <w:szCs w:val="20"/>
                <w:color w:val="auto"/>
              </w:rPr>
            </w:pPr>
            <w:r>
              <w:rPr>
                <w:rFonts w:ascii="Arial" w:cs="Arial" w:eastAsia="Arial" w:hAnsi="Arial"/>
                <w:sz w:val="18"/>
                <w:szCs w:val="18"/>
                <w:color w:val="auto"/>
                <w:w w:val="99"/>
              </w:rPr>
              <w:t>business combination or liquidation of</w:t>
            </w:r>
          </w:p>
        </w:tc>
      </w:tr>
      <w:tr>
        <w:trPr>
          <w:trHeight w:val="216"/>
        </w:trPr>
        <w:tc>
          <w:tcPr>
            <w:tcW w:w="3000" w:type="dxa"/>
            <w:vAlign w:val="bottom"/>
            <w:gridSpan w:val="4"/>
          </w:tcPr>
          <w:p>
            <w:pPr>
              <w:spacing w:after="0"/>
              <w:rPr>
                <w:sz w:val="20"/>
                <w:szCs w:val="20"/>
                <w:color w:val="auto"/>
              </w:rPr>
            </w:pPr>
            <w:r>
              <w:rPr>
                <w:rFonts w:ascii="Arial" w:cs="Arial" w:eastAsia="Arial" w:hAnsi="Arial"/>
                <w:sz w:val="18"/>
                <w:szCs w:val="18"/>
                <w:color w:val="auto"/>
              </w:rPr>
              <w:t>closing of its initial public offering.</w:t>
            </w:r>
          </w:p>
        </w:tc>
        <w:tc>
          <w:tcPr>
            <w:tcW w:w="3020" w:type="dxa"/>
            <w:vAlign w:val="bottom"/>
          </w:tcPr>
          <w:p>
            <w:pPr>
              <w:spacing w:after="0"/>
              <w:rPr>
                <w:sz w:val="20"/>
                <w:szCs w:val="20"/>
                <w:color w:val="auto"/>
              </w:rPr>
            </w:pPr>
            <w:r>
              <w:rPr>
                <w:rFonts w:ascii="Arial" w:cs="Arial" w:eastAsia="Arial" w:hAnsi="Arial"/>
                <w:sz w:val="18"/>
                <w:szCs w:val="18"/>
                <w:color w:val="auto"/>
                <w:w w:val="90"/>
              </w:rPr>
              <w:t>FS Development and the terms governing</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8"/>
              </w:rPr>
              <w:t>FS Development’s consummation of a</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5"/>
              </w:rPr>
              <w:t>proposed business combination will not</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be  applicable  following  Closing.  The</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Combined   Company   will   have   a</w:t>
            </w:r>
          </w:p>
        </w:tc>
      </w:tr>
      <w:tr>
        <w:trPr>
          <w:trHeight w:val="230"/>
        </w:trPr>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perpetual existence.</w:t>
            </w:r>
          </w:p>
        </w:tc>
      </w:tr>
    </w:tbl>
    <w:p>
      <w:pPr>
        <w:spacing w:after="0" w:line="200" w:lineRule="exact"/>
        <w:rPr>
          <w:sz w:val="20"/>
          <w:szCs w:val="20"/>
          <w:color w:val="auto"/>
        </w:rPr>
      </w:pPr>
    </w:p>
    <w:p>
      <w:pPr>
        <w:sectPr>
          <w:pgSz w:w="11900" w:h="16838" w:orient="portrait"/>
          <w:cols w:equalWidth="0" w:num="2">
            <w:col w:w="2420" w:space="120"/>
            <w:col w:w="6479"/>
          </w:cols>
          <w:pgMar w:left="1440" w:top="274" w:right="1440" w:bottom="1440" w:gutter="0" w:footer="0" w:header="0"/>
          <w:type w:val="continuous"/>
        </w:sectPr>
      </w:pP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Reasons for the Charter Amendments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Requiring the approval by affirmative vote of holders of at least 66⅔%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Opting out of Section 203 of the DGCL allows the Combined Entity to establish its own rules governing business combinations with interested parties.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ectPr>
          <w:pgSz w:w="11900" w:h="16838" w:orient="portrait"/>
          <w:cols w:equalWidth="0" w:num="1">
            <w:col w:w="9019"/>
          </w:cols>
          <w:pgMar w:left="1440" w:top="274" w:right="1440" w:bottom="1440" w:gutter="0" w:footer="0" w:header="0"/>
          <w:type w:val="continuous"/>
        </w:sectPr>
      </w:pP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4" w:name="page135"/>
    <w:bookmarkEnd w:id="13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Provisions Specific to a Blank Check Company</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This Charter Amendment Proposal will be approved and adopted in its entirety only if the holders of at least a majority of the outstanding shares of FS Development Common Stock, voting together as a single class vote “FOR” Charter Amendment Proposal. Failure to vote by proxy or to vote in person at the Special Meeting or an abstention from voting will have the same effect as a vote “AGAINST” the Charter Amendment Proposal.</w:t>
      </w:r>
    </w:p>
    <w:p>
      <w:pPr>
        <w:spacing w:after="0" w:line="90"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Approval of the Charter Amendment Proposal, the Nasdaq Stock Issuance Proposal, and the Incentive Plan Proposal are conditioned on the approval of the Business Combination Proposal at the Special Meeting.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OUR BOARD UNANIMOUSLY RECOMMENDS THAT OUR STOCKHOLDERS VOTE “FOR” THE APPROVAL OF THE CHARTER AMENDMENT PROPOSAL AND THE PROPOSED CHARTER.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CHARTER AMENDMENT ADVISORY PROPOSALS</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connection with the Business Combination, FS Development is asking its stockholders to vote upon, on a non-binding advisory basis, proposals to approve certain governance provisions contained in the Proposed Charter. This separate vote is not otherwise required by Delaware law separate and apart from the Charter Amendment Proposal but, pursuant to SEC guidance, FS Development is required to submit these provisions to its stockholders separately for approval, allowing stockholders the opportunity to present their separate views on important governance provisions. However, the stockholder votes regarding these proposals are advisory votes, and are not binding on FS Development or the Board (separate and apart from the approval of the Charter Amendment Proposal). In the judgment of the Board, these provisions are necessary to adequately address the needs of the Combined Entity. Furthermore, the Business Combination is not conditioned on the separate approval of the Advisory Charter Proposals (separate and apart from approval of the Charter Amendment Proposal).</w:t>
      </w:r>
    </w:p>
    <w:p>
      <w:pPr>
        <w:spacing w:after="0" w:line="114"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Arial" w:cs="Arial" w:eastAsia="Arial" w:hAnsi="Arial"/>
          <w:sz w:val="16"/>
          <w:szCs w:val="16"/>
          <w:b w:val="1"/>
          <w:bCs w:val="1"/>
          <w:color w:val="auto"/>
        </w:rPr>
        <w:t>Advisory Charter Proposals</w:t>
      </w:r>
      <w:r>
        <w:rPr>
          <w:rFonts w:ascii="Arial" w:cs="Arial" w:eastAsia="Arial" w:hAnsi="Arial"/>
          <w:sz w:val="16"/>
          <w:szCs w:val="16"/>
          <w:color w:val="auto"/>
        </w:rPr>
        <w:t>”):</w:t>
      </w:r>
    </w:p>
    <w:p>
      <w:pPr>
        <w:spacing w:after="0" w:line="77" w:lineRule="exact"/>
        <w:rPr>
          <w:sz w:val="20"/>
          <w:szCs w:val="20"/>
          <w:color w:val="auto"/>
        </w:rPr>
      </w:pPr>
    </w:p>
    <w:p>
      <w:pPr>
        <w:ind w:left="1320" w:right="479" w:hanging="434"/>
        <w:spacing w:after="0" w:line="282" w:lineRule="auto"/>
        <w:tabs>
          <w:tab w:leader="none" w:pos="1366"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A </w:t>
      </w:r>
      <w:r>
        <w:rPr>
          <w:rFonts w:ascii="Arial" w:cs="Arial" w:eastAsia="Arial" w:hAnsi="Arial"/>
          <w:sz w:val="18"/>
          <w:szCs w:val="18"/>
          <w:color w:val="auto"/>
        </w:rPr>
        <w:t>— to increase the authorized shares of Class A Common Stock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80" w:lineRule="exact"/>
        <w:rPr>
          <w:rFonts w:ascii="Arial" w:cs="Arial" w:eastAsia="Arial" w:hAnsi="Arial"/>
          <w:sz w:val="18"/>
          <w:szCs w:val="18"/>
          <w:color w:val="auto"/>
        </w:rPr>
      </w:pPr>
    </w:p>
    <w:p>
      <w:pPr>
        <w:jc w:val="both"/>
        <w:ind w:left="1320" w:right="459" w:hanging="434"/>
        <w:spacing w:after="0" w:line="266" w:lineRule="auto"/>
        <w:tabs>
          <w:tab w:leader="none" w:pos="1278"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B </w:t>
      </w:r>
      <w:r>
        <w:rPr>
          <w:rFonts w:ascii="Arial" w:cs="Arial" w:eastAsia="Arial" w:hAnsi="Arial"/>
          <w:sz w:val="18"/>
          <w:szCs w:val="18"/>
          <w:color w:val="auto"/>
        </w:rPr>
        <w:t>— to increase the authorized shares of “blank check”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Combined Entity’s board of directors could issue to discourage a takeover attempt to 10,000,000 shares;</w:t>
      </w:r>
    </w:p>
    <w:p>
      <w:pPr>
        <w:spacing w:after="0" w:line="108" w:lineRule="exact"/>
        <w:rPr>
          <w:rFonts w:ascii="Arial" w:cs="Arial" w:eastAsia="Arial" w:hAnsi="Arial"/>
          <w:sz w:val="18"/>
          <w:szCs w:val="18"/>
          <w:color w:val="auto"/>
        </w:rPr>
      </w:pPr>
    </w:p>
    <w:p>
      <w:pPr>
        <w:jc w:val="both"/>
        <w:ind w:left="1320" w:right="479" w:hanging="434"/>
        <w:spacing w:after="0" w:line="266" w:lineRule="auto"/>
        <w:tabs>
          <w:tab w:leader="none" w:pos="1312"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C </w:t>
      </w:r>
      <w:r>
        <w:rPr>
          <w:rFonts w:ascii="Arial" w:cs="Arial" w:eastAsia="Arial" w:hAnsi="Arial"/>
          <w:sz w:val="18"/>
          <w:szCs w:val="18"/>
          <w:color w:val="auto"/>
        </w:rPr>
        <w:t>— to provide that certain amendments to provisions of the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Charter will require the approval of at least 662/3% of the Combined Entity’s then-outstanding shares of capital stock entitled to vote on such amendment;</w:t>
      </w:r>
    </w:p>
    <w:p>
      <w:pPr>
        <w:spacing w:after="0" w:line="108" w:lineRule="exact"/>
        <w:rPr>
          <w:rFonts w:ascii="Arial" w:cs="Arial" w:eastAsia="Arial" w:hAnsi="Arial"/>
          <w:sz w:val="18"/>
          <w:szCs w:val="18"/>
          <w:color w:val="auto"/>
        </w:rPr>
      </w:pPr>
    </w:p>
    <w:p>
      <w:pPr>
        <w:jc w:val="both"/>
        <w:ind w:left="1320" w:right="479" w:hanging="434"/>
        <w:spacing w:after="0" w:line="258" w:lineRule="auto"/>
        <w:tabs>
          <w:tab w:leader="none" w:pos="1305"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D — </w:t>
      </w:r>
      <w:r>
        <w:rPr>
          <w:rFonts w:ascii="Arial" w:cs="Arial" w:eastAsia="Arial" w:hAnsi="Arial"/>
          <w:sz w:val="18"/>
          <w:szCs w:val="18"/>
          <w:color w:val="auto"/>
        </w:rPr>
        <w:t>to make the Combined Entity’s corporate existence perpetual as</w:t>
      </w:r>
      <w:r>
        <w:rPr>
          <w:rFonts w:ascii="Arial" w:cs="Arial" w:eastAsia="Arial" w:hAnsi="Arial"/>
          <w:sz w:val="18"/>
          <w:szCs w:val="18"/>
          <w:b w:val="1"/>
          <w:bCs w:val="1"/>
          <w:color w:val="auto"/>
        </w:rPr>
        <w:t xml:space="preserve"> </w:t>
      </w:r>
      <w:r>
        <w:rPr>
          <w:rFonts w:ascii="Arial" w:cs="Arial" w:eastAsia="Arial" w:hAnsi="Arial"/>
          <w:sz w:val="18"/>
          <w:szCs w:val="18"/>
          <w:color w:val="auto"/>
        </w:rPr>
        <w:t>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2" w:lineRule="exact"/>
        <w:rPr>
          <w:rFonts w:ascii="Arial" w:cs="Arial" w:eastAsia="Arial" w:hAnsi="Arial"/>
          <w:sz w:val="18"/>
          <w:szCs w:val="18"/>
          <w:color w:val="auto"/>
        </w:rPr>
      </w:pPr>
    </w:p>
    <w:p>
      <w:pPr>
        <w:jc w:val="both"/>
        <w:ind w:left="1320" w:right="459" w:hanging="434"/>
        <w:spacing w:after="0" w:line="256" w:lineRule="auto"/>
        <w:tabs>
          <w:tab w:leader="none" w:pos="1393"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Advisory Charter Proposal E </w:t>
      </w:r>
      <w:r>
        <w:rPr>
          <w:rFonts w:ascii="Arial" w:cs="Arial" w:eastAsia="Arial" w:hAnsi="Arial"/>
          <w:sz w:val="18"/>
          <w:szCs w:val="18"/>
          <w:color w:val="auto"/>
        </w:rPr>
        <w:t>— to provide that any amendment to the Amended By-laws will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approval of at least 662/3% of the Combined Entity’s then-outstanding shares of capital stock entitled to vote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Reasons for the Charter Amendments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Requiring the approval by affirmative vote of holders of at least 662/3%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Opting out of Section 203 of the Delaware General Corporation Law allows the Proposed Charter to establish its own rules governing business combinations with interested parties.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6" w:name="page137"/>
    <w:bookmarkEnd w:id="13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8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Provisions Specific to a Blank Check Company</w:t>
      </w:r>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the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Approval of each of the Advisory Charter Proposals, each of which is a non-binding vote, requires the affirmative vote of a majority of the votes cast by FS Development stockholders present in person (which would include presence at a virtual meeting) or represented by proxy at the Special Meeting and entitled to vote thereon, voting together as a single class. Abstentions and broker non-votes have no effect on the outcome of the Advisory Charter Proposals.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158" w:lineRule="exact"/>
        <w:rPr>
          <w:sz w:val="20"/>
          <w:szCs w:val="20"/>
          <w:color w:val="auto"/>
        </w:rPr>
      </w:pPr>
    </w:p>
    <w:p>
      <w:pPr>
        <w:ind w:left="1160" w:right="1059" w:hanging="163"/>
        <w:spacing w:after="0" w:line="282" w:lineRule="auto"/>
        <w:rPr>
          <w:sz w:val="20"/>
          <w:szCs w:val="20"/>
          <w:color w:val="auto"/>
        </w:rPr>
      </w:pPr>
      <w:r>
        <w:rPr>
          <w:rFonts w:ascii="Arial" w:cs="Arial" w:eastAsia="Arial" w:hAnsi="Arial"/>
          <w:sz w:val="18"/>
          <w:szCs w:val="18"/>
          <w:b w:val="1"/>
          <w:bCs w:val="1"/>
          <w:color w:val="auto"/>
        </w:rPr>
        <w:t>OUR BOARD UNANIMOUSLY RECOMMENDS THAT OUR STOCKHOLDERS VOTE “FOR” THE APPROVAL OF EACH OF THE ADVISORY CHARTER PROPOSALS.</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7" w:name="page138"/>
    <w:bookmarkEnd w:id="13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INCENTIVE PLAN PROPOSAL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 xml:space="preserve">The following is a summary description of the Equity Incentive Plan as proposed to be adopted by FS Development in connection with the Business Combination. This summary is not a complete statement of the Equity Incentive Plan and is qualified in its entirety by reference to the complete text of the Equity Incentive Plan, a copy of which is attached hereto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xml:space="preserve">. FS Development stockholders should refer to the Equity Incentive Plan for more complete and detailed information about the terms and conditions of the Equity Incentive Plan. </w:t>
      </w:r>
      <w:r>
        <w:rPr>
          <w:rFonts w:ascii="Arial" w:cs="Arial" w:eastAsia="Arial" w:hAnsi="Arial"/>
          <w:sz w:val="18"/>
          <w:szCs w:val="18"/>
          <w:i w:val="1"/>
          <w:iCs w:val="1"/>
          <w:color w:val="auto"/>
        </w:rPr>
        <w:t>Unless the context otherwise requires, references in this summary description to “we”, “us” and</w:t>
      </w:r>
      <w:r>
        <w:rPr>
          <w:rFonts w:ascii="Arial" w:cs="Arial" w:eastAsia="Arial" w:hAnsi="Arial"/>
          <w:sz w:val="18"/>
          <w:szCs w:val="18"/>
          <w:color w:val="auto"/>
        </w:rPr>
        <w:t xml:space="preserve"> </w:t>
      </w:r>
      <w:r>
        <w:rPr>
          <w:rFonts w:ascii="Arial" w:cs="Arial" w:eastAsia="Arial" w:hAnsi="Arial"/>
          <w:sz w:val="18"/>
          <w:szCs w:val="18"/>
          <w:i w:val="1"/>
          <w:iCs w:val="1"/>
          <w:color w:val="auto"/>
        </w:rPr>
        <w:t>“our” generally refer to FS Development in the present tense or the Combined Entity from and after the Business Combination.</w:t>
      </w:r>
    </w:p>
    <w:p>
      <w:pPr>
        <w:spacing w:after="0" w:line="12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purpose of the Equity Incentive Plan is to provide a means whereby the Combined Entity can align the long-term financial interests of its employees, consultants, and directors with the financial interests of its stockholders. In addition, the Board believes that the ability to grant options and other equity-based awards will help the Combined Entity to attract, retain, and motivate employees, consultants, and directors and encourages them to devote their best efforts to the Combined Entity’s business and financial success.</w:t>
      </w:r>
    </w:p>
    <w:p>
      <w:pPr>
        <w:spacing w:after="0" w:line="10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Approval of the Equity Incentive Plan by FS Development stockholders is required, among other things, in order to: (i) comply with Nasdaq Listing Rules requiring stockholder approval of equity compensation plans and (ii) allow the grant of incentive stock options to participants in the Equity Incentive Plan.</w:t>
      </w:r>
    </w:p>
    <w:p>
      <w:pPr>
        <w:spacing w:after="0" w:line="8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this Incentive Plan Proposal is approved by FS Development stockholders, the Equity Incentive Plan will become effective as of the date immediately preceding the date of the Closing. While the Combined Entity may assume outstanding equity awards under the Gemini Therapeutics, Inc., 2017 Stock Option and Grant Plan (the “</w:t>
      </w:r>
      <w:r>
        <w:rPr>
          <w:rFonts w:ascii="Arial" w:cs="Arial" w:eastAsia="Arial" w:hAnsi="Arial"/>
          <w:sz w:val="17"/>
          <w:szCs w:val="17"/>
          <w:b w:val="1"/>
          <w:bCs w:val="1"/>
          <w:color w:val="auto"/>
        </w:rPr>
        <w:t>2017 Plan</w:t>
      </w:r>
      <w:r>
        <w:rPr>
          <w:rFonts w:ascii="Arial" w:cs="Arial" w:eastAsia="Arial" w:hAnsi="Arial"/>
          <w:sz w:val="17"/>
          <w:szCs w:val="17"/>
          <w:color w:val="auto"/>
        </w:rPr>
        <w:t>”) and the Gemini Therapeutics, Inc. 2015 Employee, Director and Consultant Stock Option Plan (the “</w:t>
      </w:r>
      <w:r>
        <w:rPr>
          <w:rFonts w:ascii="Arial" w:cs="Arial" w:eastAsia="Arial" w:hAnsi="Arial"/>
          <w:sz w:val="17"/>
          <w:szCs w:val="17"/>
          <w:b w:val="1"/>
          <w:bCs w:val="1"/>
          <w:color w:val="auto"/>
        </w:rPr>
        <w:t>2015 Plan</w:t>
      </w:r>
      <w:r>
        <w:rPr>
          <w:rFonts w:ascii="Arial" w:cs="Arial" w:eastAsia="Arial" w:hAnsi="Arial"/>
          <w:sz w:val="17"/>
          <w:szCs w:val="17"/>
          <w:color w:val="auto"/>
        </w:rPr>
        <w:t>” and, together with the 2017 Plan, the (“</w:t>
      </w:r>
      <w:r>
        <w:rPr>
          <w:rFonts w:ascii="Arial" w:cs="Arial" w:eastAsia="Arial" w:hAnsi="Arial"/>
          <w:sz w:val="17"/>
          <w:szCs w:val="17"/>
          <w:b w:val="1"/>
          <w:bCs w:val="1"/>
          <w:color w:val="auto"/>
        </w:rPr>
        <w:t>Gemini Plans</w:t>
      </w:r>
      <w:r>
        <w:rPr>
          <w:rFonts w:ascii="Arial" w:cs="Arial" w:eastAsia="Arial" w:hAnsi="Arial"/>
          <w:sz w:val="17"/>
          <w:szCs w:val="17"/>
          <w:color w:val="auto"/>
        </w:rPr>
        <w:t>”), following the Closing (and such assumed awards will not count against the share reserve under the Equity Incentive Plan), no further grants will be made under the Gemini Plans. Approval of the Equity Incentive Plan by FS Development stockholders will allow the Combined Entity to grant stock options, restricted stock unit awards and other awards at levels determined appropriate by its board of directors or compensation committee following the closing of the Business Combination. The Equity Incentive Plan will also allow the Combined Entity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 following the closing of the Business Combination.</w:t>
      </w:r>
    </w:p>
    <w:p>
      <w:pPr>
        <w:spacing w:after="0" w:line="117"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Combined Entity’s employee equity compensation program, as implemented under the Equity Incentive Plan, will allow the Combined Entity to remain competitive with comparable companies in its industry by giving it the resources to attract and retain talented individuals to achieve its business objectives and build stockholder value. Approval of the Equity Incentive Plan will provide the Combined Entity with the flexibility it needs to use equity compensation and other incentive awards to attract, retain and motivate talented employees, directors and consultants who are important to the Combined Entity’s long-term growth and success.</w:t>
      </w:r>
    </w:p>
    <w:p>
      <w:pPr>
        <w:spacing w:after="0" w:line="93" w:lineRule="exact"/>
        <w:rPr>
          <w:sz w:val="20"/>
          <w:szCs w:val="20"/>
          <w:color w:val="auto"/>
        </w:rPr>
      </w:pPr>
    </w:p>
    <w:p>
      <w:pPr>
        <w:ind w:left="460" w:right="3999"/>
        <w:spacing w:after="0" w:line="469" w:lineRule="auto"/>
        <w:rPr>
          <w:sz w:val="20"/>
          <w:szCs w:val="20"/>
          <w:color w:val="auto"/>
        </w:rPr>
      </w:pPr>
      <w:r>
        <w:rPr>
          <w:rFonts w:ascii="Arial" w:cs="Arial" w:eastAsia="Arial" w:hAnsi="Arial"/>
          <w:sz w:val="16"/>
          <w:szCs w:val="16"/>
          <w:b w:val="1"/>
          <w:bCs w:val="1"/>
          <w:color w:val="auto"/>
        </w:rPr>
        <w:t xml:space="preserve">Summary of Material Features of the Equity Incentive Plan </w:t>
      </w:r>
      <w:r>
        <w:rPr>
          <w:rFonts w:ascii="Arial" w:cs="Arial" w:eastAsia="Arial" w:hAnsi="Arial"/>
          <w:sz w:val="16"/>
          <w:szCs w:val="16"/>
          <w:color w:val="auto"/>
        </w:rPr>
        <w:t>The material features of the Equity Incentive Plan include:</w:t>
      </w:r>
    </w:p>
    <w:p>
      <w:pPr>
        <w:ind w:left="1420" w:hanging="534"/>
        <w:spacing w:after="0"/>
        <w:tabs>
          <w:tab w:leader="none" w:pos="14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Initially, the maximum number of shares of Common Stock that may be issued under the Equity</w:t>
      </w:r>
    </w:p>
    <w:p>
      <w:pPr>
        <w:spacing w:after="0" w:line="46" w:lineRule="exact"/>
        <w:rPr>
          <w:sz w:val="20"/>
          <w:szCs w:val="20"/>
          <w:color w:val="auto"/>
        </w:rPr>
      </w:pPr>
    </w:p>
    <w:p>
      <w:pPr>
        <w:jc w:val="both"/>
        <w:ind w:left="1320" w:right="479"/>
        <w:spacing w:after="0" w:line="253" w:lineRule="auto"/>
        <w:rPr>
          <w:sz w:val="20"/>
          <w:szCs w:val="20"/>
          <w:color w:val="auto"/>
        </w:rPr>
      </w:pPr>
      <w:r>
        <w:rPr>
          <w:rFonts w:ascii="Arial" w:cs="Arial" w:eastAsia="Arial" w:hAnsi="Arial"/>
          <w:sz w:val="18"/>
          <w:szCs w:val="18"/>
          <w:color w:val="auto"/>
        </w:rPr>
        <w:t>Incentive Plan is shares.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83" w:lineRule="exact"/>
        <w:rPr>
          <w:sz w:val="20"/>
          <w:szCs w:val="20"/>
          <w:color w:val="auto"/>
        </w:rPr>
      </w:pPr>
    </w:p>
    <w:p>
      <w:pPr>
        <w:jc w:val="both"/>
        <w:ind w:left="1320" w:right="459" w:hanging="434"/>
        <w:spacing w:after="0" w:line="263" w:lineRule="auto"/>
        <w:tabs>
          <w:tab w:leader="none" w:pos="141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Stock options and stock appreciation rights will not be repriced in any manner without stockholder approval;</w:t>
      </w:r>
    </w:p>
    <w:p>
      <w:pPr>
        <w:spacing w:after="0" w:line="62" w:lineRule="exact"/>
        <w:rPr>
          <w:rFonts w:ascii="Arial" w:cs="Arial" w:eastAsia="Arial" w:hAnsi="Arial"/>
          <w:sz w:val="18"/>
          <w:szCs w:val="18"/>
          <w:color w:val="auto"/>
        </w:rPr>
      </w:pPr>
    </w:p>
    <w:p>
      <w:pPr>
        <w:jc w:val="both"/>
        <w:ind w:left="1320" w:right="479" w:hanging="434"/>
        <w:spacing w:after="0" w:line="259" w:lineRule="auto"/>
        <w:tabs>
          <w:tab w:leader="none" w:pos="137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value of all awards awarded under the Equity Incentive Plan and all other cash compensation paid by us to any non-employee director in any calendar year may not exceed $750,000 or $1,000,000 for the year in which a non-employee director is first appointed or elected to the Combined Entity’s board of directors;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8" w:name="page139"/>
    <w:bookmarkEnd w:id="13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Certain amendments to the Equity Incentive Plan are subject to approval by our stockholders; and</w:t>
      </w:r>
    </w:p>
    <w:p>
      <w:pPr>
        <w:spacing w:after="0" w:line="180" w:lineRule="exact"/>
        <w:rPr>
          <w:rFonts w:ascii="Arial" w:cs="Arial" w:eastAsia="Arial" w:hAnsi="Arial"/>
          <w:sz w:val="16"/>
          <w:szCs w:val="16"/>
          <w:color w:val="auto"/>
        </w:rPr>
      </w:pPr>
    </w:p>
    <w:p>
      <w:pPr>
        <w:ind w:left="1320" w:right="459" w:hanging="434"/>
        <w:spacing w:after="0" w:line="277" w:lineRule="auto"/>
        <w:tabs>
          <w:tab w:leader="none" w:pos="139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term of the Equity Incentive Plan will expire on the tenth anniversary of the effective date of the Equity Incentive Plan is approved by the board of directors of FS Development.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Regarding Equity Incentive Program</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It is critical to the Combined Entity’s long-term success that the interests of its employees, directors and consultants are tied to its success as “owners” of the business. Approval of the Equity Incentive Plan will allow the Combined Entity to grant stock options and other equity awards at levels it determines to be appropriate in order to attract new employees and directors, retain existing employees and directors and to provide incentives for such persons to exert maximum efforts for the Combined Entity’s success and ultimately increase stockholder value. The Equity Incentive Plan allows the Combined Entity to utilize a broad array of equity incentives with flexibility in designing equity incentives, including stock option grants, stock appreciation rights, restricted stock awards, restricted stock unit awards, unrestricted stock awards and dividend equivalent rights to offer competitive equity compensation packages in order to retain and motivate the talent necessary for the Combined Entity.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FS Development’s request to approve the Equity Incentive Plan is approved by FS Development</w:t>
      </w:r>
    </w:p>
    <w:p>
      <w:pPr>
        <w:spacing w:after="0" w:line="2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stockholders, the Combined Entity will initially have shares, subject to adjustment for specified changes in the Combined Entity’s capitalization, available for grant under the Equity Incentive Plan as of the effective time of the closing of the Business Combination. In addition, as further described below under section titled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Description of the Equity Incentive Plan — Shares Available for Awards</w:t>
      </w:r>
      <w:r>
        <w:rPr>
          <w:rFonts w:ascii="Arial" w:cs="Arial" w:eastAsia="Arial" w:hAnsi="Arial"/>
          <w:sz w:val="16"/>
          <w:szCs w:val="16"/>
          <w:color w:val="auto"/>
        </w:rPr>
        <w:t>,” the share reserve is subject to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each January 1 beginning on January 1, 2022 of 4% of the number of shares of the Combined Entity’s Common Stock outstanding on the immediately preceding December 31 (or a lesser number determined by the administrator of the Equity Incentive Plan). This pool size is necessary to provide sufficient reserved shares for a level of grants that will attract, retain, and motivate employees and other participants.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the Equity Incentive Plan</w:t>
      </w:r>
    </w:p>
    <w:p>
      <w:pPr>
        <w:spacing w:after="0" w:line="162" w:lineRule="exact"/>
        <w:rPr>
          <w:sz w:val="20"/>
          <w:szCs w:val="20"/>
          <w:color w:val="auto"/>
        </w:rPr>
      </w:pPr>
    </w:p>
    <w:p>
      <w:pPr>
        <w:ind w:left="460"/>
        <w:spacing w:after="0"/>
        <w:tabs>
          <w:tab w:leader="none" w:pos="5300" w:val="left"/>
        </w:tabs>
        <w:rPr>
          <w:sz w:val="20"/>
          <w:szCs w:val="20"/>
          <w:color w:val="auto"/>
        </w:rPr>
      </w:pPr>
      <w:r>
        <w:rPr>
          <w:rFonts w:ascii="Arial" w:cs="Arial" w:eastAsia="Arial" w:hAnsi="Arial"/>
          <w:sz w:val="18"/>
          <w:szCs w:val="18"/>
          <w:color w:val="auto"/>
        </w:rPr>
        <w:t>The Equity Incentive Plan was adopted by the Board on</w:t>
      </w:r>
      <w:r>
        <w:rPr>
          <w:sz w:val="20"/>
          <w:szCs w:val="20"/>
          <w:color w:val="auto"/>
        </w:rPr>
        <w:tab/>
      </w:r>
      <w:r>
        <w:rPr>
          <w:rFonts w:ascii="Arial" w:cs="Arial" w:eastAsia="Arial" w:hAnsi="Arial"/>
          <w:sz w:val="17"/>
          <w:szCs w:val="17"/>
          <w:color w:val="auto"/>
        </w:rPr>
        <w:t>2020 and will become effective, subject to</w:t>
      </w:r>
    </w:p>
    <w:p>
      <w:pPr>
        <w:spacing w:after="0" w:line="2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stockholder approval, on the date immediately preceding the Closing. The Equity Incentive Plan will replace the 2017 Plan as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the Combined Entity will assure a closer alignment of the interests of such individuals with those of the Combined Entity and its stockholders, thereby stimulating their efforts on the Combined Entity’s behalf and strengthening their desire to remain with the Combined Entity.</w:t>
      </w:r>
    </w:p>
    <w:p>
      <w:pPr>
        <w:spacing w:after="0" w:line="97" w:lineRule="exact"/>
        <w:rPr>
          <w:sz w:val="20"/>
          <w:szCs w:val="20"/>
          <w:color w:val="auto"/>
        </w:rPr>
      </w:pPr>
    </w:p>
    <w:p>
      <w:pPr>
        <w:jc w:val="both"/>
        <w:ind w:left="460" w:right="459"/>
        <w:spacing w:after="0" w:line="274" w:lineRule="auto"/>
        <w:rPr>
          <w:sz w:val="20"/>
          <w:szCs w:val="20"/>
          <w:color w:val="auto"/>
        </w:rPr>
      </w:pPr>
      <w:r>
        <w:rPr>
          <w:rFonts w:ascii="Arial" w:cs="Arial" w:eastAsia="Arial" w:hAnsi="Arial"/>
          <w:sz w:val="17"/>
          <w:szCs w:val="17"/>
          <w:color w:val="auto"/>
        </w:rPr>
        <w:t>We have initially reserved shares of Common Stock (the “</w:t>
      </w:r>
      <w:r>
        <w:rPr>
          <w:rFonts w:ascii="Arial" w:cs="Arial" w:eastAsia="Arial" w:hAnsi="Arial"/>
          <w:sz w:val="17"/>
          <w:szCs w:val="17"/>
          <w:b w:val="1"/>
          <w:bCs w:val="1"/>
          <w:color w:val="auto"/>
        </w:rPr>
        <w:t>Initial Limit</w:t>
      </w:r>
      <w:r>
        <w:rPr>
          <w:rFonts w:ascii="Arial" w:cs="Arial" w:eastAsia="Arial" w:hAnsi="Arial"/>
          <w:sz w:val="17"/>
          <w:szCs w:val="17"/>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96"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40" w:type="dxa"/>
            <w:vAlign w:val="bottom"/>
          </w:tcPr>
          <w:p>
            <w:pPr>
              <w:jc w:val="right"/>
              <w:ind w:right="230"/>
              <w:spacing w:after="0"/>
              <w:rPr>
                <w:sz w:val="20"/>
                <w:szCs w:val="20"/>
                <w:color w:val="auto"/>
              </w:rPr>
            </w:pPr>
            <w:r>
              <w:rPr>
                <w:rFonts w:ascii="Arial" w:cs="Arial" w:eastAsia="Arial" w:hAnsi="Arial"/>
                <w:sz w:val="18"/>
                <w:szCs w:val="18"/>
                <w:color w:val="auto"/>
                <w:w w:val="89"/>
              </w:rPr>
              <w:t>issued under the Equity Incentive Plan as of the Closing is $</w:t>
            </w:r>
          </w:p>
        </w:tc>
        <w:tc>
          <w:tcPr>
            <w:tcW w:w="3460" w:type="dxa"/>
            <w:vAlign w:val="bottom"/>
          </w:tcPr>
          <w:p>
            <w:pPr>
              <w:jc w:val="right"/>
              <w:ind w:right="3010"/>
              <w:spacing w:after="0"/>
              <w:rPr>
                <w:sz w:val="20"/>
                <w:szCs w:val="20"/>
                <w:color w:val="auto"/>
              </w:rPr>
            </w:pPr>
            <w:r>
              <w:rPr>
                <w:rFonts w:ascii="Arial" w:cs="Arial" w:eastAsia="Arial" w:hAnsi="Arial"/>
                <w:sz w:val="18"/>
                <w:szCs w:val="18"/>
                <w:color w:val="auto"/>
              </w:rPr>
              <w:t>.</w:t>
            </w:r>
          </w:p>
        </w:tc>
      </w:tr>
      <w:tr>
        <w:trPr>
          <w:trHeight w:val="391"/>
        </w:trPr>
        <w:tc>
          <w:tcPr>
            <w:tcW w:w="4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127</w:t>
            </w: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1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1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Persons eligible to participate in our Equity Incentive Plan will be those full or part-time officers, employees, non-employee directors, and consultants of the Combined Entity as selected from time to time by our compensation committee in its discretion. As of the date of this proxy statement/prospectus, following the Closing, approximately individuals will be eligible to participate in the Equity Incentive Plan, which includes approximately officers, employees who are not officers, [___] non-employee directors, and consultants.</w:t>
      </w:r>
    </w:p>
    <w:p>
      <w:pPr>
        <w:spacing w:after="0" w:line="9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the Combined Entity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19"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1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83" w:lineRule="exact"/>
        <w:rPr>
          <w:sz w:val="20"/>
          <w:szCs w:val="20"/>
          <w:color w:val="auto"/>
        </w:rPr>
      </w:pPr>
    </w:p>
    <w:p>
      <w:pPr>
        <w:jc w:val="both"/>
        <w:ind w:left="460" w:right="479"/>
        <w:spacing w:after="0" w:line="270" w:lineRule="auto"/>
        <w:rPr>
          <w:sz w:val="20"/>
          <w:szCs w:val="20"/>
          <w:color w:val="auto"/>
        </w:rPr>
      </w:pPr>
      <w:r>
        <w:rPr>
          <w:rFonts w:ascii="Arial" w:cs="Arial" w:eastAsia="Arial" w:hAnsi="Arial"/>
          <w:sz w:val="17"/>
          <w:szCs w:val="17"/>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1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compensation committee may grant cash bonuses under our Equity Incentive Plan to participants, subject to the achievement of certain performance goals.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the Combined Entity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The Combined Entity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0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9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Following the consummation of the Business Combination, when permitted by SEC rules, we intend to file with the SEC a registration statement on Form S-8 covering the Common Stock issuable under the Equity Incentive Plan.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Federal Income Tax Consequences</w:t>
      </w:r>
    </w:p>
    <w:p>
      <w:pPr>
        <w:spacing w:after="0" w:line="162"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following is a summary of the principal U.S. federal income tax consequences of certain transactions under the Equity Incentive Plan, which will not become effective until the date immediately preceding the date of the Closing. No awards will be issued under the Equity Incentive Plan prior to the date of Closing.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Equity Incentive Plan. The Equity Incentive Plan is not qualified under the provisions of Section 401(a) of the Code and is not subject to any of the provisions of the Employee Retirement Income Security Act of 1974, as amended. The Combined Entity’s ability to realize the benefit of any tax deductions described below depends on the Combined Entity’s generation of taxable income as well as the requirement of reasonableness, the provisions of Section 162(m) of the Code and the satisfaction of the Combined Entity’s tax reporting obligations.</w:t>
      </w:r>
    </w:p>
    <w:p>
      <w:pPr>
        <w:spacing w:after="0" w:line="117"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No taxable income is generally realized by the optionee upon the grant or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incentive stock option. If shares of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the Combined Entity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shares of Common Stock.</w:t>
      </w:r>
    </w:p>
    <w:p>
      <w:pPr>
        <w:spacing w:after="0" w:line="11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0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i w:val="1"/>
          <w:iCs w:val="1"/>
          <w:color w:val="auto"/>
        </w:rPr>
        <w:t xml:space="preserve">Non-Qualified Options. </w:t>
      </w:r>
      <w:r>
        <w:rPr>
          <w:rFonts w:ascii="Arial" w:cs="Arial" w:eastAsia="Arial" w:hAnsi="Arial"/>
          <w:sz w:val="18"/>
          <w:szCs w:val="18"/>
          <w:color w:val="auto"/>
        </w:rPr>
        <w:t>No income is generally realized by the optionee at the time a non-qualified option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1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the Combined Entity generally will be entitled to a tax deduction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under the Equity Incentive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2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i w:val="1"/>
          <w:iCs w:val="1"/>
          <w:color w:val="auto"/>
        </w:rPr>
        <w:t>Parachute Payments</w:t>
      </w:r>
      <w:r>
        <w:rPr>
          <w:rFonts w:ascii="Arial" w:cs="Arial" w:eastAsia="Arial" w:hAnsi="Arial"/>
          <w:sz w:val="18"/>
          <w:szCs w:val="18"/>
          <w:color w:val="auto"/>
        </w:rPr>
        <w:t>. The vesting of any portion of an award that is accelerated due to the occurrence of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(such as a sale event) may cause all or a portion of the payments with respect to such accelerated awards to be treated as “parachute payments” as defined in the Code. Any such parachute payments may be non-deductible to the Combined Entity, in whole or in part, and may subject the recipient to a non-deductible 20% federal excise tax on all or a portion of such payment (in addition to other taxes ordinarily payable).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New Plan Benefits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No awards have been previously granted under the Equity Incentive Plan and no awards have been granted under the Equity Incentive Plan subject to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approval of the Incentive Plan Proposal requires the affirmative vote of a majority of the votes cast by the stockholders represented in person or by proxy and entitled to vote thereon at the Special Meeting, voting together as a single class, assuming that a quorum is present. Abstentions will have the same effect as a vote “AGAINST” the Incentive Plan Proposal. Broker non-votes will have no effect with respect to the approval of this proposal.</w:t>
      </w:r>
    </w:p>
    <w:p>
      <w:pPr>
        <w:spacing w:after="0" w:line="120"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Approval of the Incentive Plan Proposal, the Nasdaq Stock Issuance Proposal, and the Charter Amendment Proposal are conditioned on the approval of the Business Combination Proposal at the Special Meeting.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BOARD UNANIMOUSLY RECOMMENDS THAT OUR STOCKHOLDERS VOTE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APPROVAL OF THE INCENTIVE PLAN PROPOSAL.</w:t>
      </w:r>
    </w:p>
    <w:p>
      <w:pPr>
        <w:sectPr>
          <w:pgSz w:w="11900" w:h="16838" w:orient="portrait"/>
          <w:cols w:equalWidth="0" w:num="1">
            <w:col w:w="9019"/>
          </w:cols>
          <w:pgMar w:left="1440" w:top="274"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2" w:name="page143"/>
    <w:bookmarkEnd w:id="14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ADJOURNMENT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Adjournment Proposal, if adopted, will allow the Board to adjourn the Special Meeting to a later date or dates to permit further solicitation of proxies. The Adjournment Proposal will only be presented to FS Development’s stockholders in the event that based upon the tabulated vote at the time of the Special Meeting there are insufficient votes for, or otherwise in connection with, the approval of the Business Combination Proposal, the Nasdaq Stock Issuance Proposal, the Charter Amendment Proposal, or the Incentive Plan Proposal, or we determine that one or more of the closing conditions under the Business Combination is not satisfied or waived. In no event will the Board adjourn the Special Meeting or consummate the Business Combination beyond the date by which it may properly do so under its Current Charter and Delaware law.</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If the Adjournment Proposal is not approved by FS Development’s stockholders, the Board may not be able to adjourn the Special Meeting to a later date in the event that there are insufficient votes for, or otherwise in connection with, the approval of the Business Combination Proposal or any other proposal.</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approval of the Adjournment Proposal requires the affirmative vote of holders of a majority of the shares of FS Development Common Stock represented in person or by proxy and entitled to vote thereon at the Special Meeting, voting together as a single class. Broker non-votes and abstentions will have no effect with respect to the approval of this proposal.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BOARD UNANIMOUSLY RECOMMENDS THAT OUR STOCKHOLDERS VOTE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APPROVAL OF THE ADJOURNMENT PROPOSAL.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FS DEVELOPMENT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FS Development is a blank check company incorporated as a Delaware corporation on June 25, 2020. We were formed for the purpose of entering into a merger, share exchange, asset acquisition, stock purchase, recapitalization, reorganization or other similar business combination, which we refer to as a business combination, with one or more businesses or entities.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Activities Since Inception</w:t>
      </w:r>
    </w:p>
    <w:p>
      <w:pPr>
        <w:spacing w:after="0" w:line="162"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On August 14, 2020, FS Development consummated the FS Development IPO of 12,075,000 shares of its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the Company of $120,750,000.</w:t>
      </w:r>
    </w:p>
    <w:p>
      <w:pPr>
        <w:spacing w:after="0" w:line="12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Substantially concurrently with the closing of the FS Development IPO, FS Development completed the private sale of 441,500 shares of FS Development Class A Common Stock (the “</w:t>
      </w:r>
      <w:r>
        <w:rPr>
          <w:rFonts w:ascii="Arial" w:cs="Arial" w:eastAsia="Arial" w:hAnsi="Arial"/>
          <w:sz w:val="16"/>
          <w:szCs w:val="16"/>
          <w:b w:val="1"/>
          <w:bCs w:val="1"/>
          <w:color w:val="auto"/>
        </w:rPr>
        <w:t>Private Placement Shares</w:t>
      </w:r>
      <w:r>
        <w:rPr>
          <w:rFonts w:ascii="Arial" w:cs="Arial" w:eastAsia="Arial" w:hAnsi="Arial"/>
          <w:sz w:val="16"/>
          <w:szCs w:val="16"/>
          <w:color w:val="auto"/>
        </w:rPr>
        <w:t>”) at a purchase price of $10.00 per Private Placement Share, to the Sponsor,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8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addition, the Sponsor has agreed to waive its redemption rights with respect to the Private Placement Shares in connection with (i) the consummation of FS Development’s initial business combination, or (ii) a stockholder vote to approve an amendment to the Company’s amended and restated certificate of incorporation to modify the substance or timing of FS Development’s obligation to redeem 100% of the shares of FS Development Class A Common Stock sold in the IPO if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9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A total of $120,750,000, comprised of the proceeds from the FS Development IPO and the sale of the Private Placement Shares, were placed in a U.S.-based trust account at JP Morgan Chase Bank, N.A., maintained by Continental Stock Transfer &amp; Trust Company, acting as trustee. Except with respect to interest earned on the funds held in the trust account that may be released to FS Development to pay its taxes, the proceeds from the FS Development IPO will not be released from the trust account until the earliest to occur of: (i) the completion of the FS Development’s initial business combination, (ii) the redemption of the Public Shares if FS Development has not completed its initial business combination by August 14, 2022, subject to applicable law, and (iii) the redemption of the Public Shares properly tendered in connection with a stockholder vote to amend the Current Charter to modify the substance or timing of its obligation to redeem 100% of its Public Shares if FS Development does not complete its initial business combination by August 14, 2022 or with respect to any other provisions relating to stockholders’ rights or pre-initial business combination activity.</w:t>
      </w:r>
    </w:p>
    <w:p>
      <w:pPr>
        <w:spacing w:after="0" w:line="10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On October 15, 2020, FS Development announced that it had entered into the Merger Agreement and certain related agreements. See the section titled “</w:t>
      </w:r>
      <w:r>
        <w:rPr>
          <w:rFonts w:ascii="Arial" w:cs="Arial" w:eastAsia="Arial" w:hAnsi="Arial"/>
          <w:sz w:val="16"/>
          <w:szCs w:val="16"/>
          <w:i w:val="1"/>
          <w:iCs w:val="1"/>
          <w:color w:val="auto"/>
        </w:rPr>
        <w:t>The Business Combination Proposal — The Merger Agreement</w:t>
      </w:r>
      <w:r>
        <w:rPr>
          <w:rFonts w:ascii="Arial" w:cs="Arial" w:eastAsia="Arial" w:hAnsi="Arial"/>
          <w:sz w:val="16"/>
          <w:szCs w:val="16"/>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a Business Combination</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FS Development is not presently engaged in, and will not engage in, any operations until after a business combination. FS Development intends to effect a business combination using cash held in the Trust Account and, if needed, funds from any additional private equity financings.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Selection of a Target Business and Structuring of the Initial Business Combination</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Under Nasdaq Listing Rules, an initial business combination must occur with one or more target businesses that together have a fair market value of at least 80% of FS Development’s assets held in the Trust Account (excluding taxes payable on the income earned on the Trust Account) at the time of the agreement to enter into the initial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business combination. The fair market value of the target or targets will be determined by the Board based upon one or more standards generally accepted by the financial community, such as discounted cash flow valuation or value of comparable businesses. Subject to this requirement, FS Development’s management has had virtually unrestricted flexibility in identifying and selecting one or more prospective target businesses, although FS Development was not permitted to effectuate an initial business combination with another blank check company or a similar company with nominal operations. In any case, FS Development determined that it would only complete an initial business combination in which it acquired 50% or more of the outstanding voting securities of the target or were otherwise not required to register as an investment company under the Investment Company Act. Our Board has determined that the Business Combination meets the 80% test.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Rights for Holders of Public Shares</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FS Development is providing its public stockholders with the opportunity to redeem their Public Shares for cash equal to a pro rata share of the aggregate amount then on deposit in the Trust Account, including interest earned on the funds held in the Trust Account and not previously released to it to pay FS Development’s franchise and income taxes, divided by the number of then outstanding Public Shares, upon the Closing, subject to the</w:t>
      </w:r>
    </w:p>
    <w:p>
      <w:pPr>
        <w:spacing w:after="0" w:line="1" w:lineRule="exact"/>
        <w:rPr>
          <w:sz w:val="20"/>
          <w:szCs w:val="20"/>
          <w:color w:val="auto"/>
        </w:rPr>
      </w:pPr>
    </w:p>
    <w:p>
      <w:pPr>
        <w:ind w:left="460"/>
        <w:spacing w:after="0"/>
        <w:tabs>
          <w:tab w:leader="none" w:pos="8380" w:val="left"/>
        </w:tabs>
        <w:rPr>
          <w:sz w:val="20"/>
          <w:szCs w:val="20"/>
          <w:color w:val="auto"/>
        </w:rPr>
      </w:pPr>
      <w:r>
        <w:rPr>
          <w:rFonts w:ascii="Arial" w:cs="Arial" w:eastAsia="Arial" w:hAnsi="Arial"/>
          <w:sz w:val="18"/>
          <w:szCs w:val="18"/>
          <w:color w:val="auto"/>
        </w:rPr>
        <w:t>limitations described herein. For illustrative purposes, based on the balance of the Trust Account of $</w:t>
      </w:r>
      <w:r>
        <w:rPr>
          <w:sz w:val="20"/>
          <w:szCs w:val="20"/>
          <w:color w:val="auto"/>
        </w:rPr>
        <w:tab/>
      </w:r>
      <w:r>
        <w:rPr>
          <w:rFonts w:ascii="Arial" w:cs="Arial" w:eastAsia="Arial" w:hAnsi="Arial"/>
          <w:sz w:val="13"/>
          <w:szCs w:val="13"/>
          <w:color w:val="auto"/>
        </w:rPr>
        <w:t>as</w:t>
      </w:r>
    </w:p>
    <w:p>
      <w:pPr>
        <w:spacing w:after="0" w:line="9" w:lineRule="exact"/>
        <w:rPr>
          <w:sz w:val="20"/>
          <w:szCs w:val="20"/>
          <w:color w:val="auto"/>
        </w:rPr>
      </w:pPr>
    </w:p>
    <w:p>
      <w:pPr>
        <w:ind w:left="460"/>
        <w:spacing w:after="0"/>
        <w:tabs>
          <w:tab w:leader="none" w:pos="7940" w:val="left"/>
        </w:tabs>
        <w:rPr>
          <w:sz w:val="20"/>
          <w:szCs w:val="20"/>
          <w:color w:val="auto"/>
        </w:rPr>
      </w:pPr>
      <w:r>
        <w:rPr>
          <w:rFonts w:ascii="Arial" w:cs="Arial" w:eastAsia="Arial" w:hAnsi="Arial"/>
          <w:sz w:val="18"/>
          <w:szCs w:val="18"/>
          <w:color w:val="auto"/>
        </w:rPr>
        <w:t>of June 30, 2020, the estimated per share redemption price would have been approximately $</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b w:val="1"/>
          <w:bCs w:val="1"/>
          <w:color w:val="auto"/>
        </w:rPr>
        <w:t>Public</w:t>
      </w:r>
    </w:p>
    <w:p>
      <w:pPr>
        <w:spacing w:after="0" w:line="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b w:val="1"/>
          <w:bCs w:val="1"/>
          <w:color w:val="auto"/>
        </w:rPr>
        <w:t>stockholders may elect to redeem their shares even if they vote for the Business Combination</w:t>
      </w:r>
      <w:r>
        <w:rPr>
          <w:rFonts w:ascii="Arial" w:cs="Arial" w:eastAsia="Arial" w:hAnsi="Arial"/>
          <w:sz w:val="17"/>
          <w:szCs w:val="17"/>
          <w:color w:val="auto"/>
        </w:rPr>
        <w:t>. Any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to redeem Public Shares, once made, may be withdrawn at any time until the deadline for 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$170 million. The Sponsor and FS Development’s officers and directors have agreed to waive their redemption rights with respect to the Founders Shares and any Public Shares they may hold in connection with the Closing. The Founders Shares will be excluded from the pro rata calculation used to determine the per-share redemption price.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ubmission of Our Initial Business Combination to a Stockholder Vote</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FS Development is providing its public stockholders with redemption rights upon Closing. Public stockholders electing to exercise their redemption rights will be entitled to receive the cash amount specified above, provided that such stockholders follow the specific procedures for redemption set forth in this proxy statement/prospectus relating to the stockholder vote on the Business Combination. FS Development’s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w:t>
      </w:r>
    </w:p>
    <w:p>
      <w:pPr>
        <w:spacing w:after="0" w:line="11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holders of the Founders Shares have agreed to vote such FS Development Common Stock owned by them in favor of the Business Combination. In addition, the Sponsor and FS Development’s officers and directors have agreed to waive their redemption rights with respect to any capital stock they may hold in connection with the Closing.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Redemption Rights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Notwithstanding the foregoing, the Current Charter provides that a public stockholder, together with any affiliate of such stockholder or any other person with whom such stockholder is acting in concert or as a “group” (as defined under Section 13 of the Exchange Act), will be restricted from seeking redemptions with respect to more than 20% of the shares issued in the FS Development IPO.</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FS Development currently has three executive officers. These individuals are not obligated to devote any specific number of hours to our matters but they intend to devote as much of their time as they deem necessary to FS Development’s affairs until FS Development has completed its initial business combination. The amount of time they devote in any time period varies based on the stage of the business combination process FS Development is in. FS Development does not intend to have any full time employees prior to the consummation of an initial business combination.</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5" w:name="page146"/>
    <w:bookmarkEnd w:id="14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FS Development maintains its principal executive offices at 600 Montgomery Street, Suite 4500, San Francisco, CA 94111. FS Development pays the Sponsor $10,000 per month for office space, secretarial and administrative services provided to members of its management team pursuant to the terms of an administrative services agreement between FS Development and the Sponsor. Upon completion of our initial business combination or FS Development’s liquidation, FS Development will cease paying these monthly fees. FS Development considers its current office space adequate for its current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To the knowledge of FS Development’s management, there are no legal proceedings pending against FS Development.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 OF FS DEVELOPMENT</w:t>
      </w:r>
    </w:p>
    <w:p>
      <w:pPr>
        <w:spacing w:after="0" w:line="14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“we,” “our,” “us” and other similar terms refer to FS Development before the Business Combination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6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directors and executive officers of FS Development are as follows as of the date of this proxy statement/prospectus: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4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Age</w:t>
            </w:r>
          </w:p>
        </w:tc>
        <w:tc>
          <w:tcPr>
            <w:tcW w:w="5200" w:type="dxa"/>
            <w:vAlign w:val="bottom"/>
          </w:tcPr>
          <w:p>
            <w:pPr>
              <w:ind w:left="232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Jim Tananbaum</w:t>
            </w:r>
          </w:p>
        </w:tc>
        <w:tc>
          <w:tcPr>
            <w:tcW w:w="1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24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8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84"/>
        </w:trPr>
        <w:tc>
          <w:tcPr>
            <w:tcW w:w="24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Vice President and Director</w:t>
            </w:r>
          </w:p>
        </w:tc>
      </w:tr>
      <w:tr>
        <w:trPr>
          <w:trHeight w:val="283"/>
        </w:trPr>
        <w:tc>
          <w:tcPr>
            <w:tcW w:w="2400" w:type="dxa"/>
            <w:vAlign w:val="bottom"/>
            <w:gridSpan w:val="2"/>
          </w:tcPr>
          <w:p>
            <w:pPr>
              <w:spacing w:after="0"/>
              <w:rPr>
                <w:sz w:val="20"/>
                <w:szCs w:val="20"/>
                <w:color w:val="auto"/>
              </w:rPr>
            </w:pPr>
            <w:r>
              <w:rPr>
                <w:rFonts w:ascii="Arial" w:cs="Arial" w:eastAsia="Arial" w:hAnsi="Arial"/>
                <w:sz w:val="18"/>
                <w:szCs w:val="18"/>
                <w:color w:val="auto"/>
              </w:rPr>
              <w:t>Vikram Bajaj</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40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8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400" w:type="dxa"/>
            <w:vAlign w:val="bottom"/>
            <w:gridSpan w:val="2"/>
          </w:tcPr>
          <w:p>
            <w:pPr>
              <w:spacing w:after="0"/>
              <w:rPr>
                <w:sz w:val="20"/>
                <w:szCs w:val="20"/>
                <w:color w:val="auto"/>
              </w:rPr>
            </w:pPr>
            <w:r>
              <w:rPr>
                <w:rFonts w:ascii="Arial" w:cs="Arial" w:eastAsia="Arial" w:hAnsi="Arial"/>
                <w:sz w:val="18"/>
                <w:szCs w:val="18"/>
                <w:color w:val="auto"/>
              </w:rPr>
              <w:t>Daniel Dubin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240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color w:val="auto"/>
        </w:rPr>
        <w:t xml:space="preserve">Jim Tananbaum </w:t>
      </w:r>
      <w:r>
        <w:rPr>
          <w:rFonts w:ascii="Arial" w:cs="Arial" w:eastAsia="Arial" w:hAnsi="Arial"/>
          <w:sz w:val="16"/>
          <w:szCs w:val="16"/>
          <w:color w:val="auto"/>
        </w:rPr>
        <w:t>has been our President, Chief Executive Officer and a director since June 2020.</w:t>
      </w:r>
      <w:r>
        <w:rPr>
          <w:rFonts w:ascii="Arial" w:cs="Arial" w:eastAsia="Arial" w:hAnsi="Arial"/>
          <w:sz w:val="16"/>
          <w:szCs w:val="16"/>
          <w:b w:val="1"/>
          <w:bCs w:val="1"/>
          <w:color w:val="auto"/>
        </w:rPr>
        <w:t xml:space="preserve"> </w:t>
      </w:r>
      <w:r>
        <w:rPr>
          <w:rFonts w:ascii="Arial" w:cs="Arial" w:eastAsia="Arial" w:hAnsi="Arial"/>
          <w:sz w:val="16"/>
          <w:szCs w:val="16"/>
          <w:color w:val="auto"/>
        </w:rPr>
        <w:t>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0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7"/>
          <w:szCs w:val="17"/>
          <w:b w:val="1"/>
          <w:bCs w:val="1"/>
          <w:color w:val="auto"/>
        </w:rPr>
        <w:t xml:space="preserve">Dennis Ryan </w:t>
      </w:r>
      <w:r>
        <w:rPr>
          <w:rFonts w:ascii="Arial" w:cs="Arial" w:eastAsia="Arial" w:hAnsi="Arial"/>
          <w:sz w:val="17"/>
          <w:szCs w:val="17"/>
          <w:color w:val="auto"/>
        </w:rPr>
        <w:t>has been our Chief Financial Officer since June 2020. Since 2011, Mr. Ryan has also led the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00"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b w:val="1"/>
          <w:bCs w:val="1"/>
          <w:color w:val="auto"/>
        </w:rPr>
        <w:t xml:space="preserve">Michael Rome </w:t>
      </w:r>
      <w:r>
        <w:rPr>
          <w:rFonts w:ascii="Arial" w:cs="Arial" w:eastAsia="Arial" w:hAnsi="Arial"/>
          <w:sz w:val="16"/>
          <w:szCs w:val="16"/>
          <w:color w:val="auto"/>
        </w:rPr>
        <w:t>has been our Vice President and Director since June 2020. Dr. Rome also serves as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8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b w:val="1"/>
          <w:bCs w:val="1"/>
          <w:color w:val="auto"/>
        </w:rPr>
        <w:t xml:space="preserve">Vikram Bajaj </w:t>
      </w:r>
      <w:r>
        <w:rPr>
          <w:rFonts w:ascii="Arial" w:cs="Arial" w:eastAsia="Arial" w:hAnsi="Arial"/>
          <w:sz w:val="16"/>
          <w:szCs w:val="16"/>
          <w:color w:val="auto"/>
        </w:rPr>
        <w:t>has been a director on our board of directors since June 2020. Dr. Bajaj currently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7" w:name="page148"/>
    <w:bookmarkEnd w:id="14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Dr. Bajaj holds a B.A./M.S. from University of Pennsylvania in Biochemistry and a 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1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b w:val="1"/>
          <w:bCs w:val="1"/>
          <w:color w:val="auto"/>
        </w:rPr>
        <w:t xml:space="preserve">Robert Carey </w:t>
      </w:r>
      <w:r>
        <w:rPr>
          <w:rFonts w:ascii="Arial" w:cs="Arial" w:eastAsia="Arial" w:hAnsi="Arial"/>
          <w:sz w:val="17"/>
          <w:szCs w:val="17"/>
          <w:color w:val="auto"/>
        </w:rPr>
        <w:t>has been a member of our board of directors since August 2020. Mr. Carey served as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0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b w:val="1"/>
          <w:bCs w:val="1"/>
          <w:color w:val="auto"/>
        </w:rPr>
        <w:t xml:space="preserve">Dan Dubin </w:t>
      </w:r>
      <w:r>
        <w:rPr>
          <w:rFonts w:ascii="Arial" w:cs="Arial" w:eastAsia="Arial" w:hAnsi="Arial"/>
          <w:sz w:val="16"/>
          <w:szCs w:val="16"/>
          <w:color w:val="auto"/>
        </w:rPr>
        <w:t>has been a member of our board of directors since August 2020. Dr. Dubin is also the Vice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8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color w:val="auto"/>
        </w:rPr>
        <w:t xml:space="preserve">Deepa Pakianathan </w:t>
      </w:r>
      <w:r>
        <w:rPr>
          <w:rFonts w:ascii="Arial" w:cs="Arial" w:eastAsia="Arial" w:hAnsi="Arial"/>
          <w:sz w:val="16"/>
          <w:szCs w:val="16"/>
          <w:color w:val="auto"/>
        </w:rPr>
        <w:t>has been a member of our board of directors since August 2020. Since 2001,</w:t>
      </w:r>
      <w:r>
        <w:rPr>
          <w:rFonts w:ascii="Arial" w:cs="Arial" w:eastAsia="Arial" w:hAnsi="Arial"/>
          <w:sz w:val="16"/>
          <w:szCs w:val="16"/>
          <w:b w:val="1"/>
          <w:bCs w:val="1"/>
          <w:color w:val="auto"/>
        </w:rPr>
        <w:t xml:space="preserve"> </w:t>
      </w:r>
      <w:r>
        <w:rPr>
          <w:rFonts w:ascii="Arial" w:cs="Arial" w:eastAsia="Arial" w:hAnsi="Arial"/>
          <w:sz w:val="16"/>
          <w:szCs w:val="16"/>
          <w:color w:val="auto"/>
        </w:rPr>
        <w:t>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w:t>
      </w:r>
    </w:p>
    <w:p>
      <w:pPr>
        <w:spacing w:after="0" w:line="16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July 2020, the Sponsor transferred 30,000 Founders Shares to each of Mr. Carey, Dr. Dubin and Dr.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the Sponsor $10,000 per month for office space, secretarial and administrative services provided to members of our management team. In addition, the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the Sponsor, executive officers and directors, or any of their respective affiliates, prior to completion of our initial business combination.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14" w:lineRule="exact"/>
        <w:rPr>
          <w:sz w:val="20"/>
          <w:szCs w:val="20"/>
          <w:color w:val="auto"/>
        </w:rPr>
      </w:pPr>
    </w:p>
    <w:p>
      <w:pPr>
        <w:jc w:val="both"/>
        <w:ind w:left="460" w:right="479"/>
        <w:spacing w:after="0" w:line="270"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Independence</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Nasdaq listing standards require that a majority of our board of directors be independent within one year of our initial public offering. The Board has determined that Mr. Carey, Dr. Dubin and Dr. Pakianathan are “independent directors” as defined in Nasdaq listing standards and applicable SEC rules and Dr. Bajaj is an “independent director” as defined in Nasdaq listing standards. Our independent directors will have regularly scheduled meetings at which only independent directors are present.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3" w:lineRule="exact"/>
        <w:rPr>
          <w:sz w:val="20"/>
          <w:szCs w:val="20"/>
          <w:color w:val="auto"/>
        </w:rPr>
      </w:pPr>
    </w:p>
    <w:p>
      <w:pPr>
        <w:ind w:left="1300" w:hanging="41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03"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The Current Charter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1380" w:type="dxa"/>
            <w:vAlign w:val="bottom"/>
          </w:tcPr>
          <w:p>
            <w:pPr>
              <w:spacing w:after="0"/>
              <w:rPr>
                <w:sz w:val="20"/>
                <w:szCs w:val="20"/>
                <w:color w:val="auto"/>
              </w:rPr>
            </w:pPr>
            <w:r>
              <w:rPr>
                <w:rFonts w:ascii="Arial" w:cs="Arial" w:eastAsia="Arial" w:hAnsi="Arial"/>
                <w:sz w:val="16"/>
                <w:szCs w:val="16"/>
                <w:b w:val="1"/>
                <w:bCs w:val="1"/>
                <w:color w:val="auto"/>
              </w:rPr>
              <w:t>Individual</w:t>
            </w:r>
          </w:p>
        </w:tc>
        <w:tc>
          <w:tcPr>
            <w:tcW w:w="80" w:type="dxa"/>
            <w:vAlign w:val="bottom"/>
          </w:tcPr>
          <w:p>
            <w:pPr>
              <w:spacing w:after="0"/>
              <w:rPr>
                <w:sz w:val="20"/>
                <w:szCs w:val="20"/>
                <w:color w:val="auto"/>
              </w:rPr>
            </w:pPr>
          </w:p>
        </w:tc>
        <w:tc>
          <w:tcPr>
            <w:tcW w:w="2120" w:type="dxa"/>
            <w:vAlign w:val="bottom"/>
            <w:gridSpan w:val="2"/>
          </w:tcPr>
          <w:p>
            <w:pPr>
              <w:ind w:left="800"/>
              <w:spacing w:after="0"/>
              <w:rPr>
                <w:sz w:val="20"/>
                <w:szCs w:val="20"/>
                <w:color w:val="auto"/>
              </w:rPr>
            </w:pPr>
            <w:r>
              <w:rPr>
                <w:rFonts w:ascii="Arial" w:cs="Arial" w:eastAsia="Arial" w:hAnsi="Arial"/>
                <w:sz w:val="16"/>
                <w:szCs w:val="16"/>
                <w:b w:val="1"/>
                <w:bCs w:val="1"/>
                <w:color w:val="auto"/>
              </w:rPr>
              <w:t>Entity</w:t>
            </w:r>
          </w:p>
        </w:tc>
        <w:tc>
          <w:tcPr>
            <w:tcW w:w="2120" w:type="dxa"/>
            <w:vAlign w:val="bottom"/>
          </w:tcPr>
          <w:p>
            <w:pPr>
              <w:ind w:left="460"/>
              <w:spacing w:after="0"/>
              <w:rPr>
                <w:sz w:val="20"/>
                <w:szCs w:val="20"/>
                <w:color w:val="auto"/>
              </w:rPr>
            </w:pPr>
            <w:r>
              <w:rPr>
                <w:rFonts w:ascii="Arial" w:cs="Arial" w:eastAsia="Arial" w:hAnsi="Arial"/>
                <w:sz w:val="16"/>
                <w:szCs w:val="16"/>
                <w:b w:val="1"/>
                <w:bCs w:val="1"/>
                <w:color w:val="auto"/>
              </w:rPr>
              <w:t>Entity’s Business</w:t>
            </w:r>
          </w:p>
        </w:tc>
        <w:tc>
          <w:tcPr>
            <w:tcW w:w="80" w:type="dxa"/>
            <w:vAlign w:val="bottom"/>
          </w:tcPr>
          <w:p>
            <w:pPr>
              <w:spacing w:after="0"/>
              <w:rPr>
                <w:sz w:val="20"/>
                <w:szCs w:val="20"/>
                <w:color w:val="auto"/>
              </w:rPr>
            </w:pPr>
          </w:p>
        </w:tc>
        <w:tc>
          <w:tcPr>
            <w:tcW w:w="2320" w:type="dxa"/>
            <w:vAlign w:val="bottom"/>
          </w:tcPr>
          <w:p>
            <w:pPr>
              <w:ind w:left="840"/>
              <w:spacing w:after="0"/>
              <w:rPr>
                <w:sz w:val="20"/>
                <w:szCs w:val="20"/>
                <w:color w:val="auto"/>
              </w:rPr>
            </w:pPr>
            <w:r>
              <w:rPr>
                <w:rFonts w:ascii="Arial" w:cs="Arial" w:eastAsia="Arial" w:hAnsi="Arial"/>
                <w:sz w:val="14"/>
                <w:szCs w:val="14"/>
                <w:b w:val="1"/>
                <w:bCs w:val="1"/>
                <w:color w:val="auto"/>
              </w:rPr>
              <w:t>Affiliation</w:t>
            </w:r>
          </w:p>
        </w:tc>
        <w:tc>
          <w:tcPr>
            <w:tcW w:w="0" w:type="dxa"/>
            <w:vAlign w:val="bottom"/>
          </w:tcPr>
          <w:p>
            <w:pPr>
              <w:spacing w:after="0"/>
              <w:rPr>
                <w:sz w:val="1"/>
                <w:szCs w:val="1"/>
                <w:color w:val="auto"/>
              </w:rPr>
            </w:pPr>
          </w:p>
        </w:tc>
      </w:tr>
      <w:tr>
        <w:trPr>
          <w:trHeight w:val="26"/>
        </w:trPr>
        <w:tc>
          <w:tcPr>
            <w:tcW w:w="13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380" w:type="dxa"/>
            <w:vAlign w:val="bottom"/>
          </w:tcPr>
          <w:p>
            <w:pPr>
              <w:spacing w:after="0" w:line="195" w:lineRule="exact"/>
              <w:rPr>
                <w:sz w:val="20"/>
                <w:szCs w:val="20"/>
                <w:color w:val="auto"/>
              </w:rPr>
            </w:pPr>
            <w:r>
              <w:rPr>
                <w:rFonts w:ascii="Arial" w:cs="Arial" w:eastAsia="Arial" w:hAnsi="Arial"/>
                <w:sz w:val="18"/>
                <w:szCs w:val="18"/>
                <w:color w:val="auto"/>
              </w:rPr>
              <w:t>Jim Tananbaum</w:t>
            </w:r>
          </w:p>
        </w:tc>
        <w:tc>
          <w:tcPr>
            <w:tcW w:w="80" w:type="dxa"/>
            <w:vAlign w:val="bottom"/>
            <w:vMerge w:val="continue"/>
          </w:tcPr>
          <w:p>
            <w:pPr>
              <w:spacing w:after="0"/>
              <w:rPr>
                <w:sz w:val="16"/>
                <w:szCs w:val="16"/>
                <w:color w:val="auto"/>
              </w:rPr>
            </w:pPr>
          </w:p>
        </w:tc>
        <w:tc>
          <w:tcPr>
            <w:tcW w:w="2040" w:type="dxa"/>
            <w:vAlign w:val="bottom"/>
          </w:tcPr>
          <w:p>
            <w:pPr>
              <w:spacing w:after="0" w:line="195" w:lineRule="exact"/>
              <w:rPr>
                <w:sz w:val="20"/>
                <w:szCs w:val="20"/>
                <w:color w:val="auto"/>
              </w:rPr>
            </w:pPr>
            <w:r>
              <w:rPr>
                <w:rFonts w:ascii="Arial" w:cs="Arial" w:eastAsia="Arial" w:hAnsi="Arial"/>
                <w:sz w:val="18"/>
                <w:szCs w:val="18"/>
                <w:color w:val="auto"/>
              </w:rPr>
              <w:t>Foresite Capital</w:t>
            </w:r>
          </w:p>
        </w:tc>
        <w:tc>
          <w:tcPr>
            <w:tcW w:w="80" w:type="dxa"/>
            <w:vAlign w:val="bottom"/>
            <w:vMerge w:val="continue"/>
          </w:tcPr>
          <w:p>
            <w:pPr>
              <w:spacing w:after="0"/>
              <w:rPr>
                <w:sz w:val="16"/>
                <w:szCs w:val="16"/>
                <w:color w:val="auto"/>
              </w:rPr>
            </w:pPr>
          </w:p>
        </w:tc>
        <w:tc>
          <w:tcPr>
            <w:tcW w:w="2120" w:type="dxa"/>
            <w:vAlign w:val="bottom"/>
          </w:tcPr>
          <w:p>
            <w:pPr>
              <w:spacing w:after="0" w:line="195" w:lineRule="exact"/>
              <w:rPr>
                <w:sz w:val="20"/>
                <w:szCs w:val="20"/>
                <w:color w:val="auto"/>
              </w:rPr>
            </w:pPr>
            <w:r>
              <w:rPr>
                <w:rFonts w:ascii="Arial" w:cs="Arial" w:eastAsia="Arial" w:hAnsi="Arial"/>
                <w:sz w:val="18"/>
                <w:szCs w:val="18"/>
                <w:color w:val="auto"/>
              </w:rPr>
              <w:t>Venture capital/private</w:t>
            </w:r>
          </w:p>
        </w:tc>
        <w:tc>
          <w:tcPr>
            <w:tcW w:w="80" w:type="dxa"/>
            <w:vAlign w:val="bottom"/>
            <w:vMerge w:val="continue"/>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Foresite Capital</w:t>
            </w:r>
          </w:p>
        </w:tc>
        <w:tc>
          <w:tcPr>
            <w:tcW w:w="2120" w:type="dxa"/>
            <w:vAlign w:val="bottom"/>
          </w:tcPr>
          <w:p>
            <w:pPr>
              <w:spacing w:after="0"/>
              <w:rPr>
                <w:sz w:val="20"/>
                <w:szCs w:val="20"/>
                <w:color w:val="auto"/>
              </w:rPr>
            </w:pPr>
            <w:r>
              <w:rPr>
                <w:rFonts w:ascii="Arial" w:cs="Arial" w:eastAsia="Arial" w:hAnsi="Arial"/>
                <w:sz w:val="18"/>
                <w:szCs w:val="18"/>
                <w:color w:val="auto"/>
              </w:rPr>
              <w:t>Venture capital/private</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Management V, LLC</w:t>
            </w:r>
          </w:p>
        </w:tc>
        <w:tc>
          <w:tcPr>
            <w:tcW w:w="2120" w:type="dxa"/>
            <w:vAlign w:val="bottom"/>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DNA Nexus, Inc.</w:t>
            </w:r>
          </w:p>
        </w:tc>
        <w:tc>
          <w:tcPr>
            <w:tcW w:w="2120" w:type="dxa"/>
            <w:vAlign w:val="bottom"/>
          </w:tcPr>
          <w:p>
            <w:pPr>
              <w:spacing w:after="0"/>
              <w:rPr>
                <w:sz w:val="20"/>
                <w:szCs w:val="20"/>
                <w:color w:val="auto"/>
              </w:rPr>
            </w:pPr>
            <w:r>
              <w:rPr>
                <w:rFonts w:ascii="Arial" w:cs="Arial" w:eastAsia="Arial" w:hAnsi="Arial"/>
                <w:sz w:val="18"/>
                <w:szCs w:val="18"/>
                <w:color w:val="auto"/>
                <w:w w:val="94"/>
              </w:rPr>
              <w:t>Data science cloud platform</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Eikon Therapeutics, Inc.</w:t>
            </w:r>
          </w:p>
        </w:tc>
        <w:tc>
          <w:tcPr>
            <w:tcW w:w="2120" w:type="dxa"/>
            <w:vAlign w:val="bottom"/>
          </w:tcPr>
          <w:p>
            <w:pPr>
              <w:spacing w:after="0"/>
              <w:rPr>
                <w:sz w:val="20"/>
                <w:szCs w:val="20"/>
                <w:color w:val="auto"/>
              </w:rPr>
            </w:pPr>
            <w:r>
              <w:rPr>
                <w:rFonts w:ascii="Arial" w:cs="Arial" w:eastAsia="Arial" w:hAnsi="Arial"/>
                <w:sz w:val="18"/>
                <w:szCs w:val="18"/>
                <w:color w:val="auto"/>
              </w:rPr>
              <w:t>Biopharmaceutical</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Element Biosciences, Inc.</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Evonetix, Ltd.</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F-Metabolic, Inc.</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Fabric Genomics, Inc.</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Genomics PLC</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Healthverity, Inc.</w:t>
            </w:r>
          </w:p>
        </w:tc>
        <w:tc>
          <w:tcPr>
            <w:tcW w:w="2120" w:type="dxa"/>
            <w:vAlign w:val="bottom"/>
          </w:tcPr>
          <w:p>
            <w:pPr>
              <w:spacing w:after="0"/>
              <w:rPr>
                <w:sz w:val="20"/>
                <w:szCs w:val="20"/>
                <w:color w:val="auto"/>
              </w:rPr>
            </w:pPr>
            <w:r>
              <w:rPr>
                <w:rFonts w:ascii="Arial" w:cs="Arial" w:eastAsia="Arial" w:hAnsi="Arial"/>
                <w:sz w:val="18"/>
                <w:szCs w:val="18"/>
                <w:color w:val="auto"/>
                <w:w w:val="95"/>
              </w:rPr>
              <w:t>Healthcare data 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platform</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Homodeus, Inc.</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Kinnate Biopharma, Inc.</w:t>
            </w:r>
          </w:p>
        </w:tc>
        <w:tc>
          <w:tcPr>
            <w:tcW w:w="2120" w:type="dxa"/>
            <w:vAlign w:val="bottom"/>
          </w:tcPr>
          <w:p>
            <w:pPr>
              <w:spacing w:after="0"/>
              <w:rPr>
                <w:sz w:val="20"/>
                <w:szCs w:val="20"/>
                <w:color w:val="auto"/>
              </w:rPr>
            </w:pPr>
            <w:r>
              <w:rPr>
                <w:rFonts w:ascii="Arial" w:cs="Arial" w:eastAsia="Arial" w:hAnsi="Arial"/>
                <w:sz w:val="18"/>
                <w:szCs w:val="18"/>
                <w:color w:val="auto"/>
              </w:rPr>
              <w:t>Biopharmaceutical</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Mindstrong, Inc.</w:t>
            </w:r>
          </w:p>
        </w:tc>
        <w:tc>
          <w:tcPr>
            <w:tcW w:w="2120" w:type="dxa"/>
            <w:vAlign w:val="bottom"/>
          </w:tcPr>
          <w:p>
            <w:pPr>
              <w:spacing w:after="0"/>
              <w:rPr>
                <w:sz w:val="20"/>
                <w:szCs w:val="20"/>
                <w:color w:val="auto"/>
              </w:rPr>
            </w:pPr>
            <w:r>
              <w:rPr>
                <w:rFonts w:ascii="Arial" w:cs="Arial" w:eastAsia="Arial" w:hAnsi="Arial"/>
                <w:sz w:val="18"/>
                <w:szCs w:val="18"/>
                <w:color w:val="auto"/>
                <w:w w:val="94"/>
              </w:rPr>
              <w:t>Neuropsychiatric healthcare</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software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Sestina, LLC</w:t>
            </w:r>
          </w:p>
        </w:tc>
        <w:tc>
          <w:tcPr>
            <w:tcW w:w="2120" w:type="dxa"/>
            <w:vAlign w:val="bottom"/>
          </w:tcPr>
          <w:p>
            <w:pPr>
              <w:spacing w:after="0"/>
              <w:rPr>
                <w:sz w:val="20"/>
                <w:szCs w:val="20"/>
                <w:color w:val="auto"/>
              </w:rPr>
            </w:pPr>
            <w:r>
              <w:rPr>
                <w:rFonts w:ascii="Arial" w:cs="Arial" w:eastAsia="Arial" w:hAnsi="Arial"/>
                <w:sz w:val="18"/>
                <w:szCs w:val="18"/>
                <w:color w:val="auto"/>
              </w:rPr>
              <w:t>Biotechnology incubator</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53"/>
        </w:trPr>
        <w:tc>
          <w:tcPr>
            <w:tcW w:w="1380" w:type="dxa"/>
            <w:vAlign w:val="bottom"/>
          </w:tcPr>
          <w:p>
            <w:pPr>
              <w:spacing w:after="0"/>
              <w:rPr>
                <w:sz w:val="20"/>
                <w:szCs w:val="20"/>
                <w:color w:val="auto"/>
              </w:rPr>
            </w:pPr>
            <w:r>
              <w:rPr>
                <w:rFonts w:ascii="Arial" w:cs="Arial" w:eastAsia="Arial" w:hAnsi="Arial"/>
                <w:sz w:val="18"/>
                <w:szCs w:val="18"/>
                <w:color w:val="auto"/>
              </w:rPr>
              <w:t>Dennis Ryan</w:t>
            </w: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Foresite Capital</w:t>
            </w:r>
          </w:p>
        </w:tc>
        <w:tc>
          <w:tcPr>
            <w:tcW w:w="2120" w:type="dxa"/>
            <w:vAlign w:val="bottom"/>
          </w:tcPr>
          <w:p>
            <w:pPr>
              <w:spacing w:after="0"/>
              <w:rPr>
                <w:sz w:val="20"/>
                <w:szCs w:val="20"/>
                <w:color w:val="auto"/>
              </w:rPr>
            </w:pPr>
            <w:r>
              <w:rPr>
                <w:rFonts w:ascii="Arial" w:cs="Arial" w:eastAsia="Arial" w:hAnsi="Arial"/>
                <w:sz w:val="18"/>
                <w:szCs w:val="18"/>
                <w:color w:val="auto"/>
              </w:rPr>
              <w:t>Venture capital/private</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equity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526"/>
        </w:trPr>
        <w:tc>
          <w:tcPr>
            <w:tcW w:w="1380" w:type="dxa"/>
            <w:vAlign w:val="bottom"/>
          </w:tcPr>
          <w:p>
            <w:pPr>
              <w:spacing w:after="0"/>
              <w:rPr>
                <w:sz w:val="20"/>
                <w:szCs w:val="20"/>
                <w:color w:val="auto"/>
              </w:rPr>
            </w:pPr>
            <w:r>
              <w:rPr>
                <w:rFonts w:ascii="Arial" w:cs="Arial" w:eastAsia="Arial" w:hAnsi="Arial"/>
                <w:sz w:val="18"/>
                <w:szCs w:val="18"/>
                <w:color w:val="auto"/>
              </w:rPr>
              <w:t>Michael Rome</w:t>
            </w: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Foresite Capital</w:t>
            </w:r>
          </w:p>
        </w:tc>
        <w:tc>
          <w:tcPr>
            <w:tcW w:w="2120" w:type="dxa"/>
            <w:vAlign w:val="bottom"/>
          </w:tcPr>
          <w:p>
            <w:pPr>
              <w:spacing w:after="0"/>
              <w:rPr>
                <w:sz w:val="20"/>
                <w:szCs w:val="20"/>
                <w:color w:val="auto"/>
              </w:rPr>
            </w:pPr>
            <w:r>
              <w:rPr>
                <w:rFonts w:ascii="Arial" w:cs="Arial" w:eastAsia="Arial" w:hAnsi="Arial"/>
                <w:sz w:val="18"/>
                <w:szCs w:val="18"/>
                <w:color w:val="auto"/>
              </w:rPr>
              <w:t>Venture capital/private</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Kinnate Biopharma, Inc.</w:t>
            </w:r>
          </w:p>
        </w:tc>
        <w:tc>
          <w:tcPr>
            <w:tcW w:w="2120" w:type="dxa"/>
            <w:vAlign w:val="bottom"/>
          </w:tcPr>
          <w:p>
            <w:pPr>
              <w:spacing w:after="0"/>
              <w:rPr>
                <w:sz w:val="20"/>
                <w:szCs w:val="20"/>
                <w:color w:val="auto"/>
              </w:rPr>
            </w:pPr>
            <w:r>
              <w:rPr>
                <w:rFonts w:ascii="Arial" w:cs="Arial" w:eastAsia="Arial" w:hAnsi="Arial"/>
                <w:sz w:val="18"/>
                <w:szCs w:val="18"/>
                <w:color w:val="auto"/>
              </w:rPr>
              <w:t>Biopharmaceutical</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Pharvaris BV</w:t>
            </w:r>
          </w:p>
        </w:tc>
        <w:tc>
          <w:tcPr>
            <w:tcW w:w="2120" w:type="dxa"/>
            <w:vAlign w:val="bottom"/>
          </w:tcPr>
          <w:p>
            <w:pPr>
              <w:spacing w:after="0"/>
              <w:rPr>
                <w:sz w:val="20"/>
                <w:szCs w:val="20"/>
                <w:color w:val="auto"/>
              </w:rPr>
            </w:pPr>
            <w:r>
              <w:rPr>
                <w:rFonts w:ascii="Arial" w:cs="Arial" w:eastAsia="Arial" w:hAnsi="Arial"/>
                <w:sz w:val="18"/>
                <w:szCs w:val="18"/>
                <w:color w:val="auto"/>
              </w:rPr>
              <w:t>Biopharmaceutical</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53"/>
        </w:trPr>
        <w:tc>
          <w:tcPr>
            <w:tcW w:w="1380" w:type="dxa"/>
            <w:vAlign w:val="bottom"/>
          </w:tcPr>
          <w:p>
            <w:pPr>
              <w:spacing w:after="0"/>
              <w:rPr>
                <w:sz w:val="20"/>
                <w:szCs w:val="20"/>
                <w:color w:val="auto"/>
              </w:rPr>
            </w:pPr>
            <w:r>
              <w:rPr>
                <w:rFonts w:ascii="Arial" w:cs="Arial" w:eastAsia="Arial" w:hAnsi="Arial"/>
                <w:sz w:val="18"/>
                <w:szCs w:val="18"/>
                <w:color w:val="auto"/>
              </w:rPr>
              <w:t>Vikram Bajaj</w:t>
            </w: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Foresite Capital</w:t>
            </w:r>
          </w:p>
        </w:tc>
        <w:tc>
          <w:tcPr>
            <w:tcW w:w="2120" w:type="dxa"/>
            <w:vAlign w:val="bottom"/>
          </w:tcPr>
          <w:p>
            <w:pPr>
              <w:spacing w:after="0"/>
              <w:rPr>
                <w:sz w:val="20"/>
                <w:szCs w:val="20"/>
                <w:color w:val="auto"/>
              </w:rPr>
            </w:pPr>
            <w:r>
              <w:rPr>
                <w:rFonts w:ascii="Arial" w:cs="Arial" w:eastAsia="Arial" w:hAnsi="Arial"/>
                <w:sz w:val="18"/>
                <w:szCs w:val="18"/>
                <w:color w:val="auto"/>
              </w:rPr>
              <w:t>Venture capital/private</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Foresite Labs</w:t>
            </w:r>
          </w:p>
        </w:tc>
        <w:tc>
          <w:tcPr>
            <w:tcW w:w="2120" w:type="dxa"/>
            <w:vAlign w:val="bottom"/>
          </w:tcPr>
          <w:p>
            <w:pPr>
              <w:spacing w:after="0"/>
              <w:rPr>
                <w:sz w:val="20"/>
                <w:szCs w:val="20"/>
                <w:color w:val="auto"/>
              </w:rPr>
            </w:pPr>
            <w:r>
              <w:rPr>
                <w:rFonts w:ascii="Arial" w:cs="Arial" w:eastAsia="Arial" w:hAnsi="Arial"/>
                <w:sz w:val="18"/>
                <w:szCs w:val="18"/>
                <w:color w:val="auto"/>
                <w:w w:val="92"/>
              </w:rPr>
              <w:t>Healthcare and data science</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incubator</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w w:val="98"/>
              </w:rPr>
              <w:t>Stanford University School</w:t>
            </w:r>
          </w:p>
        </w:tc>
        <w:tc>
          <w:tcPr>
            <w:tcW w:w="2120" w:type="dxa"/>
            <w:vAlign w:val="bottom"/>
          </w:tcPr>
          <w:p>
            <w:pPr>
              <w:spacing w:after="0"/>
              <w:rPr>
                <w:sz w:val="20"/>
                <w:szCs w:val="20"/>
                <w:color w:val="auto"/>
              </w:rPr>
            </w:pPr>
            <w:r>
              <w:rPr>
                <w:rFonts w:ascii="Arial" w:cs="Arial" w:eastAsia="Arial" w:hAnsi="Arial"/>
                <w:sz w:val="18"/>
                <w:szCs w:val="18"/>
                <w:color w:val="auto"/>
              </w:rPr>
              <w:t>Medical school</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Associate Professor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of Medicine</w:t>
            </w: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(Consulting)</w:t>
            </w: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Lawrence Berkeley</w:t>
            </w:r>
          </w:p>
        </w:tc>
        <w:tc>
          <w:tcPr>
            <w:tcW w:w="2120" w:type="dxa"/>
            <w:vAlign w:val="bottom"/>
          </w:tcPr>
          <w:p>
            <w:pPr>
              <w:spacing w:after="0"/>
              <w:rPr>
                <w:sz w:val="20"/>
                <w:szCs w:val="20"/>
                <w:color w:val="auto"/>
              </w:rPr>
            </w:pPr>
            <w:r>
              <w:rPr>
                <w:rFonts w:ascii="Arial" w:cs="Arial" w:eastAsia="Arial" w:hAnsi="Arial"/>
                <w:sz w:val="18"/>
                <w:szCs w:val="18"/>
                <w:color w:val="auto"/>
              </w:rPr>
              <w:t>Scientific research</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Affiliate Scientist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National Laboratory</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80" w:type="dxa"/>
            <w:vAlign w:val="bottom"/>
          </w:tcPr>
          <w:p>
            <w:pPr>
              <w:spacing w:after="0"/>
              <w:rPr>
                <w:sz w:val="20"/>
                <w:szCs w:val="20"/>
                <w:color w:val="auto"/>
              </w:rPr>
            </w:pPr>
            <w:r>
              <w:rPr>
                <w:rFonts w:ascii="Arial" w:cs="Arial" w:eastAsia="Arial" w:hAnsi="Arial"/>
                <w:sz w:val="18"/>
                <w:szCs w:val="18"/>
                <w:color w:val="auto"/>
              </w:rPr>
              <w:t>Robert Carey</w:t>
            </w:r>
          </w:p>
        </w:tc>
        <w:tc>
          <w:tcPr>
            <w:tcW w:w="4320" w:type="dxa"/>
            <w:vAlign w:val="bottom"/>
            <w:gridSpan w:val="4"/>
          </w:tcPr>
          <w:p>
            <w:pPr>
              <w:ind w:left="80"/>
              <w:spacing w:after="0"/>
              <w:rPr>
                <w:sz w:val="20"/>
                <w:szCs w:val="20"/>
                <w:color w:val="auto"/>
              </w:rPr>
            </w:pPr>
            <w:r>
              <w:rPr>
                <w:rFonts w:ascii="Arial" w:cs="Arial" w:eastAsia="Arial" w:hAnsi="Arial"/>
                <w:sz w:val="18"/>
                <w:szCs w:val="18"/>
                <w:color w:val="auto"/>
              </w:rPr>
              <w:t>Sangamo Therapeutics, Inc. 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Beyond Air, Inc.</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53"/>
        </w:trPr>
        <w:tc>
          <w:tcPr>
            <w:tcW w:w="1380" w:type="dxa"/>
            <w:vAlign w:val="bottom"/>
          </w:tcPr>
          <w:p>
            <w:pPr>
              <w:spacing w:after="0"/>
              <w:rPr>
                <w:sz w:val="20"/>
                <w:szCs w:val="20"/>
                <w:color w:val="auto"/>
              </w:rPr>
            </w:pPr>
            <w:r>
              <w:rPr>
                <w:rFonts w:ascii="Arial" w:cs="Arial" w:eastAsia="Arial" w:hAnsi="Arial"/>
                <w:sz w:val="18"/>
                <w:szCs w:val="18"/>
                <w:color w:val="auto"/>
              </w:rPr>
              <w:t>Daniel Dubin</w:t>
            </w: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SVB Leerink</w:t>
            </w:r>
          </w:p>
        </w:tc>
        <w:tc>
          <w:tcPr>
            <w:tcW w:w="2120" w:type="dxa"/>
            <w:vAlign w:val="bottom"/>
          </w:tcPr>
          <w:p>
            <w:pPr>
              <w:spacing w:after="0"/>
              <w:rPr>
                <w:sz w:val="20"/>
                <w:szCs w:val="20"/>
                <w:color w:val="auto"/>
              </w:rPr>
            </w:pPr>
            <w:r>
              <w:rPr>
                <w:rFonts w:ascii="Arial" w:cs="Arial" w:eastAsia="Arial" w:hAnsi="Arial"/>
                <w:sz w:val="18"/>
                <w:szCs w:val="18"/>
                <w:color w:val="auto"/>
              </w:rPr>
              <w:t>Investment bank</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Vice Chairman and Head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Arial" w:cs="Arial" w:eastAsia="Arial" w:hAnsi="Arial"/>
                <w:sz w:val="18"/>
                <w:szCs w:val="18"/>
                <w:color w:val="auto"/>
                <w:w w:val="91"/>
              </w:rPr>
              <w:t>Biopharma Investment Banking</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Olivo Laboratories LLC</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Arial" w:cs="Arial" w:eastAsia="Arial" w:hAnsi="Arial"/>
                <w:sz w:val="18"/>
                <w:szCs w:val="18"/>
                <w:color w:val="auto"/>
                <w:w w:val="85"/>
              </w:rPr>
              <w:t>Deepa Pakianathan</w:t>
            </w: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Delphi Ventures</w:t>
            </w:r>
          </w:p>
        </w:tc>
        <w:tc>
          <w:tcPr>
            <w:tcW w:w="2120" w:type="dxa"/>
            <w:vAlign w:val="bottom"/>
          </w:tcPr>
          <w:p>
            <w:pPr>
              <w:spacing w:after="0"/>
              <w:rPr>
                <w:sz w:val="20"/>
                <w:szCs w:val="20"/>
                <w:color w:val="auto"/>
              </w:rPr>
            </w:pPr>
            <w:r>
              <w:rPr>
                <w:rFonts w:ascii="Arial" w:cs="Arial" w:eastAsia="Arial" w:hAnsi="Arial"/>
                <w:sz w:val="18"/>
                <w:szCs w:val="18"/>
                <w:color w:val="auto"/>
              </w:rPr>
              <w:t>Venture capital</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w w:val="95"/>
              </w:rPr>
              <w:t>Redd Pharmaceuticals, Inc.</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w w:val="98"/>
              </w:rPr>
              <w:t>Calithera Biosciences, Inc.</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w w:val="98"/>
              </w:rPr>
              <w:t>Karyopharm Therapeutics,</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Mereo Biopharma Group</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plc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Theravance Biopharma,</w:t>
            </w:r>
          </w:p>
        </w:tc>
        <w:tc>
          <w:tcPr>
            <w:tcW w:w="2120" w:type="dxa"/>
            <w:vAlign w:val="bottom"/>
          </w:tcPr>
          <w:p>
            <w:pPr>
              <w:spacing w:after="0"/>
              <w:rPr>
                <w:sz w:val="20"/>
                <w:szCs w:val="20"/>
                <w:color w:val="auto"/>
              </w:rPr>
            </w:pPr>
            <w:r>
              <w:rPr>
                <w:rFonts w:ascii="Arial" w:cs="Arial" w:eastAsia="Arial" w:hAnsi="Arial"/>
                <w:sz w:val="18"/>
                <w:szCs w:val="18"/>
                <w:color w:val="auto"/>
              </w:rPr>
              <w:t>Biotechnology</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736"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736" w:gutter="0" w:footer="0" w:header="0"/>
          <w:type w:val="continuous"/>
        </w:sectPr>
      </w:pPr>
    </w:p>
    <w:bookmarkStart w:id="150" w:name="page151"/>
    <w:bookmarkEnd w:id="15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58" w:lineRule="exact"/>
        <w:rPr>
          <w:sz w:val="20"/>
          <w:szCs w:val="20"/>
          <w:color w:val="auto"/>
        </w:rPr>
      </w:pPr>
    </w:p>
    <w:p>
      <w:pPr>
        <w:jc w:val="both"/>
        <w:ind w:left="1320" w:right="459" w:hanging="434"/>
        <w:spacing w:after="0" w:line="272" w:lineRule="auto"/>
        <w:tabs>
          <w:tab w:leader="none" w:pos="136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09" w:lineRule="exact"/>
        <w:rPr>
          <w:rFonts w:ascii="Arial" w:cs="Arial" w:eastAsia="Arial" w:hAnsi="Arial"/>
          <w:sz w:val="17"/>
          <w:szCs w:val="17"/>
          <w:color w:val="auto"/>
        </w:rPr>
      </w:pPr>
    </w:p>
    <w:p>
      <w:pPr>
        <w:jc w:val="both"/>
        <w:ind w:left="1320" w:right="459" w:hanging="434"/>
        <w:spacing w:after="0" w:line="283" w:lineRule="auto"/>
        <w:tabs>
          <w:tab w:leader="none" w:pos="147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Our initial stockholders purchased Founders Shares prior to the date of the IPO and purchased private placement shares in a transaction that closed simultaneously with the IPO. Our initial stockholders have entered into agreements with us, pursuant to which they have agreed to waive their redemption rights with respect to their Founders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connection with the Business Combination. Additionally, our initial stockholders have agreed to waive their rights to liquidating distributions from the trust account with respect to their Founders Shares and private placement shares if we fail to complete our initial business combination within the prescribed time frame or during any extension period. Furthermore, our initial stockholders have agreed not to transfer, assign or sell any of their Founders Shares or private placement shares until the earlier to occur of: (i) one year after the completion of our initial business combination and</w:t>
      </w:r>
    </w:p>
    <w:p>
      <w:pPr>
        <w:spacing w:after="0" w:line="1" w:lineRule="exact"/>
        <w:rPr>
          <w:rFonts w:ascii="Arial" w:cs="Arial" w:eastAsia="Arial" w:hAnsi="Arial"/>
          <w:sz w:val="16"/>
          <w:szCs w:val="16"/>
          <w:color w:val="auto"/>
        </w:rPr>
      </w:pPr>
    </w:p>
    <w:p>
      <w:pPr>
        <w:jc w:val="both"/>
        <w:ind w:left="1320" w:right="459" w:hanging="2"/>
        <w:spacing w:after="0" w:line="286" w:lineRule="auto"/>
        <w:tabs>
          <w:tab w:leader="none" w:pos="159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Founders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88" w:lineRule="exact"/>
        <w:rPr>
          <w:rFonts w:ascii="Arial" w:cs="Arial" w:eastAsia="Arial" w:hAnsi="Arial"/>
          <w:sz w:val="16"/>
          <w:szCs w:val="16"/>
          <w:color w:val="auto"/>
        </w:rPr>
      </w:pPr>
    </w:p>
    <w:p>
      <w:pPr>
        <w:jc w:val="both"/>
        <w:ind w:left="1320" w:right="459" w:hanging="434"/>
        <w:spacing w:after="0" w:line="259" w:lineRule="auto"/>
        <w:tabs>
          <w:tab w:leader="none" w:pos="14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the Sponsor, officers or directors or completing the business combination through a joint venture or other form of shared ownership with the Sponsor, officers or directors. In the event we seek to complete our initial business combination with an business combination target that is affiliated with the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the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the Sponsor $10,000 per month for office space, secretarial and administrative services provided to members of our management team.</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initial stockholders have agreed to vote their Founders Shares in favor of the Business Combination.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Current Charter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have entered into agreements with our officers and directors to provide contractual indemnification in addition to the indemnification provided for in our amended and restated certificate of incorporation. The Current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the FS Development IPO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00"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80"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DATA OF FS DEVELOPMENT</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elsewhere in this proxy statement/prospectus. We have not had any significant operations to date, so only balance sheet data is presented. Our selected balance sheet data as of June 30, 2020 are derived from our unaudited interim condensed financial statements included elsewhere in this proxy statement/prospectus. FS Development’s unaudited interim condensed financial statements were prepared on a basis consistent with its audited financial statements and include, in management’s opinion, all adjustments, consisting only of normal recurring adjustments, that FS Development considers necessary for a fair presentation of the financial information set forth in those statements included elsewhere in this proxy statement/prospectus. FS Development’s historical results are not necessarily indicative of the results that may be expected in any future period, and interim financial results are not necessarily indicative of the results that may be expected for the full year.</w:t>
      </w:r>
    </w:p>
    <w:p>
      <w:pPr>
        <w:spacing w:after="0" w:line="11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You should read this data together with our financial statements and related notes included elsewhere in this proxy statement/prospectus and the section 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of FS Development</w:t>
      </w:r>
      <w:r>
        <w:rPr>
          <w:rFonts w:ascii="Arial" w:cs="Arial" w:eastAsia="Arial" w:hAnsi="Arial"/>
          <w:sz w:val="18"/>
          <w:szCs w:val="18"/>
          <w:color w:val="auto"/>
        </w:rPr>
        <w: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August 14,</w:t>
            </w: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(audited)</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(audited)</w:t>
            </w:r>
          </w:p>
        </w:tc>
      </w:tr>
      <w:tr>
        <w:trPr>
          <w:trHeight w:val="47"/>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(29,500)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1,530,021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78,000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122,701,038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54,500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4,647,267</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Class A Common Stock subject to possible redemption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113,053,770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5,000,001</w:t>
            </w:r>
          </w:p>
        </w:tc>
      </w:tr>
      <w:tr>
        <w:trPr>
          <w:trHeight w:val="445"/>
        </w:trPr>
        <w:tc>
          <w:tcPr>
            <w:tcW w:w="5600" w:type="dxa"/>
            <w:vAlign w:val="bottom"/>
            <w:tcBorders>
              <w:bottom w:val="single" w:sz="8" w:color="auto"/>
            </w:tcBorders>
          </w:tcPr>
          <w:p>
            <w:pPr>
              <w:ind w:left="3900"/>
              <w:spacing w:after="0"/>
              <w:rPr>
                <w:sz w:val="20"/>
                <w:szCs w:val="20"/>
                <w:color w:val="auto"/>
              </w:rPr>
            </w:pPr>
            <w:r>
              <w:rPr>
                <w:rFonts w:ascii="Arial" w:cs="Arial" w:eastAsia="Arial" w:hAnsi="Arial"/>
                <w:sz w:val="18"/>
                <w:szCs w:val="18"/>
                <w:color w:val="auto"/>
              </w:rPr>
              <w:t>141</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2" w:lineRule="auto"/>
        <w:rPr>
          <w:sz w:val="20"/>
          <w:szCs w:val="20"/>
          <w:color w:val="auto"/>
        </w:rPr>
      </w:pPr>
      <w:r>
        <w:rPr>
          <w:rFonts w:ascii="Arial" w:cs="Arial" w:eastAsia="Arial" w:hAnsi="Arial"/>
          <w:sz w:val="18"/>
          <w:szCs w:val="18"/>
          <w:b w:val="1"/>
          <w:bCs w:val="1"/>
          <w:color w:val="auto"/>
        </w:rPr>
        <w:t>MANAGEMENT’S DISCUSSION AND ANALYSIS OF RESULTS OF FINANCIAL CONDITION AND RESULTS OF OPERATIONS OF FS DEVELOPMENT</w:t>
      </w:r>
    </w:p>
    <w:p>
      <w:pPr>
        <w:spacing w:after="0" w:line="85"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i w:val="1"/>
          <w:iCs w:val="1"/>
          <w:color w:val="auto"/>
        </w:rPr>
        <w:t>The following discussion of FS Development’s financial condition and results of operations should be read in conjunction with FS Development’s financial statements and notes to those statements included in this proxy statement/prospectus. This discussion contains forward-looking statements that involve risks and uncertainties. Please see “Cautionary Note Regarding Forward-Looking Statements” and “Risk Factors” in this proxy statement/prospectus. Unless otherwise indicated or the context otherwise requires, references in this section to “we,” “our,” “us” and other similar terms refer to FS Development before the Business Combination.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w:t>
      </w:r>
    </w:p>
    <w:p>
      <w:pPr>
        <w:spacing w:after="0" w:line="11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August 14, 2020, we consummated the FS Development IPO of 12,075,000 shares of FS Development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FS Development of $120,750,000.</w:t>
      </w:r>
    </w:p>
    <w:p>
      <w:pPr>
        <w:spacing w:after="0" w:line="10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Substantially concurrently with the closing of the FS Development IPO, we completed the private sale of the Private Placement Shares at a purchase price of $10.00 per Private Placement Share, to the Sponsor,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27"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addition, the Sponsor has agreed to waive its redemption rights with respect to the Private Placement Shares in connection with (i) the consummation of the FS Development’s initial business combination, or (ii) a stockholder vote to approve an amendment to Current Charter to modify the substance or timing of the FS Development’s obligation to redeem 100% of the shares of FS Development Class A Common Stock issued in the FS Development IPO if the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indicated in the accompanying financial statements, at June 30, 2020, we had $25,000 in cash, deferred offering costs of $53,000, and a working capital deficit of ($29,500).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Proposed Business Combination</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 xml:space="preserve">On October 15, 2020, we entered into a Merger Agreement by and among FS Development, Merger Sub and Gemini. A copy of the Merger Agreement is attached to this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color w:val="auto"/>
        </w:rPr>
        <w:t>. The Merger Agreement also calls for additional agreements including, among others, Subscription Agreements, Non-Redemption Letter Agreements, Gemini Support Agreements and FS Development Support Agreements. See the section titled “</w:t>
      </w:r>
      <w:r>
        <w:rPr>
          <w:rFonts w:ascii="Arial" w:cs="Arial" w:eastAsia="Arial" w:hAnsi="Arial"/>
          <w:sz w:val="17"/>
          <w:szCs w:val="17"/>
          <w:i w:val="1"/>
          <w:iCs w:val="1"/>
          <w:color w:val="auto"/>
        </w:rPr>
        <w:t>The Business Combination Proposal — Ancillary Agreements.”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Merger Agreement</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On October 15, 2020, FS Development entered into the Merger Agreement by and among the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Upon the Closing, it is anticipated that FS Development will change its name to “Gemini Therapeutics, Inc.”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Under the Merger Agreement, FS Development has agreed to acquire all of the outstanding equity interests of Gemini in exchange for up to 21,500,000 shares of FS Development Class A Common Stock, subject to adjustments as described in more detail in the accompanying proxy statement/prospectus under the heading titled “</w:t>
      </w:r>
      <w:r>
        <w:rPr>
          <w:rFonts w:ascii="Arial" w:cs="Arial" w:eastAsia="Arial" w:hAnsi="Arial"/>
          <w:sz w:val="18"/>
          <w:szCs w:val="18"/>
          <w:i w:val="1"/>
          <w:iCs w:val="1"/>
          <w:color w:val="auto"/>
        </w:rPr>
        <w:t>The Business Combination Proposal — Acquisition of Gemini; Merger Consideration</w:t>
      </w:r>
      <w:r>
        <w:rPr>
          <w:rFonts w:ascii="Arial" w:cs="Arial" w:eastAsia="Arial" w:hAnsi="Arial"/>
          <w:sz w:val="18"/>
          <w:szCs w:val="18"/>
          <w:color w:val="auto"/>
        </w:rPr>
        <w:t>” to be paid at the effective time of the Merger.</w:t>
      </w:r>
    </w:p>
    <w:p>
      <w:pPr>
        <w:spacing w:after="0" w:line="12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Pursuant to the Merger Agreement, at or prior to the effective time of the Merger, each option exercisable for Gemini equity that is outstanding immediately prior to the effective time of the Merger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shares of FS Development Class A Common Stock to be placed into escrow for indemnification purposes, as further described in the Merger Agreement.</w:t>
      </w:r>
    </w:p>
    <w:p>
      <w:pPr>
        <w:spacing w:after="0" w:line="11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For additional information and a summary of the terms of the Merger Agreement and the other agreements executed, or to be executed, in connection with the Business Combination, see the section titled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 — The Merger Agreement</w:t>
      </w:r>
      <w:r>
        <w:rPr>
          <w:rFonts w:ascii="Arial" w:cs="Arial" w:eastAsia="Arial" w:hAnsi="Arial"/>
          <w:sz w:val="18"/>
          <w:szCs w:val="18"/>
          <w:color w:val="auto"/>
        </w:rPr>
        <w: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activities relating to our initial public offering, activities relating to identifying and evaluating prospective acquisition candidates and activities relating to general corporate matters.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other than the proceeds received from the FS Development IPO which have been reflected in FS Development’s audited balance as of August 14, 2020. See “</w:t>
      </w:r>
      <w:r>
        <w:rPr>
          <w:rFonts w:ascii="Arial" w:cs="Arial" w:eastAsia="Arial" w:hAnsi="Arial"/>
          <w:sz w:val="17"/>
          <w:szCs w:val="17"/>
          <w:i w:val="1"/>
          <w:iCs w:val="1"/>
          <w:color w:val="auto"/>
        </w:rPr>
        <w:t>Selected Financial and Other Data of FS Development</w:t>
      </w:r>
      <w:r>
        <w:rPr>
          <w:rFonts w:ascii="Arial" w:cs="Arial" w:eastAsia="Arial" w:hAnsi="Arial"/>
          <w:sz w:val="17"/>
          <w:szCs w:val="17"/>
          <w:color w:val="auto"/>
        </w:rPr>
        <w:t>.”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liquidity needs have been satisfied prior to the completion of our initial public offering through a capital contribution from the Sponsor of $25,000 in exchange for the issuance of the Founders Shares to the Sponsor and up to $200,000 in loans available from the Sponsor.</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total of $120,750,000, comprised of the proceeds from the FS Development IPO and the sale of the Private Placement Shares, were placed in a U.S.-based trust account at JP Morgan Chase Bank, N.A., maintained by Continental Stock Transfer &amp; Trust Company, acting as trustee.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1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(excluding deferred underwriting commissions) to complete our initial business combination. We may withdraw interest to pay our taxes. We estimate our annual franchise tax obligations, based on the number of shares of our common stock authorized and outstanding after the completion of our initial public offering, to be $200,000,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5" w:name="page156"/>
    <w:bookmarkEnd w:id="15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25"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the Sponsor or an affiliate of the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 at the option of the lender.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w:t>
      </w:r>
    </w:p>
    <w:p>
      <w:pPr>
        <w:spacing w:after="0" w:line="10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expect our primary liquidity requirements during that period to include approximately $500,000 for legal, accounting, due diligence, travel and other expenses associated with structuring, negotiating and documenting successful business combinations; $85,000 for legal and accounting fees related to regulatory reporting requirements; $75,000 for Nasdaq and other regulatory fees; $75,000 for consulting, travel and miscellaneous expenses incurred during the search for a business combination target; and approximately $25,000 for general working capital that will be used for miscellaneous expenses and reserves. We will also pay the Sponsor $10,000 per month for office space, secretarial and administrative services provided to members of our management team subsequent to the closing of this offering.</w:t>
      </w:r>
    </w:p>
    <w:p>
      <w:pPr>
        <w:spacing w:after="0" w:line="9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14"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shares, and, as a result, if the cash portion of the purchase price exceeds the amount available from the trust account, net of amounts needed to satisfy any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6" w:name="page157"/>
    <w:bookmarkEnd w:id="15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We will be required to comply with the internal control requirements of the Sarbanes-Oxley Act for the fiscal year ending December 31, 2021. Only in the event that we are deemed to be a large accelerated filer or an accelerated filer and no longer an EGC would we be required to comply with the independent registered public accounting firm attestation requirement. Further, for as long as we remain an EGC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1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Prior to the closing of our initial public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11" w:lineRule="exact"/>
        <w:rPr>
          <w:sz w:val="20"/>
          <w:szCs w:val="20"/>
          <w:color w:val="auto"/>
        </w:rPr>
      </w:pPr>
    </w:p>
    <w:p>
      <w:pPr>
        <w:ind w:left="1300" w:hanging="414"/>
        <w:spacing w:after="0"/>
        <w:tabs>
          <w:tab w:leader="none" w:pos="13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The independent registered public accounting firm may identify additional issues concerning a target business’s internal controls while performing their audit of internal control over financial reporting.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net proceeds of our initial public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60"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As of June 30,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GEMINI</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i w:val="1"/>
          <w:iCs w:val="1"/>
          <w:color w:val="auto"/>
        </w:rPr>
        <w:t>In this section, unless otherwise stated or the context requires otherwise, the terms “Gemini,” “we,” “us,” and “our” refer to Gemini Therapeutics, Inc. and its subsidiaries prior to the Closing, which will be the business of the Combined Entity and its subsidiaries following the Closing.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98"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w:t>
      </w:r>
    </w:p>
    <w:p>
      <w:pPr>
        <w:spacing w:after="0" w:line="11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1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1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ectPr>
          <w:pgSz w:w="11900" w:h="16838" w:orient="portrait"/>
          <w:cols w:equalWidth="0" w:num="1">
            <w:col w:w="9019"/>
          </w:cols>
          <w:pgMar w:left="1440" w:top="274"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9" w:name="page160"/>
    <w:bookmarkEnd w:id="15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14"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Since our inception, Gemini Therapeutics has raised a total of $78 million in funding, led by leading biotechnology investors including Atlas Venture, Lightstone Ventures, OrbiMed Advisors and Wu Capital.</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Pipeline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summary of our product candidate pipeline as of October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34610" cy="2040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3461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GEM103</w:t>
      </w:r>
    </w:p>
    <w:p>
      <w:pPr>
        <w:spacing w:after="0" w:line="15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0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06"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We also plan to advance GEM103 through studies in a selected population of patients suffering from wet AMD who have been treated with an anti-VEGF therapy approved by the U.S. Food and Drug Administration (FDA), to evaluate the impact on VEGF-inhibition-related macular atrophy. We plan to update our IND to include a Phase 1/2a clinical trial in this population for alignment with the FDA by the end of 2020 and expect to have topline safety and tolerability data from this trial in the second half of 2021.</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elements of our strategy include:</w:t>
      </w:r>
    </w:p>
    <w:p>
      <w:pPr>
        <w:spacing w:after="0" w:line="154" w:lineRule="exact"/>
        <w:rPr>
          <w:sz w:val="20"/>
          <w:szCs w:val="20"/>
          <w:color w:val="auto"/>
        </w:rPr>
      </w:pPr>
    </w:p>
    <w:p>
      <w:pPr>
        <w:jc w:val="both"/>
        <w:ind w:left="1320" w:right="459" w:hanging="434"/>
        <w:spacing w:after="0" w:line="289" w:lineRule="auto"/>
        <w:tabs>
          <w:tab w:leader="none" w:pos="1324" w:val="left"/>
        </w:tabs>
        <w:numPr>
          <w:ilvl w:val="0"/>
          <w:numId w:val="183"/>
        </w:numPr>
        <w:rPr>
          <w:rFonts w:ascii="Arial" w:cs="Arial" w:eastAsia="Arial" w:hAnsi="Arial"/>
          <w:sz w:val="16"/>
          <w:szCs w:val="16"/>
          <w:color w:val="auto"/>
        </w:rPr>
      </w:pPr>
      <w:r>
        <w:rPr>
          <w:rFonts w:ascii="Arial" w:cs="Arial" w:eastAsia="Arial" w:hAnsi="Arial"/>
          <w:sz w:val="16"/>
          <w:szCs w:val="16"/>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Arial" w:cs="Arial" w:eastAsia="Arial" w:hAnsi="Arial"/>
          <w:sz w:val="16"/>
          <w:szCs w:val="16"/>
          <w:color w:val="auto"/>
        </w:rPr>
        <w:t>We believe</w:t>
      </w:r>
      <w:r>
        <w:rPr>
          <w:rFonts w:ascii="Arial" w:cs="Arial" w:eastAsia="Arial" w:hAnsi="Arial"/>
          <w:sz w:val="16"/>
          <w:szCs w:val="16"/>
          <w:b w:val="1"/>
          <w:bCs w:val="1"/>
          <w:color w:val="auto"/>
        </w:rPr>
        <w:t xml:space="preserve"> </w:t>
      </w:r>
      <w:r>
        <w:rPr>
          <w:rFonts w:ascii="Arial" w:cs="Arial" w:eastAsia="Arial" w:hAnsi="Arial"/>
          <w:sz w:val="16"/>
          <w:szCs w:val="16"/>
          <w:color w:val="auto"/>
        </w:rPr>
        <w:t>our differentiated approach focused on complement regulation through the administration of GEM103 will provide 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98" w:lineRule="exact"/>
        <w:rPr>
          <w:rFonts w:ascii="Arial" w:cs="Arial" w:eastAsia="Arial" w:hAnsi="Arial"/>
          <w:sz w:val="16"/>
          <w:szCs w:val="16"/>
          <w:color w:val="auto"/>
        </w:rPr>
      </w:pPr>
    </w:p>
    <w:p>
      <w:pPr>
        <w:jc w:val="both"/>
        <w:ind w:left="1320" w:right="459" w:hanging="434"/>
        <w:spacing w:after="0" w:line="273" w:lineRule="auto"/>
        <w:tabs>
          <w:tab w:leader="none" w:pos="1378" w:val="left"/>
        </w:tabs>
        <w:numPr>
          <w:ilvl w:val="0"/>
          <w:numId w:val="183"/>
        </w:numPr>
        <w:rPr>
          <w:rFonts w:ascii="Arial" w:cs="Arial" w:eastAsia="Arial" w:hAnsi="Arial"/>
          <w:sz w:val="17"/>
          <w:szCs w:val="17"/>
          <w:color w:val="auto"/>
        </w:rPr>
      </w:pPr>
      <w:r>
        <w:rPr>
          <w:rFonts w:ascii="Arial" w:cs="Arial" w:eastAsia="Arial" w:hAnsi="Arial"/>
          <w:sz w:val="17"/>
          <w:szCs w:val="17"/>
          <w:b w:val="1"/>
          <w:bCs w:val="1"/>
          <w:color w:val="auto"/>
        </w:rPr>
        <w:t xml:space="preserve">Redefine AMD as a disease of genetic subtypes that can be addressed by specific therapeutic strategies tailored to the genetic defect. </w:t>
      </w:r>
      <w:r>
        <w:rPr>
          <w:rFonts w:ascii="Arial" w:cs="Arial" w:eastAsia="Arial" w:hAnsi="Arial"/>
          <w:sz w:val="17"/>
          <w:szCs w:val="17"/>
          <w:color w:val="auto"/>
        </w:rPr>
        <w:t>Our philosophy is that the best way to identify drug</w:t>
      </w:r>
      <w:r>
        <w:rPr>
          <w:rFonts w:ascii="Arial" w:cs="Arial" w:eastAsia="Arial" w:hAnsi="Arial"/>
          <w:sz w:val="17"/>
          <w:szCs w:val="17"/>
          <w:b w:val="1"/>
          <w:bCs w:val="1"/>
          <w:color w:val="auto"/>
        </w:rPr>
        <w:t xml:space="preserve"> </w:t>
      </w:r>
      <w:r>
        <w:rPr>
          <w:rFonts w:ascii="Arial" w:cs="Arial" w:eastAsia="Arial" w:hAnsi="Arial"/>
          <w:sz w:val="17"/>
          <w:szCs w:val="17"/>
          <w:color w:val="auto"/>
        </w:rPr>
        <w:t>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90" w:lineRule="exact"/>
        <w:rPr>
          <w:rFonts w:ascii="Arial" w:cs="Arial" w:eastAsia="Arial" w:hAnsi="Arial"/>
          <w:sz w:val="17"/>
          <w:szCs w:val="17"/>
          <w:color w:val="auto"/>
        </w:rPr>
      </w:pPr>
    </w:p>
    <w:p>
      <w:pPr>
        <w:jc w:val="both"/>
        <w:ind w:left="1320" w:right="459" w:hanging="434"/>
        <w:spacing w:after="0" w:line="287" w:lineRule="auto"/>
        <w:tabs>
          <w:tab w:leader="none" w:pos="1365" w:val="left"/>
        </w:tabs>
        <w:numPr>
          <w:ilvl w:val="0"/>
          <w:numId w:val="183"/>
        </w:numPr>
        <w:rPr>
          <w:rFonts w:ascii="Arial" w:cs="Arial" w:eastAsia="Arial" w:hAnsi="Arial"/>
          <w:sz w:val="16"/>
          <w:szCs w:val="16"/>
          <w:color w:val="auto"/>
        </w:rPr>
      </w:pPr>
      <w:r>
        <w:rPr>
          <w:rFonts w:ascii="Arial" w:cs="Arial" w:eastAsia="Arial" w:hAnsi="Arial"/>
          <w:sz w:val="16"/>
          <w:szCs w:val="16"/>
          <w:b w:val="1"/>
          <w:bCs w:val="1"/>
          <w:color w:val="auto"/>
        </w:rPr>
        <w:t xml:space="preserve">Rapidly advance our lead program, GEM103, through clinical development and if approved, into commercialization to address significant unmet need in dry AMD. </w:t>
      </w:r>
      <w:r>
        <w:rPr>
          <w:rFonts w:ascii="Arial" w:cs="Arial" w:eastAsia="Arial" w:hAnsi="Arial"/>
          <w:sz w:val="16"/>
          <w:szCs w:val="16"/>
          <w:color w:val="auto"/>
        </w:rPr>
        <w:t>Dry AMD, which</w:t>
      </w:r>
      <w:r>
        <w:rPr>
          <w:rFonts w:ascii="Arial" w:cs="Arial" w:eastAsia="Arial" w:hAnsi="Arial"/>
          <w:sz w:val="16"/>
          <w:szCs w:val="16"/>
          <w:b w:val="1"/>
          <w:bCs w:val="1"/>
          <w:color w:val="auto"/>
        </w:rPr>
        <w:t xml:space="preserve"> </w:t>
      </w:r>
      <w:r>
        <w:rPr>
          <w:rFonts w:ascii="Arial" w:cs="Arial" w:eastAsia="Arial" w:hAnsi="Arial"/>
          <w:sz w:val="16"/>
          <w:szCs w:val="16"/>
          <w:color w:val="auto"/>
        </w:rPr>
        <w:t>often ultimately leads to blindness and for which there are no currently approved treatment 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00" w:lineRule="exact"/>
        <w:rPr>
          <w:rFonts w:ascii="Arial" w:cs="Arial" w:eastAsia="Arial" w:hAnsi="Arial"/>
          <w:sz w:val="16"/>
          <w:szCs w:val="16"/>
          <w:color w:val="auto"/>
        </w:rPr>
      </w:pPr>
    </w:p>
    <w:p>
      <w:pPr>
        <w:jc w:val="both"/>
        <w:ind w:left="1320" w:right="459" w:hanging="434"/>
        <w:spacing w:after="0" w:line="273" w:lineRule="auto"/>
        <w:tabs>
          <w:tab w:leader="none" w:pos="1338" w:val="left"/>
        </w:tabs>
        <w:numPr>
          <w:ilvl w:val="0"/>
          <w:numId w:val="183"/>
        </w:numPr>
        <w:rPr>
          <w:rFonts w:ascii="Arial" w:cs="Arial" w:eastAsia="Arial" w:hAnsi="Arial"/>
          <w:sz w:val="17"/>
          <w:szCs w:val="17"/>
          <w:color w:val="auto"/>
        </w:rPr>
      </w:pPr>
      <w:r>
        <w:rPr>
          <w:rFonts w:ascii="Arial" w:cs="Arial" w:eastAsia="Arial" w:hAnsi="Arial"/>
          <w:sz w:val="17"/>
          <w:szCs w:val="17"/>
          <w:b w:val="1"/>
          <w:bCs w:val="1"/>
          <w:color w:val="auto"/>
        </w:rPr>
        <w:t xml:space="preserve">Evaluate strategic business development opportunities to maximize the value of our discovery and development assets. </w:t>
      </w:r>
      <w:r>
        <w:rPr>
          <w:rFonts w:ascii="Arial" w:cs="Arial" w:eastAsia="Arial" w:hAnsi="Arial"/>
          <w:sz w:val="17"/>
          <w:szCs w:val="17"/>
          <w:color w:val="auto"/>
        </w:rPr>
        <w:t>We believe that our differentiated approach holds the potential to target</w:t>
      </w:r>
      <w:r>
        <w:rPr>
          <w:rFonts w:ascii="Arial" w:cs="Arial" w:eastAsia="Arial" w:hAnsi="Arial"/>
          <w:sz w:val="17"/>
          <w:szCs w:val="17"/>
          <w:b w:val="1"/>
          <w:bCs w:val="1"/>
          <w:color w:val="auto"/>
        </w:rPr>
        <w:t xml:space="preserve"> </w:t>
      </w:r>
      <w:r>
        <w:rPr>
          <w:rFonts w:ascii="Arial" w:cs="Arial" w:eastAsia="Arial" w:hAnsi="Arial"/>
          <w:sz w:val="17"/>
          <w:szCs w:val="17"/>
          <w:color w:val="auto"/>
        </w:rPr>
        <w:t>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 to AMD</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1" w:name="page162"/>
    <w:bookmarkEnd w:id="16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Approach</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CLARITY Natural History Studies</w:t>
      </w:r>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 xml:space="preserve">In December 2018 we initiated CLARITY, a set of natural history studies designed to observe and help better understand how specific genetic variants affect the development of dry AMD. CLARITY combined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in vitro </w:t>
      </w:r>
      <w:r>
        <w:rPr>
          <w:rFonts w:ascii="Arial" w:cs="Arial" w:eastAsia="Arial" w:hAnsi="Arial"/>
          <w:sz w:val="18"/>
          <w:szCs w:val="18"/>
          <w:color w:val="auto"/>
        </w:rPr>
        <w:t>experiments to aid in identification of therapeutic candidates for indications within AMD and linked</w:t>
      </w:r>
      <w:r>
        <w:rPr>
          <w:rFonts w:ascii="Arial" w:cs="Arial" w:eastAsia="Arial" w:hAnsi="Arial"/>
          <w:sz w:val="18"/>
          <w:szCs w:val="18"/>
          <w:i w:val="1"/>
          <w:iCs w:val="1"/>
          <w:color w:val="auto"/>
        </w:rPr>
        <w:t xml:space="preserve"> </w:t>
      </w:r>
      <w:r>
        <w:rPr>
          <w:rFonts w:ascii="Arial" w:cs="Arial" w:eastAsia="Arial" w:hAnsi="Arial"/>
          <w:sz w:val="18"/>
          <w:szCs w:val="18"/>
          <w:color w:val="auto"/>
        </w:rPr>
        <w:t>diseases. CLARITY was the largest study, to date, that screened dry AMD patients for high-risk genotypes to gain longitudinal clinical information.</w:t>
      </w:r>
    </w:p>
    <w:p>
      <w:pPr>
        <w:spacing w:after="0" w:line="12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8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Results from CLARITY screening described above confirm other third-party Genome-Wide Association Studies (GWAS) studies elucidating the role of genetics in AMD. One of the major signals in these GWAS studies is the</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2" w:name="page163"/>
    <w:bookmarkEnd w:id="16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CFH, Complement and the Ocular Compartment</w:t>
      </w:r>
    </w:p>
    <w:p>
      <w:pPr>
        <w:spacing w:after="0" w:line="15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9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8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Clinical Development Program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GEM103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Preclinical and Clinical Development</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series of preclinical studies have been performed to demonstrate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1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 xml:space="preserve">Actions of endogenous CFH include inhibition of the complement activation cascade while permitting clearance of foreign material, cellular debris and pathogens in the eye. In </w:t>
      </w:r>
      <w:r>
        <w:rPr>
          <w:rFonts w:ascii="Arial" w:cs="Arial" w:eastAsia="Arial" w:hAnsi="Arial"/>
          <w:sz w:val="18"/>
          <w:szCs w:val="18"/>
          <w:i w:val="1"/>
          <w:iCs w:val="1"/>
          <w:color w:val="auto"/>
        </w:rPr>
        <w:t>in vitro</w:t>
      </w:r>
      <w:r>
        <w:rPr>
          <w:rFonts w:ascii="Arial" w:cs="Arial" w:eastAsia="Arial" w:hAnsi="Arial"/>
          <w:sz w:val="18"/>
          <w:szCs w:val="18"/>
          <w:color w:val="auto"/>
        </w:rPr>
        <w:t>, cell-based assays, GEM103 was shown to inhibit hyperactive terminal complement activity demonstrating a more potent but comparable maximal ability to inhibit</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3" w:name="page164"/>
    <w:bookmarkEnd w:id="16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1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12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11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2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115" w:lineRule="exact"/>
        <w:rPr>
          <w:sz w:val="20"/>
          <w:szCs w:val="20"/>
          <w:color w:val="auto"/>
        </w:rPr>
      </w:pPr>
    </w:p>
    <w:p>
      <w:pPr>
        <w:jc w:val="both"/>
        <w:ind w:left="1320" w:right="459" w:hanging="434"/>
        <w:spacing w:after="0" w:line="274" w:lineRule="auto"/>
        <w:tabs>
          <w:tab w:leader="none" w:pos="1311" w:val="left"/>
        </w:tabs>
        <w:numPr>
          <w:ilvl w:val="0"/>
          <w:numId w:val="184"/>
        </w:numPr>
        <w:rPr>
          <w:rFonts w:ascii="Arial" w:cs="Arial" w:eastAsia="Arial" w:hAnsi="Arial"/>
          <w:sz w:val="17"/>
          <w:szCs w:val="17"/>
          <w:color w:val="auto"/>
        </w:rPr>
      </w:pPr>
      <w:r>
        <w:rPr>
          <w:rFonts w:ascii="Arial" w:cs="Arial" w:eastAsia="Arial" w:hAnsi="Arial"/>
          <w:sz w:val="17"/>
          <w:szCs w:val="17"/>
          <w:b w:val="1"/>
          <w:bCs w:val="1"/>
          <w:color w:val="auto"/>
        </w:rPr>
        <w:t xml:space="preserve">Pharmacokinetics: </w:t>
      </w:r>
      <w:r>
        <w:rPr>
          <w:rFonts w:ascii="Arial" w:cs="Arial" w:eastAsia="Arial" w:hAnsi="Arial"/>
          <w:sz w:val="17"/>
          <w:szCs w:val="17"/>
          <w:color w:val="auto"/>
        </w:rPr>
        <w:t>Aqueous humor sampling showed sustained supraphysiological levels of CFH</w:t>
      </w:r>
      <w:r>
        <w:rPr>
          <w:rFonts w:ascii="Arial" w:cs="Arial" w:eastAsia="Arial" w:hAnsi="Arial"/>
          <w:sz w:val="17"/>
          <w:szCs w:val="17"/>
          <w:b w:val="1"/>
          <w:bCs w:val="1"/>
          <w:color w:val="auto"/>
        </w:rPr>
        <w:t xml:space="preserve"> </w:t>
      </w:r>
      <w:r>
        <w:rPr>
          <w:rFonts w:ascii="Arial" w:cs="Arial" w:eastAsia="Arial" w:hAnsi="Arial"/>
          <w:sz w:val="17"/>
          <w:szCs w:val="17"/>
          <w:color w:val="auto"/>
        </w:rPr>
        <w:t>at all doses tested at one week post single dose 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92" w:lineRule="exact"/>
        <w:rPr>
          <w:rFonts w:ascii="Arial" w:cs="Arial" w:eastAsia="Arial" w:hAnsi="Arial"/>
          <w:sz w:val="17"/>
          <w:szCs w:val="17"/>
          <w:color w:val="auto"/>
        </w:rPr>
      </w:pPr>
    </w:p>
    <w:p>
      <w:pPr>
        <w:jc w:val="both"/>
        <w:ind w:left="1320" w:right="459" w:hanging="434"/>
        <w:spacing w:after="0" w:line="273" w:lineRule="auto"/>
        <w:tabs>
          <w:tab w:leader="none" w:pos="1365" w:val="left"/>
        </w:tabs>
        <w:numPr>
          <w:ilvl w:val="0"/>
          <w:numId w:val="184"/>
        </w:numPr>
        <w:rPr>
          <w:rFonts w:ascii="Arial" w:cs="Arial" w:eastAsia="Arial" w:hAnsi="Arial"/>
          <w:sz w:val="17"/>
          <w:szCs w:val="17"/>
          <w:color w:val="auto"/>
        </w:rPr>
      </w:pPr>
      <w:r>
        <w:rPr>
          <w:rFonts w:ascii="Arial" w:cs="Arial" w:eastAsia="Arial" w:hAnsi="Arial"/>
          <w:sz w:val="17"/>
          <w:szCs w:val="17"/>
          <w:b w:val="1"/>
          <w:bCs w:val="1"/>
          <w:color w:val="auto"/>
        </w:rPr>
        <w:t xml:space="preserve">Pharmacodynamics: </w:t>
      </w:r>
      <w:r>
        <w:rPr>
          <w:rFonts w:ascii="Arial" w:cs="Arial" w:eastAsia="Arial" w:hAnsi="Arial"/>
          <w:sz w:val="17"/>
          <w:szCs w:val="17"/>
          <w:color w:val="auto"/>
        </w:rPr>
        <w:t>Aqueous humor samples were tested for specific biomarkers including Ba</w:t>
      </w:r>
      <w:r>
        <w:rPr>
          <w:rFonts w:ascii="Arial" w:cs="Arial" w:eastAsia="Arial" w:hAnsi="Arial"/>
          <w:sz w:val="17"/>
          <w:szCs w:val="17"/>
          <w:b w:val="1"/>
          <w:bCs w:val="1"/>
          <w:color w:val="auto"/>
        </w:rPr>
        <w:t xml:space="preserve"> </w:t>
      </w:r>
      <w:r>
        <w:rPr>
          <w:rFonts w:ascii="Arial" w:cs="Arial" w:eastAsia="Arial" w:hAnsi="Arial"/>
          <w:sz w:val="17"/>
          <w:szCs w:val="17"/>
          <w:color w:val="auto"/>
        </w:rPr>
        <w:t>(a marker of the amplification loop) and C3a (a marker of C3 activation and a potent anaphylatoxin contributing to chronic inflammation) to assess the ability of GEM103 to regulate the amplification loop of the alternative pathway (AP) of complement activity. Decreases in Ba levels were measured in several subjects after a single dose. The duration and magnitude of changes in biomarkers and observed PK will be measured in the Phase 2a clinical trial to inform our discussions with regulatory agencies on a pivotal study design.</w:t>
      </w:r>
    </w:p>
    <w:p>
      <w:pPr>
        <w:spacing w:after="0" w:line="104" w:lineRule="exact"/>
        <w:rPr>
          <w:rFonts w:ascii="Arial" w:cs="Arial" w:eastAsia="Arial" w:hAnsi="Arial"/>
          <w:sz w:val="17"/>
          <w:szCs w:val="17"/>
          <w:color w:val="auto"/>
        </w:rPr>
      </w:pPr>
    </w:p>
    <w:p>
      <w:pPr>
        <w:jc w:val="both"/>
        <w:ind w:left="1320" w:right="459" w:hanging="434"/>
        <w:spacing w:after="0" w:line="254" w:lineRule="auto"/>
        <w:tabs>
          <w:tab w:leader="none" w:pos="1432"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Clinical effect: </w:t>
      </w:r>
      <w:r>
        <w:rPr>
          <w:rFonts w:ascii="Arial" w:cs="Arial" w:eastAsia="Arial" w:hAnsi="Arial"/>
          <w:sz w:val="18"/>
          <w:szCs w:val="18"/>
          <w:color w:val="auto"/>
        </w:rPr>
        <w:t>Observation of subjects in Phase 1 clinical trial was of short duration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powered for efficacy. In line with tolerability, visual acuity was maintained, there was no ocular inflammation observed and there was no occurrence of CNV. The multiple dose Phase 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2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4" w:name="page165"/>
    <w:bookmarkEnd w:id="16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Programs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Factor H Potentiating Antibody</w:t>
      </w:r>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12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lead product candidate, GEM103, is a recombinant version of the endogenous CFH protein that is found most widely in our ‘intent to treat’ population. Specifically, it contains the amino acids V62, Y402 and E936 which are those most frequently found in the Caucasian population.</w:t>
      </w:r>
    </w:p>
    <w:p>
      <w:pPr>
        <w:spacing w:after="0" w:line="103"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 process for manufacturing GEM103 consists of a cell line, and associated cell culture and purification processes to achieve stringent purity criteria in line with a product candidate dosed intravitreally.</w:t>
      </w:r>
    </w:p>
    <w:p>
      <w:pPr>
        <w:spacing w:after="0" w:line="7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hold worldwide commercialization rights to each of our product candidates.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12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new targets and applications,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 As of August 31, 2020, we own or exclusively license approximately 44 patents and pending patent applications in the U.S. and foreign jurisdictions, including two granted U.S. and foreign patents, and 38 pending U.S. and foreign patent applications and four pending U.S. provisional patent applications. Our patent portfolio relating</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5" w:name="page166"/>
    <w:bookmarkEnd w:id="16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to GEM103 includes two pending U.S. provisional patent applications. One application is directed to methods of manufacturing the GEM103 product candidate. The other application is directed to methods of treating patients who carry CFH genetic mutations with GEM103.</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9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1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87"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The process required by the FDA before our product candidates are approved for therapeutic indications and may be marketed in the United States generally involves the following:</w:t>
      </w:r>
    </w:p>
    <w:p>
      <w:pPr>
        <w:spacing w:after="0" w:line="103" w:lineRule="exact"/>
        <w:rPr>
          <w:sz w:val="20"/>
          <w:szCs w:val="20"/>
          <w:color w:val="auto"/>
        </w:rPr>
      </w:pPr>
    </w:p>
    <w:p>
      <w:pPr>
        <w:ind w:left="1320" w:right="459" w:hanging="434"/>
        <w:spacing w:after="0" w:line="308" w:lineRule="auto"/>
        <w:tabs>
          <w:tab w:leader="none" w:pos="147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completion of extensive preclinical studies in accordance with applicable regulations, including studies conducted in accordance with Good Laboratory Practice, or GLP, requirements;</w:t>
      </w:r>
    </w:p>
    <w:p>
      <w:pPr>
        <w:spacing w:after="0" w:line="78" w:lineRule="exact"/>
        <w:rPr>
          <w:rFonts w:ascii="Arial" w:cs="Arial" w:eastAsia="Arial" w:hAnsi="Arial"/>
          <w:sz w:val="17"/>
          <w:szCs w:val="17"/>
          <w:color w:val="auto"/>
        </w:rPr>
      </w:pPr>
    </w:p>
    <w:p>
      <w:pPr>
        <w:jc w:val="both"/>
        <w:ind w:left="1320" w:right="479" w:hanging="434"/>
        <w:spacing w:after="0" w:line="263" w:lineRule="auto"/>
        <w:tabs>
          <w:tab w:leader="none" w:pos="143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spacing w:after="0" w:line="102" w:lineRule="exact"/>
        <w:rPr>
          <w:rFonts w:ascii="Arial" w:cs="Arial" w:eastAsia="Arial" w:hAnsi="Arial"/>
          <w:sz w:val="18"/>
          <w:szCs w:val="18"/>
          <w:color w:val="auto"/>
        </w:rPr>
      </w:pPr>
    </w:p>
    <w:p>
      <w:pPr>
        <w:jc w:val="both"/>
        <w:ind w:left="1320" w:right="479" w:hanging="434"/>
        <w:spacing w:after="0" w:line="286" w:lineRule="auto"/>
        <w:tabs>
          <w:tab w:leader="none" w:pos="15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after completion of all pivotal trials;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 determination by the FDA within 60 days of its receipt of a BLA to file the application for review;</w:t>
      </w:r>
    </w:p>
    <w:p>
      <w:pPr>
        <w:spacing w:after="0" w:line="180" w:lineRule="exact"/>
        <w:rPr>
          <w:rFonts w:ascii="Arial" w:cs="Arial" w:eastAsia="Arial" w:hAnsi="Arial"/>
          <w:sz w:val="16"/>
          <w:szCs w:val="16"/>
          <w:color w:val="auto"/>
        </w:rPr>
      </w:pPr>
    </w:p>
    <w:p>
      <w:pPr>
        <w:jc w:val="both"/>
        <w:ind w:left="1320" w:right="459" w:hanging="434"/>
        <w:spacing w:after="0" w:line="279" w:lineRule="auto"/>
        <w:tabs>
          <w:tab w:leader="none" w:pos="135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103" w:lineRule="exact"/>
        <w:rPr>
          <w:rFonts w:ascii="Arial" w:cs="Arial" w:eastAsia="Arial" w:hAnsi="Arial"/>
          <w:sz w:val="17"/>
          <w:szCs w:val="17"/>
          <w:color w:val="auto"/>
        </w:rPr>
      </w:pPr>
    </w:p>
    <w:p>
      <w:pPr>
        <w:ind w:left="1300" w:hanging="41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payment of user fees for FDA review of the BLA; and</w:t>
      </w:r>
    </w:p>
    <w:p>
      <w:pPr>
        <w:spacing w:after="0" w:line="157" w:lineRule="exact"/>
        <w:rPr>
          <w:rFonts w:ascii="Arial" w:cs="Arial" w:eastAsia="Arial" w:hAnsi="Arial"/>
          <w:sz w:val="18"/>
          <w:szCs w:val="18"/>
          <w:color w:val="auto"/>
        </w:rPr>
      </w:pPr>
    </w:p>
    <w:p>
      <w:pPr>
        <w:ind w:left="1320" w:right="459" w:hanging="434"/>
        <w:spacing w:after="0" w:line="308" w:lineRule="auto"/>
        <w:tabs>
          <w:tab w:leader="none" w:pos="137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FDA review and approval of the BLA, including consideration of the views of any FDA advisory committee, prior to any commercial marketing or sale of the biologic in the United States.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and clinical trials for biologics</w:t>
      </w:r>
    </w:p>
    <w:p>
      <w:pPr>
        <w:spacing w:after="0" w:line="15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pacing w:after="0" w:line="10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7" w:name="page168"/>
    <w:bookmarkEnd w:id="16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 xml:space="preserve">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Arial" w:cs="Arial" w:eastAsia="Arial" w:hAnsi="Arial"/>
          <w:sz w:val="16"/>
          <w:szCs w:val="16"/>
          <w:i w:val="1"/>
          <w:iCs w:val="1"/>
          <w:color w:val="auto"/>
        </w:rPr>
        <w:t>www.clinicaltrials.gov</w:t>
      </w:r>
      <w:r>
        <w:rPr>
          <w:rFonts w:ascii="Arial" w:cs="Arial" w:eastAsia="Arial" w:hAnsi="Arial"/>
          <w:sz w:val="16"/>
          <w:szCs w:val="16"/>
          <w:color w:val="auto"/>
        </w:rPr>
        <w:t xml:space="preserve"> website.</w:t>
      </w:r>
    </w:p>
    <w:p>
      <w:pPr>
        <w:spacing w:after="0" w:line="10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9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Clinical trials to evaluate therapeutic indications to support BLAs for marketing approval are typically conducted in three sequential phases, which may overlap.</w:t>
      </w:r>
    </w:p>
    <w:p>
      <w:pPr>
        <w:spacing w:after="0" w:line="89" w:lineRule="exact"/>
        <w:rPr>
          <w:sz w:val="20"/>
          <w:szCs w:val="20"/>
          <w:color w:val="auto"/>
        </w:rPr>
      </w:pPr>
    </w:p>
    <w:p>
      <w:pPr>
        <w:jc w:val="both"/>
        <w:ind w:left="1320" w:right="459" w:hanging="434"/>
        <w:spacing w:after="0" w:line="257" w:lineRule="auto"/>
        <w:tabs>
          <w:tab w:leader="none" w:pos="1459"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Phase 1 clinical trials involve initial introduction of the investigational product into</w:t>
      </w:r>
      <w:r>
        <w:rPr>
          <w:rFonts w:ascii="Arial" w:cs="Arial" w:eastAsia="Arial" w:hAnsi="Arial"/>
          <w:sz w:val="18"/>
          <w:szCs w:val="18"/>
          <w:i w:val="1"/>
          <w:iCs w:val="1"/>
          <w:color w:val="auto"/>
        </w:rPr>
        <w:t xml:space="preserve"> </w:t>
      </w:r>
      <w:r>
        <w:rPr>
          <w:rFonts w:ascii="Arial" w:cs="Arial" w:eastAsia="Arial" w:hAnsi="Arial"/>
          <w:sz w:val="18"/>
          <w:szCs w:val="18"/>
          <w:color w:val="auto"/>
        </w:rPr>
        <w:t>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20" w:lineRule="exact"/>
        <w:rPr>
          <w:rFonts w:ascii="Arial" w:cs="Arial" w:eastAsia="Arial" w:hAnsi="Arial"/>
          <w:sz w:val="18"/>
          <w:szCs w:val="18"/>
          <w:color w:val="auto"/>
        </w:rPr>
      </w:pPr>
    </w:p>
    <w:p>
      <w:pPr>
        <w:jc w:val="both"/>
        <w:ind w:left="1320" w:right="459" w:hanging="434"/>
        <w:spacing w:after="0" w:line="257" w:lineRule="auto"/>
        <w:tabs>
          <w:tab w:leader="none" w:pos="1324"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20" w:lineRule="exact"/>
        <w:rPr>
          <w:rFonts w:ascii="Arial" w:cs="Arial" w:eastAsia="Arial" w:hAnsi="Arial"/>
          <w:sz w:val="18"/>
          <w:szCs w:val="18"/>
          <w:color w:val="auto"/>
        </w:rPr>
      </w:pPr>
    </w:p>
    <w:p>
      <w:pPr>
        <w:jc w:val="both"/>
        <w:ind w:left="1320" w:right="459" w:hanging="434"/>
        <w:spacing w:after="0" w:line="254" w:lineRule="auto"/>
        <w:tabs>
          <w:tab w:leader="none" w:pos="1365"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w:t>
      </w:r>
      <w:r>
        <w:rPr>
          <w:rFonts w:ascii="Arial" w:cs="Arial" w:eastAsia="Arial" w:hAnsi="Arial"/>
          <w:sz w:val="18"/>
          <w:szCs w:val="18"/>
          <w:i w:val="1"/>
          <w:iCs w:val="1"/>
          <w:color w:val="auto"/>
        </w:rPr>
        <w:t xml:space="preserve"> </w:t>
      </w:r>
      <w:r>
        <w:rPr>
          <w:rFonts w:ascii="Arial" w:cs="Arial" w:eastAsia="Arial" w:hAnsi="Arial"/>
          <w:sz w:val="18"/>
          <w:szCs w:val="18"/>
          <w:color w:val="auto"/>
        </w:rPr>
        <w:t>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1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20"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1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8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04"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0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2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0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9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Expedited development and review programs for biologics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1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0" w:name="page171"/>
    <w:bookmarkEnd w:id="17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2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1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9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Post-approval requirements for biologics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93"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9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1" w:name="page172"/>
    <w:bookmarkEnd w:id="17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27" w:lineRule="exact"/>
        <w:rPr>
          <w:sz w:val="20"/>
          <w:szCs w:val="20"/>
          <w:color w:val="auto"/>
        </w:rPr>
      </w:pPr>
    </w:p>
    <w:p>
      <w:pPr>
        <w:ind w:left="1320" w:right="479" w:hanging="434"/>
        <w:spacing w:after="0" w:line="277" w:lineRule="auto"/>
        <w:tabs>
          <w:tab w:leader="none" w:pos="137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40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70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holds on clinical trials;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refusal of the FDA to approve applications or supplements to approved applications, or suspension or revocation of product approvals;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15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85"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2" w:name="page173"/>
    <w:bookmarkEnd w:id="17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03" w:lineRule="exact"/>
        <w:rPr>
          <w:sz w:val="20"/>
          <w:szCs w:val="20"/>
          <w:color w:val="auto"/>
        </w:rPr>
      </w:pPr>
    </w:p>
    <w:p>
      <w:pPr>
        <w:jc w:val="both"/>
        <w:ind w:left="460" w:right="479"/>
        <w:spacing w:after="0" w:line="269"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0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0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As of October 15, 2020, we had 27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3" w:name="page174"/>
    <w:bookmarkEnd w:id="17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Our facilities consist of office space of approximately 11,894 square feet in Cambridge, Massachusetts under a lease that expires in lease that expires in May 2023, subject to the right to extend the term for one additional three (3) year term. We believe that our current facilities are sufficient for our current needs.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 OF GEMINI</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i w:val="1"/>
          <w:iCs w:val="1"/>
          <w:color w:val="auto"/>
        </w:rPr>
        <w:t>In this section, unless otherwise stated or the context requires otherwise, the terms “Gemini,” “we,” “us,” and “our” refer to Gemini Therapeutics, Inc.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directors and executive officers of are as follows as of the date of this proxy statement/prospectus: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Age</w:t>
            </w:r>
          </w:p>
        </w:tc>
        <w:tc>
          <w:tcPr>
            <w:tcW w:w="4380" w:type="dxa"/>
            <w:vAlign w:val="bottom"/>
          </w:tcPr>
          <w:p>
            <w:pPr>
              <w:ind w:left="190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3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auto"/>
              </w:rPr>
              <w:t>Jason Meyenburg</w:t>
            </w: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Gregg Beloff</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Scott Lauder, Ph.D.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Marc Uknis, M.D.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Hannah Han-Chun Chang, Ph.D., M.D.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r>
        <w:trPr>
          <w:trHeight w:val="284"/>
        </w:trPr>
        <w:tc>
          <w:tcPr>
            <w:tcW w:w="3160" w:type="dxa"/>
            <w:vAlign w:val="bottom"/>
            <w:gridSpan w:val="2"/>
          </w:tcPr>
          <w:p>
            <w:pPr>
              <w:spacing w:after="0"/>
              <w:rPr>
                <w:sz w:val="20"/>
                <w:szCs w:val="20"/>
                <w:color w:val="auto"/>
              </w:rPr>
            </w:pPr>
            <w:r>
              <w:rPr>
                <w:rFonts w:ascii="Arial" w:cs="Arial" w:eastAsia="Arial" w:hAnsi="Arial"/>
                <w:sz w:val="18"/>
                <w:szCs w:val="18"/>
                <w:color w:val="auto"/>
              </w:rPr>
              <w:t>Jean George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Carl Gordon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David Lubner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Tuyen Ong, M.D., MRCOphth</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Jason Rhodes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r>
        <w:trPr>
          <w:trHeight w:val="283"/>
        </w:trPr>
        <w:tc>
          <w:tcPr>
            <w:tcW w:w="3160" w:type="dxa"/>
            <w:vAlign w:val="bottom"/>
            <w:gridSpan w:val="2"/>
          </w:tcPr>
          <w:p>
            <w:pPr>
              <w:spacing w:after="0"/>
              <w:rPr>
                <w:sz w:val="20"/>
                <w:szCs w:val="20"/>
                <w:color w:val="auto"/>
              </w:rPr>
            </w:pPr>
            <w:r>
              <w:rPr>
                <w:rFonts w:ascii="Arial" w:cs="Arial" w:eastAsia="Arial" w:hAnsi="Arial"/>
                <w:sz w:val="18"/>
                <w:szCs w:val="18"/>
                <w:color w:val="auto"/>
              </w:rPr>
              <w:t>Phillip R. Reilly, J.D., M.D.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r>
        <w:trPr>
          <w:trHeight w:val="284"/>
        </w:trPr>
        <w:tc>
          <w:tcPr>
            <w:tcW w:w="3160" w:type="dxa"/>
            <w:vAlign w:val="bottom"/>
            <w:gridSpan w:val="2"/>
          </w:tcPr>
          <w:p>
            <w:pPr>
              <w:spacing w:after="0"/>
              <w:rPr>
                <w:sz w:val="20"/>
                <w:szCs w:val="20"/>
                <w:color w:val="auto"/>
              </w:rPr>
            </w:pPr>
            <w:r>
              <w:rPr>
                <w:rFonts w:ascii="Arial" w:cs="Arial" w:eastAsia="Arial" w:hAnsi="Arial"/>
                <w:sz w:val="18"/>
                <w:szCs w:val="18"/>
                <w:color w:val="auto"/>
              </w:rPr>
              <w:t>Stephen Squinto, Ph.D.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Chairman of the Board</w:t>
            </w:r>
          </w:p>
        </w:tc>
      </w:tr>
    </w:tbl>
    <w:p>
      <w:pPr>
        <w:spacing w:after="0" w:line="21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i w:val="1"/>
          <w:iCs w:val="1"/>
          <w:color w:val="auto"/>
        </w:rPr>
        <w:t xml:space="preserve">Jason Meyenburg </w:t>
      </w:r>
      <w:r>
        <w:rPr>
          <w:rFonts w:ascii="Arial" w:cs="Arial" w:eastAsia="Arial" w:hAnsi="Arial"/>
          <w:sz w:val="17"/>
          <w:szCs w:val="17"/>
          <w:color w:val="auto"/>
        </w:rPr>
        <w:t>has served as our Chief Executive Officer since September 2019. Previously, from</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2018 to September 2019, Mr. Meyenburg 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0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i w:val="1"/>
          <w:iCs w:val="1"/>
          <w:color w:val="auto"/>
        </w:rPr>
        <w:t xml:space="preserve">Gregg D. Beloff </w:t>
      </w:r>
      <w:r>
        <w:rPr>
          <w:rFonts w:ascii="Arial" w:cs="Arial" w:eastAsia="Arial" w:hAnsi="Arial"/>
          <w:sz w:val="18"/>
          <w:szCs w:val="18"/>
          <w:color w:val="auto"/>
        </w:rPr>
        <w:t>has served as our Interim Chief Financial Officer since 2020. Mr. Beloff is the co-founder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of Danforth Advisors, a consulting firm specializing in providing financial and strategic support to life sciences companies. In addition to his consulting for clients, Mr. Beloff previously served as the Chief Financial Officer of four public and multiple privately held companies. In these roles, he managed finance, accounting, corporate communications, human resources, information technology, facilities, legal, intellectual property, business development, and manufacturing functions. Mr. Beloff holds an M.B.A. from Carnegie Mellon University, a J.D. from the University of Pittsburgh School of Law, and a B.A. in History from Middlebury College.</w:t>
      </w:r>
    </w:p>
    <w:p>
      <w:pPr>
        <w:spacing w:after="0" w:line="12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i w:val="1"/>
          <w:iCs w:val="1"/>
          <w:color w:val="auto"/>
        </w:rPr>
        <w:t xml:space="preserve">Scott Lauder, Ph.D. </w:t>
      </w:r>
      <w:r>
        <w:rPr>
          <w:rFonts w:ascii="Arial" w:cs="Arial" w:eastAsia="Arial" w:hAnsi="Arial"/>
          <w:sz w:val="18"/>
          <w:szCs w:val="18"/>
          <w:color w:val="auto"/>
        </w:rPr>
        <w:t>has served as our Chief Technology Officer since November 2017. Previously, from</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2016 to October 2017, Dr. Lauder served 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25"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i w:val="1"/>
          <w:iCs w:val="1"/>
          <w:color w:val="auto"/>
        </w:rPr>
        <w:t xml:space="preserve">Marc Uknis, M.D. </w:t>
      </w:r>
      <w:r>
        <w:rPr>
          <w:rFonts w:ascii="Arial" w:cs="Arial" w:eastAsia="Arial" w:hAnsi="Arial"/>
          <w:sz w:val="17"/>
          <w:szCs w:val="17"/>
          <w:color w:val="auto"/>
        </w:rPr>
        <w:t>has served as our Chief Medical Officer since March 2020. Previously, in 2020, Dr. Uknis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Vice President and Head of Clinical 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5" w:name="page176"/>
    <w:bookmarkEnd w:id="17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i w:val="1"/>
          <w:iCs w:val="1"/>
          <w:color w:val="auto"/>
        </w:rPr>
        <w:t xml:space="preserve">Hannah Han-Chun Chang, Ph.D., M.D. </w:t>
      </w:r>
      <w:r>
        <w:rPr>
          <w:rFonts w:ascii="Arial" w:cs="Arial" w:eastAsia="Arial" w:hAnsi="Arial"/>
          <w:sz w:val="16"/>
          <w:szCs w:val="16"/>
          <w:color w:val="auto"/>
        </w:rPr>
        <w:t>has served as a member of our Board since September 2019. Since</w:t>
      </w:r>
      <w:r>
        <w:rPr>
          <w:rFonts w:ascii="Arial" w:cs="Arial" w:eastAsia="Arial" w:hAnsi="Arial"/>
          <w:sz w:val="16"/>
          <w:szCs w:val="16"/>
          <w:i w:val="1"/>
          <w:iCs w:val="1"/>
          <w:color w:val="auto"/>
        </w:rPr>
        <w:t xml:space="preserve"> </w:t>
      </w:r>
      <w:r>
        <w:rPr>
          <w:rFonts w:ascii="Arial" w:cs="Arial" w:eastAsia="Arial" w:hAnsi="Arial"/>
          <w:sz w:val="16"/>
          <w:szCs w:val="16"/>
          <w:color w:val="auto"/>
        </w:rPr>
        <w:t>July 2020, Dr. Chang has been a Managing Director at Wu Capital, a global single family office. Previously, Dr. Chang served as an Investment Director at Wu Capital from July 2017 to July 2020. Prior to that, from June 2014 to June 2017, Dr. Chang served as an associate at 5AM Ventures, a life sciences venture capital fund. Dr. Chang holds an M.D. from Harvard Medical School, a Ph.D. in biophysics from the Harvard University and a B.A. in chemistry from Princeton University. We believe that Dr. Chang is qualified to serve on our board of directors due to her scientific expertise and experience in venture capital and the life science industry.</w:t>
      </w:r>
    </w:p>
    <w:p>
      <w:pPr>
        <w:spacing w:after="0" w:line="9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i w:val="1"/>
          <w:iCs w:val="1"/>
          <w:color w:val="auto"/>
        </w:rPr>
        <w:t xml:space="preserve">Jean George </w:t>
      </w:r>
      <w:r>
        <w:rPr>
          <w:rFonts w:ascii="Arial" w:cs="Arial" w:eastAsia="Arial" w:hAnsi="Arial"/>
          <w:sz w:val="16"/>
          <w:szCs w:val="16"/>
          <w:color w:val="auto"/>
        </w:rPr>
        <w:t>has served as a member of our Board since April 2016. Since February 2002, she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 at Advanced Technology 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9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i w:val="1"/>
          <w:iCs w:val="1"/>
          <w:color w:val="auto"/>
        </w:rPr>
        <w:t xml:space="preserve">Carl L. Gordon, Ph.D., CFA </w:t>
      </w:r>
      <w:r>
        <w:rPr>
          <w:rFonts w:ascii="Arial" w:cs="Arial" w:eastAsia="Arial" w:hAnsi="Arial"/>
          <w:sz w:val="17"/>
          <w:szCs w:val="17"/>
          <w:color w:val="auto"/>
        </w:rPr>
        <w:t>has served as a member of our board of directors since April 2016. Dr. Gordon is a</w:t>
      </w:r>
      <w:r>
        <w:rPr>
          <w:rFonts w:ascii="Arial" w:cs="Arial" w:eastAsia="Arial" w:hAnsi="Arial"/>
          <w:sz w:val="17"/>
          <w:szCs w:val="17"/>
          <w:i w:val="1"/>
          <w:iCs w:val="1"/>
          <w:color w:val="auto"/>
        </w:rPr>
        <w:t xml:space="preserve"> </w:t>
      </w:r>
      <w:r>
        <w:rPr>
          <w:rFonts w:ascii="Arial" w:cs="Arial" w:eastAsia="Arial" w:hAnsi="Arial"/>
          <w:sz w:val="17"/>
          <w:szCs w:val="17"/>
          <w:color w:val="auto"/>
        </w:rPr>
        <w:t>founding member, Managing Partner, and 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9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i w:val="1"/>
          <w:iCs w:val="1"/>
          <w:color w:val="auto"/>
        </w:rPr>
        <w:t xml:space="preserve">David C. Lubner </w:t>
      </w:r>
      <w:r>
        <w:rPr>
          <w:rFonts w:ascii="Arial" w:cs="Arial" w:eastAsia="Arial" w:hAnsi="Arial"/>
          <w:sz w:val="17"/>
          <w:szCs w:val="17"/>
          <w:color w:val="auto"/>
        </w:rPr>
        <w:t>has been a member of our Board since April 2020. From January 2016, until its acquisition by</w:t>
      </w:r>
      <w:r>
        <w:rPr>
          <w:rFonts w:ascii="Arial" w:cs="Arial" w:eastAsia="Arial" w:hAnsi="Arial"/>
          <w:sz w:val="17"/>
          <w:szCs w:val="17"/>
          <w:i w:val="1"/>
          <w:iCs w:val="1"/>
          <w:color w:val="auto"/>
        </w:rPr>
        <w:t xml:space="preserve"> </w:t>
      </w:r>
      <w:r>
        <w:rPr>
          <w:rFonts w:ascii="Arial" w:cs="Arial" w:eastAsia="Arial" w:hAnsi="Arial"/>
          <w:sz w:val="17"/>
          <w:szCs w:val="17"/>
          <w:color w:val="auto"/>
        </w:rPr>
        <w:t>UCB S.A. in April 2020, Mr. Lubner 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1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Tuyen Ong, M.D., MRCOphth</w:t>
      </w:r>
      <w:r>
        <w:rPr>
          <w:rFonts w:ascii="Arial" w:cs="Arial" w:eastAsia="Arial" w:hAnsi="Arial"/>
          <w:sz w:val="17"/>
          <w:szCs w:val="17"/>
          <w:color w:val="auto"/>
        </w:rPr>
        <w:t>., has served as a member of our Board since August 2020. Dr. Ong is a board-certified ophthalmologist and 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6" w:name="page177"/>
    <w:bookmarkEnd w:id="17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(acquired by Valeant Pharmaceuticals International, Inc.), and Pfizer. Dr. Ong holds an M.D. from the University College London and an M.B.A. from New York University Stern School of Business. He is a member of the Royal College of Ophthalmologists and a Churchill Fellow.</w:t>
      </w:r>
    </w:p>
    <w:p>
      <w:pPr>
        <w:spacing w:after="0" w:line="116"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i w:val="1"/>
          <w:iCs w:val="1"/>
          <w:color w:val="auto"/>
        </w:rPr>
        <w:t xml:space="preserve">Philip R. Reilly, M.D. </w:t>
      </w:r>
      <w:r>
        <w:rPr>
          <w:rFonts w:ascii="Arial" w:cs="Arial" w:eastAsia="Arial" w:hAnsi="Arial"/>
          <w:sz w:val="17"/>
          <w:szCs w:val="17"/>
          <w:color w:val="auto"/>
        </w:rPr>
        <w:t>has served as a member of our board of directors since June 2016. Since 2008, Dr. Reilly</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Venture Partner at Third Rock Ventures LLC, an investment firm. Dr. Reilly holds a B.A. in Government from Cornell University, an M.D. from Yale University, and a J.D. from Columbia University. We believe that Dr. Reilly is qualified to serve on our board of directors due to his scientific expertise, extensive business experience, and experience in venture capital and the life science industry.</w:t>
      </w:r>
    </w:p>
    <w:p>
      <w:pPr>
        <w:spacing w:after="0" w:line="10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i w:val="1"/>
          <w:iCs w:val="1"/>
          <w:color w:val="auto"/>
        </w:rPr>
        <w:t xml:space="preserve">Jason Rhodes </w:t>
      </w:r>
      <w:r>
        <w:rPr>
          <w:rFonts w:ascii="Arial" w:cs="Arial" w:eastAsia="Arial" w:hAnsi="Arial"/>
          <w:sz w:val="17"/>
          <w:szCs w:val="17"/>
          <w:color w:val="auto"/>
        </w:rPr>
        <w:t>has been a member of our Board since April 2016 and a partner at Atlas Ventures since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Rhodes also served as the founding 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10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i w:val="1"/>
          <w:iCs w:val="1"/>
          <w:color w:val="auto"/>
        </w:rPr>
        <w:t>Stephen Squinto, Ph.D.</w:t>
      </w:r>
      <w:r>
        <w:rPr>
          <w:rFonts w:ascii="Arial" w:cs="Arial" w:eastAsia="Arial" w:hAnsi="Arial"/>
          <w:sz w:val="17"/>
          <w:szCs w:val="17"/>
          <w:color w:val="auto"/>
        </w:rPr>
        <w:t>, has served as a member of our Board since April 2016. Dr. Squinto has been an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Partner at OrbiMed Advisors LLC since January 2015. Previously, Dr. Squinto co-founded Alexion Pharmaceuticals, Inc. and served as its Executive Vice President and Chief Global Operations Officer from 2012 to January 2015 and as its Global Head of Research and Development from 2007 to 2012. Dr. Squinto has served as Acting Head of Research and Development of Passage Bio, Inc. since January 2020, and prior to that served as interim Chief Executive Officer of Passage Bio from September 2018 to January 2020. Dr. Squinto also has served as a member of Passage’s board of directors since September 2018. Dr. Squinto also previously served as a member of the board of directors of Arvinas, Inc. from October 2015 to September 2018 and Audentes Therapeutics, Inc. from April 2015 to January 2018. Dr. Squinto holds a Ph.D. in biochemistry and biophysics and a B.A. in chemistry from Loyola University of Chicago. We believe that Dr. Squinto is qualified to serve on our board of directors based on his experience in the biopharmaceutical industry, including his operational experience in drug discovery and development.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OF GEMINI</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i w:val="1"/>
          <w:iCs w:val="1"/>
          <w:color w:val="auto"/>
        </w:rPr>
        <w:t>In this section, unless otherwise stated or the context requires otherwise, the terms “Gemini,” “we,” “us,” and “our” refer to Gemini Therapeutics, Inc.</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 overview</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our Chief Executive Officer and President and our other executive officers identified in the 2019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Gemini’s named executive officers are Jason Meyenburg, its President and Chief Executive Officer, and Scott Lauder, its Chief Technology Officer, each of whom will become an executive officer of the Combined Entity. The following table presents information regarding the total compensation awarded to, earned by, and paid to our named executive officers for services rendered to us in all capacities for the years indicated.</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Non-Equity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Option</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Incentive Plan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b w:val="1"/>
                <w:bCs w:val="1"/>
                <w:color w:val="auto"/>
              </w:rPr>
              <w:t>Name and Principal</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Salary</w:t>
            </w:r>
          </w:p>
        </w:tc>
        <w:tc>
          <w:tcPr>
            <w:tcW w:w="720" w:type="dxa"/>
            <w:vAlign w:val="bottom"/>
            <w:gridSpan w:val="2"/>
          </w:tcPr>
          <w:p>
            <w:pPr>
              <w:ind w:left="80"/>
              <w:spacing w:after="0"/>
              <w:rPr>
                <w:sz w:val="20"/>
                <w:szCs w:val="20"/>
                <w:color w:val="auto"/>
              </w:rPr>
            </w:pPr>
            <w:r>
              <w:rPr>
                <w:rFonts w:ascii="Arial" w:cs="Arial" w:eastAsia="Arial" w:hAnsi="Arial"/>
                <w:sz w:val="16"/>
                <w:szCs w:val="16"/>
                <w:b w:val="1"/>
                <w:bCs w:val="1"/>
                <w:color w:val="auto"/>
              </w:rPr>
              <w:t>Bonus</w:t>
            </w: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Awards</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Compensation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auto"/>
              </w:rPr>
              <w:t>Position</w:t>
            </w:r>
          </w:p>
        </w:tc>
        <w:tc>
          <w:tcPr>
            <w:tcW w:w="100" w:type="dxa"/>
            <w:vAlign w:val="bottom"/>
          </w:tcPr>
          <w:p>
            <w:pPr>
              <w:spacing w:after="0"/>
              <w:rPr>
                <w:sz w:val="3"/>
                <w:szCs w:val="3"/>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Year</w:t>
            </w:r>
          </w:p>
        </w:tc>
        <w:tc>
          <w:tcPr>
            <w:tcW w:w="660" w:type="dxa"/>
            <w:vAlign w:val="bottom"/>
            <w:vMerge w:val="restart"/>
          </w:tcPr>
          <w:p>
            <w:pPr>
              <w:jc w:val="right"/>
              <w:ind w:right="15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3"/>
                <w:szCs w:val="3"/>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100" w:type="dxa"/>
            <w:vAlign w:val="bottom"/>
          </w:tcPr>
          <w:p>
            <w:pPr>
              <w:spacing w:after="0"/>
              <w:rPr>
                <w:sz w:val="3"/>
                <w:szCs w:val="3"/>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8"/>
        </w:trPr>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Jason Meyenburg</w:t>
            </w:r>
            <w:r>
              <w:rPr>
                <w:rFonts w:ascii="Arial" w:cs="Arial" w:eastAsia="Arial" w:hAnsi="Arial"/>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2019</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116,058</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25,000</w:t>
            </w:r>
            <w:r>
              <w:rPr>
                <w:rFonts w:ascii="Arial" w:cs="Arial" w:eastAsia="Arial" w:hAnsi="Arial"/>
                <w:sz w:val="20"/>
                <w:szCs w:val="20"/>
                <w:color w:val="auto"/>
                <w:w w:val="84"/>
                <w:vertAlign w:val="superscript"/>
              </w:rPr>
              <w:t>(4)</w:t>
            </w:r>
          </w:p>
        </w:tc>
        <w:tc>
          <w:tcPr>
            <w:tcW w:w="8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831,732</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12,665</w:t>
            </w:r>
            <w:r>
              <w:rPr>
                <w:rFonts w:ascii="Arial" w:cs="Arial" w:eastAsia="Arial" w:hAnsi="Arial"/>
                <w:sz w:val="20"/>
                <w:szCs w:val="20"/>
                <w:color w:val="auto"/>
                <w:vertAlign w:val="superscript"/>
              </w:rPr>
              <w:t>(5)</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1,027,955</w:t>
            </w: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Chief Executive Officer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President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Scott Lauder</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355,000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117,800</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3,439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441,739</w:t>
            </w:r>
          </w:p>
        </w:tc>
        <w:tc>
          <w:tcPr>
            <w:tcW w:w="0" w:type="dxa"/>
            <w:vAlign w:val="bottom"/>
          </w:tcPr>
          <w:p>
            <w:pPr>
              <w:spacing w:after="0"/>
              <w:rPr>
                <w:sz w:val="1"/>
                <w:szCs w:val="1"/>
                <w:color w:val="auto"/>
              </w:rPr>
            </w:pPr>
          </w:p>
        </w:tc>
      </w:tr>
      <w:tr>
        <w:trPr>
          <w:trHeight w:val="242"/>
        </w:trPr>
        <w:tc>
          <w:tcPr>
            <w:tcW w:w="1980" w:type="dxa"/>
            <w:vAlign w:val="bottom"/>
          </w:tcPr>
          <w:p>
            <w:pPr>
              <w:ind w:left="180"/>
              <w:spacing w:after="0"/>
              <w:rPr>
                <w:sz w:val="20"/>
                <w:szCs w:val="20"/>
                <w:color w:val="auto"/>
              </w:rPr>
            </w:pPr>
            <w:r>
              <w:rPr>
                <w:rFonts w:ascii="Arial" w:cs="Arial" w:eastAsia="Arial" w:hAnsi="Arial"/>
                <w:sz w:val="18"/>
                <w:szCs w:val="18"/>
                <w:color w:val="auto"/>
              </w:rPr>
              <w:t>Chief Technology</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180"/>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83" w:lineRule="auto"/>
        <w:tabs>
          <w:tab w:leader="none" w:pos="972"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amounts reported in the “Option Awards” column reflect the aggregate grant date fair value of stock options awarded during 2019 computed in accordance with the provisions of Financial Accounting Standards Board Accounting Standards Codification Topic 718. See Note 9 to our financial statements appearing elsewhere in this proxy statement/prospectus regarding assumptions underlying the valuation of equity awards.</w:t>
      </w:r>
    </w:p>
    <w:p>
      <w:pPr>
        <w:ind w:left="880" w:right="479" w:hanging="426"/>
        <w:spacing w:after="0" w:line="264" w:lineRule="auto"/>
        <w:tabs>
          <w:tab w:leader="none" w:pos="97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amounts reported in this column represent annual payments made to our named executive officers in cash in March 2020 for performance in 2019.</w:t>
      </w:r>
    </w:p>
    <w:p>
      <w:pPr>
        <w:ind w:left="880" w:right="459" w:hanging="426"/>
        <w:spacing w:after="0" w:line="264" w:lineRule="auto"/>
        <w:tabs>
          <w:tab w:leader="none" w:pos="96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Mr. Meyenburg was appointed our Chief Executive Officer and President effective as of September 23, 2019. His annualized base salary for 2019 was $425,000.</w:t>
      </w:r>
    </w:p>
    <w:p>
      <w:pPr>
        <w:jc w:val="both"/>
        <w:ind w:left="880" w:right="479" w:hanging="426"/>
        <w:spacing w:after="0" w:line="281" w:lineRule="auto"/>
        <w:tabs>
          <w:tab w:leader="none" w:pos="941" w:val="left"/>
        </w:tabs>
        <w:numPr>
          <w:ilvl w:val="0"/>
          <w:numId w:val="188"/>
        </w:numPr>
        <w:rPr>
          <w:rFonts w:ascii="Arial" w:cs="Arial" w:eastAsia="Arial" w:hAnsi="Arial"/>
          <w:sz w:val="15"/>
          <w:szCs w:val="15"/>
          <w:color w:val="auto"/>
        </w:rPr>
      </w:pPr>
      <w:r>
        <w:rPr>
          <w:rFonts w:ascii="Arial" w:cs="Arial" w:eastAsia="Arial" w:hAnsi="Arial"/>
          <w:sz w:val="15"/>
          <w:szCs w:val="15"/>
          <w:color w:val="auto"/>
        </w:rPr>
        <w:t>Represents a one-time signing bonus payable to Mr. Meyenburg pursuant to the terms of his offer letter agreement with Gemini. Such sign-on bonus was subject to repayment in full in the event that Mr. Meyenburg’s employment with us was terminated by him other than for good reason (as defined in his offer letter agreement) or by us for cause (as defined in his offer letter agreement) within twelve months of his start date.</w:t>
      </w:r>
    </w:p>
    <w:p>
      <w:pPr>
        <w:spacing w:after="0" w:line="2" w:lineRule="exact"/>
        <w:rPr>
          <w:rFonts w:ascii="Arial" w:cs="Arial" w:eastAsia="Arial" w:hAnsi="Arial"/>
          <w:sz w:val="15"/>
          <w:szCs w:val="15"/>
          <w:color w:val="auto"/>
        </w:rPr>
      </w:pPr>
    </w:p>
    <w:p>
      <w:pPr>
        <w:ind w:left="880" w:right="479" w:hanging="426"/>
        <w:spacing w:after="0" w:line="288" w:lineRule="auto"/>
        <w:tabs>
          <w:tab w:leader="none" w:pos="110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Consists of payment of $12,498 for a living expense allowance to facilitate Mr. Meyenburg’s relocation to Cambridge, Massachusetts pursuant to the term of his offer letter agreement with Gemini.</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salaries</w:t>
      </w:r>
    </w:p>
    <w:p>
      <w:pPr>
        <w:spacing w:after="0" w:line="13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the year ended December 31, 2019, the annual base salaries for each of Mr. Meyenburg and Dr. Lauder were $425,000 and $355,000, respectively.</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8" w:name="page179"/>
    <w:bookmarkEnd w:id="17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Bonuses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pay cash bonuses to reward our executives for their performance over the fiscal year, based on goals established by our board of directors. For 2019, the target bonus for Mr. Meyenburg was equal to 40% percent of his base salary with any bonus payable prorated from his start date. The target bonus for Dr. Lauder for 2019 was 35% percent of his base salary.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5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2019, we granted options to purchase shares of our common stock to Mr. Meyenburg, as described in more detail in the “Outstanding equity awards at 2019 fiscal year-end” table.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arrangements and severance agreements with our named executive officers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entered into offer letter agreements with each of our named executive officers in connection with the commencement of their employment with us, the material terms of which summarized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 with Mr. Meyenburg</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entered into an offer letter agreement with Mr. Meyenburg, dated August 27, 2019, pursuant to which we employ Mr. Meyenburg as our President and Chief Executive Officer. The offer letter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2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Mr. Meyenburg’s current annual base salary is $437,800, which is subject to periodic review and adjustment. Pursuant to the offer letter agreement, Mr. Meyenburg is eligible to receive to an annual bonus targeted at 40% of his annual base salary, which amount may be adjusted by Gemini at its sole discretion. The actual amount of the bonus is determined by the board of directors based on its assessment of the performance of Mr. Meyenburg and that of the Company against pre-established goals determined by our board of directors. Under the offer letter agreement, we also paid Mr. Meyenburg a signing bonus of $25,000, which was subject to repayment in full in the event that Mr. Meyenburg resigned without “good reason” (as such term is defined in his offer letter agreement) or we terminated Mr. Meyenburg’s employment for “cause” (as such term is defined in his offer letter agreement) in either case within one year of his start date. Mr. Meyenburg was required relocate his primary residence to Cambridge, Massachusetts within one year of his start date. To facilitate such relocation and transition, we provided Mr. Meyenburg with a living expense allowance equal to $4,166 per month until he was able to relocate to Cambridge Massachusetts for up to a maximum of twelve months following his start date.</w:t>
      </w:r>
    </w:p>
    <w:p>
      <w:pPr>
        <w:spacing w:after="0" w:line="11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In the event Mr. Meyenburg’s employment is terminated without cause or he resigns for good reason, in either event within the twelve month period immediate following a “sale event” (as such term is defined in the 2017 Plan), any then outstanding time-based equity awards shall accelerate and become fully vested as of the date of termination. 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(i) the end of the Salary Continuation Period; or (ii) the date Mr. Meyenburg becomes eligible for health insurance through another employer or otherwise becomes ineligible for COBRA. Payment of the severance payments under the offer letter agreement shall cease in the event that Mr. Meyenburg breaches his obligations under the Employee Confidentiality, Assignment and Noncompetition Agreement entered into with us.</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9" w:name="page180"/>
    <w:bookmarkEnd w:id="17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 with Dr. Lauder</w:t>
      </w:r>
    </w:p>
    <w:p>
      <w:pPr>
        <w:spacing w:after="0" w:line="15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entered into an offer letter agreement with Dr. Lauder dated September 12, 2016. The employment of Dr. Lauder is “at will” and the agreement endures until terminated by either party. Dr. Lauder’s current annual base salary is $355,000, which is subject to periodic review and adjustment. Under the terms of the offer letter agreement, Dr. Lauder is eligible to participate in any annual bonus programs as may be established from time to time by our board of directors. Under such bonus programs, Dr. Lauder is eligible to receive an annual bonus targeted at 35% of his annual base salary.</w:t>
      </w:r>
    </w:p>
    <w:p>
      <w:pPr>
        <w:spacing w:after="0" w:line="11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the event Dr. Lauder’s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Lauder is entitled to the following: (a) continuation of base salary for twelve months, which we refer to as the Salary Continuation Period; and (b) monthly COBRA premiums paid by us until the earlier of: (i) the end of the Salary Continuation Period; or (ii) the date Dr. Lauder becomes eligible for health insurance through another employer.</w:t>
      </w:r>
    </w:p>
    <w:p>
      <w:pPr>
        <w:spacing w:after="0" w:line="8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 December 31, 2019. Unless otherwise noted, all equity awards set forth in the table below were granted under our 2017 Plan.</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4"/>
          </w:tcPr>
          <w:p>
            <w:pPr>
              <w:ind w:left="660"/>
              <w:spacing w:after="0"/>
              <w:rPr>
                <w:sz w:val="20"/>
                <w:szCs w:val="20"/>
                <w:color w:val="auto"/>
              </w:rPr>
            </w:pPr>
            <w:r>
              <w:rPr>
                <w:rFonts w:ascii="Arial" w:cs="Arial" w:eastAsia="Arial" w:hAnsi="Arial"/>
                <w:sz w:val="16"/>
                <w:szCs w:val="16"/>
                <w:b w:val="1"/>
                <w:bCs w:val="1"/>
                <w:color w:val="auto"/>
              </w:rPr>
              <w:t>Option awards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ind w:left="36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46"/>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2"/>
              </w:rPr>
              <w:t>Number</w:t>
            </w:r>
          </w:p>
        </w:tc>
        <w:tc>
          <w:tcPr>
            <w:tcW w:w="8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of shares</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or units</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 or</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securities</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securities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of stock</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units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underlying</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underlying</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Option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that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stock that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Vesting</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unexercised</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unexercised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exercise</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Option</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have not</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have not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commencement</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options (#)</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options (#)</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price</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expiration</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vested</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2"/>
              </w:rPr>
              <w:t>vested</w:t>
            </w:r>
          </w:p>
        </w:tc>
        <w:tc>
          <w:tcPr>
            <w:tcW w:w="0" w:type="dxa"/>
            <w:vAlign w:val="bottom"/>
          </w:tcPr>
          <w:p>
            <w:pPr>
              <w:spacing w:after="0"/>
              <w:rPr>
                <w:sz w:val="1"/>
                <w:szCs w:val="1"/>
                <w:color w:val="auto"/>
              </w:rPr>
            </w:pPr>
          </w:p>
        </w:tc>
      </w:tr>
      <w:tr>
        <w:trPr>
          <w:trHeight w:val="253"/>
        </w:trPr>
        <w:tc>
          <w:tcPr>
            <w:tcW w:w="16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date</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exercisable</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unexercisable</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date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Jason Meyenburg</w:t>
            </w:r>
          </w:p>
        </w:tc>
        <w:tc>
          <w:tcPr>
            <w:tcW w:w="8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9/23/2019</w:t>
            </w:r>
            <w:r>
              <w:rPr>
                <w:rFonts w:ascii="Arial" w:cs="Arial" w:eastAsia="Arial" w:hAnsi="Arial"/>
                <w:sz w:val="20"/>
                <w:szCs w:val="20"/>
                <w:color w:val="auto"/>
                <w:vertAlign w:val="superscript"/>
              </w:rPr>
              <w:t>(2)</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2,690,239</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11/12/2029</w:t>
            </w:r>
          </w:p>
        </w:tc>
        <w:tc>
          <w:tcPr>
            <w:tcW w:w="8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18"/>
                <w:szCs w:val="18"/>
                <w:color w:val="auto"/>
              </w:rPr>
              <w:t>Scott Lauder</w:t>
            </w:r>
          </w:p>
        </w:tc>
        <w:tc>
          <w:tcPr>
            <w:tcW w:w="1080" w:type="dxa"/>
            <w:vAlign w:val="bottom"/>
          </w:tcPr>
          <w:p>
            <w:pPr>
              <w:jc w:val="right"/>
              <w:spacing w:after="0"/>
              <w:rPr>
                <w:sz w:val="20"/>
                <w:szCs w:val="20"/>
                <w:color w:val="auto"/>
              </w:rPr>
            </w:pPr>
            <w:r>
              <w:rPr>
                <w:rFonts w:ascii="Arial" w:cs="Arial" w:eastAsia="Arial" w:hAnsi="Arial"/>
                <w:sz w:val="18"/>
                <w:szCs w:val="18"/>
                <w:color w:val="auto"/>
              </w:rPr>
              <w:t>11/5/2017</w:t>
            </w:r>
            <w:r>
              <w:rPr>
                <w:rFonts w:ascii="Arial" w:cs="Arial" w:eastAsia="Arial" w:hAnsi="Arial"/>
                <w:sz w:val="20"/>
                <w:szCs w:val="20"/>
                <w:color w:val="auto"/>
                <w:vertAlign w:val="superscript"/>
              </w:rPr>
              <w:t>(3)</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156,806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156,800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8/28/2028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166,250</w:t>
            </w:r>
            <w:r>
              <w:rPr>
                <w:rFonts w:ascii="Arial" w:cs="Arial" w:eastAsia="Arial" w:hAnsi="Arial"/>
                <w:sz w:val="20"/>
                <w:szCs w:val="20"/>
                <w:color w:val="auto"/>
                <w:vertAlign w:val="superscript"/>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78,138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66" w:lineRule="auto"/>
        <w:tabs>
          <w:tab w:leader="none" w:pos="90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Based on the fair market value of our common stock as of December 31, 2019 of $0.47 as determined by the Gemini board of directors, after consideration of relevant factors, including third-party valuation report.</w:t>
      </w:r>
    </w:p>
    <w:p>
      <w:pPr>
        <w:spacing w:after="0" w:line="1" w:lineRule="exact"/>
        <w:rPr>
          <w:rFonts w:ascii="Arial" w:cs="Arial" w:eastAsia="Arial" w:hAnsi="Arial"/>
          <w:sz w:val="16"/>
          <w:szCs w:val="16"/>
          <w:color w:val="auto"/>
        </w:rPr>
      </w:pPr>
    </w:p>
    <w:p>
      <w:pPr>
        <w:jc w:val="both"/>
        <w:ind w:left="880" w:right="459" w:hanging="426"/>
        <w:spacing w:after="0" w:line="264" w:lineRule="auto"/>
        <w:tabs>
          <w:tab w:leader="none" w:pos="88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shares underlying this stock option vest over four years with 25% of the shares vesting on the first anniversary of the vesting commencement date, and the remaining shares vesting in 36 equal monthly installments thereafter, subject to Mr. Meyenburg’s continued service. In the event that Mr. Meyenburg’s employment is terminated without cause or he resigns for good reason within 12 months following a “sale event” (as such term is defined in the 2017 Plan), the vesting of this stock option will fully accelerate.</w:t>
      </w:r>
    </w:p>
    <w:p>
      <w:pPr>
        <w:ind w:left="880" w:right="479" w:hanging="426"/>
        <w:spacing w:after="0" w:line="281" w:lineRule="auto"/>
        <w:tabs>
          <w:tab w:leader="none" w:pos="919"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shares underlying this stock option vest in 16 equal quarterly installments over the four years following vesting commencement date, subject to Dr. Lauder’s continued service, subject to full acceleration on a change of control.</w:t>
      </w:r>
    </w:p>
    <w:p>
      <w:pPr>
        <w:spacing w:after="0" w:line="1" w:lineRule="exact"/>
        <w:rPr>
          <w:rFonts w:ascii="Arial" w:cs="Arial" w:eastAsia="Arial" w:hAnsi="Arial"/>
          <w:sz w:val="15"/>
          <w:szCs w:val="15"/>
          <w:color w:val="auto"/>
        </w:rPr>
      </w:pPr>
    </w:p>
    <w:p>
      <w:pPr>
        <w:jc w:val="both"/>
        <w:ind w:left="880" w:right="479" w:hanging="426"/>
        <w:spacing w:after="0" w:line="332" w:lineRule="auto"/>
        <w:tabs>
          <w:tab w:leader="none" w:pos="932" w:val="left"/>
        </w:tabs>
        <w:numPr>
          <w:ilvl w:val="0"/>
          <w:numId w:val="189"/>
        </w:numPr>
        <w:rPr>
          <w:rFonts w:ascii="Arial" w:cs="Arial" w:eastAsia="Arial" w:hAnsi="Arial"/>
          <w:sz w:val="14"/>
          <w:szCs w:val="14"/>
          <w:color w:val="auto"/>
        </w:rPr>
      </w:pPr>
      <w:r>
        <w:rPr>
          <w:rFonts w:ascii="Arial" w:cs="Arial" w:eastAsia="Arial" w:hAnsi="Arial"/>
          <w:sz w:val="14"/>
          <w:szCs w:val="14"/>
          <w:color w:val="auto"/>
        </w:rPr>
        <w:t>Represents a restricted stock award granted on October 26, 2016 for a total of 480,000 shares under our 2015 Plan. The remaining unvested shares vest in four quarterly installments of 6,875 shares through October 10, 2020 and six quarterly installments of 23,125 thereafter through May 16, 2021, subject to full acceleration on a change of control.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benefit and equity compensation plans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Stock Option and Grant Plan</w:t>
      </w:r>
    </w:p>
    <w:p>
      <w:pPr>
        <w:spacing w:after="0" w:line="144"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color w:val="auto"/>
        </w:rPr>
        <w:t>The following is a summary of our 2017 Plan, which as noted in this summary, will terminate at or prior to the Effective Time and contingent on the Closing and no further awards will be granted under our 2017 Plan.</w:t>
      </w:r>
    </w:p>
    <w:p>
      <w:pPr>
        <w:spacing w:after="0" w:line="5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2017 Plan was initially approved by our board of directors and our stockholders on May 24, 2017 and most recently amended in September 2019 to increase the number of shares available for issuance under the 2017 Plan. Under our 2017 Plan, we have reserved for issuance an aggregate of 11,834,347 shares of our common stock, which number is subject to adjustment in the event of a reorganization, recapitalization, stock dividend, stock split or other similar change in our capital stock.</w:t>
      </w:r>
    </w:p>
    <w:p>
      <w:pPr>
        <w:spacing w:after="0" w:line="120"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The shares we issue under our 2017 Plan are authorized but unissued shares or shares we reacquire. The shares of common stock underlying any awards under the 2017 Plan and the 2015 Plan that are forfeited, cancelled, reacquired by us prior to vesting, satisfied without the issuance of common stock or otherwise terminated (other than by exercise) and shares of common stock withheld upon exercise or settlement of an award to cover the exercise price or tax withholding under our 2017 Plan and our 2015 Plan are added back to the shares of common stock available for issuance under our 2017 Plan.</w:t>
      </w:r>
    </w:p>
    <w:p>
      <w:pPr>
        <w:spacing w:after="0" w:line="97"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Our board of directors has acted as administrator of our 2017 Plan. The administrator has full power to select, from among the individuals eligible for awards, the individuals to whom awards will be granted, and to determine the specific terms and conditions of each award, subject to the provisions of our 2017 Plan. Persons eligible to participate in our 2017 Plan are our full or part time officers, employees, directors, consultants and other key persons as selected from time to time by the administrator in its discretion.</w:t>
      </w:r>
    </w:p>
    <w:p>
      <w:pPr>
        <w:spacing w:after="0" w:line="10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2017 Plan permits the granting of (1) options to purchase common stock intended to qualify as incentive stock options under Section 422 of the Code and (2) options that do not so qualify. The exercise price of each option is determined by the administrator but may not be less than 100% of the fair market value of the common stock on the date of grant. The term of each option is fixed by the administrator and may not exceed ten years from the date of grant. The administrator determines at what time or times each option may be exercised. In addition, our 2017 Plan permits the granting of restricted shares of common stock, restricted stock units and unrestricted stock.</w:t>
      </w:r>
    </w:p>
    <w:p>
      <w:pPr>
        <w:spacing w:after="0" w:line="127"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Our 2017 Plan provides that upon the occurrence of a “sale event,” as defined in our 2017 Plan, all outstanding stock options will terminate at the effective time of such sale event, unless the parties to the sale event agree that such awards will be assumed or continued by the successor entity. In the event of a termination of our 2017 Plan and all options issued thereunder in connection with a sale event, optionees will be provided an opportunity to exercise options that are then exercisable or will become exercisable as of the effective time of the sale event prior to the consummation of the sale event. In addition, we have the right to provide for cash payment to holders of options, in exchange for the cancellation thereof, in an amount per share equal to the difference between the value of the consideration payable per share of common stock in the sale event and the per share exercise price of such options. In the event of and subject to the consummation of a sale event, restricted stock and restricted stock units (other than those becoming vested as a result of the sale event) will be forfeited immediately prior to the effective time of a sale event unless such awards are assumed or continued by the successor entity. In the event that shares of restricted stock are forfeited in connection with a sale event, such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9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board of directors may amend or discontinue the 2017 Plan at any time, subject to stockholder approval where such approval is required by applicable law. The administrator of the 2017 Plan may also amend or cancel any outstanding award, provided that no such amendment or cancellation of an award may adversely affect a participant’s rights without his or her consent. The administrator of the 2017 Plan is specifically authorized to exercise its discretion to reduce the exercise price of outstanding stock options or effect the repricing of such awards through cancellation and re-grants.</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No awards may be granted under our 2017 Plan after the date that is ten years from the date our 2017 Plan was adopted by the board of directors. As of June 30, 2020, options to purchase shares of common stock were outstanding under the 2017 Plan. Our 2017 Plan will terminate at or prior to the Effective Time and contingent on the Closing.</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1" w:name="page182"/>
    <w:bookmarkEnd w:id="18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 Employee, Director and Consultant Stock Option Plan</w:t>
      </w:r>
    </w:p>
    <w:p>
      <w:pPr>
        <w:spacing w:after="0" w:line="144"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color w:val="auto"/>
        </w:rPr>
        <w:t>The following is a summary of our 2015 Plan, which as noted in this summary, will terminate at or prior to the Effective Time and contingent on the Closing and no further awards will be granted under our 2015 Plan.</w:t>
      </w:r>
    </w:p>
    <w:p>
      <w:pPr>
        <w:spacing w:after="0" w:line="5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2015 Plan, was approved and adopted by our board of directors and stockholders in August 2015. Under the 2015 Plan, we have reserved for issuance an aggregate of 1,350,000 shares of our common stock for the issuance. This number of shares of common stock reserved for issuance is subject to adjustment in the event of a stock split, stock dividend or other change in our capitalization. As of June 30, 2020, options to purchase 905,000 shares of common stock were outstanding under the 2015 Plan. Following the adoption of the 2017 Stock Plan no further awards were made under the 2015 Plan. All outstanding awards under the 2015 Plan continue to be governed by the 2015 Plan.</w:t>
      </w:r>
    </w:p>
    <w:p>
      <w:pPr>
        <w:spacing w:after="0" w:line="127"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2015 Plan are added back to the shares of common stock available for issuance under the 2017 Plan.</w:t>
      </w:r>
    </w:p>
    <w:p>
      <w:pPr>
        <w:spacing w:after="0" w:line="9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board of directors has acted as administrator of the 2015 Plan. The administrator had full power to select, from among the individuals eligible for awards, the individuals to whom awards will be granted, to make any combination of awards to participants, and to determine the specific terms and conditions of each award, subject to the provisions of our 2015 Plan. Persons eligible to participate in our 2015 Plan were those full or part-time officers, employees, non-employee directors, and consultants as selected from time to time by the administrator in its discretion.</w:t>
      </w:r>
    </w:p>
    <w:p>
      <w:pPr>
        <w:spacing w:after="0" w:line="125"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Our 2015 Plan permitted the granting of both options to purchase common stock intended to qualify as incentive stock options under Section 422 of the Code and options that do not so qualify. The option exercise price of each option was determined by our board of directors but could not be less than 100% of the fair market value of our common stock on the date of grant. The term of each option was fixed by our board of directors and could not exceed ten years from the date of grant. Our board of directors determined at what time or times each option could be exercised. In addition, our 2015 Plan permitted awards of common stock and stock rights, in each case subject to such conditions and restrictions as determined by our board of directors in its discretion. These conditions and restrictions could have included the achievement of certain performance goals and/or continued employment with us through a specified vesting period.</w:t>
      </w:r>
    </w:p>
    <w:p>
      <w:pPr>
        <w:spacing w:after="0" w:line="9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2015 Plan provides that upon the effectiveness of a “corporate transaction” (as defined in our 2015 Plan), the board of directors shall: (i) make appropriate provision for the continuation of stock options by substituting on an equitable basis for the shares then subject to such options either the consideration payable with respect to the outstanding shares of common stock in connection with the corporate transaction or securities of any successor or acquiring entity; (ii) upon written notice to the participants, provide that stock options must be exercised (either (A) to the extent then exercisable or, (B) at the discretion of the board of directors, in full or in part), within a specified number of days of the date of such notice, at the end of which period such options that have not been exercised shall terminate; or (iii) terminate options in exchange for payment of an amount equal to the consideration payable upon consummation of such corporate transaction to a holder of the number of shares of common stock for which such option was exercisable (either (A) to the extent then exercisable or, (B) at the discretion of the Administrator, in full or in part) less the aggregate exercise price thereof.</w:t>
      </w:r>
    </w:p>
    <w:p>
      <w:pPr>
        <w:spacing w:after="0" w:line="91"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Our board of directors or stockholders may amend our 2015 Plan and, our board of directors may discontinue the 2015 Plan. Our board of directors may amend outstanding award agreements under the 2015 Plan , but no such action may adversely affect a participant’s rights under an award without his or her consent. Our board of directors is specifically authorized to exercise its discretion to reduce the exercise price of outstanding stock options under the 2015 Plan. Certain amendments to our 2015 Plan require the approval of our stockholders.</w:t>
      </w:r>
    </w:p>
    <w:p>
      <w:pPr>
        <w:spacing w:after="0" w:line="9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2015 Plan provides that no awards may be granted under our 2015 Plan after the date that is ten years from the date the board approved our 2015 Plan. However, following adoption of the 2017 Stock Plan, our board of directors determined not to make any further awards under our 2015 Plan.</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2015 Plan will terminate at or prior to the Effective Time and contingent on the Closing and no further awards will be granted under our 2015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maintain a tax-qualified retirement plan, or the 401(k) Plan, that provides eligible U.S. employees with an opportunity to save for retirement on a tax advantaged basis.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During the fiscal year ended December 31, 2019, we did not pay any compensation, make any equity awards to, or pay any other compensation to any of the non-employee members of our board of directors who will serve as a director of the Combined Entity following the business combination and, accordingly, we have omitted the 2019 Director Compensation Table. Jason Meyenburg, our President and Chief Executive Officer, did not receive any compensation for his service as a member of our board of directors during 2019. Mr. Meyenburg’s compensation for service as an employee for fiscal year 2019 is presented in “Executive compensation — 2019 Summary compensation table.” We reimburse non-employee members of our board of directors for reasonable travel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Prior to the Closing, our board of directors plans to adopt a non-employee director compensation policy, that is designed to enable us to attract and retain, on a long-term basis, highly qualified non-employee directors. Under the policy, each director who is not an employee will be paid cash compensation following the Closing, as set forth below:</w:t>
      </w:r>
    </w:p>
    <w:p>
      <w:pPr>
        <w:spacing w:after="0" w:line="147"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Annual</w:t>
      </w:r>
    </w:p>
    <w:p>
      <w:pPr>
        <w:spacing w:after="0" w:line="26"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Retainer</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240" w:type="dxa"/>
            <w:vAlign w:val="bottom"/>
            <w:tcBorders>
              <w:top w:val="single" w:sz="8" w:color="auto"/>
              <w:bottom w:val="single" w:sz="8" w:color="CCEEFF"/>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Board of Directors Chair</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r>
      <w:tr>
        <w:trPr>
          <w:trHeight w:val="41"/>
        </w:trPr>
        <w:tc>
          <w:tcPr>
            <w:tcW w:w="6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240" w:type="dxa"/>
            <w:vAlign w:val="bottom"/>
            <w:tcBorders>
              <w:bottom w:val="single" w:sz="8" w:color="CCEEFF"/>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r>
      <w:tr>
        <w:trPr>
          <w:trHeight w:val="40"/>
        </w:trPr>
        <w:tc>
          <w:tcPr>
            <w:tcW w:w="6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240" w:type="dxa"/>
            <w:vAlign w:val="bottom"/>
            <w:tcBorders>
              <w:bottom w:val="single" w:sz="8" w:color="CCEEFF"/>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r>
      <w:tr>
        <w:trPr>
          <w:trHeight w:val="40"/>
        </w:trPr>
        <w:tc>
          <w:tcPr>
            <w:tcW w:w="6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240" w:type="dxa"/>
            <w:vAlign w:val="bottom"/>
            <w:tcBorders>
              <w:bottom w:val="single" w:sz="8" w:color="CCEEFF"/>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r>
    </w:tbl>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addition, each non-employee elected or appointed to our board of directors following the closing of the Business Combination will be granted a one-time stock option award to purchase shares of Common Stock on the date of such director’s election or appointment to the board of directors,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shares of Common Stock, which will vest in full of the earlier to occur of the first anniversary of the date of grant or the next annual meeting, subject to continued service as a director through such vesting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AFTER THE BUSINESS COMBINATION</w:t>
      </w:r>
    </w:p>
    <w:p>
      <w:pPr>
        <w:spacing w:after="0" w:line="22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i w:val="1"/>
          <w:iCs w:val="1"/>
          <w:color w:val="auto"/>
        </w:rPr>
        <w:t>Unless the context otherwise requires, references in this subsection to “we”, “us” and “our” generally refer to FS Development in the present tense or the Combined Entity from and after the Business Combination</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Management and Board of Directors</w:t>
      </w:r>
    </w:p>
    <w:p>
      <w:pPr>
        <w:spacing w:after="0" w:line="148"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The following persons are expected to serve as executive officers and directors following the Business Combination. For biographical information concerning the Gemini executive officers and Gemini designees to the board of directors, see “</w:t>
      </w:r>
      <w:r>
        <w:rPr>
          <w:rFonts w:ascii="Arial" w:cs="Arial" w:eastAsia="Arial" w:hAnsi="Arial"/>
          <w:sz w:val="18"/>
          <w:szCs w:val="18"/>
          <w:i w:val="1"/>
          <w:iCs w:val="1"/>
          <w:color w:val="auto"/>
        </w:rPr>
        <w:t>Executive Officers and Directors of Gemini</w:t>
      </w:r>
      <w:r>
        <w:rPr>
          <w:rFonts w:ascii="Arial" w:cs="Arial" w:eastAsia="Arial" w:hAnsi="Arial"/>
          <w:sz w:val="18"/>
          <w:szCs w:val="18"/>
          <w:color w:val="auto"/>
        </w:rPr>
        <w:t>.” For biographical information concerning the FS Development designees to the board of directors see “</w:t>
      </w:r>
      <w:r>
        <w:rPr>
          <w:rFonts w:ascii="Arial" w:cs="Arial" w:eastAsia="Arial" w:hAnsi="Arial"/>
          <w:sz w:val="18"/>
          <w:szCs w:val="18"/>
          <w:i w:val="1"/>
          <w:iCs w:val="1"/>
          <w:color w:val="auto"/>
        </w:rPr>
        <w:t>Executive Officers and Directors of FS</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r>
        <w:rPr>
          <w:rFonts w:ascii="Arial" w:cs="Arial" w:eastAsia="Arial" w:hAnsi="Arial"/>
          <w:sz w:val="18"/>
          <w:szCs w:val="18"/>
          <w:color w:val="auto"/>
        </w:rPr>
        <w:t>.”</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30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100" w:type="dxa"/>
            <w:vAlign w:val="bottom"/>
          </w:tcPr>
          <w:p>
            <w:pPr>
              <w:spacing w:after="0"/>
              <w:rPr>
                <w:sz w:val="20"/>
                <w:szCs w:val="20"/>
                <w:color w:val="auto"/>
              </w:rPr>
            </w:pPr>
          </w:p>
        </w:tc>
        <w:tc>
          <w:tcPr>
            <w:tcW w:w="4420" w:type="dxa"/>
            <w:vAlign w:val="bottom"/>
          </w:tcPr>
          <w:p>
            <w:pPr>
              <w:ind w:left="196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43"/>
        </w:trPr>
        <w:tc>
          <w:tcPr>
            <w:tcW w:w="3060" w:type="dxa"/>
            <w:vAlign w:val="bottom"/>
            <w:gridSpan w:val="2"/>
          </w:tcPr>
          <w:p>
            <w:pPr>
              <w:spacing w:after="0"/>
              <w:rPr>
                <w:sz w:val="20"/>
                <w:szCs w:val="20"/>
                <w:color w:val="auto"/>
              </w:rPr>
            </w:pPr>
            <w:r>
              <w:rPr>
                <w:rFonts w:ascii="Arial" w:cs="Arial" w:eastAsia="Arial" w:hAnsi="Arial"/>
                <w:sz w:val="18"/>
                <w:szCs w:val="18"/>
                <w:color w:val="auto"/>
              </w:rPr>
              <w:t>Gregg Beloff</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1"/>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63"/>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Scott Lauder, Ph.D.</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Technology Officer</w:t>
            </w:r>
          </w:p>
        </w:tc>
      </w:tr>
      <w:tr>
        <w:trPr>
          <w:trHeight w:val="243"/>
        </w:trPr>
        <w:tc>
          <w:tcPr>
            <w:tcW w:w="3060" w:type="dxa"/>
            <w:vAlign w:val="bottom"/>
            <w:gridSpan w:val="2"/>
          </w:tcPr>
          <w:p>
            <w:pPr>
              <w:spacing w:after="0"/>
              <w:rPr>
                <w:sz w:val="20"/>
                <w:szCs w:val="20"/>
                <w:color w:val="auto"/>
              </w:rPr>
            </w:pPr>
            <w:r>
              <w:rPr>
                <w:rFonts w:ascii="Arial" w:cs="Arial" w:eastAsia="Arial" w:hAnsi="Arial"/>
                <w:sz w:val="18"/>
                <w:szCs w:val="18"/>
                <w:color w:val="auto"/>
              </w:rPr>
              <w:t>Marc Uknis, M.D.</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Chief Medical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3"/>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 George</w:t>
            </w:r>
            <w:r>
              <w:rPr>
                <w:rFonts w:ascii="Arial" w:cs="Arial" w:eastAsia="Arial" w:hAnsi="Arial"/>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43"/>
        </w:trPr>
        <w:tc>
          <w:tcPr>
            <w:tcW w:w="3060" w:type="dxa"/>
            <w:vAlign w:val="bottom"/>
            <w:gridSpan w:val="2"/>
          </w:tcPr>
          <w:p>
            <w:pPr>
              <w:spacing w:after="0"/>
              <w:rPr>
                <w:sz w:val="20"/>
                <w:szCs w:val="20"/>
                <w:color w:val="auto"/>
              </w:rPr>
            </w:pPr>
            <w:r>
              <w:rPr>
                <w:rFonts w:ascii="Arial" w:cs="Arial" w:eastAsia="Arial" w:hAnsi="Arial"/>
                <w:sz w:val="18"/>
                <w:szCs w:val="18"/>
                <w:color w:val="auto"/>
              </w:rPr>
              <w:t>Carl Gordon</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3"/>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Lubner</w:t>
            </w:r>
            <w:r>
              <w:rPr>
                <w:rFonts w:ascii="Arial" w:cs="Arial" w:eastAsia="Arial" w:hAnsi="Arial"/>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3060" w:type="dxa"/>
            <w:vAlign w:val="bottom"/>
            <w:gridSpan w:val="2"/>
          </w:tcPr>
          <w:p>
            <w:pPr>
              <w:spacing w:after="0"/>
              <w:rPr>
                <w:sz w:val="20"/>
                <w:szCs w:val="20"/>
                <w:color w:val="auto"/>
              </w:rPr>
            </w:pPr>
            <w:r>
              <w:rPr>
                <w:rFonts w:ascii="Arial" w:cs="Arial" w:eastAsia="Arial" w:hAnsi="Arial"/>
                <w:sz w:val="18"/>
                <w:szCs w:val="18"/>
                <w:color w:val="auto"/>
              </w:rPr>
              <w:t>Tuyen Ong, M.D., MRCOphth</w:t>
            </w:r>
            <w:r>
              <w:rPr>
                <w:rFonts w:ascii="Arial" w:cs="Arial" w:eastAsia="Arial" w:hAnsi="Arial"/>
                <w:sz w:val="20"/>
                <w:szCs w:val="20"/>
                <w:color w:val="auto"/>
                <w:vertAlign w:val="superscript"/>
              </w:rPr>
              <w:t>(1)</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Rhodes</w:t>
            </w:r>
            <w:r>
              <w:rPr>
                <w:rFonts w:ascii="Arial" w:cs="Arial" w:eastAsia="Arial" w:hAnsi="Arial"/>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91"/>
        </w:trPr>
        <w:tc>
          <w:tcPr>
            <w:tcW w:w="3060" w:type="dxa"/>
            <w:vAlign w:val="bottom"/>
            <w:gridSpan w:val="2"/>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20"/>
                <w:szCs w:val="20"/>
                <w:color w:val="auto"/>
                <w:vertAlign w:val="superscript"/>
              </w:rPr>
              <w:t>(2)</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Gemini Designee</w:t>
      </w:r>
    </w:p>
    <w:p>
      <w:pPr>
        <w:spacing w:after="0" w:line="22" w:lineRule="exact"/>
        <w:rPr>
          <w:rFonts w:ascii="Arial" w:cs="Arial" w:eastAsia="Arial" w:hAnsi="Arial"/>
          <w:sz w:val="16"/>
          <w:szCs w:val="16"/>
          <w:color w:val="auto"/>
        </w:rPr>
      </w:pPr>
    </w:p>
    <w:p>
      <w:pPr>
        <w:ind w:left="880" w:hanging="426"/>
        <w:spacing w:after="0"/>
        <w:tabs>
          <w:tab w:leader="none" w:pos="8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FS Development Designee</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Classified Board of Directors</w:t>
      </w:r>
    </w:p>
    <w:p>
      <w:pPr>
        <w:spacing w:after="0" w:line="162"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The Combined Entity’s board of directors will consist of seven members upon the closing of the Business Combination.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6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200"/>
              <w:spacing w:after="0"/>
              <w:rPr>
                <w:sz w:val="20"/>
                <w:szCs w:val="20"/>
                <w:color w:val="auto"/>
              </w:rPr>
            </w:pPr>
            <w:r>
              <w:rPr>
                <w:rFonts w:ascii="Arial" w:cs="Arial" w:eastAsia="Arial" w:hAnsi="Arial"/>
                <w:sz w:val="18"/>
                <w:szCs w:val="18"/>
                <w:color w:val="auto"/>
              </w:rPr>
              <w:t>the Class I directors will be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ind w:left="380"/>
              <w:spacing w:after="0"/>
              <w:rPr>
                <w:sz w:val="20"/>
                <w:szCs w:val="20"/>
                <w:color w:val="auto"/>
              </w:rPr>
            </w:pPr>
            <w:r>
              <w:rPr>
                <w:rFonts w:ascii="Arial" w:cs="Arial" w:eastAsia="Arial" w:hAnsi="Arial"/>
                <w:sz w:val="18"/>
                <w:szCs w:val="18"/>
                <w:color w:val="auto"/>
              </w:rPr>
              <w:t>and</w:t>
            </w:r>
          </w:p>
        </w:tc>
        <w:tc>
          <w:tcPr>
            <w:tcW w:w="3500" w:type="dxa"/>
            <w:vAlign w:val="bottom"/>
          </w:tcPr>
          <w:p>
            <w:pPr>
              <w:jc w:val="right"/>
              <w:spacing w:after="0"/>
              <w:rPr>
                <w:sz w:val="20"/>
                <w:szCs w:val="20"/>
                <w:color w:val="auto"/>
              </w:rPr>
            </w:pPr>
            <w:r>
              <w:rPr>
                <w:rFonts w:ascii="Arial" w:cs="Arial" w:eastAsia="Arial" w:hAnsi="Arial"/>
                <w:sz w:val="18"/>
                <w:szCs w:val="18"/>
                <w:color w:val="auto"/>
              </w:rPr>
              <w:t>their terms will expire at the annual meeting</w:t>
            </w:r>
          </w:p>
        </w:tc>
      </w:tr>
      <w:tr>
        <w:trPr>
          <w:trHeight w:val="230"/>
        </w:trPr>
        <w:tc>
          <w:tcPr>
            <w:tcW w:w="2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w w:val="91"/>
              </w:rPr>
              <w:t>of stockholders to be held in 2021;</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3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the Class II directors will be</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w w:val="97"/>
              </w:rPr>
              <w:t>and , and their terms will expire at the annual meeting of</w:t>
            </w:r>
          </w:p>
        </w:tc>
      </w:tr>
      <w:tr>
        <w:trPr>
          <w:trHeight w:val="230"/>
        </w:trPr>
        <w:tc>
          <w:tcPr>
            <w:tcW w:w="24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w w:val="96"/>
              </w:rPr>
              <w:t>stockholders to be held in 2022; and</w:t>
            </w:r>
          </w:p>
        </w:tc>
        <w:tc>
          <w:tcPr>
            <w:tcW w:w="92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280"/>
              <w:spacing w:after="0"/>
              <w:rPr>
                <w:sz w:val="20"/>
                <w:szCs w:val="20"/>
                <w:color w:val="auto"/>
              </w:rPr>
            </w:pPr>
            <w:r>
              <w:rPr>
                <w:rFonts w:ascii="Arial" w:cs="Arial" w:eastAsia="Arial" w:hAnsi="Arial"/>
                <w:sz w:val="18"/>
                <w:szCs w:val="18"/>
                <w:color w:val="auto"/>
              </w:rPr>
              <w:t>the Class III directors will be ,</w:t>
            </w:r>
          </w:p>
        </w:tc>
        <w:tc>
          <w:tcPr>
            <w:tcW w:w="300" w:type="dxa"/>
            <w:vAlign w:val="bottom"/>
          </w:tcPr>
          <w:p>
            <w:pPr>
              <w:spacing w:after="0"/>
              <w:rPr>
                <w:sz w:val="24"/>
                <w:szCs w:val="24"/>
                <w:color w:val="auto"/>
              </w:rPr>
            </w:pP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w w:val="97"/>
              </w:rPr>
              <w:t>and , and their terms will expire at the annual meeting of</w:t>
            </w:r>
          </w:p>
        </w:tc>
      </w:tr>
      <w:tr>
        <w:trPr>
          <w:trHeight w:val="230"/>
        </w:trPr>
        <w:tc>
          <w:tcPr>
            <w:tcW w:w="2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w w:val="98"/>
              </w:rPr>
              <w:t>stockholders to be held in 2023.</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00" w:type="dxa"/>
            <w:vAlign w:val="bottom"/>
          </w:tcPr>
          <w:p>
            <w:pPr>
              <w:spacing w:after="0"/>
              <w:rPr>
                <w:sz w:val="20"/>
                <w:szCs w:val="20"/>
                <w:color w:val="auto"/>
              </w:rPr>
            </w:pPr>
          </w:p>
        </w:tc>
      </w:tr>
    </w:tbl>
    <w:p>
      <w:pPr>
        <w:spacing w:after="0" w:line="13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 xml:space="preserve">The Combined Entity’s board of directors will have the authority to appoint committees to perform certain management and administration functions. FS Development’s current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Following the Closing, the charters for each of these committees will be available on Gemini’s website at </w:t>
      </w:r>
      <w:r>
        <w:rPr>
          <w:rFonts w:ascii="Arial" w:cs="Arial" w:eastAsia="Arial" w:hAnsi="Arial"/>
          <w:sz w:val="18"/>
          <w:szCs w:val="18"/>
          <w:i w:val="1"/>
          <w:iCs w:val="1"/>
          <w:color w:val="auto"/>
        </w:rPr>
        <w:t>www.geminitherapeutics.com</w:t>
      </w:r>
      <w:r>
        <w:rPr>
          <w:rFonts w:ascii="Arial" w:cs="Arial" w:eastAsia="Arial" w:hAnsi="Arial"/>
          <w:sz w:val="18"/>
          <w:szCs w:val="18"/>
          <w:color w:val="auto"/>
        </w:rPr>
        <w:t>. Information contained on or accessible through Gemini’s website is not a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proxy statement/prospectus, and the inclusion of such website address in this proxy statement/prospectus is an inactive textual reference only.</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4" w:name="page185"/>
    <w:bookmarkEnd w:id="18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4" w:lineRule="exact"/>
        <w:rPr>
          <w:sz w:val="20"/>
          <w:szCs w:val="20"/>
          <w:color w:val="auto"/>
        </w:rPr>
      </w:pPr>
    </w:p>
    <w:p>
      <w:pPr>
        <w:ind w:left="460"/>
        <w:spacing w:after="0"/>
        <w:tabs>
          <w:tab w:leader="none" w:pos="5820" w:val="left"/>
          <w:tab w:leader="none" w:pos="6520" w:val="left"/>
          <w:tab w:leader="none" w:pos="7360" w:val="left"/>
        </w:tabs>
        <w:rPr>
          <w:sz w:val="20"/>
          <w:szCs w:val="20"/>
          <w:color w:val="auto"/>
        </w:rPr>
      </w:pPr>
      <w:r>
        <w:rPr>
          <w:rFonts w:ascii="Arial" w:cs="Arial" w:eastAsia="Arial" w:hAnsi="Arial"/>
          <w:sz w:val="18"/>
          <w:szCs w:val="18"/>
          <w:color w:val="auto"/>
        </w:rPr>
        <w:t>The Combined Entity’s audit committee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The Board has</w:t>
      </w:r>
    </w:p>
    <w:p>
      <w:pPr>
        <w:spacing w:after="0" w:line="2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determined each proposed member is independent under the listing standards and Rule 10A-3(b)(1) of the Exchange Act. The chairperson of the audit committee is expected to be David Lubner. The Board has determined that David Lubner is an “audit committee financial expert” within the meaning of SEC regulations. The Board has also determined that each member of the proposed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113"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98" w:lineRule="exact"/>
        <w:rPr>
          <w:sz w:val="20"/>
          <w:szCs w:val="20"/>
          <w:color w:val="auto"/>
        </w:rPr>
      </w:pPr>
    </w:p>
    <w:p>
      <w:pPr>
        <w:ind w:left="1320" w:right="479" w:hanging="434"/>
        <w:spacing w:after="0" w:line="277" w:lineRule="auto"/>
        <w:tabs>
          <w:tab w:leader="none" w:pos="13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the Combined Entity’s financial statements;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64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64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reviewing policies on risk assessment and risk management;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57" w:lineRule="exact"/>
        <w:rPr>
          <w:rFonts w:ascii="Arial" w:cs="Arial" w:eastAsia="Arial" w:hAnsi="Arial"/>
          <w:sz w:val="18"/>
          <w:szCs w:val="18"/>
          <w:color w:val="auto"/>
        </w:rPr>
      </w:pPr>
    </w:p>
    <w:p>
      <w:pPr>
        <w:jc w:val="both"/>
        <w:ind w:left="1320" w:right="459" w:hanging="434"/>
        <w:spacing w:after="0" w:line="259" w:lineRule="auto"/>
        <w:tabs>
          <w:tab w:leader="none" w:pos="148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the Combined Entity’s internal quality-control procedures, any material issues with such procedures, and any steps taken to deal with such issues when required by applicable law; and</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45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460"/>
        <w:spacing w:after="0"/>
        <w:tabs>
          <w:tab w:leader="none" w:pos="5020" w:val="left"/>
          <w:tab w:leader="none" w:pos="5680" w:val="left"/>
          <w:tab w:leader="none" w:pos="6520" w:val="left"/>
        </w:tabs>
        <w:rPr>
          <w:sz w:val="20"/>
          <w:szCs w:val="20"/>
          <w:color w:val="auto"/>
        </w:rPr>
      </w:pPr>
      <w:r>
        <w:rPr>
          <w:rFonts w:ascii="Arial" w:cs="Arial" w:eastAsia="Arial" w:hAnsi="Arial"/>
          <w:sz w:val="18"/>
          <w:szCs w:val="18"/>
          <w:color w:val="auto"/>
        </w:rPr>
        <w:t>The compensation committee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The Board has determined</w:t>
      </w:r>
    </w:p>
    <w:p>
      <w:pPr>
        <w:spacing w:after="0" w:line="23" w:lineRule="exact"/>
        <w:rPr>
          <w:sz w:val="20"/>
          <w:szCs w:val="20"/>
          <w:color w:val="auto"/>
        </w:rPr>
      </w:pPr>
    </w:p>
    <w:p>
      <w:pPr>
        <w:jc w:val="both"/>
        <w:ind w:left="460" w:right="479"/>
        <w:spacing w:after="0" w:line="281" w:lineRule="auto"/>
        <w:rPr>
          <w:sz w:val="20"/>
          <w:szCs w:val="20"/>
          <w:color w:val="auto"/>
        </w:rPr>
      </w:pPr>
      <w:r>
        <w:rPr>
          <w:rFonts w:ascii="Arial" w:cs="Arial" w:eastAsia="Arial" w:hAnsi="Arial"/>
          <w:sz w:val="16"/>
          <w:szCs w:val="16"/>
          <w:color w:val="auto"/>
        </w:rPr>
        <w:t>each proposed member is a “non-employee director” as defined in Rule 16b-3 promulgated under the Exchange Act and an “outside director” as that term is defined in Section 162(m) of the Internal Revenue Code of 1986, as</w:t>
      </w:r>
    </w:p>
    <w:p>
      <w:pPr>
        <w:spacing w:after="0" w:line="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amended, or the Code. The chairperson of the compensation committee is expected to be .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responsibilities of the compensation committee will include:</w:t>
      </w:r>
    </w:p>
    <w:p>
      <w:pPr>
        <w:spacing w:after="0" w:line="144" w:lineRule="exact"/>
        <w:rPr>
          <w:sz w:val="20"/>
          <w:szCs w:val="20"/>
          <w:color w:val="auto"/>
        </w:rPr>
      </w:pPr>
    </w:p>
    <w:p>
      <w:pPr>
        <w:ind w:left="1320" w:right="479" w:hanging="434"/>
        <w:spacing w:after="0" w:line="277" w:lineRule="auto"/>
        <w:tabs>
          <w:tab w:leader="none" w:pos="137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5" w:name="page186"/>
    <w:bookmarkEnd w:id="18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311" w:lineRule="auto"/>
        <w:tabs>
          <w:tab w:leader="none" w:pos="163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81" w:lineRule="exact"/>
        <w:rPr>
          <w:rFonts w:ascii="Arial" w:cs="Arial" w:eastAsia="Arial" w:hAnsi="Arial"/>
          <w:sz w:val="16"/>
          <w:szCs w:val="16"/>
          <w:color w:val="auto"/>
        </w:rPr>
      </w:pPr>
    </w:p>
    <w:p>
      <w:pPr>
        <w:ind w:left="1320" w:right="479" w:hanging="434"/>
        <w:spacing w:after="0" w:line="277" w:lineRule="auto"/>
        <w:tabs>
          <w:tab w:leader="none" w:pos="132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44" w:lineRule="exact"/>
        <w:rPr>
          <w:sz w:val="20"/>
          <w:szCs w:val="20"/>
          <w:color w:val="auto"/>
        </w:rPr>
      </w:pPr>
    </w:p>
    <w:p>
      <w:pPr>
        <w:ind w:left="460"/>
        <w:spacing w:after="0"/>
        <w:tabs>
          <w:tab w:leader="none" w:pos="6700" w:val="left"/>
          <w:tab w:leader="none" w:pos="7340" w:val="left"/>
          <w:tab w:leader="none" w:pos="8160" w:val="left"/>
        </w:tabs>
        <w:rPr>
          <w:sz w:val="20"/>
          <w:szCs w:val="20"/>
          <w:color w:val="auto"/>
        </w:rPr>
      </w:pPr>
      <w:r>
        <w:rPr>
          <w:rFonts w:ascii="Arial" w:cs="Arial" w:eastAsia="Arial" w:hAnsi="Arial"/>
          <w:sz w:val="18"/>
          <w:szCs w:val="18"/>
          <w:color w:val="auto"/>
        </w:rPr>
        <w:t>Our nominating and corporate governance committee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Board has determined each proposed member is independent under the listing standards. The chairperson of our</w:t>
      </w:r>
    </w:p>
    <w:p>
      <w:pPr>
        <w:spacing w:after="0" w:line="32" w:lineRule="exact"/>
        <w:rPr>
          <w:sz w:val="20"/>
          <w:szCs w:val="20"/>
          <w:color w:val="auto"/>
        </w:rPr>
      </w:pPr>
    </w:p>
    <w:p>
      <w:pPr>
        <w:ind w:left="460"/>
        <w:spacing w:after="0"/>
        <w:tabs>
          <w:tab w:leader="none" w:pos="5700" w:val="left"/>
        </w:tabs>
        <w:rPr>
          <w:sz w:val="20"/>
          <w:szCs w:val="20"/>
          <w:color w:val="auto"/>
        </w:rPr>
      </w:pPr>
      <w:r>
        <w:rPr>
          <w:rFonts w:ascii="Arial" w:cs="Arial" w:eastAsia="Arial" w:hAnsi="Arial"/>
          <w:sz w:val="17"/>
          <w:szCs w:val="17"/>
          <w:color w:val="auto"/>
        </w:rPr>
        <w:t>nominating and corporate governance committee is expected to be</w:t>
      </w:r>
      <w:r>
        <w:rPr>
          <w:sz w:val="20"/>
          <w:szCs w:val="20"/>
          <w:color w:val="auto"/>
        </w:rPr>
        <w:tab/>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58" w:lineRule="exact"/>
        <w:rPr>
          <w:sz w:val="20"/>
          <w:szCs w:val="20"/>
          <w:color w:val="auto"/>
        </w:rPr>
      </w:pPr>
    </w:p>
    <w:p>
      <w:pPr>
        <w:ind w:left="1320" w:right="479" w:hanging="434"/>
        <w:spacing w:after="0" w:line="277" w:lineRule="auto"/>
        <w:tabs>
          <w:tab w:leader="none" w:pos="158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 xml:space="preserve">The Combined Entity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Gemini’s website at </w:t>
      </w:r>
      <w:r>
        <w:rPr>
          <w:rFonts w:ascii="Arial" w:cs="Arial" w:eastAsia="Arial" w:hAnsi="Arial"/>
          <w:sz w:val="17"/>
          <w:szCs w:val="17"/>
          <w:i w:val="1"/>
          <w:iCs w:val="1"/>
          <w:color w:val="auto"/>
        </w:rPr>
        <w:t>www.geminitherapeutics.com</w:t>
      </w:r>
      <w:r>
        <w:rPr>
          <w:rFonts w:ascii="Arial" w:cs="Arial" w:eastAsia="Arial" w:hAnsi="Arial"/>
          <w:sz w:val="17"/>
          <w:szCs w:val="17"/>
          <w:color w:val="auto"/>
        </w:rPr>
        <w:t>. Information contained on or accessible through such website is not a part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proxy statement/prospectus, and the inclusion of the website address in this proxy statement/prospectus is an inactive textual reference only. The Combined Entity intends to disclose any amendments to the Code of Business Conduct and Ethics, or any waivers of its requirements, on its website to the extent required by the applicable rules and exchange requirements.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 member of the Combined Entity’s compensation committee has ever been an officer or employee of either company. None of the Combined Entity’s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6" w:name="page187"/>
    <w:bookmarkEnd w:id="18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DATA OF GEMINI</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following tables summarize Gemini’s financial and other data. Gemini has derived the selected statements of operations data for the years ended December 31, 2018 and 2019 and the selected balance sheet data as of December 31, 2019 from its audited financial statements included elsewhere in this proxy statement/prospectus. The selected statements of operations data for the six months ended June 30, 2019 and 2020 and the selected balance sheet data as of June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You should read this data together with Gemini’s financial statements and related notes included elsewhere in this proxy statement/prospectus and the section 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of Gemini</w:t>
      </w:r>
      <w:r>
        <w:rPr>
          <w:rFonts w:ascii="Arial" w:cs="Arial" w:eastAsia="Arial" w:hAnsi="Arial"/>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Statements of Operations and Comprehensive Loss Data:</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9"/>
          </w:tcPr>
          <w:p>
            <w:pPr>
              <w:jc w:val="right"/>
              <w:ind w:right="95"/>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9"/>
          </w:tcPr>
          <w:p>
            <w:pPr>
              <w:jc w:val="right"/>
              <w:ind w:right="101"/>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1"/>
              <w:spacing w:after="0"/>
              <w:rPr>
                <w:sz w:val="20"/>
                <w:szCs w:val="20"/>
                <w:color w:val="auto"/>
              </w:rPr>
            </w:pPr>
            <w:r>
              <w:rPr>
                <w:rFonts w:ascii="Arial" w:cs="Arial" w:eastAsia="Arial" w:hAnsi="Arial"/>
                <w:sz w:val="18"/>
                <w:szCs w:val="18"/>
                <w:color w:val="auto"/>
              </w:rPr>
              <w:t>14,651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55"/>
              <w:spacing w:after="0"/>
              <w:rPr>
                <w:sz w:val="20"/>
                <w:szCs w:val="20"/>
                <w:color w:val="auto"/>
              </w:rPr>
            </w:pPr>
            <w:r>
              <w:rPr>
                <w:rFonts w:ascii="Arial" w:cs="Arial" w:eastAsia="Arial" w:hAnsi="Arial"/>
                <w:sz w:val="18"/>
                <w:szCs w:val="18"/>
                <w:color w:val="auto"/>
              </w:rPr>
              <w:t>34,472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18,151</w:t>
            </w:r>
          </w:p>
        </w:tc>
        <w:tc>
          <w:tcPr>
            <w:tcW w:w="60" w:type="dxa"/>
            <w:vAlign w:val="bottom"/>
          </w:tcPr>
          <w:p>
            <w:pPr>
              <w:spacing w:after="0"/>
              <w:rPr>
                <w:sz w:val="21"/>
                <w:szCs w:val="21"/>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61"/>
              <w:spacing w:after="0"/>
              <w:rPr>
                <w:sz w:val="20"/>
                <w:szCs w:val="20"/>
                <w:color w:val="auto"/>
              </w:rPr>
            </w:pPr>
            <w:r>
              <w:rPr>
                <w:rFonts w:ascii="Arial" w:cs="Arial" w:eastAsia="Arial" w:hAnsi="Arial"/>
                <w:sz w:val="18"/>
                <w:szCs w:val="18"/>
                <w:color w:val="auto"/>
              </w:rPr>
              <w:t>20,191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jc w:val="right"/>
              <w:ind w:right="55"/>
              <w:spacing w:after="0"/>
              <w:rPr>
                <w:sz w:val="20"/>
                <w:szCs w:val="20"/>
                <w:color w:val="auto"/>
              </w:rPr>
            </w:pPr>
            <w:r>
              <w:rPr>
                <w:rFonts w:ascii="Arial" w:cs="Arial" w:eastAsia="Arial" w:hAnsi="Arial"/>
                <w:sz w:val="18"/>
                <w:szCs w:val="18"/>
                <w:color w:val="auto"/>
              </w:rPr>
              <w:t>41,225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21,034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16,297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(41,225)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6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right"/>
              <w:ind w:right="5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3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(20,167</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(41,400</w:t>
            </w:r>
          </w:p>
        </w:tc>
        <w:tc>
          <w:tcPr>
            <w:tcW w:w="120" w:type="dxa"/>
            <w:vAlign w:val="bottom"/>
            <w:vMerge w:val="continue"/>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(20,997</w:t>
            </w:r>
          </w:p>
        </w:tc>
        <w:tc>
          <w:tcPr>
            <w:tcW w:w="80" w:type="dxa"/>
            <w:vAlign w:val="bottom"/>
            <w:gridSpan w:val="2"/>
            <w:vMerge w:val="continue"/>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(16,519</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6"/>
              </w:rPr>
              <w:t>Net loss attributable to common stockholders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CCEEFF"/>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(41,400)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
              <w:spacing w:after="0"/>
              <w:rPr>
                <w:sz w:val="20"/>
                <w:szCs w:val="20"/>
                <w:color w:val="auto"/>
              </w:rPr>
            </w:pPr>
            <w:r>
              <w:rPr>
                <w:rFonts w:ascii="Arial" w:cs="Arial" w:eastAsia="Arial" w:hAnsi="Arial"/>
                <w:sz w:val="18"/>
                <w:szCs w:val="18"/>
                <w:color w:val="auto"/>
              </w:rPr>
              <w:t>(4.19)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(4.12)</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common shares outstanding,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89"/>
              </w:rPr>
              <w:t>4,811,641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8"/>
                <w:szCs w:val="18"/>
                <w:color w:val="auto"/>
                <w:w w:val="94"/>
              </w:rPr>
              <w:t>5,171,537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5,095,813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5,465,177</w:t>
            </w: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9"/>
          </w:tcPr>
          <w:p>
            <w:pPr>
              <w:jc w:val="right"/>
              <w:ind w:right="80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right"/>
              <w:ind w:right="281"/>
              <w:spacing w:after="0"/>
              <w:rPr>
                <w:sz w:val="20"/>
                <w:szCs w:val="20"/>
                <w:color w:val="auto"/>
              </w:rPr>
            </w:pPr>
            <w:r>
              <w:rPr>
                <w:rFonts w:ascii="Arial" w:cs="Arial" w:eastAsia="Arial" w:hAnsi="Arial"/>
                <w:sz w:val="16"/>
                <w:szCs w:val="16"/>
                <w:b w:val="1"/>
                <w:bCs w:val="1"/>
                <w:color w:val="auto"/>
                <w:w w:val="96"/>
              </w:rPr>
              <w:t>June 30,</w:t>
            </w:r>
          </w:p>
        </w:tc>
        <w:tc>
          <w:tcPr>
            <w:tcW w:w="0" w:type="dxa"/>
            <w:vAlign w:val="bottom"/>
          </w:tcPr>
          <w:p>
            <w:pPr>
              <w:spacing w:after="0"/>
              <w:rPr>
                <w:sz w:val="1"/>
                <w:szCs w:val="1"/>
                <w:color w:val="auto"/>
              </w:rPr>
            </w:pPr>
          </w:p>
        </w:tc>
      </w:tr>
      <w:tr>
        <w:trPr>
          <w:trHeight w:val="46"/>
        </w:trPr>
        <w:tc>
          <w:tcPr>
            <w:tcW w:w="3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18,528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2,986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21,608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6,144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current portion</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2,500</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w w:val="95"/>
              </w:rPr>
              <w:t>Term loan, net of current portion and discount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7,411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7,428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16,576</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47,113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60,365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80,449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(30,584)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(71,984)</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(88,503)</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(29,843)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(70,797)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(87,064)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7" w:name="page188"/>
    <w:bookmarkEnd w:id="18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OF GEMINI</w:t>
      </w:r>
    </w:p>
    <w:p>
      <w:pPr>
        <w:spacing w:after="0" w:line="8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i w:val="1"/>
          <w:iCs w:val="1"/>
          <w:color w:val="auto"/>
        </w:rPr>
        <w:t>The following discussion and analysis of Gemini’s financial condition and results of operations should be read in conjunction with its financial statements and related notes that appear elsewhere in this proxy statement/prospectus. In addition to historical financial information, the following discussion contains forward-looking statements that reflect Gemini’s plans, estimates and beliefs. Gemini’s actual results could differ materially from those discussed in the forward-looking statements. Factors that could cause or contribute to these differences include those discussed below and elsewhere particularly in the sections titled “Risk Factors” and “</w:t>
      </w:r>
      <w:r>
        <w:rPr>
          <w:rFonts w:ascii="Arial" w:cs="Arial" w:eastAsia="Arial" w:hAnsi="Arial"/>
          <w:sz w:val="18"/>
          <w:szCs w:val="18"/>
          <w:u w:val="single" w:color="auto"/>
          <w:color w:val="auto"/>
        </w:rPr>
        <w:t>Cautionary Note Regarding Forward-Looking Statements</w:t>
      </w:r>
      <w:r>
        <w:rPr>
          <w:rFonts w:ascii="Arial" w:cs="Arial" w:eastAsia="Arial" w:hAnsi="Arial"/>
          <w:sz w:val="18"/>
          <w:szCs w:val="18"/>
          <w:i w:val="1"/>
          <w:iCs w:val="1"/>
          <w:color w:val="auto"/>
        </w:rPr>
        <w:t>” included elsewhere in this proxy statement/prospectus.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Gemini is a clinical-stage precision medicine company developing novel therapeutic compounds to treat genetically defined, age-related macular degeneration (AMD). Gemini’s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7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Gemini is seeking to complete a merger with FS Development, which would result in FS Development acquiring 100% of the Company’s issued and outstanding securities. Together with FS Development’s cash resources, additional funding for Gemini’s operations would be provided through a Private Investment in Public Equity (“PIPE”) offering to be completed concurrently with the merger. In the event a merger is not consummated, Gemini may be required to obtain additional funding whether through future collaboration agreements, private or public offerings, debt or a combination thereof and such additional funding may not be available on terms Gemini finds acceptable or favorable. There is inherent uncertainty associated with these fundraising activities and they are not considered probable. If Gemini is unable to obtain sufficient capital to continue to advance its programs, Gemini would be forced to delay, reduce or eliminate its research and development programs and any future commercialization efforts. Accordingly, substantial doubt is deemed to exist about Gemini’s ability to continue as a going concern within 12 months following the date its audited financial statements for December 31, 2019 were issued.</w:t>
      </w:r>
    </w:p>
    <w:p>
      <w:pPr>
        <w:spacing w:after="0" w:line="8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Since inception in 2015, Gemini has devoted substantially all its efforts and financial resources to organizing and staffing its company, business planning, raising capital, discovering product candidates and securing related intellectual property rights and conducting research and development activities for its product candidates. Gemini does not have any products approved for sale and it has not generated any revenue from product sales. Gemini may never be able to develop or commercialize a marketable product.</w:t>
      </w:r>
    </w:p>
    <w:p>
      <w:pPr>
        <w:spacing w:after="0" w:line="95"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Gemini’s lead product candidate, GEM103, is in Phase 2a clinical development and its other product candidates and its research initiatives are in preclinical or earlier stages of development. Gemini’s ability to generate revenue from product sales sufficient to achieve profitability will depend heavily on the successful development and eventual commercialization of one or more of its product candidates. Gemini has not yet successfully completed any pivotal clinical trials, nor has it obtained any regulatory approvals, manufactured a commercial-scale drug, or conducted sales and marketing activities. Through June 30, 2020, Gemini had received gross proceeds of $76.0 million from the sale of its preferred stock, gross proceeds of $2.9 million from borrowings under convertible promissory notes and $10.0 million from its term loan facility with Silicon Valley Bank, or SVB.</w:t>
      </w:r>
    </w:p>
    <w:p>
      <w:pPr>
        <w:spacing w:after="0" w:line="10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Gemini expects to continue to incur net losses for the foreseeable future, and it expects its research and development expenses, and general and administrative expenses to continue to increase. Gemini has incurred significant operating losses since inception. Gemini’s net losses were $20.2 million and $41.4 million for the years ended December 31, 2018 and 2019, respectively. Gemini’s net losses were $21.0 million and $16.5 million for the six months ended June 30, 2019 and 2020, respectively. As of December 31, 2019 and June 30, 2020, Gemini had an accumulated deficit of $72.0 million and $88.5 million, respectively. Gemini expects that its expenses and capital requirements will increase substantially in connection with its ongoing development activities, particularly if and as it:</w:t>
      </w:r>
    </w:p>
    <w:p>
      <w:pPr>
        <w:spacing w:after="0" w:line="84" w:lineRule="exact"/>
        <w:rPr>
          <w:sz w:val="20"/>
          <w:szCs w:val="20"/>
          <w:color w:val="auto"/>
        </w:rPr>
      </w:pPr>
    </w:p>
    <w:p>
      <w:pPr>
        <w:ind w:left="1320" w:right="479" w:hanging="434"/>
        <w:spacing w:after="0" w:line="277" w:lineRule="auto"/>
        <w:tabs>
          <w:tab w:leader="none" w:pos="133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continues preclinical studies and continues existing and initiates new clinical trials for GEM103, its lead product candidate being tested in AMD;</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8" w:name="page189"/>
    <w:bookmarkEnd w:id="18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3" w:lineRule="auto"/>
        <w:tabs>
          <w:tab w:leader="none" w:pos="139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advances the development of its product candidate pipeline of other product candidates, including through business development efforts to invest in or in-license other technologies or product candidates;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maintains, expands and protects its intellectual property portfolio;</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hires additional clinical, quality control, medical, scientific and other technical personnel to support Gemini’s clinical operations;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seeks regulatory approvals for any product candidates that successfully complete clinical trials;</w:t>
      </w:r>
    </w:p>
    <w:p>
      <w:pPr>
        <w:spacing w:after="0" w:line="169" w:lineRule="exact"/>
        <w:rPr>
          <w:rFonts w:ascii="Arial" w:cs="Arial" w:eastAsia="Arial" w:hAnsi="Arial"/>
          <w:sz w:val="17"/>
          <w:szCs w:val="17"/>
          <w:color w:val="auto"/>
        </w:rPr>
      </w:pPr>
    </w:p>
    <w:p>
      <w:pPr>
        <w:ind w:left="1320" w:right="459" w:hanging="434"/>
        <w:spacing w:after="0" w:line="308" w:lineRule="auto"/>
        <w:tabs>
          <w:tab w:leader="none" w:pos="155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undertakes any pre-commercialization activities to establish sales, marketing and distribution capabilities for any product candidates for which Gemini may receive regulatory approval;</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expands its infrastructure and facilities to accommodate its growing employee base; and</w:t>
      </w:r>
    </w:p>
    <w:p>
      <w:pPr>
        <w:spacing w:after="0" w:line="144" w:lineRule="exact"/>
        <w:rPr>
          <w:rFonts w:ascii="Arial" w:cs="Arial" w:eastAsia="Arial" w:hAnsi="Arial"/>
          <w:sz w:val="18"/>
          <w:szCs w:val="18"/>
          <w:color w:val="auto"/>
        </w:rPr>
      </w:pPr>
    </w:p>
    <w:p>
      <w:pPr>
        <w:jc w:val="both"/>
        <w:ind w:left="1320" w:right="459" w:hanging="434"/>
        <w:spacing w:after="0" w:line="286" w:lineRule="auto"/>
        <w:tabs>
          <w:tab w:leader="none" w:pos="131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adds operational, financial and management information systems and personnel, including personnel to support its research and development programs, any future commercialization efforts and its transition to operating as a public company following the Closing.</w:t>
      </w:r>
    </w:p>
    <w:p>
      <w:pPr>
        <w:spacing w:after="0" w:line="9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Furthermore, upon the Closing, Gemini expects to incur additional costs associated with operating as a public company, including significant legal, accounting, investor relations and other expenses that it did not incur as a private company.</w:t>
      </w:r>
    </w:p>
    <w:p>
      <w:pPr>
        <w:spacing w:after="0" w:line="116"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a result, Gemini will need substantial additional funding to support its continuing operations and pursue its growth strategy. Until such time as it can generate significant revenue from product sales, if ever, Gemini expects to finance its operations through a combination of private and public equity offerings, debt financings or other capital sources, which may include collaborations with other companies or other strategic transactions. To the extent that Gemini raises additional capital through the sale of private or public equity or convertible debt securities, existing ownership interests will be diluted, and the terms of these securities may include liquidation or other preferences that adversely affect the rights of Gemini Equityholders. Debt financing and preferred equity financing, if available, may involve agreements that include covenants limiting or restricting Gemini’s ability to take specific actions, such as incurring additional debt, making acquisitions or capital expenditures or declaring dividends. If Gemini raises additional funds through collaborations or other strategic transactions with third parties, Gemini may have to relinquish valuable rights to its technologies, future revenue streams, research programs or drug candidates, or grant licenses on terms that may not be favorable to Gemini. Gemini may be unable to raise additional funds or enter into such other agreements or arrangements when needed on favorable terms, or at all. If it fails to raise capital or enter into such agreements as and when needed, Gemini may have to significantly delay, scale back or discontinue the development and commercialization of one or more of its product candidates or delay its pursuit of potential in-licenses or acquisitions.</w:t>
      </w:r>
    </w:p>
    <w:p>
      <w:pPr>
        <w:spacing w:after="0" w:line="9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Because of the numerous risks and uncertainties associated with product development, Gemini is unable to predict the timing or amount of increased expenses or when or if it will be able to achieve or maintain profitability. Even if Gemini is able to generate product sales, it may not become profitable. If it fails to become profitable or is unable to sustain profitability on a continuing basis, Gemini may be unable to continue its operations at planned levels and be forced to reduce or terminate its operations.</w:t>
      </w:r>
    </w:p>
    <w:p>
      <w:pPr>
        <w:spacing w:after="0" w:line="10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 xml:space="preserve">Gemini has incurred significant operating losses since its inception and as of June 30, 2020, had an accumulated deficit of $88.5 million and had not yet generated revenues. In addition, Gemini expects to continue to incur significant and increasing expenses and operating losses for the foreseeable future. These factors raise substantial doubt about its ability to continue as a going concern. Management believes that its cash resources, inclusive of the $14.0 million in proceeds raised from the issuance of convertible promissory notes in August 2020, will not be sufficient to allow Gemini to fund current planned operations beyond the next twelve months from the date of this proxy statement/prospectus without additional capital. Gemini believes, however, that the net proceeds from the Business Combination and the PIPE Investment, together with its available resources and existing cash and cash equivalents, will enable it to fund its operating expenses and capital expenditure requirements into 2022. Gemini has based this estimate on assumptions that may prove to be wrong, and it could exhaust its available capital resources sooner than it expects. See “— </w:t>
      </w:r>
      <w:r>
        <w:rPr>
          <w:rFonts w:ascii="Arial" w:cs="Arial" w:eastAsia="Arial" w:hAnsi="Arial"/>
          <w:sz w:val="17"/>
          <w:szCs w:val="17"/>
          <w:i w:val="1"/>
          <w:iCs w:val="1"/>
          <w:color w:val="auto"/>
        </w:rPr>
        <w:t>Liquidity and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resources</w:t>
      </w:r>
      <w:r>
        <w:rPr>
          <w:rFonts w:ascii="Arial" w:cs="Arial" w:eastAsia="Arial" w:hAnsi="Arial"/>
          <w:sz w:val="17"/>
          <w:szCs w:val="17"/>
          <w:color w:val="auto"/>
        </w:rPr>
        <w:t>.” Gemini’s future viability beyond that point is dependent on its ability to raise additional capital to</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its operations.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9" w:name="page190"/>
    <w:bookmarkEnd w:id="18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COVID-19 pandemic</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March 2020, the WHO declared the COVID-19 outbreak a pandemic. To date, Gemini’s financial condition and operations have not been significantly impacted by the COVID-19 pandemic. However, Gemini cannot at this time predict the specific extent, duration, or full impact that the COVID-19 pandemic will have on its financial condition and operations, including ongoing and planned clinical trials and other operations required to support those clinical trials and research and development activities to advance Gemini’s pipeline. The impact of the COVID-19 pandemic on its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Gemini’s results may be materially adversely affected.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Convertible promissory notes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On August 21, 2020, Gemini entered into a purchase agreement with existing investors to issue $14,000,000 in convertible promissory notes, or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Notes served as a bridge loan prior to PIPE Investment in connection with the proposed merger of the Company and FS Development.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Proposed Business Combination Transaction</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On October 15, 2020, FS Development executed a definitive merger agreement among it, Merger Sub, Gemini and the Shareholders Representative. As a result of the proposed Business Combination, FS Development will be renamed to Gemini Therapeutics, Inc., or the Combined Entity, and Gemini will become a wholly-owned subsidiary of the Combined Entity. In connection with the Business Combination, the stockholders of Gemini will exchange their interests in Gemini for shares of FS Development Class A Common Stock. In addition, Gemini’s existing equity incentive plan will be terminated; awards issued under Gemini’s existing equity incentive plan will be exchanged for awards issued under a new equity incentive plan to be adopted by the Combined Entity. Lastly, in connection with the Business Combination, certain investors have agreed to subscribe for and purchase an aggregate of 95,060,000 shares of FS Development Class A Common Stock. The Combined Entity is expected to receive net proceeds of approximately $196.4 million at the Closing (assuming no redemptions are effected by stockholders of FS Development) and will continue to operate under the Gemini management team, led by chief executive officer Jason Meyenburg. The boards of directors of both FS Development and Gemini have approved the proposed transaction. Completion of the transaction, which is expected by the first quarter of 2021, is subject to approval of FS Development stockholders and the satisfaction or waiver of certain other customary closing conditions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Gemini’s Operating Results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Gemini has not generated any revenue since inception and does not expect to generate any revenue from the sale of products in the near future, if at all. If Gemini’s development efforts are successful and it commercializes it’s products, or if it enters into collaboration or license agreements with third parties, it may generate revenue in the future from product sales, as well as upfront, milestone and royalty payments from such collaboration or license agreements, or a combination thereof.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0" w:name="page191"/>
    <w:bookmarkEnd w:id="19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development of Gemini’s product candidates. Gemini expenses research and development costs as incurred, which include:</w:t>
      </w:r>
    </w:p>
    <w:p>
      <w:pPr>
        <w:spacing w:after="0" w:line="116" w:lineRule="exact"/>
        <w:rPr>
          <w:sz w:val="20"/>
          <w:szCs w:val="20"/>
          <w:color w:val="auto"/>
        </w:rPr>
      </w:pPr>
    </w:p>
    <w:p>
      <w:pPr>
        <w:ind w:left="1320" w:right="479" w:hanging="434"/>
        <w:spacing w:after="0" w:line="277" w:lineRule="auto"/>
        <w:tabs>
          <w:tab w:leader="none" w:pos="137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89" w:lineRule="exact"/>
        <w:rPr>
          <w:rFonts w:ascii="Arial" w:cs="Arial" w:eastAsia="Arial" w:hAnsi="Arial"/>
          <w:sz w:val="18"/>
          <w:szCs w:val="18"/>
          <w:color w:val="auto"/>
        </w:rPr>
      </w:pPr>
    </w:p>
    <w:p>
      <w:pPr>
        <w:jc w:val="both"/>
        <w:ind w:left="1320" w:right="479" w:hanging="434"/>
        <w:spacing w:after="0" w:line="259" w:lineRule="auto"/>
        <w:tabs>
          <w:tab w:leader="none" w:pos="14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expenses incurred under agreements with CROs that are primarily engaged in the oversight and conduct of its drug discovery efforts and preclinical studies, clinical trials and CMOs that are primarily engaged to provide preclinical and clinical drug substance and product for its research and development programs;</w:t>
      </w:r>
    </w:p>
    <w:p>
      <w:pPr>
        <w:spacing w:after="0" w:line="119" w:lineRule="exact"/>
        <w:rPr>
          <w:rFonts w:ascii="Arial" w:cs="Arial" w:eastAsia="Arial" w:hAnsi="Arial"/>
          <w:sz w:val="18"/>
          <w:szCs w:val="18"/>
          <w:color w:val="auto"/>
        </w:rPr>
      </w:pPr>
    </w:p>
    <w:p>
      <w:pPr>
        <w:jc w:val="both"/>
        <w:ind w:left="1320" w:right="459" w:hanging="434"/>
        <w:spacing w:after="0" w:line="259" w:lineRule="auto"/>
        <w:tabs>
          <w:tab w:leader="none" w:pos="137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materials in connection with its drug discovery efforts and preclinical studies and clinical trial materials, including manufacturing validation batches, as well as investigative sites and consultants that conduct its clinical trials, preclinical studies and other scientific development services;</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43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allocated facilities-related costs, depreciation and other expenses, which include rent and utilities.</w:t>
      </w:r>
    </w:p>
    <w:p>
      <w:pPr>
        <w:spacing w:after="0" w:line="16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Gemini recognizes external development costs as incurred. Any advance payments that Gemini makes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Gemini estimates and accrues for the value of goods and services received from CROs and other third parties each reporting period based on an evaluation of the progress to completion of specific tasks using information provided to it by its service providers. This process involves reviewing open contracts and purchase orders, communicating with its personnel to identify services that have been performed on its behalf and estimating the level of service performed and the associated cost incurred for the service when Gemini has not yet been invoiced or otherwise notified of actual costs.</w:t>
      </w:r>
    </w:p>
    <w:p>
      <w:pPr>
        <w:spacing w:after="0" w:line="11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Gemini does not track its research and development expenses on a program-by-program basis. Its direct external research and development expenses consist primarily of external costs, such as fees paid to outside consultants, CROs, CMOs and research laboratories in connection with its preclinical development, process development, manufacturing and clinical development activities. Gemini does not allocate employee costs, costs associated with its discovery efforts, laboratory supplies, and facilities, including depreciation or other indirect costs, to specific programs because these costs are deployed across multiple programs and, as such, are not separately classified. Gemini uses internal resources primarily to conduct its research and discovery as well as for managing its preclinical development, process development, manufacturing and clinical development activities. These employees work across multiple programs and, therefore, it does not track their costs by program.</w:t>
      </w:r>
    </w:p>
    <w:p>
      <w:pPr>
        <w:spacing w:after="0" w:line="9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Research and development activities are central to Gemini’s business model. Product candidates in later stages of clinical development generally have higher development costs than those in earlier stages of clinical development, primarily due to the increased size and duration of later-stage clinical trials. As a result, Gemini expects that its research and development expenses will increase substantially over the next several years as it continues its existing, and commences additional, planned clinical trials for GEM103, as well as conduct other preclinical and clinical development, including submitting regulatory filings for its other product candidates. Gemini also expects its discovery research efforts and its related personnel costs will increase and, as a result, it expects its research and development expenses, including costs associated with stock-based compensation, will increase above historical levels. In addition, it may incur additional expenses related to milestone and royalty payments payable to third parties with whom it may enter into license, acquisition and option agreements to acquire the rights to future product candidates.</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1" w:name="page192"/>
    <w:bookmarkEnd w:id="19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At this time, Gemini cannot reasonably estimate or know the nature, timing and costs of the efforts that will be necessary to complete the preclinical and clinical development of any of its product candidates or when, if ever, material net cash inflows may commence from any of its product candidates. The successful development and commercialization of its product candidates is highly uncertain. This uncertainty is due to the numerous risks and uncertainties associated with product development and commercialization, including the uncertainty of the following:</w:t>
      </w:r>
    </w:p>
    <w:p>
      <w:pPr>
        <w:spacing w:after="0" w:line="125" w:lineRule="exact"/>
        <w:rPr>
          <w:sz w:val="20"/>
          <w:szCs w:val="20"/>
          <w:color w:val="auto"/>
        </w:rPr>
      </w:pPr>
    </w:p>
    <w:p>
      <w:pPr>
        <w:ind w:left="1320" w:right="479" w:hanging="434"/>
        <w:spacing w:after="0" w:line="277" w:lineRule="auto"/>
        <w:tabs>
          <w:tab w:leader="none" w:pos="139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scope, progress, outcome and costs of its preclinical development activities, clinical trials and other research and development activities;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IND enabling studies;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5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 including the FDA and non-U.S. regulators;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6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3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it or its third-party manufacturers are able to make product successfully;</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development and timely delivery of clinical-grade and commercial-grade drug formulations that can be used in its clinical trials and for commercial launch;</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obtaining, maintaining, defending and enforcing patent claims and other intellectual property rights;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1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launching commercial sales of its product candidates, if and when approved, whether alone or in collaboration with others;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its product candidates following approval, if any, of its product candidates.</w:t>
      </w:r>
    </w:p>
    <w:p>
      <w:pPr>
        <w:spacing w:after="0" w:line="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Any changes in the outcome of any of these variables with respect to the development of its product candidates in preclinical and clinical development could mean a significant change in the costs and timing associated with the development of these product candidates. For example, if the FDA or another regulatory authority were to delay its planned start of clinical trials or require it to conduct clinical trials or other testing beyond those that it currently expects or if it experiences significant delays in enrollment in any of its planned clinical trials, it could be required to expend significant additional financial resources and time on the completion of clinical development of that product candidate.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Gemini expenses general and administrative costs as incurred.</w:t>
      </w:r>
    </w:p>
    <w:p>
      <w:pPr>
        <w:spacing w:after="0" w:line="11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Gemini anticipates that its general and administrative expenses will increase in the future as it increases its headcount to support the continued development of its product candidates. Gemini also anticipates that it will incur significantly increased accounting, audit, legal, regulatory, compliance and director and officer insurance costs as well as investor and public relations expenses associated with operating as a public company. Additionally, if and when it believes a regulatory approval of a product candidate appears likely, it anticipates an increase in payroll and other employee-related expenses as a result of its preparation for commercial operations, especially as it relates to the sales and marketing of that product candidate.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2" w:name="page193"/>
    <w:bookmarkEnd w:id="19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consists of interest accrued on its term loan entered into on February 8, 2019.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of income earned on its cash, cash equivalents and restricted cash.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4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In February 2019, in conjunction with its term loan, Gemini issued warrants to purchase 70,000 shares of its Series A preferred stock. It accounts for, and classifies, these warrants as a liability on its balance sheet because the warrants are freestanding financial instruments. Gemini remeasured this liability to fair value at each reporting date and recognized changes in the fair value of the warrant liability in its statements of operations.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Gemini has not recorded any significant amounts related to income tax expense, it has not recognized any reserves related to uncertain tax positions, nor has Gemini recorded any income tax benefits for the majority of its net losses it has incurred to date or for its research and development tax credits.</w:t>
      </w:r>
    </w:p>
    <w:p>
      <w:pPr>
        <w:spacing w:after="0" w:line="9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Gemini accounts for income taxes using the asset and liability method, which requires the recognition of deferred tax assets and liabilities for the expected future tax consequences of events that have been included in the financial statements or its tax returns. Deferred tax assets and liabilities are determined based on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its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June 30, 2020, Gemini continues to maintain a full valuation allowance against all of its deferred tax assets based on its evaluation of all available evidence. Gemini files income tax returns in the U.S. federal tax jurisdiction and state jurisdictions and may become subject to income tax audit and adjustments by related tax authorities. Its tax return period for U.S. federal income taxes for the tax years since 2015 remain open to examination under the statute of limitations by the Internal Revenue Service and state jurisdictions. Gemini records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Gemini in its tax filings or positions is more likely than not to be realized following the resolution of any potential contingencies related to the tax benefit. Gemini develops its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its provision for income taxes. To date, no amounts are being presented as an uncertain tax position.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3" w:name="page194"/>
    <w:bookmarkEnd w:id="19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Gemini’s results of operations for the six months ended June 30, 2019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7"/>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18,151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13,745</w:t>
            </w:r>
          </w:p>
        </w:tc>
        <w:tc>
          <w:tcPr>
            <w:tcW w:w="10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21,034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16,297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(4,737</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(20,997</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(16,519</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Research and development expenses were $18.2 million for the six months ended June 30, 2019, compared to $13.7 million for the six months ended June 30, 2020. The decrease of $4.4 million was primarily due to a decrease in external research and development costs because of Gemini’s strategic decision to focus its drug development efforts on its GEM103 product candidate. In addition, Gemini slowed its research and development spending due to the impact of COVID-19 and reduced employee headcount period over period. Gemini does not currently track expenses on a program-by-program basis.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General and administrative expenses were $2.9 million for the six months ended June 30, 2019, compared to $2.6 million for the six months ended June 30, 2020. The decrease of $0.3 million was primarily because of a reduction in employee headcount period over period and related expenses such as travel and benefits due to the impact of COVID-19.</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Interest expense was $0.1 million for the six months ended June 30, 2019, compared to $0.3 million for the six months ended June 30, 2020. Gemini borrowed $7.5 million from its term loan facility in April 2019, and an additional $2.5 million in December 2019. The increase in interest expense is due to the timing of the borrowings.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Interest income was $0.1 million for the six months ended June 30, 2019, compared to less than $0.1 million for the six months ended June 30, 2020. The decrease in interest income primarily relates to lower cash balances during the six months ended June 30, 2020 compared to the same period in the prior year.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 xml:space="preserve">The change in fair value of warrant liability reflects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reduction of the fair value of the Series A preferred stock warrant.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4" w:name="page195"/>
    <w:bookmarkEnd w:id="19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Gemini’s results of operations for the years ended December 31, 2018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7"/>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14,651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34,472</w:t>
            </w:r>
          </w:p>
        </w:tc>
        <w:tc>
          <w:tcPr>
            <w:tcW w:w="10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19,821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20,191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41,225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21,034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(20,167</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(21,233</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Research and development expenses were $14.7 million for the year ended December 31, 2018, compared to $34.5 million for the year ended December 31, 2019. The increase of $19.8 million was the result of increased external research and development costs related to the preclinical and Phase 1 clinical trial activities of its lead product candidate, GEM103, offset by reduced research and development expenses resulting from the conclusion of activities for Gemini’s CLARITY Natural History study. R&amp;D personnel costs were higher period over period due to increased headcount in our research and development function to support the advancement of GEM103 and other pipeline programs. Gemini does not currently track expenses on a program-by-program basis.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General and administrative expenses were $5.5 million for the year ended December 31, 2018, compared to $6.8 million for the year ended December 31, 2019. The increase of $1.3 million was primarily a result of higher personnel-related costs in support of organizational growth, and higher legal and other professional fees incurred in connection with financing activities.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Interest expense was zero for the year ended December 31, 2018, compared to $0.4 million for the year ended December 31, 2019. The increase was due to the new term loan entered into in February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Interest income was less than $0.1 million for the year ended December 31, 2018, compared to $0.2 million for the year ended December 31, 2019. The increase of $0.2 million was due to higher cash balances in 2019 led by Gemini’s $19.5 million Series A preferred stock issuance in November 2018 and 2019 borrowings from its term loan.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derivative liabilities</w:t>
      </w:r>
    </w:p>
    <w:p>
      <w:pPr>
        <w:spacing w:after="0" w:line="15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 change in fair value of warrant liability was zero for the year ended December 31, 2018, compared to less than $0.1 million for the year ended December 31, 2019. The warrants were issued in February 2019.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5" w:name="page196"/>
    <w:bookmarkEnd w:id="19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Since inception, Gemini has not generated any revenue from any product sales or any other sources, and has incurred significant operating losses and negative cash flows from its operations. It has not yet commercialized any of its product candidates and it does not expect to generate revenue from sales of any product candidates for several years, if at all. Gemini has funded its operations to date primarily with proceeds from the sale of preferred stock, borrowings under convertible promissory notes and borrowings under loan agreements. Through June 30, 2020, Gemini had received gross cash proceeds of $76.0 million from sales of its preferred stock, gross cash proceeds of $2.9 million from borrowings under convertible promissory notes and $10.0 million of cash proceeds from its term loan with SVB.</w:t>
      </w:r>
    </w:p>
    <w:p>
      <w:pPr>
        <w:spacing w:after="0" w:line="111"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As of June 30, 2020, Gemini had cash and cash equivalents of $6.2 million, and raised $14.0 million in convertible promissory notes on August 21, 2020. Gemini has incurred operating losses and experienced negative operating cash flows since inception, and it anticipates that it will continue to incur losses for at least the foreseeable future. Its net losses totaled $21.0 million and $16.5 million for the six months ended June 30, 2019 and 2020, respectively. Its net losses totaled $20.2 million and $41.4 million for the years ended December 31, 2018 and 2019, respectively. As of June 30, 2020, Gemini had an accumulated deficit of $88.5 million.</w:t>
      </w:r>
    </w:p>
    <w:p>
      <w:pPr>
        <w:spacing w:after="0" w:line="97"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Until required for use in its business, Gemini typically invests its cash in investments that are highly liquid, readily convertible to cash with original maturities of 90 days or less at the date of purchase. Gemini attempts to minimize the risks related to its cash and cash equivalents by maintaining balances in accounts only with accredited financial institutions and, consequently, it does not believe it is subject to unusual credit risk beyond the normal credit risk associated with ordinary commercial banking relationships.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Gemini’s cash flows for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6"/>
          </w:tcPr>
          <w:p>
            <w:pPr>
              <w:jc w:val="right"/>
              <w:ind w:right="260"/>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7"/>
          </w:tcPr>
          <w:p>
            <w:pPr>
              <w:jc w:val="right"/>
              <w:ind w:right="260"/>
              <w:spacing w:after="0"/>
              <w:rPr>
                <w:sz w:val="20"/>
                <w:szCs w:val="20"/>
                <w:color w:val="auto"/>
              </w:rPr>
            </w:pPr>
            <w:r>
              <w:rPr>
                <w:rFonts w:ascii="Arial" w:cs="Arial" w:eastAsia="Arial" w:hAnsi="Arial"/>
                <w:sz w:val="16"/>
                <w:szCs w:val="16"/>
                <w:b w:val="1"/>
                <w:bCs w:val="1"/>
                <w:color w:val="auto"/>
                <w:w w:val="93"/>
              </w:rPr>
              <w:t>Six Months Ended June 30,</w:t>
            </w:r>
          </w:p>
        </w:tc>
      </w:tr>
      <w:tr>
        <w:trPr>
          <w:trHeight w:val="47"/>
        </w:trPr>
        <w:tc>
          <w:tcPr>
            <w:tcW w:w="32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(16,914)</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3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30,497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23,221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20,103</w:t>
            </w:r>
          </w:p>
        </w:tc>
      </w:tr>
      <w:tr>
        <w:trPr>
          <w:trHeight w:val="182"/>
        </w:trPr>
        <w:tc>
          <w:tcPr>
            <w:tcW w:w="3260" w:type="dxa"/>
            <w:vAlign w:val="bottom"/>
          </w:tcPr>
          <w:p>
            <w:pPr>
              <w:ind w:left="180"/>
              <w:spacing w:after="0" w:line="182" w:lineRule="exact"/>
              <w:rPr>
                <w:sz w:val="20"/>
                <w:szCs w:val="20"/>
                <w:color w:val="auto"/>
              </w:rPr>
            </w:pPr>
            <w:r>
              <w:rPr>
                <w:rFonts w:ascii="Arial" w:cs="Arial" w:eastAsia="Arial" w:hAnsi="Arial"/>
                <w:sz w:val="18"/>
                <w:szCs w:val="18"/>
                <w:color w:val="auto"/>
              </w:rPr>
              <w:t>Net increase (decrease) in cash, cash</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1"/>
        </w:trPr>
        <w:tc>
          <w:tcPr>
            <w:tcW w:w="3260" w:type="dxa"/>
            <w:vAlign w:val="bottom"/>
          </w:tcPr>
          <w:p>
            <w:pPr>
              <w:ind w:left="360"/>
              <w:spacing w:after="0"/>
              <w:rPr>
                <w:sz w:val="20"/>
                <w:szCs w:val="20"/>
                <w:color w:val="auto"/>
              </w:rPr>
            </w:pPr>
            <w:r>
              <w:rPr>
                <w:rFonts w:ascii="Arial" w:cs="Arial" w:eastAsia="Arial" w:hAnsi="Arial"/>
                <w:sz w:val="18"/>
                <w:szCs w:val="18"/>
                <w:color w:val="auto"/>
              </w:rPr>
              <w:t>equivalents and restricted 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11,728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(15,542)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(11,344)</w:t>
            </w:r>
          </w:p>
        </w:tc>
        <w:tc>
          <w:tcPr>
            <w:tcW w:w="100" w:type="dxa"/>
            <w:vAlign w:val="bottom"/>
          </w:tcPr>
          <w:p>
            <w:pPr>
              <w:spacing w:after="0"/>
              <w:rPr>
                <w:sz w:val="21"/>
                <w:szCs w:val="21"/>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3,189</w:t>
            </w:r>
          </w:p>
        </w:tc>
        <w:tc>
          <w:tcPr>
            <w:tcW w:w="140" w:type="dxa"/>
            <w:vAlign w:val="bottom"/>
          </w:tcPr>
          <w:p>
            <w:pPr>
              <w:spacing w:after="0"/>
              <w:rPr>
                <w:sz w:val="21"/>
                <w:szCs w:val="2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During the year ended December 31, 2018, Gemini used cash in operating activities of $18.3 million, primarily resulting from its net loss of $20.2 million, partially offset by an increase in accounts payable and accrued expenses.</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During the year ended December 31, 2019, Gemini used cash in operating activities of $38.5 million, primarily resulting from its net loss of $41.4 million, partially offset by an increase in accounts payable and accrued expenses.</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During the six months ended June 30, 2019, Gemini used cash in operating activities of $18.6 million, primarily resulting from its net loss of $21.0 million, partially offset by a decrease in prepaid expenses and other current assets and an increase in accounts payable.</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During the six months ended June 30, 2020, Gemini used cash in operating activities of $16.9 million, primarily resulting from its net loss of $16.5 million.</w:t>
      </w:r>
    </w:p>
    <w:p>
      <w:pPr>
        <w:spacing w:after="0" w:line="103"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Changes in accounts payable and accrued expenses in all periods were generally due to growth in its business, the advancement of its product candidates, and the timing of vendor invoicing and payments.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During the year ended December 31, 2018, Gemini used cash in investing activities of $0.4 million, consisting primarily of purchases of laboratory equipment.</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6" w:name="page197"/>
    <w:bookmarkEnd w:id="19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During the year ended December 31, 2019, Gemini used cash in investing activities of $0.2 million, consisting primarily of purchases of laboratory equipment.</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During the six months ended June 30, 2019, Gemini used cash in investing activities of $0.2 million, consisting primarily of purchases of laboratory equipment.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2020, no cash was used in investing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During the year ended December 31, 2018, net cash provided by financing activities was $30.5 million, consisting primarily of proceeds from the issuance of Gemini’s Series A preferred stock.</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During the year ended December 31, 2019, net cash provided by financing activities was $23.2 million, consisting primarily of $13.3 million of proceeds from the issuance of Gemini’s Series B preferred stock and $10.0 million of gross proceeds from its term loan.</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During the six months ended June 30, 2019, net cash provided by financing activities was $7.5 million, consisting primarily of proceeds from Gemini’s term loan.</w:t>
      </w:r>
    </w:p>
    <w:p>
      <w:pPr>
        <w:spacing w:after="0" w:line="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During the six months ended June 30, 2020, net cash provided by financing activities was $20.1 million, consisting primarily of proceeds from the issuance of Gemini’s Series B preferred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Gemini’s primary use of cash is to fund operating expenses, primarily related to its research and development activities. Cash used to fund operating expenses is impacted by the timing of when Gemini pays these expenses, as reflected in the change in its outstanding accounts payable, accrued expenses and prepaid expenses.</w:t>
      </w:r>
    </w:p>
    <w:p>
      <w:pPr>
        <w:spacing w:after="0" w:line="81"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Gemini expects its expenses to increase substantially in connection with its ongoing activities, particularly as it advances the preclinical activities and clinical trials of its product candidates. In addition, upon the Closing and concurrent PIPE Investment, Gemini expects to incur additional costs associated with operating as a public company, including significant legal, accounting, investor relations and other expenses that it did not incur as a private company. The timing and amount of its operating expenditures will depend largely on its ability to:</w:t>
      </w:r>
    </w:p>
    <w:p>
      <w:pPr>
        <w:spacing w:after="0" w:line="80" w:lineRule="exact"/>
        <w:rPr>
          <w:sz w:val="20"/>
          <w:szCs w:val="20"/>
          <w:color w:val="auto"/>
        </w:rPr>
      </w:pPr>
    </w:p>
    <w:p>
      <w:pPr>
        <w:ind w:left="1320" w:right="479" w:hanging="434"/>
        <w:spacing w:after="0" w:line="277" w:lineRule="auto"/>
        <w:tabs>
          <w:tab w:leader="none" w:pos="155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advance preclinical development of its early-stage programs and clinical trials of its product candidates;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8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manufacture, or have manufactured on its behalf, its preclinical and clinical drug material and develop processes for late state and commercial manufacturing;</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155" w:lineRule="exact"/>
        <w:rPr>
          <w:rFonts w:ascii="Arial" w:cs="Arial" w:eastAsia="Arial" w:hAnsi="Arial"/>
          <w:sz w:val="17"/>
          <w:szCs w:val="17"/>
          <w:color w:val="auto"/>
        </w:rPr>
      </w:pPr>
    </w:p>
    <w:p>
      <w:pPr>
        <w:jc w:val="both"/>
        <w:ind w:left="1320" w:right="479" w:hanging="434"/>
        <w:spacing w:after="0" w:line="263" w:lineRule="auto"/>
        <w:tabs>
          <w:tab w:leader="none" w:pos="144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it may obtain marketing approval and intend to commercialize on its own;</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56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expand its operational, financial and management systems and increase personnel, including personnel to support its clinical development, manufacturing and commercialization efforts and its operations as a public company;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obtain, maintain, expand and protect its intellectual property portfolio;</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62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manage the costs of preparing, filing and prosecuting patent applications, maintaining and protecting its intellectual property rights, including enforcing and defending intellectual property related claims;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manage the costs of operating as a public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7" w:name="page198"/>
    <w:bookmarkEnd w:id="19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w:t>
      </w:r>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Gemini has incurred significant operating losses since its inception and, as of June 30, 2020, had an accumulated deficit of $88.5 million and has not yet generated any revenues. In addition, as discussed above, Gemini expects to continue to incur significant and increasing expenses and operating losses for the foreseeable future. These factors raise substantial doubt about its ability to continue as a going concern. Management believes that its existing cash resources, inclusive of funds from the Notes received in August 2020, will not be sufficient to allow it to fund current planned operations beyond the next twelve months from the date of this proxy statement/prospectus without additional capital, This evaluation does not take into consideration the effect of potential mitigating plans of management that have not been fully implemented as of the date of this proxy statement/prospectus.</w:t>
      </w:r>
    </w:p>
    <w:p>
      <w:pPr>
        <w:spacing w:after="0" w:line="11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Gemini is seeking to complete a proposed business combination transaction with FS Development and the PIPE Investment, described above and Note 15, Subsequent Events, to its financial statements included elsewhere in this proxy statement/prospectus. The completion of the proposed Business Combination is conditioned on the satisfaction of certain closing conditions. Upon the completion of the proposed Business Combination transaction, the stockholders of Gemini will exchange their equity interests in Gemini, which include the conversion prior to the Closing of the principal and interest of the outstanding Notes into Series B Preferred Stock at a per share conversion price of $1.3513, for shares of FS Development Class A Common Stock. In connection with the Business Combination, certain investors have agreed to subscribe for and purchase an aggregate of $95,060,000 of FS Development Class A Common Stock in the PIPE Investment. The Combined Company is expected to receive net proceeds of approximately $196.4 million at the closing of the transaction (assuming no redemptions are affected by stockholders of FS Development). The Combined Entity may also pursue additional cash resources through public or private equity or debt financings.</w:t>
      </w:r>
    </w:p>
    <w:p>
      <w:pPr>
        <w:spacing w:after="0" w:line="10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Gemini’s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Gemini, and Gemini may need to seek additional funds sooner than planned. If adequate funds are not available to Gemini on a timely basis, it may be required to delay, limit, reduce or terminate certain of its research, product development or future commercialization efforts, obtain funds through arrangements with collaborators on terms unfavorable to Gemini, or pursue other merger or acquisition strategies, all of which could adversely affect the holdings or the rights of the Gemini’s stockholders. If additional capital is raised through debt financing, Gemini may be subject to covenants limiting or restricting its ability to take specific actions, such as incurring additional debt, making capital expenditures or declaring dividends. Any failure to raise capital as and when needed could have a negative impact on Gemini’s financial condition and on its ability to pursue business plans and strategies. If Gemini is unable to raise capital, it may need to delay, reduce or terminate planned activities to reduce costs.</w:t>
      </w:r>
    </w:p>
    <w:p>
      <w:pPr>
        <w:spacing w:after="0" w:line="10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Gemini raises additional funds through governmental funding, collaborations, strategic partnerships and alliances or marketing, distribution or licensing arrangements with third parties, it may have to relinquish valuable rights to its technologies, future revenue streams, research programs or product candidates or grant licenses on terms that may not be favorable to it. If Gemini is unable to raise additional funds through equity or debt financings or other arrangements when needed, it may be required to delay, limit, reduce or terminate its research, product development or future commercialization efforts or grant rights to develop and market product candidates that it would otherwise prefer to develop and market by itself.</w:t>
      </w:r>
    </w:p>
    <w:p>
      <w:pPr>
        <w:spacing w:after="0" w:line="11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For additional information on risks associated with Gemini’s substantial capital requirements, please read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5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 product candidates, Gemini is unable to estimate the exact amount of its working capital requirements. Its future funding requirements will depend on and could increase significantly as a result of many factors, including:</w:t>
      </w:r>
    </w:p>
    <w:p>
      <w:pPr>
        <w:spacing w:after="0" w:line="106" w:lineRule="exact"/>
        <w:rPr>
          <w:sz w:val="20"/>
          <w:szCs w:val="20"/>
          <w:color w:val="auto"/>
        </w:rPr>
      </w:pPr>
    </w:p>
    <w:p>
      <w:pPr>
        <w:ind w:left="1320" w:right="459" w:hanging="434"/>
        <w:spacing w:after="0" w:line="277" w:lineRule="auto"/>
        <w:tabs>
          <w:tab w:leader="none" w:pos="145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its product candidates, and conducting preclinical and clinical trials;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its product candidates;</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8" w:name="page199"/>
    <w:bookmarkEnd w:id="19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59" w:hanging="434"/>
        <w:spacing w:after="0" w:line="277" w:lineRule="auto"/>
        <w:tabs>
          <w:tab w:leader="none" w:pos="155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costs, timing and ability to manufacture its product candidates to supply its clinical and preclinical development efforts and its clinical trials;</w:t>
      </w:r>
    </w:p>
    <w:p>
      <w:pPr>
        <w:spacing w:after="0" w:line="102" w:lineRule="exact"/>
        <w:rPr>
          <w:rFonts w:ascii="Arial" w:cs="Arial" w:eastAsia="Arial" w:hAnsi="Arial"/>
          <w:sz w:val="18"/>
          <w:szCs w:val="18"/>
          <w:color w:val="auto"/>
        </w:rPr>
      </w:pPr>
    </w:p>
    <w:p>
      <w:pPr>
        <w:ind w:left="1320" w:right="479" w:hanging="434"/>
        <w:spacing w:after="0" w:line="308" w:lineRule="auto"/>
        <w:tabs>
          <w:tab w:leader="none" w:pos="133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of its product candidates for which it receives marketing approval;</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67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 and necessary inventory to support commercial launch;</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revenue, if any, received from commercial sale of its products, should any of its product candidates receive marketing approval;</w:t>
      </w:r>
    </w:p>
    <w:p>
      <w:pPr>
        <w:spacing w:after="0" w:line="102" w:lineRule="exact"/>
        <w:rPr>
          <w:rFonts w:ascii="Arial" w:cs="Arial" w:eastAsia="Arial" w:hAnsi="Arial"/>
          <w:sz w:val="18"/>
          <w:szCs w:val="18"/>
          <w:color w:val="auto"/>
        </w:rPr>
      </w:pPr>
    </w:p>
    <w:p>
      <w:pPr>
        <w:ind w:left="1320" w:right="479" w:hanging="434"/>
        <w:spacing w:after="0" w:line="342" w:lineRule="auto"/>
        <w:tabs>
          <w:tab w:leader="none" w:pos="133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obtaining, maintaining, expanding and enforcing its intellectual property rights and defending intellectual property-related claims;</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its ability to establish and maintain collaborations on favorable terms, if at all;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extent to which it acquires or in-licenses other product candidates and technologies.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ind w:left="460" w:right="459"/>
        <w:spacing w:after="0" w:line="308" w:lineRule="auto"/>
        <w:rPr>
          <w:sz w:val="20"/>
          <w:szCs w:val="20"/>
          <w:color w:val="auto"/>
        </w:rPr>
      </w:pPr>
      <w:r>
        <w:rPr>
          <w:rFonts w:ascii="Arial" w:cs="Arial" w:eastAsia="Arial" w:hAnsi="Arial"/>
          <w:sz w:val="17"/>
          <w:szCs w:val="17"/>
          <w:color w:val="auto"/>
        </w:rPr>
        <w:t>The following table summarizes Gemini’s contractual obligations as of June 30, 2020 and the effects that such obligations are expected to have on Gemini’s liquidity and cash flows in future periods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5"/>
              </w:rPr>
              <w:t>Less than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1 to 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4 to 5</w:t>
            </w:r>
          </w:p>
        </w:tc>
        <w:tc>
          <w:tcPr>
            <w:tcW w:w="1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More than</w:t>
            </w:r>
          </w:p>
        </w:tc>
      </w:tr>
      <w:tr>
        <w:trPr>
          <w:trHeight w:val="210"/>
        </w:trPr>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 year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years</w:t>
            </w:r>
          </w:p>
        </w:tc>
        <w:tc>
          <w:tcPr>
            <w:tcW w:w="1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6"/>
                <w:szCs w:val="16"/>
                <w:b w:val="1"/>
                <w:bCs w:val="1"/>
                <w:color w:val="auto"/>
              </w:rPr>
              <w:t>5 years</w:t>
            </w:r>
          </w:p>
        </w:tc>
      </w:tr>
      <w:tr>
        <w:trPr>
          <w:trHeight w:val="46"/>
        </w:trPr>
        <w:tc>
          <w:tcPr>
            <w:tcW w:w="22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6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(i)</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rPr>
              <w:t>(ii)</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1,974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r>
      <w:tr>
        <w:trPr>
          <w:trHeight w:val="40"/>
        </w:trPr>
        <w:tc>
          <w:tcPr>
            <w:tcW w:w="2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fee obligations</w:t>
            </w:r>
          </w:p>
        </w:tc>
        <w:tc>
          <w:tcPr>
            <w:tcW w:w="86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rPr>
              <w:t>(iii)</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r>
      <w:tr>
        <w:trPr>
          <w:trHeight w:val="257"/>
        </w:trPr>
        <w:tc>
          <w:tcPr>
            <w:tcW w:w="226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860" w:type="dxa"/>
            <w:vAlign w:val="bottom"/>
            <w:gridSpan w:val="2"/>
          </w:tcPr>
          <w:p>
            <w:pPr>
              <w:jc w:val="center"/>
              <w:ind w:right="10"/>
              <w:spacing w:after="0"/>
              <w:rPr>
                <w:sz w:val="20"/>
                <w:szCs w:val="20"/>
                <w:color w:val="auto"/>
              </w:rPr>
            </w:pPr>
            <w:r>
              <w:rPr>
                <w:rFonts w:ascii="Arial" w:cs="Arial" w:eastAsia="Arial" w:hAnsi="Arial"/>
                <w:sz w:val="18"/>
                <w:szCs w:val="18"/>
                <w:color w:val="auto"/>
                <w:w w:val="95"/>
              </w:rPr>
              <w:t>(iv)</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r>
      <w:tr>
        <w:trPr>
          <w:trHeight w:val="27"/>
        </w:trPr>
        <w:tc>
          <w:tcPr>
            <w:tcW w:w="2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3,249</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84" w:lineRule="auto"/>
        <w:tabs>
          <w:tab w:leader="none" w:pos="871" w:val="left"/>
        </w:tabs>
        <w:numPr>
          <w:ilvl w:val="0"/>
          <w:numId w:val="202"/>
        </w:numPr>
        <w:rPr>
          <w:rFonts w:ascii="Arial" w:cs="Arial" w:eastAsia="Arial" w:hAnsi="Arial"/>
          <w:sz w:val="15"/>
          <w:szCs w:val="15"/>
          <w:color w:val="auto"/>
        </w:rPr>
      </w:pPr>
      <w:r>
        <w:rPr>
          <w:rFonts w:ascii="Arial" w:cs="Arial" w:eastAsia="Arial" w:hAnsi="Arial"/>
          <w:sz w:val="15"/>
          <w:szCs w:val="15"/>
          <w:color w:val="auto"/>
        </w:rPr>
        <w:t>Gemini has borrowed $10.0 million under its term loan facility with SVB. The term loan matures on January 1, 2023 and accrues interest at a floating rate per annum equal to the greater of 3.75% or the prime rate minus 1.5%.</w:t>
      </w:r>
    </w:p>
    <w:p>
      <w:pPr>
        <w:ind w:left="860" w:hanging="406"/>
        <w:spacing w:after="0"/>
        <w:tabs>
          <w:tab w:leader="none" w:pos="8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Gemini has an operating lease agreement for its office and laboratory space.</w:t>
      </w:r>
    </w:p>
    <w:p>
      <w:pPr>
        <w:spacing w:after="0" w:line="18" w:lineRule="exact"/>
        <w:rPr>
          <w:rFonts w:ascii="Arial" w:cs="Arial" w:eastAsia="Arial" w:hAnsi="Arial"/>
          <w:sz w:val="16"/>
          <w:szCs w:val="16"/>
          <w:color w:val="auto"/>
        </w:rPr>
      </w:pPr>
    </w:p>
    <w:p>
      <w:pPr>
        <w:ind w:left="880" w:right="479" w:hanging="426"/>
        <w:spacing w:after="0" w:line="264" w:lineRule="auto"/>
        <w:tabs>
          <w:tab w:leader="none" w:pos="90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Gemini is required to make license fee payments to its licensors. See Financial Statements, Note 12, Commitments and Contingencies for additional details regarding its payment obligations to these licensors</w:t>
      </w:r>
    </w:p>
    <w:p>
      <w:pPr>
        <w:ind w:left="880" w:right="459" w:hanging="426"/>
        <w:spacing w:after="0" w:line="288" w:lineRule="auto"/>
        <w:tabs>
          <w:tab w:leader="none" w:pos="85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At the end of the SVB loan term, Gemini is required to pay a final end of term charge to SVB in the amount of 4.0% of the aggregate original principal amount borrowed.</w:t>
      </w:r>
    </w:p>
    <w:p>
      <w:pPr>
        <w:spacing w:after="0" w:line="9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Gemini enters into contracts in the normal course of business with CMOs, CROs and other third parties for the manufacture of its product candidates and to support clinical trials and preclinical research studies and testing. These contracts are generally cancelable at any time by Gemini following a certain period after notice. Payments due upon cancellation consist only of payments for services provided or expenses incurred, including noncancelable obligations of its service providers, up to the date of cancellation. These payments are not included in the preceding table as the amount and timing of such payments are unknown or uncertain at December 31, 2019.</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research and manufacturing organizations</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Gemini recorded accrued expenses of approximately $0.4 million and $0.8 million in its balance sheets for expenditures incurred by CROs and CMOs as of December 31, 2019 and June 30, 2020.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Tax-related obligations</w:t>
      </w:r>
    </w:p>
    <w:p>
      <w:pPr>
        <w:spacing w:after="0" w:line="15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To date, Gemini has not recognized any reserves related to uncertain tax positions. As of December 31, 2019 and June 30, 2020, Gemini had no accrued interest or penalties related to uncertain tax positions.</w:t>
      </w:r>
    </w:p>
    <w:p>
      <w:pPr>
        <w:sectPr>
          <w:pgSz w:w="11900" w:h="16838" w:orient="portrait"/>
          <w:cols w:equalWidth="0" w:num="1">
            <w:col w:w="9019"/>
          </w:cols>
          <w:pgMar w:left="1440" w:top="274" w:right="1440"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9" w:name="page200"/>
    <w:bookmarkEnd w:id="19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Gemini’s financial statements are prepared in accordance with generally accepted accounting principles in the United States, or GAAP. The preparation of Gemini’s financial statements and related disclosures requires it to make estimates and judgments that affect the reported amounts of assets, liabilities, costs and expenses. Gemini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Gemini evaluates its estimates and assumptions on an ongoing basis. Its actual results may differ from these estimates under different assumptions or conditions.</w:t>
      </w:r>
    </w:p>
    <w:p>
      <w:pPr>
        <w:spacing w:after="0" w:line="111"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While Gemini’s significant accounting policies are described in more detail in Note 2 to Gemini’s financial statements appearing elsewhere in this proxy statement/prospectus, it believes that the following accounting policies are those most critical to the judgments and estimates used in the preparation of its financial statements.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5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As part of the process of preparing its financial statements, Gemini is required to estimate its accrued research and development expenses. This process involves reviewing open contracts and purchase orders, communicating with its applicable personnel to identify services that have been performed on its behalf and estimating the level of service performed and the associated cost incurred for the service when it has not yet been invoiced or otherwise notified of actual costs. The majority of Gemini’s service providers invoice it in arrears for services performed, on a pre-determined schedule or when contractual milestones are met; however, some require advance payments. Gemini makes estimates of its accrued expenses as of each balance sheet date in the financial statements based on facts and circumstances known to it at that time. Gemini periodically confirms the accuracy of the estimates with the service providers and makes adjustments if necessary. Examples of estimated accrued research and development expenses include fees paid to:</w:t>
      </w:r>
    </w:p>
    <w:p>
      <w:pPr>
        <w:spacing w:after="0" w:line="87" w:lineRule="exact"/>
        <w:rPr>
          <w:sz w:val="20"/>
          <w:szCs w:val="20"/>
          <w:color w:val="auto"/>
        </w:rPr>
      </w:pPr>
    </w:p>
    <w:p>
      <w:pPr>
        <w:ind w:left="1300" w:hanging="414"/>
        <w:spacing w:after="0"/>
        <w:tabs>
          <w:tab w:leader="none" w:pos="13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vendors, including research laboratories, in connection with preclinical development activities;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Gemini bases its expenses related to preclinical studies and clinical trials on its estimates of the services received and efforts expended pursuant to quotes and contracts with multiple research institutions and CROs that supply, conduct and manage preclinical studies and clinical trials on its behalf. The financial terms of these agreements are subject to negotiation, vary from contract to contract and may result in uneven payment flows. There may be instances in which payments made to Gemini’s vendors will exceed the level of services provided and result in a prepayment of the expense. Payments under some of these contracts depend on factors such as the successful enrollment of patients and the completion of clinical trial milestones. In accruing service fees, Gemini estimates the time period over which services will be performed and the level of effort to be expended in each period. If the actual timing of the performance of services or the level of effort varies from the estimate, it adjusts the accrual or the prepaid expense accordingly. Although Gemini does not expect its estimates to be materially different from amounts actually incurred, its understanding of the status and timing of services performed relative to the actual status and timing of services performed may vary and may result in reporting amounts that are too high or too low in any particular period. To date, Gemini’s estimated accruals have not differed materially from actual costs incurred.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Gemini measures all stock-based awards granted to employees, directors and non-employees based on their fair value on the date of the grant and recognizes the corresponding compensation expense of those awards over the requisite service period, which is generally the vesting period of the respective award. Forfeitures are accounted for as they occur. Gemini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Gemini estimates the probability that certain performance criteria will be met and does not recognize compensation expense until it is probable that the performance-based vesting condition will be achieved.</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0" w:name="page201"/>
    <w:bookmarkEnd w:id="20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Gemini classifies stock-based compensation expense in its statements of operations in the same manner in which the award recipient’s payroll costs are classified or in which the award recipient’s service payments are classified.</w:t>
      </w:r>
    </w:p>
    <w:p>
      <w:pPr>
        <w:spacing w:after="0" w:line="1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Gemini estimates the fair value of each stock option grant using the Black-Scholes option-pricing model, which uses as inputs the fair value of its common stock and assumptions it makes for the volatility of its common stock, the expected term of its stock options, the risk-free interest rate for a period that approximates the expected term of its stock options and its expected dividend yield.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As there has been no public market for Gemini’s common stock to date of this proxy statement/prospectus,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Valuation of Privately-Held-Company Equity Securities Issued as Compensation. Gemini’s common stock valuations were prepared using an option pricing method, or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These third-party valuations were performed at various dates, which resulted in valuations of Gemini’s common stock of $0.28 per share as of July 31, 2017, $0.31 per share as of August 28, 2018, $0.41 per share as of November 2, 2018, $0.47 per share as of September 26, 2019, and $0.55 per share as of January 21, 2020.</w:t>
      </w:r>
    </w:p>
    <w:p>
      <w:pPr>
        <w:spacing w:after="0" w:line="9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In addition to considering the results of these third-party valuations, Gemini’s board of directors considered various objective and subjective factors to determine the fair value of its common stock as of each grant date, including:</w:t>
      </w:r>
    </w:p>
    <w:p>
      <w:pPr>
        <w:spacing w:after="0" w:line="116" w:lineRule="exact"/>
        <w:rPr>
          <w:sz w:val="20"/>
          <w:szCs w:val="20"/>
          <w:color w:val="auto"/>
        </w:rPr>
      </w:pPr>
    </w:p>
    <w:p>
      <w:pPr>
        <w:ind w:left="1320" w:right="459" w:hanging="434"/>
        <w:spacing w:after="0" w:line="277" w:lineRule="auto"/>
        <w:tabs>
          <w:tab w:leader="none" w:pos="133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prices at which Gemini sold shares of preferred stock and the superior rights and preferences of the preferred stock relative to its common stock at the time of each grant;</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progress of its research and development programs, including the status and results of preclinical studies and clinical trials for its product candidates;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Gemini’s stage of development and commercialization and its business strategy;</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66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Gemini’s financial position, including cash on hand, and its historical and forecasted performance and results of operations;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lack of an active public market for its common stock and its preferred stock;</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1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sale of Gemini in light of prevailing market conditions;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4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89"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Gemini had used significantly different assumptions or estimates, the fair value of its common stock and its stock-based compensation expense could have been materially different.</w:t>
      </w:r>
    </w:p>
    <w:p>
      <w:pPr>
        <w:spacing w:after="0" w:line="11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Once a public trading market for the Combined Entity’s common stock has been established for a sufficient period of time subsequent to the Closing, it will no longer be necessary for its board of directors to estimate the fair value of its common stock in connection with its accounting for granted stock options and other such awards Gemini may grant, as the fair value of Gemini’s common stock will be determined based on the quoted market price of its common stock.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1" w:name="page202"/>
    <w:bookmarkEnd w:id="20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Awards granted</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following table sets forth by grant date the number of shares subject to options and restricted stock granted from January 1, 2018 through the date of this proxy statement/prospectus, the per share purchase prices and exercise prices, the fair value of common stock per share on each grant date, and the per share estimated fair value of the awards: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Per share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exercise price</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Per share fair</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of options 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value of</w:t>
            </w:r>
          </w:p>
        </w:tc>
        <w:tc>
          <w:tcPr>
            <w:tcW w:w="10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Per share</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Number of</w:t>
            </w:r>
          </w:p>
        </w:tc>
        <w:tc>
          <w:tcPr>
            <w:tcW w:w="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w w:val="93"/>
              </w:rPr>
              <w:t>purchase price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common</w:t>
            </w:r>
          </w:p>
        </w:tc>
        <w:tc>
          <w:tcPr>
            <w:tcW w:w="100" w:type="dxa"/>
            <w:vAlign w:val="bottom"/>
          </w:tcPr>
          <w:p>
            <w:pPr>
              <w:spacing w:after="0"/>
              <w:rPr>
                <w:sz w:val="17"/>
                <w:szCs w:val="17"/>
                <w:color w:val="auto"/>
              </w:rPr>
            </w:pPr>
          </w:p>
        </w:tc>
        <w:tc>
          <w:tcPr>
            <w:tcW w:w="114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estimated fair</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shares subject</w:t>
            </w: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of restricted</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stock on grant</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value of award</w:t>
            </w:r>
          </w:p>
        </w:tc>
      </w:tr>
      <w:tr>
        <w:trPr>
          <w:trHeight w:val="210"/>
        </w:trPr>
        <w:tc>
          <w:tcPr>
            <w:tcW w:w="210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Type of award</w:t>
            </w:r>
          </w:p>
        </w:tc>
        <w:tc>
          <w:tcPr>
            <w:tcW w:w="11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to award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date</w:t>
            </w:r>
          </w:p>
        </w:tc>
        <w:tc>
          <w:tcPr>
            <w:tcW w:w="10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Arial" w:cs="Arial" w:eastAsia="Arial" w:hAnsi="Arial"/>
                <w:sz w:val="16"/>
                <w:szCs w:val="16"/>
                <w:b w:val="1"/>
                <w:bCs w:val="1"/>
                <w:color w:val="auto"/>
                <w:w w:val="92"/>
              </w:rPr>
              <w:t>on grant date</w:t>
            </w:r>
          </w:p>
        </w:tc>
      </w:tr>
      <w:tr>
        <w:trPr>
          <w:trHeight w:val="46"/>
        </w:trPr>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28, 2018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8"/>
              </w:rPr>
              <w:t>Restricted stock</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84"/>
        </w:trPr>
        <w:tc>
          <w:tcPr>
            <w:tcW w:w="2100" w:type="dxa"/>
            <w:vAlign w:val="bottom"/>
            <w:gridSpan w:val="2"/>
          </w:tcPr>
          <w:p>
            <w:pPr>
              <w:spacing w:after="0"/>
              <w:rPr>
                <w:sz w:val="20"/>
                <w:szCs w:val="20"/>
                <w:color w:val="auto"/>
              </w:rPr>
            </w:pPr>
            <w:r>
              <w:rPr>
                <w:rFonts w:ascii="Arial" w:cs="Arial" w:eastAsia="Arial" w:hAnsi="Arial"/>
                <w:sz w:val="18"/>
                <w:szCs w:val="18"/>
                <w:color w:val="auto"/>
              </w:rPr>
              <w:t>August 28, 2018</w:t>
            </w:r>
            <w:r>
              <w:rPr>
                <w:rFonts w:ascii="Arial" w:cs="Arial" w:eastAsia="Arial" w:hAnsi="Arial"/>
                <w:sz w:val="20"/>
                <w:szCs w:val="20"/>
                <w:color w:val="auto"/>
                <w:vertAlign w:val="superscript"/>
              </w:rPr>
              <w:t>(1)</w:t>
            </w:r>
          </w:p>
        </w:tc>
        <w:tc>
          <w:tcPr>
            <w:tcW w:w="1260" w:type="dxa"/>
            <w:vAlign w:val="bottom"/>
            <w:gridSpan w:val="2"/>
          </w:tcPr>
          <w:p>
            <w:pPr>
              <w:spacing w:after="0"/>
              <w:rPr>
                <w:sz w:val="20"/>
                <w:szCs w:val="20"/>
                <w:color w:val="auto"/>
              </w:rPr>
            </w:pPr>
            <w:r>
              <w:rPr>
                <w:rFonts w:ascii="Arial" w:cs="Arial" w:eastAsia="Arial" w:hAnsi="Arial"/>
                <w:sz w:val="18"/>
                <w:szCs w:val="18"/>
                <w:color w:val="auto"/>
              </w:rPr>
              <w:t>Option</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5,723,737</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83"/>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31, 2018</w:t>
            </w:r>
            <w:r>
              <w:rPr>
                <w:rFonts w:ascii="Arial" w:cs="Arial" w:eastAsia="Arial" w:hAnsi="Arial"/>
                <w:sz w:val="20"/>
                <w:szCs w:val="20"/>
                <w:color w:val="auto"/>
                <w:vertAlign w:val="superscript"/>
              </w:rPr>
              <w:t>(1)</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731,695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2100" w:type="dxa"/>
            <w:vAlign w:val="bottom"/>
            <w:gridSpan w:val="2"/>
          </w:tcPr>
          <w:p>
            <w:pPr>
              <w:spacing w:after="0"/>
              <w:rPr>
                <w:sz w:val="20"/>
                <w:szCs w:val="20"/>
                <w:color w:val="auto"/>
              </w:rPr>
            </w:pPr>
            <w:r>
              <w:rPr>
                <w:rFonts w:ascii="Arial" w:cs="Arial" w:eastAsia="Arial" w:hAnsi="Arial"/>
                <w:sz w:val="18"/>
                <w:szCs w:val="18"/>
                <w:color w:val="auto"/>
              </w:rPr>
              <w:t>December 14, 2018</w:t>
            </w:r>
          </w:p>
        </w:tc>
        <w:tc>
          <w:tcPr>
            <w:tcW w:w="1260" w:type="dxa"/>
            <w:vAlign w:val="bottom"/>
            <w:gridSpan w:val="2"/>
          </w:tcPr>
          <w:p>
            <w:pPr>
              <w:spacing w:after="0"/>
              <w:rPr>
                <w:sz w:val="20"/>
                <w:szCs w:val="20"/>
                <w:color w:val="auto"/>
              </w:rPr>
            </w:pPr>
            <w:r>
              <w:rPr>
                <w:rFonts w:ascii="Arial" w:cs="Arial" w:eastAsia="Arial" w:hAnsi="Arial"/>
                <w:sz w:val="18"/>
                <w:szCs w:val="18"/>
                <w:color w:val="auto"/>
              </w:rPr>
              <w:t>Option</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356,780</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492,500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2100" w:type="dxa"/>
            <w:vAlign w:val="bottom"/>
            <w:gridSpan w:val="2"/>
          </w:tcPr>
          <w:p>
            <w:pPr>
              <w:spacing w:after="0"/>
              <w:rPr>
                <w:sz w:val="20"/>
                <w:szCs w:val="20"/>
                <w:color w:val="auto"/>
              </w:rPr>
            </w:pPr>
            <w:r>
              <w:rPr>
                <w:rFonts w:ascii="Arial" w:cs="Arial" w:eastAsia="Arial" w:hAnsi="Arial"/>
                <w:sz w:val="18"/>
                <w:szCs w:val="18"/>
                <w:color w:val="auto"/>
              </w:rPr>
              <w:t>August 19, 2019</w:t>
            </w:r>
          </w:p>
        </w:tc>
        <w:tc>
          <w:tcPr>
            <w:tcW w:w="1260" w:type="dxa"/>
            <w:vAlign w:val="bottom"/>
            <w:gridSpan w:val="2"/>
          </w:tcPr>
          <w:p>
            <w:pPr>
              <w:spacing w:after="0"/>
              <w:rPr>
                <w:sz w:val="20"/>
                <w:szCs w:val="20"/>
                <w:color w:val="auto"/>
              </w:rPr>
            </w:pPr>
            <w:r>
              <w:rPr>
                <w:rFonts w:ascii="Arial" w:cs="Arial" w:eastAsia="Arial" w:hAnsi="Arial"/>
                <w:sz w:val="18"/>
                <w:szCs w:val="18"/>
                <w:color w:val="auto"/>
              </w:rPr>
              <w:t>Option</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411,865</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3,748,799</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83"/>
        </w:trPr>
        <w:tc>
          <w:tcPr>
            <w:tcW w:w="2100" w:type="dxa"/>
            <w:vAlign w:val="bottom"/>
            <w:gridSpan w:val="2"/>
          </w:tcPr>
          <w:p>
            <w:pPr>
              <w:spacing w:after="0"/>
              <w:rPr>
                <w:sz w:val="20"/>
                <w:szCs w:val="20"/>
                <w:color w:val="auto"/>
              </w:rPr>
            </w:pPr>
            <w:r>
              <w:rPr>
                <w:rFonts w:ascii="Arial" w:cs="Arial" w:eastAsia="Arial" w:hAnsi="Arial"/>
                <w:sz w:val="18"/>
                <w:szCs w:val="18"/>
                <w:color w:val="auto"/>
              </w:rPr>
              <w:t>November 12, 2019</w:t>
            </w:r>
            <w:r>
              <w:rPr>
                <w:rFonts w:ascii="Arial" w:cs="Arial" w:eastAsia="Arial" w:hAnsi="Arial"/>
                <w:sz w:val="20"/>
                <w:szCs w:val="20"/>
                <w:color w:val="auto"/>
                <w:vertAlign w:val="superscript"/>
              </w:rPr>
              <w:t>(2)</w:t>
            </w:r>
          </w:p>
        </w:tc>
        <w:tc>
          <w:tcPr>
            <w:tcW w:w="1260" w:type="dxa"/>
            <w:vAlign w:val="bottom"/>
            <w:gridSpan w:val="2"/>
          </w:tcPr>
          <w:p>
            <w:pPr>
              <w:spacing w:after="0"/>
              <w:rPr>
                <w:sz w:val="20"/>
                <w:szCs w:val="20"/>
                <w:color w:val="auto"/>
              </w:rPr>
            </w:pPr>
            <w:r>
              <w:rPr>
                <w:rFonts w:ascii="Arial" w:cs="Arial" w:eastAsia="Arial" w:hAnsi="Arial"/>
                <w:sz w:val="18"/>
                <w:szCs w:val="18"/>
                <w:color w:val="auto"/>
              </w:rPr>
              <w:t>Option</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24,000</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0.47</w:t>
            </w:r>
          </w:p>
        </w:tc>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43"/>
        </w:trPr>
        <w:tc>
          <w:tcPr>
            <w:tcW w:w="2100" w:type="dxa"/>
            <w:vAlign w:val="bottom"/>
            <w:gridSpan w:val="2"/>
          </w:tcPr>
          <w:p>
            <w:pPr>
              <w:spacing w:after="0"/>
              <w:rPr>
                <w:sz w:val="20"/>
                <w:szCs w:val="20"/>
                <w:color w:val="auto"/>
              </w:rPr>
            </w:pPr>
            <w:r>
              <w:rPr>
                <w:rFonts w:ascii="Arial" w:cs="Arial" w:eastAsia="Arial" w:hAnsi="Arial"/>
                <w:sz w:val="18"/>
                <w:szCs w:val="18"/>
                <w:color w:val="auto"/>
              </w:rPr>
              <w:t>March 11, 2020</w:t>
            </w:r>
          </w:p>
        </w:tc>
        <w:tc>
          <w:tcPr>
            <w:tcW w:w="1260" w:type="dxa"/>
            <w:vAlign w:val="bottom"/>
            <w:gridSpan w:val="2"/>
          </w:tcPr>
          <w:p>
            <w:pPr>
              <w:spacing w:after="0"/>
              <w:rPr>
                <w:sz w:val="20"/>
                <w:szCs w:val="20"/>
                <w:color w:val="auto"/>
              </w:rPr>
            </w:pPr>
            <w:r>
              <w:rPr>
                <w:rFonts w:ascii="Arial" w:cs="Arial" w:eastAsia="Arial" w:hAnsi="Arial"/>
                <w:sz w:val="18"/>
                <w:szCs w:val="18"/>
                <w:color w:val="auto"/>
              </w:rPr>
              <w:t>Option</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1,182,200</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c>
          <w:tcPr>
            <w:tcW w:w="2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265" w:lineRule="auto"/>
        <w:tabs>
          <w:tab w:leader="none" w:pos="95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For options granted on August 28, 2018 and October 31, 2018, the board of directors determined the fair value of Gemini’s common stock was $0.28 per share as of the grant date. However, the fair value of Gemini’s common stock at the date of grant was adjusted in connection with a retrospective fair value assessment solely for accounting purposes.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stock option award was fully vested on the date of grant.</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Gemini does not have during the periods presented, and it does not currently have, any off-balance sheet arrangements, as defined in the rules and regulations of the SEC.</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Gemini’s financial position and results of operations is disclosed in Note 2 to Gemini’s financial statements included elsewhere in this proxy statement/prospectus.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Gemini is exposed to market risk in the ordinary course of its business. These risks primarily relate to changes in interest rates.</w:t>
      </w:r>
    </w:p>
    <w:p>
      <w:pPr>
        <w:spacing w:after="0" w:line="103"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Gemini’s cash and cash equivalents as of December 31, 2019 consisted of cash and a money market fund account. Because of the short-term nature of its money market fund, a sudden change in market interest rates would not be expected to have a material impact on Gemini’s financial position or results of operations.</w:t>
      </w:r>
    </w:p>
    <w:p>
      <w:pPr>
        <w:spacing w:after="0" w:line="8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As of December 31, 2019, the principal amount of Gemini’s term loan was $10.0 million. The following table is an estimate of Gemini’s interest expense based upon its floating rate term loan that could result from hypothetical interest rate changes, based on debt levels as of December 31, 2019:</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4040" w:type="dxa"/>
            <w:vAlign w:val="bottom"/>
            <w:gridSpan w:val="2"/>
          </w:tcPr>
          <w:p>
            <w:pPr>
              <w:ind w:left="580"/>
              <w:spacing w:after="0"/>
              <w:rPr>
                <w:sz w:val="20"/>
                <w:szCs w:val="20"/>
                <w:color w:val="auto"/>
              </w:rPr>
            </w:pPr>
            <w:r>
              <w:rPr>
                <w:rFonts w:ascii="Arial" w:cs="Arial" w:eastAsia="Arial" w:hAnsi="Arial"/>
                <w:sz w:val="16"/>
                <w:szCs w:val="16"/>
                <w:b w:val="1"/>
                <w:bCs w:val="1"/>
                <w:color w:val="auto"/>
              </w:rPr>
              <w:t>Hypothetical Change in Interest Rates</w:t>
            </w:r>
            <w:r>
              <w:rPr>
                <w:rFonts w:ascii="Arial" w:cs="Arial" w:eastAsia="Arial" w:hAnsi="Arial"/>
                <w:sz w:val="18"/>
                <w:szCs w:val="18"/>
                <w:b w:val="1"/>
                <w:bCs w:val="1"/>
                <w:color w:val="auto"/>
                <w:vertAlign w:val="superscript"/>
              </w:rPr>
              <w:t>(i)</w:t>
            </w: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2"/>
              </w:rPr>
              <w:t>Annual Impact to Interest Expense</w:t>
            </w:r>
          </w:p>
        </w:tc>
      </w:tr>
      <w:tr>
        <w:trPr>
          <w:trHeight w:val="228"/>
        </w:trPr>
        <w:tc>
          <w:tcPr>
            <w:tcW w:w="394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1-percent increase</w:t>
            </w:r>
          </w:p>
        </w:tc>
        <w:tc>
          <w:tcPr>
            <w:tcW w:w="100" w:type="dxa"/>
            <w:vAlign w:val="bottom"/>
          </w:tcPr>
          <w:p>
            <w:pPr>
              <w:spacing w:after="0"/>
              <w:rPr>
                <w:sz w:val="19"/>
                <w:szCs w:val="19"/>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$100,000 increase</w:t>
            </w:r>
          </w:p>
        </w:tc>
      </w:tr>
      <w:tr>
        <w:trPr>
          <w:trHeight w:val="283"/>
        </w:trPr>
        <w:tc>
          <w:tcPr>
            <w:tcW w:w="4040" w:type="dxa"/>
            <w:vAlign w:val="bottom"/>
            <w:gridSpan w:val="2"/>
          </w:tcPr>
          <w:p>
            <w:pPr>
              <w:ind w:left="1300"/>
              <w:spacing w:after="0"/>
              <w:rPr>
                <w:sz w:val="20"/>
                <w:szCs w:val="20"/>
                <w:color w:val="auto"/>
              </w:rPr>
            </w:pPr>
            <w:r>
              <w:rPr>
                <w:rFonts w:ascii="Arial" w:cs="Arial" w:eastAsia="Arial" w:hAnsi="Arial"/>
                <w:sz w:val="18"/>
                <w:szCs w:val="18"/>
                <w:color w:val="auto"/>
              </w:rPr>
              <w:t>1-percent decrease</w:t>
            </w:r>
          </w:p>
        </w:tc>
        <w:tc>
          <w:tcPr>
            <w:tcW w:w="4060" w:type="dxa"/>
            <w:vAlign w:val="bottom"/>
          </w:tcPr>
          <w:p>
            <w:pPr>
              <w:jc w:val="center"/>
              <w:spacing w:after="0"/>
              <w:rPr>
                <w:sz w:val="20"/>
                <w:szCs w:val="20"/>
                <w:color w:val="auto"/>
              </w:rPr>
            </w:pPr>
            <w:r>
              <w:rPr>
                <w:rFonts w:ascii="Arial" w:cs="Arial" w:eastAsia="Arial" w:hAnsi="Arial"/>
                <w:sz w:val="18"/>
                <w:szCs w:val="18"/>
                <w:color w:val="auto"/>
                <w:w w:val="95"/>
              </w:rPr>
              <w:t>No Impact</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93" w:lineRule="auto"/>
        <w:tabs>
          <w:tab w:leader="none" w:pos="92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Gemini pays a floating rate per annum equal to the greater of 3.75% or the prime rate minus 1.5%. See Note 6 to Gemini’s financial statements for further information.</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2" w:name="page203"/>
    <w:bookmarkEnd w:id="20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4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Gemini is, and the post-combination company is expected to be, an “emerging growth company,” as defined in the Jumpstart Our Business Startups Act of 2012, or the JOBS Act, and it may take advantage of certain exemptions from various reporting requirements that are applicable to other public companies that are not emerging growth companies. Gemini may take advantage of these exemptions until it is no longer an emerging growth company under Section 107 of the JOBS Act, which provides that an emerging growth company can take advantage of the extended transition period afforded by the JOBS Act for the implementation of new or revised accounting standards. Gemini has elected to avail itself of the extended transition period and, therefore, while Gemini is an emerging growth company it will not be subject to new or revised accounting standards the same time that they become applicable to other public companies that are not emerging growth companies, unless it chooses to early adopt a new or revised accounting standard.</w:t>
      </w:r>
    </w:p>
    <w:p>
      <w:pPr>
        <w:spacing w:after="0" w:line="101"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Additionally, Gemini is, and the post-combination company is expected be a “smaller reporting company” as defined in Item 10(f)(1) of Regulation S-K. Smaller reporting companies may take advantage of certain reduced disclosure obligations, including, among other things, providing only two years of audited financial statements. Gemini will remain a smaller reporting company until the last day of the fiscal year in which (i) the market value of Gemini’s common stock held by non-affiliates exceeds $250 million as of the prior June 30, or</w:t>
      </w:r>
    </w:p>
    <w:p>
      <w:pPr>
        <w:spacing w:after="0" w:line="2" w:lineRule="exact"/>
        <w:rPr>
          <w:sz w:val="20"/>
          <w:szCs w:val="20"/>
          <w:color w:val="auto"/>
        </w:rPr>
      </w:pPr>
    </w:p>
    <w:p>
      <w:pPr>
        <w:ind w:left="460" w:right="479" w:hanging="6"/>
        <w:spacing w:after="0" w:line="260" w:lineRule="auto"/>
        <w:tabs>
          <w:tab w:leader="none" w:pos="7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Gemini’s annual revenues exceeded $100 million during such completed fiscal year and the market value of our common stock held by non-affiliates exceeds $700 million as of the prior June 30.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3" w:name="page204"/>
    <w:bookmarkEnd w:id="20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AFTER THE BUSINESS COMBINATION</w:t>
      </w:r>
    </w:p>
    <w:p>
      <w:pPr>
        <w:spacing w:after="0" w:line="22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i w:val="1"/>
          <w:iCs w:val="1"/>
          <w:color w:val="auto"/>
        </w:rPr>
        <w:t>As a result of the Business Combination, FS Development stockholders who receive shares of FS Development Class A Common Stock will become the stockholders of the Combined Entity. Your rights as the Combined Entity stockholders will be governed by Delaware law and the Proposed Charter and the Amended By-laws. The following description of the material terms of the Combined Entity’s securities reflects the anticipated state of affairs upon completion of the Business Combination.</w:t>
      </w:r>
    </w:p>
    <w:p>
      <w:pPr>
        <w:spacing w:after="0" w:line="9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i w:val="1"/>
          <w:iCs w:val="1"/>
          <w:color w:val="auto"/>
        </w:rPr>
        <w:t xml:space="preserve">In connection with the Business Combination, FS Development will amend and restate the Current Charter and the Current By-Laws. The following summary of the material terms the Combined Entity’s securities following the Business Combination is not intended to be a complete summary of the rights and preferences of such securities. The full text of the Proposed Charter and the Amended By-laws are attached as </w:t>
      </w:r>
      <w:r>
        <w:rPr>
          <w:rFonts w:ascii="Arial" w:cs="Arial" w:eastAsia="Arial" w:hAnsi="Arial"/>
          <w:sz w:val="16"/>
          <w:szCs w:val="16"/>
          <w:i w:val="1"/>
          <w:iCs w:val="1"/>
          <w:u w:val="single" w:color="auto"/>
          <w:color w:val="auto"/>
        </w:rPr>
        <w:t>Annex B</w:t>
      </w:r>
      <w:r>
        <w:rPr>
          <w:rFonts w:ascii="Arial" w:cs="Arial" w:eastAsia="Arial" w:hAnsi="Arial"/>
          <w:sz w:val="16"/>
          <w:szCs w:val="16"/>
          <w:i w:val="1"/>
          <w:iCs w:val="1"/>
          <w:color w:val="auto"/>
        </w:rPr>
        <w:t xml:space="preserve"> and </w:t>
      </w:r>
      <w:r>
        <w:rPr>
          <w:rFonts w:ascii="Arial" w:cs="Arial" w:eastAsia="Arial" w:hAnsi="Arial"/>
          <w:sz w:val="16"/>
          <w:szCs w:val="16"/>
          <w:i w:val="1"/>
          <w:iCs w:val="1"/>
          <w:u w:val="single" w:color="auto"/>
          <w:color w:val="auto"/>
        </w:rPr>
        <w:t>Annex C</w:t>
      </w:r>
      <w:r>
        <w:rPr>
          <w:rFonts w:ascii="Arial" w:cs="Arial" w:eastAsia="Arial" w:hAnsi="Arial"/>
          <w:sz w:val="16"/>
          <w:szCs w:val="16"/>
          <w:i w:val="1"/>
          <w:iCs w:val="1"/>
          <w:color w:val="auto"/>
        </w:rPr>
        <w:t>, respectively, to this proxy statement/prospectus. You are encouraged to read the applicable provisions of Delaware law, the Proposed Charter and the Amended By-laws in their entirety for a complete description of the rights and preferences of the Combined Entity securities following the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58" w:lineRule="exact"/>
        <w:rPr>
          <w:sz w:val="20"/>
          <w:szCs w:val="20"/>
          <w:color w:val="auto"/>
        </w:rPr>
      </w:pPr>
    </w:p>
    <w:p>
      <w:pPr>
        <w:ind w:left="460"/>
        <w:spacing w:after="0"/>
        <w:tabs>
          <w:tab w:leader="none" w:pos="4700" w:val="left"/>
          <w:tab w:leader="none" w:pos="6660" w:val="left"/>
        </w:tabs>
        <w:rPr>
          <w:sz w:val="20"/>
          <w:szCs w:val="20"/>
          <w:color w:val="auto"/>
        </w:rPr>
      </w:pPr>
      <w:r>
        <w:rPr>
          <w:rFonts w:ascii="Arial" w:cs="Arial" w:eastAsia="Arial" w:hAnsi="Arial"/>
          <w:sz w:val="18"/>
          <w:szCs w:val="18"/>
          <w:color w:val="auto"/>
        </w:rPr>
        <w:t>The Proposed Charter authorizes the issuance of</w:t>
      </w:r>
      <w:r>
        <w:rPr>
          <w:sz w:val="20"/>
          <w:szCs w:val="20"/>
          <w:color w:val="auto"/>
        </w:rPr>
        <w:tab/>
      </w:r>
      <w:r>
        <w:rPr>
          <w:rFonts w:ascii="Arial" w:cs="Arial" w:eastAsia="Arial" w:hAnsi="Arial"/>
          <w:sz w:val="18"/>
          <w:szCs w:val="18"/>
          <w:color w:val="auto"/>
        </w:rPr>
        <w:t>shares, consisting of</w:t>
      </w:r>
      <w:r>
        <w:rPr>
          <w:sz w:val="20"/>
          <w:szCs w:val="20"/>
          <w:color w:val="auto"/>
        </w:rPr>
        <w:tab/>
      </w:r>
      <w:r>
        <w:rPr>
          <w:rFonts w:ascii="Arial" w:cs="Arial" w:eastAsia="Arial" w:hAnsi="Arial"/>
          <w:sz w:val="16"/>
          <w:szCs w:val="16"/>
          <w:color w:val="auto"/>
        </w:rPr>
        <w:t>shares of Common Stock,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$0.0001 par value per share, and 10,000,000 shares of preferred stock, $0.0001 par value. As of the Record</w:t>
      </w:r>
    </w:p>
    <w:p>
      <w:pPr>
        <w:spacing w:after="0" w:line="32"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Date, there were shares of FS Development Class A Common Stock and shares of FS Development Class B Common Stock outstanding. In connection with the Business Combination and subject to the terms of the Current Charter, all shares of outstanding Class B Common Stock shall automatically be converted into shares of Class A Common Stock. No shares of preferred stock are currently outstanding.</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 Proposed Charter, which FS Development will adopt if the Charter Amendment Proposal is approved, provides the following with respect to the rights, powers, preferences and privileges of the Common Stock.</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Power</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the Combined Entity’s directors and all other matters requiring stockholder action. Holders of Common Stock are entitled to one vote per share on matters to be voted on by stockholders.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Holders of Common Stock will be entitled to receive such dividends, if any, as may be declared from time to time by the Combined Entity’s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the event of the Combined Entity’s voluntary or involuntary liquidation, dissolution, distribution of assets or winding-up, the holders of the Common Stock will be entitled to receive an equal amount per share of all of the Combined Entity’s assets of whatever kind available for distribution to stockholders, after the rights of the holders of the preferred stock have been satisfied.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sinking fund provisions applicable to the Common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4" w:name="page205"/>
    <w:bookmarkEnd w:id="20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holders of the Founders Shares issued and outstanding on the date of this proxy statement/prospectus are entitled to registration rights pursuant to an agreement signed in connection with the FS Development IPO.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Closing. The Combined Entity will bear the expenses incurred in connection with the filing of any such registration statements.</w:t>
      </w:r>
    </w:p>
    <w:p>
      <w:pPr>
        <w:spacing w:after="0" w:line="11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Following the Business Combination, certain Gemini Equityholders will hold registration rights with respect to the Merger Consideration. Stockholders holding a majority-in-interest of such registrable securities will be entitled to make a written demand for registration under the Securities Act of all or part of their registrable securities. Subject to certain exceptions, such stockholders will also have certain “piggy-back” registration rights with respect to registration statements filed by the Combined Entity, as well additional rights to provide for registration of registrable securities on Form S-3 and any similar short-form registration statement that may be available at such time. See the section titled “</w:t>
      </w:r>
      <w:r>
        <w:rPr>
          <w:rFonts w:ascii="Arial" w:cs="Arial" w:eastAsia="Arial" w:hAnsi="Arial"/>
          <w:sz w:val="16"/>
          <w:szCs w:val="16"/>
          <w:i w:val="1"/>
          <w:iCs w:val="1"/>
          <w:color w:val="auto"/>
        </w:rPr>
        <w:t>The Business Combination Proposal — Ancillary Agreements.”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Proposed Charter and Amended By-laws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other things, the Proposed Charter and Amended By-laws will:</w:t>
      </w:r>
    </w:p>
    <w:p>
      <w:pPr>
        <w:spacing w:after="0" w:line="144" w:lineRule="exact"/>
        <w:rPr>
          <w:sz w:val="20"/>
          <w:szCs w:val="20"/>
          <w:color w:val="auto"/>
        </w:rPr>
      </w:pPr>
    </w:p>
    <w:p>
      <w:pPr>
        <w:jc w:val="both"/>
        <w:ind w:left="1320" w:right="459" w:hanging="434"/>
        <w:spacing w:after="0" w:line="263" w:lineRule="auto"/>
        <w:tabs>
          <w:tab w:leader="none" w:pos="132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permit the Combined Entity’s board of directors to issue up to 10,000,000 shares of preferred stock, with any rights, preferences and privileges as they may designate, including the right to approve an acquisition or other change of control;</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Combined Entity’s board of directors;</w:t>
      </w:r>
    </w:p>
    <w:p>
      <w:pPr>
        <w:spacing w:after="0" w:line="102" w:lineRule="exact"/>
        <w:rPr>
          <w:rFonts w:ascii="Arial" w:cs="Arial" w:eastAsia="Arial" w:hAnsi="Arial"/>
          <w:sz w:val="18"/>
          <w:szCs w:val="18"/>
          <w:color w:val="auto"/>
        </w:rPr>
      </w:pPr>
    </w:p>
    <w:p>
      <w:pPr>
        <w:jc w:val="both"/>
        <w:ind w:left="1320" w:right="479" w:hanging="434"/>
        <w:spacing w:after="0" w:line="272" w:lineRule="auto"/>
        <w:tabs>
          <w:tab w:leader="none" w:pos="132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provide that, subject to the rights of any series of preferred stock to elect directors, directors may be removed only with cause by the holders of at least 66</w:t>
      </w:r>
      <w:r>
        <w:rPr>
          <w:rFonts w:ascii="Arial" w:cs="Arial" w:eastAsia="Arial" w:hAnsi="Arial"/>
          <w:sz w:val="19"/>
          <w:szCs w:val="19"/>
          <w:color w:val="auto"/>
          <w:vertAlign w:val="superscript"/>
        </w:rPr>
        <w:t>2/3</w:t>
      </w:r>
      <w:r>
        <w:rPr>
          <w:rFonts w:ascii="Arial" w:cs="Arial" w:eastAsia="Arial" w:hAnsi="Arial"/>
          <w:sz w:val="17"/>
          <w:szCs w:val="17"/>
          <w:color w:val="auto"/>
        </w:rPr>
        <w:t>% of all of our then-outstanding shares of the capital stock entitled to vote generally at an election of directors;</w:t>
      </w:r>
    </w:p>
    <w:p>
      <w:pPr>
        <w:spacing w:after="0" w:line="92" w:lineRule="exact"/>
        <w:rPr>
          <w:rFonts w:ascii="Arial" w:cs="Arial" w:eastAsia="Arial" w:hAnsi="Arial"/>
          <w:sz w:val="17"/>
          <w:szCs w:val="17"/>
          <w:color w:val="auto"/>
        </w:rPr>
      </w:pPr>
    </w:p>
    <w:p>
      <w:pPr>
        <w:jc w:val="both"/>
        <w:ind w:left="1320" w:right="479" w:hanging="434"/>
        <w:spacing w:after="0" w:line="263" w:lineRule="auto"/>
        <w:tabs>
          <w:tab w:leader="none" w:pos="133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16" w:lineRule="exact"/>
        <w:rPr>
          <w:rFonts w:ascii="Arial" w:cs="Arial" w:eastAsia="Arial" w:hAnsi="Arial"/>
          <w:sz w:val="18"/>
          <w:szCs w:val="18"/>
          <w:color w:val="auto"/>
        </w:rPr>
      </w:pPr>
    </w:p>
    <w:p>
      <w:pPr>
        <w:jc w:val="both"/>
        <w:ind w:left="1320" w:right="459" w:hanging="434"/>
        <w:spacing w:after="0" w:line="311" w:lineRule="auto"/>
        <w:tabs>
          <w:tab w:leader="none" w:pos="151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Arial" w:cs="Arial" w:eastAsia="Arial" w:hAnsi="Arial"/>
          <w:sz w:val="16"/>
          <w:szCs w:val="16"/>
          <w:color w:val="auto"/>
        </w:rPr>
      </w:pPr>
    </w:p>
    <w:p>
      <w:pPr>
        <w:jc w:val="both"/>
        <w:ind w:left="1320" w:right="459" w:hanging="434"/>
        <w:spacing w:after="0" w:line="263" w:lineRule="auto"/>
        <w:tabs>
          <w:tab w:leader="none" w:pos="136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provide that Special Meetings of the Combined Entity’s stockholders may be called the Combined Entity’s board of directors pursuant to a resolution adopted by a majority of the total number of authorized directors;</w:t>
      </w:r>
    </w:p>
    <w:p>
      <w:pPr>
        <w:spacing w:after="0" w:line="102" w:lineRule="exact"/>
        <w:rPr>
          <w:rFonts w:ascii="Arial" w:cs="Arial" w:eastAsia="Arial" w:hAnsi="Arial"/>
          <w:sz w:val="18"/>
          <w:szCs w:val="18"/>
          <w:color w:val="auto"/>
        </w:rPr>
      </w:pPr>
    </w:p>
    <w:p>
      <w:pPr>
        <w:jc w:val="both"/>
        <w:ind w:left="1320" w:right="479" w:hanging="434"/>
        <w:spacing w:after="0" w:line="301" w:lineRule="auto"/>
        <w:tabs>
          <w:tab w:leader="none" w:pos="133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provide that the Combined Entity’s board of directors will be divided into three classes of directors, with the classes to be as nearly equal as possible, and with the directors serving three-year terms (see the section titled “</w:t>
      </w:r>
      <w:r>
        <w:rPr>
          <w:rFonts w:ascii="Arial" w:cs="Arial" w:eastAsia="Arial" w:hAnsi="Arial"/>
          <w:sz w:val="16"/>
          <w:szCs w:val="16"/>
          <w:i w:val="1"/>
          <w:iCs w:val="1"/>
          <w:color w:val="auto"/>
        </w:rPr>
        <w:t>Management After the Business Combination</w:t>
      </w:r>
      <w:r>
        <w:rPr>
          <w:rFonts w:ascii="Arial" w:cs="Arial" w:eastAsia="Arial" w:hAnsi="Arial"/>
          <w:sz w:val="16"/>
          <w:szCs w:val="16"/>
          <w:color w:val="auto"/>
        </w:rPr>
        <w:t>”), therefore making it more difficult for stockholders to change the composition of our board of directors; and</w:t>
      </w:r>
    </w:p>
    <w:p>
      <w:pPr>
        <w:spacing w:after="0" w:line="89" w:lineRule="exact"/>
        <w:rPr>
          <w:rFonts w:ascii="Arial" w:cs="Arial" w:eastAsia="Arial" w:hAnsi="Arial"/>
          <w:sz w:val="16"/>
          <w:szCs w:val="16"/>
          <w:color w:val="auto"/>
        </w:rPr>
      </w:pPr>
    </w:p>
    <w:p>
      <w:pPr>
        <w:jc w:val="both"/>
        <w:ind w:left="1320" w:right="479" w:hanging="434"/>
        <w:spacing w:after="0" w:line="263" w:lineRule="auto"/>
        <w:tabs>
          <w:tab w:leader="none" w:pos="136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5" w:name="page206"/>
    <w:bookmarkEnd w:id="20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combination of these provisions will make it more difficult for the existing stockholders to replace the Combined Entity’s board of directors as well as for another party to obtain control of the Combined Entity by replacing the Combined Entity’s board of directors. Because the Combined Entity’s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Combined Entity’s board of directors to issue preferred stock with voting or other rights or preferences that could impede the success of any attempt to change our control.</w:t>
      </w:r>
    </w:p>
    <w:p>
      <w:pPr>
        <w:spacing w:after="0" w:line="9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the Combined Entity’s board of directors and its policies and to discourage coercive takeover practices and inadequate takeover bids. These provisions are also designed to reduce the Combined Entity’s vulnerability to hostile takeovers and to discourage certain tactics that may be used in proxy fights. However, such provisions could have the effect of discouraging others from making tender offers for the Combined Entity’s shares and may have the effect of delaying changes in our control or management. As a consequence, these provisions may also inhibit fluctuations in the market price of our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5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Combined Entity will opt out of Section 203 of the Delaware General Corporation Law.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6" w:name="page207"/>
    <w:bookmarkEnd w:id="20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Shares</w:t>
      </w:r>
    </w:p>
    <w:p>
      <w:pPr>
        <w:spacing w:after="0" w:line="14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FS Development will issue up to shares of Class A Common Stock to Gemini Equityholders in connection with the Business Combination. All of the shares of Class A Common Stock issued in connection with the Business Combination will be freely transferable by persons other than by FS Development’s “affiliates” without restriction or further registration under the Securities Act, subject to any lock-up restrictions. Sales of substantial amounts of the Common Stock in the public market could adversely affect prevailing market prices of the Common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Provisions</w:t>
      </w:r>
    </w:p>
    <w:p>
      <w:pPr>
        <w:spacing w:after="0" w:line="16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Sponsor and certain existing Gemini stockholders, including all Gemini officers, directors and certain stockholders prior to the Closing, and their affiliates that hold Gemini securities, will be broadly prohibited from selling, pledging, transferring or otherwise disposing of their ownership interest in the Combined Entity’s common stock for a period 180 days after the Closing, subject to certain customary exceptions.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FS Development has agreed to give holders of certain restricted securities, including shares of Common Stock and the shares purchased in the PIPE Investment, registration rights to facilitate the resale of such restricted securities. Additional details of these rights can be found under the section titled “</w:t>
      </w:r>
      <w:r>
        <w:rPr>
          <w:rFonts w:ascii="Arial" w:cs="Arial" w:eastAsia="Arial" w:hAnsi="Arial"/>
          <w:sz w:val="18"/>
          <w:szCs w:val="18"/>
          <w:i w:val="1"/>
          <w:iCs w:val="1"/>
          <w:color w:val="auto"/>
        </w:rPr>
        <w:t>Description of Securities After</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 — Registration Rights</w:t>
      </w:r>
      <w:r>
        <w:rPr>
          <w:rFonts w:ascii="Arial" w:cs="Arial" w:eastAsia="Arial" w:hAnsi="Arial"/>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of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119" w:lineRule="exact"/>
        <w:rPr>
          <w:sz w:val="20"/>
          <w:szCs w:val="20"/>
          <w:color w:val="auto"/>
        </w:rPr>
      </w:pPr>
    </w:p>
    <w:p>
      <w:pPr>
        <w:ind w:left="1300" w:hanging="41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1% of the total shares of the Combined Entity’s common stock then outstanding; or</w:t>
      </w:r>
    </w:p>
    <w:p>
      <w:pPr>
        <w:spacing w:after="0" w:line="144"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average weekly reported trading volume of the Combined Entity’s Common Stock during the four calendar weeks preceding the filing of a notice on Form 144 with respect to the sale.</w:t>
      </w:r>
    </w:p>
    <w:p>
      <w:pPr>
        <w:spacing w:after="0" w:line="79"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Sales by affiliates of FS Development under Rule 144 are also subject to certain requirements relating to manner of sale, notice and the availability of current public information about FS Development.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68" w:lineRule="exact"/>
        <w:rPr>
          <w:sz w:val="20"/>
          <w:szCs w:val="20"/>
          <w:color w:val="auto"/>
        </w:rPr>
      </w:pPr>
    </w:p>
    <w:p>
      <w:pPr>
        <w:ind w:left="1300" w:hanging="414"/>
        <w:spacing w:after="0"/>
        <w:tabs>
          <w:tab w:leader="none" w:pos="13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9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7" w:name="page208"/>
    <w:bookmarkEnd w:id="20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3" w:lineRule="auto"/>
        <w:tabs>
          <w:tab w:leader="none" w:pos="140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which is expected to be filed promptly after completion of the Business Combination, reflecting its status as an entity that is not a shell company.</w:t>
      </w:r>
    </w:p>
    <w:p>
      <w:pPr>
        <w:spacing w:after="0" w:line="116"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As of the date of this proxy statement/prospectus, there are shares of Common Stock outstanding. Of these shares, the 8,622,644 shares issued in the FS Development IPO are freely tradable without restriction or further registration under the Securities Act, except for any shares purchased by one of our affiliates within the</w:t>
      </w:r>
    </w:p>
    <w:p>
      <w:pPr>
        <w:spacing w:after="0" w:line="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meaning of Rule 144 under the Securities Act. All of the remaining shares owned collectively by the Sponsor, officers and directors are restricted securities under Rule 144, in that they were issued in private transactions not involving a public offering.</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In general, under Rule 701 of the Securities Act as currently in effect, each of Gemini’s employees, consultants or advisors who purchases equity shares from Gemini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8" w:name="page209"/>
    <w:bookmarkEnd w:id="20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STOCKHOLDER RIGHTS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table below summarizes the material differences between the current rights of stockholders of FS Development under the Current Charter and Current By-laws and the rights of FS Development stockholders, post-Business Combination, under the Proposed Charter and Amended By-laws, which will be in effect immediately following the Closing.</w:t>
      </w:r>
    </w:p>
    <w:p>
      <w:pPr>
        <w:spacing w:after="0" w:line="11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While FS Development believes that the summary tables cover the material differences between the rights of stockholders of FS Development prior to the Business Combination and the rights of FS Development stockholders following the Business Combination, these summary tables may not contain all of the information that is important to you. You should carefully read this entire proxy statement/prospectus and the other documents referred to in this proxy statement/prospectus for a more complete understanding of the differences between being a stockholder of FS Development before and after the Business Combination, Annex B, and Exhibits 3.1, 3.2 and 3.3 to the registration statement of which this proxy statement/prospectus forms a part and will send copies of the documents referred to in this proxy statement/prospectus to you upon your request. See the section 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in this proxy statement/prospectus.</w:t>
      </w:r>
    </w:p>
    <w:p>
      <w:pPr>
        <w:spacing w:after="0" w:line="117" w:lineRule="exact"/>
        <w:rPr>
          <w:sz w:val="20"/>
          <w:szCs w:val="20"/>
          <w:color w:val="auto"/>
        </w:rPr>
      </w:pPr>
    </w:p>
    <w:p>
      <w:pPr>
        <w:ind w:left="840"/>
        <w:spacing w:after="0"/>
        <w:tabs>
          <w:tab w:leader="none" w:pos="4940" w:val="left"/>
        </w:tabs>
        <w:rPr>
          <w:sz w:val="20"/>
          <w:szCs w:val="20"/>
          <w:color w:val="auto"/>
        </w:rPr>
      </w:pPr>
      <w:r>
        <w:rPr>
          <w:rFonts w:ascii="Arial" w:cs="Arial" w:eastAsia="Arial" w:hAnsi="Arial"/>
          <w:sz w:val="16"/>
          <w:szCs w:val="16"/>
          <w:b w:val="1"/>
          <w:bCs w:val="1"/>
          <w:color w:val="auto"/>
        </w:rPr>
        <w:t>FS Development (Pre-Business Combination)</w:t>
      </w:r>
      <w:r>
        <w:rPr>
          <w:sz w:val="20"/>
          <w:szCs w:val="20"/>
          <w:color w:val="auto"/>
        </w:rPr>
        <w:tab/>
      </w:r>
      <w:r>
        <w:rPr>
          <w:rFonts w:ascii="Arial" w:cs="Arial" w:eastAsia="Arial" w:hAnsi="Arial"/>
          <w:sz w:val="12"/>
          <w:szCs w:val="12"/>
          <w:b w:val="1"/>
          <w:bCs w:val="1"/>
          <w:color w:val="auto"/>
        </w:rPr>
        <w:t>The Combined Entity (Post-Business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77470</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Capital Stock</w:t>
      </w:r>
    </w:p>
    <w:p>
      <w:pPr>
        <w:spacing w:after="0" w:line="202" w:lineRule="exact"/>
        <w:rPr>
          <w:sz w:val="20"/>
          <w:szCs w:val="20"/>
          <w:color w:val="auto"/>
        </w:rPr>
      </w:pPr>
    </w:p>
    <w:p>
      <w:pPr>
        <w:jc w:val="both"/>
        <w:ind w:left="460" w:right="459"/>
        <w:spacing w:after="0" w:line="274" w:lineRule="auto"/>
        <w:rPr>
          <w:sz w:val="20"/>
          <w:szCs w:val="20"/>
          <w:color w:val="auto"/>
        </w:rPr>
      </w:pPr>
      <w:r>
        <w:rPr>
          <w:rFonts w:ascii="Arial" w:cs="Arial" w:eastAsia="Arial" w:hAnsi="Arial"/>
          <w:sz w:val="17"/>
          <w:szCs w:val="17"/>
          <w:color w:val="auto"/>
        </w:rPr>
        <w:t>FS Development is currently authorized to issue The Combined Entity will be authorized to issue shares 111,000,000 shares of capital stock, consisting of of capital stock, consisting of (i) shares of common</w:t>
      </w:r>
    </w:p>
    <w:p>
      <w:pPr>
        <w:ind w:left="460" w:right="799" w:hanging="6"/>
        <w:spacing w:after="0" w:line="250" w:lineRule="auto"/>
        <w:tabs>
          <w:tab w:leader="none" w:pos="74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110,000,000 shares of common stock, including stock, and (iii) 10,000,000 shares of preferred stock 100,000,000 shares of Class A Common Stock and</w:t>
      </w:r>
    </w:p>
    <w:p>
      <w:pPr>
        <w:ind w:left="460"/>
        <w:spacing w:after="0"/>
        <w:rPr>
          <w:rFonts w:ascii="Arial" w:cs="Arial" w:eastAsia="Arial" w:hAnsi="Arial"/>
          <w:sz w:val="18"/>
          <w:szCs w:val="18"/>
          <w:color w:val="auto"/>
        </w:rPr>
      </w:pPr>
      <w:r>
        <w:rPr>
          <w:rFonts w:ascii="Arial" w:cs="Arial" w:eastAsia="Arial" w:hAnsi="Arial"/>
          <w:sz w:val="18"/>
          <w:szCs w:val="18"/>
          <w:color w:val="auto"/>
        </w:rPr>
        <w:t>10,000,000 shares of Class B Common Stock, and</w:t>
      </w:r>
    </w:p>
    <w:p>
      <w:pPr>
        <w:spacing w:after="0" w:line="9" w:lineRule="exact"/>
        <w:rPr>
          <w:rFonts w:ascii="Arial" w:cs="Arial" w:eastAsia="Arial" w:hAnsi="Arial"/>
          <w:sz w:val="18"/>
          <w:szCs w:val="18"/>
          <w:color w:val="auto"/>
        </w:rPr>
      </w:pPr>
    </w:p>
    <w:p>
      <w:pPr>
        <w:ind w:left="700" w:hanging="246"/>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1,000,000 shares of preferred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Preferred Stock</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The Board may fix for any series of preferred stock</w:t>
            </w:r>
          </w:p>
        </w:tc>
        <w:tc>
          <w:tcPr>
            <w:tcW w:w="4100" w:type="dxa"/>
            <w:vAlign w:val="bottom"/>
          </w:tcPr>
          <w:p>
            <w:pPr>
              <w:ind w:left="40"/>
              <w:spacing w:after="0"/>
              <w:rPr>
                <w:sz w:val="20"/>
                <w:szCs w:val="20"/>
                <w:color w:val="auto"/>
              </w:rPr>
            </w:pPr>
            <w:r>
              <w:rPr>
                <w:rFonts w:ascii="Arial" w:cs="Arial" w:eastAsia="Arial" w:hAnsi="Arial"/>
                <w:sz w:val="18"/>
                <w:szCs w:val="18"/>
                <w:color w:val="auto"/>
                <w:w w:val="97"/>
              </w:rPr>
              <w:t>The Combined Entity’s board of directors may fix for</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such voting powers, if any, designations, powers,</w:t>
            </w:r>
          </w:p>
        </w:tc>
        <w:tc>
          <w:tcPr>
            <w:tcW w:w="4100" w:type="dxa"/>
            <w:vAlign w:val="bottom"/>
          </w:tcPr>
          <w:p>
            <w:pPr>
              <w:ind w:left="40"/>
              <w:spacing w:after="0"/>
              <w:rPr>
                <w:sz w:val="20"/>
                <w:szCs w:val="20"/>
                <w:color w:val="auto"/>
              </w:rPr>
            </w:pPr>
            <w:r>
              <w:rPr>
                <w:rFonts w:ascii="Arial" w:cs="Arial" w:eastAsia="Arial" w:hAnsi="Arial"/>
                <w:sz w:val="18"/>
                <w:szCs w:val="18"/>
                <w:color w:val="auto"/>
              </w:rPr>
              <w:t>any class or series of preferred stock such voting</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9"/>
              </w:rPr>
              <w:t>preferences  and  relative,  participating,  optional,</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powers, full or limited, or no voting powers, and such</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special and other rights, if any, as may be stated in the</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designations,  preferences  and  relative,  participating,</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resolutions of the Board’s providing for the issuance</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optional or other special rights and such qualifications,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of such series.</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limitations or restrictions thereof, as may be stated in</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Arial" w:cs="Arial" w:eastAsia="Arial" w:hAnsi="Arial"/>
                <w:sz w:val="18"/>
                <w:szCs w:val="18"/>
                <w:color w:val="auto"/>
              </w:rPr>
              <w:t>the resolutions of the Combined Entity’s board of</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Arial" w:cs="Arial" w:eastAsia="Arial" w:hAnsi="Arial"/>
                <w:sz w:val="18"/>
                <w:szCs w:val="18"/>
                <w:color w:val="auto"/>
                <w:w w:val="94"/>
              </w:rPr>
              <w:t>resolutions providing for the issuance of such class or</w:t>
            </w:r>
          </w:p>
        </w:tc>
      </w:tr>
      <w:tr>
        <w:trPr>
          <w:trHeight w:val="230"/>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Arial" w:cs="Arial" w:eastAsia="Arial" w:hAnsi="Arial"/>
                <w:sz w:val="18"/>
                <w:szCs w:val="18"/>
                <w:color w:val="auto"/>
              </w:rPr>
              <w:t>series.</w:t>
            </w:r>
          </w:p>
        </w:tc>
      </w:tr>
      <w:tr>
        <w:trPr>
          <w:trHeight w:val="426"/>
        </w:trPr>
        <w:tc>
          <w:tcPr>
            <w:tcW w:w="4000" w:type="dxa"/>
            <w:vAlign w:val="bottom"/>
          </w:tcPr>
          <w:p>
            <w:pPr>
              <w:ind w:left="1380"/>
              <w:spacing w:after="0"/>
              <w:rPr>
                <w:sz w:val="20"/>
                <w:szCs w:val="20"/>
                <w:color w:val="auto"/>
              </w:rPr>
            </w:pPr>
            <w:r>
              <w:rPr>
                <w:rFonts w:ascii="Arial" w:cs="Arial" w:eastAsia="Arial" w:hAnsi="Arial"/>
                <w:sz w:val="16"/>
                <w:szCs w:val="16"/>
                <w:b w:val="1"/>
                <w:bCs w:val="1"/>
                <w:color w:val="auto"/>
              </w:rPr>
              <w:t>FS Development</w:t>
            </w:r>
          </w:p>
        </w:tc>
        <w:tc>
          <w:tcPr>
            <w:tcW w:w="4100" w:type="dxa"/>
            <w:vAlign w:val="bottom"/>
          </w:tcPr>
          <w:p>
            <w:pPr>
              <w:ind w:left="1480"/>
              <w:spacing w:after="0"/>
              <w:rPr>
                <w:sz w:val="20"/>
                <w:szCs w:val="20"/>
                <w:color w:val="auto"/>
              </w:rPr>
            </w:pPr>
            <w:r>
              <w:rPr>
                <w:rFonts w:ascii="Arial" w:cs="Arial" w:eastAsia="Arial" w:hAnsi="Arial"/>
                <w:sz w:val="16"/>
                <w:szCs w:val="16"/>
                <w:b w:val="1"/>
                <w:bCs w:val="1"/>
                <w:color w:val="auto"/>
              </w:rPr>
              <w:t>Combined Entity</w:t>
            </w:r>
          </w:p>
        </w:tc>
      </w:tr>
      <w:tr>
        <w:trPr>
          <w:trHeight w:val="87"/>
        </w:trPr>
        <w:tc>
          <w:tcPr>
            <w:tcW w:w="8100" w:type="dxa"/>
            <w:vAlign w:val="bottom"/>
            <w:tcBorders>
              <w:bottom w:val="single" w:sz="8" w:color="auto"/>
            </w:tcBorders>
            <w:gridSpan w:val="2"/>
          </w:tcPr>
          <w:p>
            <w:pPr>
              <w:spacing w:after="0"/>
              <w:rPr>
                <w:sz w:val="7"/>
                <w:szCs w:val="7"/>
                <w:color w:val="auto"/>
              </w:rPr>
            </w:pPr>
          </w:p>
        </w:tc>
      </w:tr>
      <w:tr>
        <w:trPr>
          <w:trHeight w:val="237"/>
        </w:trPr>
        <w:tc>
          <w:tcPr>
            <w:tcW w:w="8100" w:type="dxa"/>
            <w:vAlign w:val="bottom"/>
            <w:gridSpan w:val="2"/>
          </w:tcPr>
          <w:p>
            <w:pPr>
              <w:ind w:left="2560"/>
              <w:spacing w:after="0"/>
              <w:rPr>
                <w:sz w:val="20"/>
                <w:szCs w:val="20"/>
                <w:color w:val="auto"/>
              </w:rPr>
            </w:pPr>
            <w:r>
              <w:rPr>
                <w:rFonts w:ascii="Arial" w:cs="Arial" w:eastAsia="Arial" w:hAnsi="Arial"/>
                <w:sz w:val="18"/>
                <w:szCs w:val="18"/>
                <w:b w:val="1"/>
                <w:bCs w:val="1"/>
                <w:color w:val="auto"/>
              </w:rPr>
              <w:t>Number and Qualification of Directors</w:t>
            </w:r>
          </w:p>
        </w:tc>
      </w:tr>
      <w:tr>
        <w:trPr>
          <w:trHeight w:val="391"/>
        </w:trPr>
        <w:tc>
          <w:tcPr>
            <w:tcW w:w="4000" w:type="dxa"/>
            <w:vAlign w:val="bottom"/>
          </w:tcPr>
          <w:p>
            <w:pPr>
              <w:spacing w:after="0"/>
              <w:rPr>
                <w:sz w:val="20"/>
                <w:szCs w:val="20"/>
                <w:color w:val="auto"/>
              </w:rPr>
            </w:pPr>
            <w:r>
              <w:rPr>
                <w:rFonts w:ascii="Arial" w:cs="Arial" w:eastAsia="Arial" w:hAnsi="Arial"/>
                <w:sz w:val="18"/>
                <w:szCs w:val="18"/>
                <w:color w:val="auto"/>
                <w:w w:val="99"/>
              </w:rPr>
              <w:t>The number of directors of FS Development, other</w:t>
            </w:r>
          </w:p>
        </w:tc>
        <w:tc>
          <w:tcPr>
            <w:tcW w:w="4100" w:type="dxa"/>
            <w:vAlign w:val="bottom"/>
          </w:tcPr>
          <w:p>
            <w:pPr>
              <w:ind w:left="40"/>
              <w:spacing w:after="0"/>
              <w:rPr>
                <w:sz w:val="20"/>
                <w:szCs w:val="20"/>
                <w:color w:val="auto"/>
              </w:rPr>
            </w:pPr>
            <w:r>
              <w:rPr>
                <w:rFonts w:ascii="Arial" w:cs="Arial" w:eastAsia="Arial" w:hAnsi="Arial"/>
                <w:sz w:val="18"/>
                <w:szCs w:val="18"/>
                <w:color w:val="auto"/>
                <w:w w:val="97"/>
              </w:rPr>
              <w:t>Subject to any rights of holders of preferred stock to</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than those who may be elected by the holders of one</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elect  directors  under  specified  circumstances  and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or more series of preferred stock voting separately by</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subject to the Registration Rights Agreement and the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class or series, will be fixed from time to time</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Voting Agreement, the number of directors will be fixed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exclusively by the Board pursuant to a resolution</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from time to time pursuant to a resolution adopted by</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adopted by a majority of the Board.</w:t>
            </w:r>
          </w:p>
        </w:tc>
        <w:tc>
          <w:tcPr>
            <w:tcW w:w="4100" w:type="dxa"/>
            <w:vAlign w:val="bottom"/>
          </w:tcPr>
          <w:p>
            <w:pPr>
              <w:ind w:left="40"/>
              <w:spacing w:after="0"/>
              <w:rPr>
                <w:sz w:val="20"/>
                <w:szCs w:val="20"/>
                <w:color w:val="auto"/>
              </w:rPr>
            </w:pPr>
            <w:r>
              <w:rPr>
                <w:rFonts w:ascii="Arial" w:cs="Arial" w:eastAsia="Arial" w:hAnsi="Arial"/>
                <w:sz w:val="18"/>
                <w:szCs w:val="18"/>
                <w:color w:val="auto"/>
              </w:rPr>
              <w:t>the Combined Entity’s board of directors.</w:t>
            </w:r>
          </w:p>
        </w:tc>
      </w:tr>
      <w:tr>
        <w:trPr>
          <w:trHeight w:val="405"/>
        </w:trPr>
        <w:tc>
          <w:tcPr>
            <w:tcW w:w="8100" w:type="dxa"/>
            <w:vAlign w:val="bottom"/>
            <w:gridSpan w:val="2"/>
          </w:tcPr>
          <w:p>
            <w:pPr>
              <w:ind w:left="2540"/>
              <w:spacing w:after="0"/>
              <w:rPr>
                <w:sz w:val="20"/>
                <w:szCs w:val="20"/>
                <w:color w:val="auto"/>
              </w:rPr>
            </w:pPr>
            <w:r>
              <w:rPr>
                <w:rFonts w:ascii="Arial" w:cs="Arial" w:eastAsia="Arial" w:hAnsi="Arial"/>
                <w:sz w:val="18"/>
                <w:szCs w:val="18"/>
                <w:b w:val="1"/>
                <w:bCs w:val="1"/>
                <w:color w:val="auto"/>
              </w:rPr>
              <w:t>Classification of the Board of Directors</w:t>
            </w:r>
          </w:p>
        </w:tc>
      </w:tr>
      <w:tr>
        <w:trPr>
          <w:trHeight w:val="391"/>
        </w:trPr>
        <w:tc>
          <w:tcPr>
            <w:tcW w:w="4000" w:type="dxa"/>
            <w:vAlign w:val="bottom"/>
          </w:tcPr>
          <w:p>
            <w:pPr>
              <w:spacing w:after="0"/>
              <w:rPr>
                <w:sz w:val="20"/>
                <w:szCs w:val="20"/>
                <w:color w:val="auto"/>
              </w:rPr>
            </w:pPr>
            <w:r>
              <w:rPr>
                <w:rFonts w:ascii="Arial" w:cs="Arial" w:eastAsia="Arial" w:hAnsi="Arial"/>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Arial" w:cs="Arial" w:eastAsia="Arial" w:hAnsi="Arial"/>
                <w:sz w:val="18"/>
                <w:szCs w:val="18"/>
                <w:color w:val="auto"/>
                <w:w w:val="90"/>
              </w:rPr>
              <w:t>Subject to the rights of the holders of one or more series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series of preferred stock of FS Development to elect</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of preferred stock of the Combined Entity to elect one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one or more directors, the Board is classified into</w:t>
            </w:r>
          </w:p>
        </w:tc>
        <w:tc>
          <w:tcPr>
            <w:tcW w:w="4100" w:type="dxa"/>
            <w:vAlign w:val="bottom"/>
          </w:tcPr>
          <w:p>
            <w:pPr>
              <w:ind w:left="40"/>
              <w:spacing w:after="0"/>
              <w:rPr>
                <w:sz w:val="20"/>
                <w:szCs w:val="20"/>
                <w:color w:val="auto"/>
              </w:rPr>
            </w:pPr>
            <w:r>
              <w:rPr>
                <w:rFonts w:ascii="Arial" w:cs="Arial" w:eastAsia="Arial" w:hAnsi="Arial"/>
                <w:sz w:val="18"/>
                <w:szCs w:val="18"/>
                <w:color w:val="auto"/>
              </w:rPr>
              <w:t>or more directors, the Combined Entity’s board of</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three classes of directors with staggered terms of</w:t>
            </w:r>
          </w:p>
        </w:tc>
        <w:tc>
          <w:tcPr>
            <w:tcW w:w="4100" w:type="dxa"/>
            <w:vAlign w:val="bottom"/>
          </w:tcPr>
          <w:p>
            <w:pPr>
              <w:ind w:left="40"/>
              <w:spacing w:after="0"/>
              <w:rPr>
                <w:sz w:val="20"/>
                <w:szCs w:val="20"/>
                <w:color w:val="auto"/>
              </w:rPr>
            </w:pPr>
            <w:r>
              <w:rPr>
                <w:rFonts w:ascii="Arial" w:cs="Arial" w:eastAsia="Arial" w:hAnsi="Arial"/>
                <w:sz w:val="18"/>
                <w:szCs w:val="18"/>
                <w:color w:val="auto"/>
                <w:w w:val="91"/>
              </w:rPr>
              <w:t>directors is classified into three classes of directors with</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office.</w:t>
            </w:r>
          </w:p>
        </w:tc>
        <w:tc>
          <w:tcPr>
            <w:tcW w:w="4100" w:type="dxa"/>
            <w:vAlign w:val="bottom"/>
          </w:tcPr>
          <w:p>
            <w:pPr>
              <w:ind w:left="40"/>
              <w:spacing w:after="0"/>
              <w:rPr>
                <w:sz w:val="20"/>
                <w:szCs w:val="20"/>
                <w:color w:val="auto"/>
              </w:rPr>
            </w:pPr>
            <w:r>
              <w:rPr>
                <w:rFonts w:ascii="Arial" w:cs="Arial" w:eastAsia="Arial" w:hAnsi="Arial"/>
                <w:sz w:val="18"/>
                <w:szCs w:val="18"/>
                <w:color w:val="auto"/>
              </w:rPr>
              <w:t>staggered terms of office.</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9" w:name="page210"/>
    <w:bookmarkEnd w:id="20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000" w:type="dxa"/>
            <w:vAlign w:val="bottom"/>
          </w:tcPr>
          <w:p>
            <w:pPr>
              <w:ind w:left="1380"/>
              <w:spacing w:after="0"/>
              <w:rPr>
                <w:sz w:val="20"/>
                <w:szCs w:val="20"/>
                <w:color w:val="auto"/>
              </w:rPr>
            </w:pPr>
            <w:r>
              <w:rPr>
                <w:rFonts w:ascii="Arial" w:cs="Arial" w:eastAsia="Arial" w:hAnsi="Arial"/>
                <w:sz w:val="16"/>
                <w:szCs w:val="16"/>
                <w:b w:val="1"/>
                <w:bCs w:val="1"/>
                <w:color w:val="auto"/>
              </w:rPr>
              <w:t>FS Development</w:t>
            </w:r>
          </w:p>
        </w:tc>
        <w:tc>
          <w:tcPr>
            <w:tcW w:w="4100" w:type="dxa"/>
            <w:vAlign w:val="bottom"/>
          </w:tcPr>
          <w:p>
            <w:pPr>
              <w:ind w:left="1480"/>
              <w:spacing w:after="0"/>
              <w:rPr>
                <w:sz w:val="20"/>
                <w:szCs w:val="20"/>
                <w:color w:val="auto"/>
              </w:rPr>
            </w:pPr>
            <w:r>
              <w:rPr>
                <w:rFonts w:ascii="Arial" w:cs="Arial" w:eastAsia="Arial" w:hAnsi="Arial"/>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820"/>
              <w:spacing w:after="0"/>
              <w:rPr>
                <w:sz w:val="20"/>
                <w:szCs w:val="20"/>
                <w:color w:val="auto"/>
              </w:rPr>
            </w:pPr>
            <w:r>
              <w:rPr>
                <w:rFonts w:ascii="Arial" w:cs="Arial" w:eastAsia="Arial" w:hAnsi="Arial"/>
                <w:sz w:val="18"/>
                <w:szCs w:val="18"/>
                <w:b w:val="1"/>
                <w:bCs w:val="1"/>
                <w:color w:val="auto"/>
              </w:rPr>
              <w:t>Election of Directors; Vacancies on the Board of Directors</w:t>
            </w:r>
          </w:p>
        </w:tc>
        <w:tc>
          <w:tcPr>
            <w:tcW w:w="0" w:type="dxa"/>
            <w:vAlign w:val="bottom"/>
          </w:tcPr>
          <w:p>
            <w:pPr>
              <w:spacing w:after="0"/>
              <w:rPr>
                <w:sz w:val="1"/>
                <w:szCs w:val="1"/>
                <w:color w:val="auto"/>
              </w:rPr>
            </w:pPr>
          </w:p>
        </w:tc>
      </w:tr>
      <w:tr>
        <w:trPr>
          <w:trHeight w:val="391"/>
        </w:trPr>
        <w:tc>
          <w:tcPr>
            <w:tcW w:w="4000" w:type="dxa"/>
            <w:vAlign w:val="bottom"/>
          </w:tcPr>
          <w:p>
            <w:pPr>
              <w:spacing w:after="0"/>
              <w:rPr>
                <w:sz w:val="20"/>
                <w:szCs w:val="20"/>
                <w:color w:val="auto"/>
              </w:rPr>
            </w:pPr>
            <w:r>
              <w:rPr>
                <w:rFonts w:ascii="Arial" w:cs="Arial" w:eastAsia="Arial" w:hAnsi="Arial"/>
                <w:sz w:val="18"/>
                <w:szCs w:val="18"/>
                <w:color w:val="auto"/>
                <w:w w:val="97"/>
              </w:rPr>
              <w:t>At FS Development’s annual meeting, stockholders</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At the Combined Entity’s annual meeting,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elect directors to replace the class of directors whose</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elect directors to replace the class of directors whose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term expires at that annual meeting, each of whom</w:t>
            </w:r>
          </w:p>
        </w:tc>
        <w:tc>
          <w:tcPr>
            <w:tcW w:w="4100" w:type="dxa"/>
            <w:vAlign w:val="bottom"/>
          </w:tcPr>
          <w:p>
            <w:pPr>
              <w:ind w:left="40"/>
              <w:spacing w:after="0"/>
              <w:rPr>
                <w:sz w:val="20"/>
                <w:szCs w:val="20"/>
                <w:color w:val="auto"/>
              </w:rPr>
            </w:pPr>
            <w:r>
              <w:rPr>
                <w:rFonts w:ascii="Arial" w:cs="Arial" w:eastAsia="Arial" w:hAnsi="Arial"/>
                <w:sz w:val="18"/>
                <w:szCs w:val="18"/>
                <w:color w:val="auto"/>
                <w:w w:val="90"/>
              </w:rPr>
              <w:t>term expires at that annual meeting, each of whom shall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shall hold office for a term of three years or until his</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hold office for a term of three years or until his or 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or her successor is duly elected and qualified, subject</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successor is duly elected and qualified, subject to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  such  director’s  earlier  death,  resignation,</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director’s earlier death, resignation, disqualification or</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disqualification or removal.</w:t>
            </w:r>
          </w:p>
        </w:tc>
        <w:tc>
          <w:tcPr>
            <w:tcW w:w="4100" w:type="dxa"/>
            <w:vAlign w:val="bottom"/>
          </w:tcPr>
          <w:p>
            <w:pPr>
              <w:ind w:left="40"/>
              <w:spacing w:after="0"/>
              <w:rPr>
                <w:sz w:val="20"/>
                <w:szCs w:val="20"/>
                <w:color w:val="auto"/>
              </w:rPr>
            </w:pPr>
            <w:r>
              <w:rPr>
                <w:rFonts w:ascii="Arial" w:cs="Arial" w:eastAsia="Arial" w:hAnsi="Arial"/>
                <w:sz w:val="18"/>
                <w:szCs w:val="18"/>
                <w:color w:val="auto"/>
              </w:rPr>
              <w:t>removal.</w:t>
            </w:r>
          </w:p>
        </w:tc>
        <w:tc>
          <w:tcPr>
            <w:tcW w:w="0" w:type="dxa"/>
            <w:vAlign w:val="bottom"/>
          </w:tcPr>
          <w:p>
            <w:pPr>
              <w:spacing w:after="0"/>
              <w:rPr>
                <w:sz w:val="1"/>
                <w:szCs w:val="1"/>
                <w:color w:val="auto"/>
              </w:rPr>
            </w:pPr>
          </w:p>
        </w:tc>
      </w:tr>
      <w:tr>
        <w:trPr>
          <w:trHeight w:val="337"/>
        </w:trPr>
        <w:tc>
          <w:tcPr>
            <w:tcW w:w="4000" w:type="dxa"/>
            <w:vAlign w:val="bottom"/>
          </w:tcPr>
          <w:p>
            <w:pPr>
              <w:spacing w:after="0"/>
              <w:rPr>
                <w:sz w:val="20"/>
                <w:szCs w:val="20"/>
                <w:color w:val="auto"/>
              </w:rPr>
            </w:pPr>
            <w:r>
              <w:rPr>
                <w:rFonts w:ascii="Arial" w:cs="Arial" w:eastAsia="Arial" w:hAnsi="Arial"/>
                <w:sz w:val="18"/>
                <w:szCs w:val="18"/>
                <w:color w:val="auto"/>
                <w:w w:val="93"/>
              </w:rPr>
              <w:t>If the number of directors is changed, any increase or</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A majority of the board of directors shall have the right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0"/>
              </w:rPr>
              <w:t>decrease is apportioned among the classes to maintain</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to fill any vacancies on of the Combined Entity’s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0"/>
              </w:rPr>
              <w:t>an equal number of directors in each class as nearly as</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of directors, whether caused by increase in size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possible,  and  any  additional  director  of  any</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Board or resignation or removal of a director, and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class elected to fill a vacancy will hold office for the</w:t>
            </w:r>
          </w:p>
        </w:tc>
        <w:tc>
          <w:tcPr>
            <w:tcW w:w="4100" w:type="dxa"/>
            <w:vAlign w:val="bottom"/>
          </w:tcPr>
          <w:p>
            <w:pPr>
              <w:ind w:left="40"/>
              <w:spacing w:after="0"/>
              <w:rPr>
                <w:sz w:val="20"/>
                <w:szCs w:val="20"/>
                <w:color w:val="auto"/>
              </w:rPr>
            </w:pPr>
            <w:r>
              <w:rPr>
                <w:rFonts w:ascii="Arial" w:cs="Arial" w:eastAsia="Arial" w:hAnsi="Arial"/>
                <w:sz w:val="18"/>
                <w:szCs w:val="18"/>
                <w:color w:val="auto"/>
                <w:w w:val="99"/>
              </w:rPr>
              <w:t>Combined Entity’s board of directors shall have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remaining term of that class, but in no case will a</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right to determine the class that any additional director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decrease in the number of directors remove or shorten</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will fill, and any additional director of any class elected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the term of any incumbent director.</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to fill a vacancy will hold office for the remaining term</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Arial" w:cs="Arial" w:eastAsia="Arial" w:hAnsi="Arial"/>
                <w:sz w:val="18"/>
                <w:szCs w:val="18"/>
                <w:color w:val="auto"/>
              </w:rPr>
              <w:t>of that class, but in no case will a decrease in the</w:t>
            </w:r>
          </w:p>
        </w:tc>
        <w:tc>
          <w:tcPr>
            <w:tcW w:w="0" w:type="dxa"/>
            <w:vAlign w:val="bottom"/>
          </w:tcPr>
          <w:p>
            <w:pPr>
              <w:spacing w:after="0"/>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4100" w:type="dxa"/>
            <w:vAlign w:val="bottom"/>
          </w:tcPr>
          <w:p>
            <w:pPr>
              <w:ind w:left="40"/>
              <w:spacing w:after="0" w:line="176" w:lineRule="exact"/>
              <w:rPr>
                <w:sz w:val="20"/>
                <w:szCs w:val="20"/>
                <w:color w:val="auto"/>
              </w:rPr>
            </w:pPr>
            <w:r>
              <w:rPr>
                <w:rFonts w:ascii="Arial" w:cs="Arial" w:eastAsia="Arial" w:hAnsi="Arial"/>
                <w:sz w:val="18"/>
                <w:szCs w:val="18"/>
                <w:color w:val="auto"/>
                <w:w w:val="93"/>
              </w:rPr>
              <w:t>number of directors remove or shorten the term of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series of preferred stock, the election of directors shall</w:t>
            </w:r>
          </w:p>
        </w:tc>
        <w:tc>
          <w:tcPr>
            <w:tcW w:w="4100" w:type="dxa"/>
            <w:vAlign w:val="bottom"/>
          </w:tcPr>
          <w:p>
            <w:pPr>
              <w:ind w:left="40"/>
              <w:spacing w:after="0"/>
              <w:rPr>
                <w:sz w:val="20"/>
                <w:szCs w:val="20"/>
                <w:color w:val="auto"/>
              </w:rPr>
            </w:pPr>
            <w:r>
              <w:rPr>
                <w:rFonts w:ascii="Arial" w:cs="Arial" w:eastAsia="Arial" w:hAnsi="Arial"/>
                <w:sz w:val="18"/>
                <w:szCs w:val="18"/>
                <w:color w:val="auto"/>
              </w:rPr>
              <w:t>incumbent director.</w:t>
            </w:r>
          </w:p>
        </w:tc>
        <w:tc>
          <w:tcPr>
            <w:tcW w:w="0" w:type="dxa"/>
            <w:vAlign w:val="bottom"/>
          </w:tcPr>
          <w:p>
            <w:pPr>
              <w:spacing w:after="0"/>
              <w:rPr>
                <w:sz w:val="1"/>
                <w:szCs w:val="1"/>
                <w:color w:val="auto"/>
              </w:rPr>
            </w:pPr>
          </w:p>
        </w:tc>
      </w:tr>
      <w:tr>
        <w:trPr>
          <w:trHeight w:val="188"/>
        </w:trPr>
        <w:tc>
          <w:tcPr>
            <w:tcW w:w="4000" w:type="dxa"/>
            <w:vAlign w:val="bottom"/>
          </w:tcPr>
          <w:p>
            <w:pPr>
              <w:spacing w:after="0" w:line="189" w:lineRule="exact"/>
              <w:rPr>
                <w:sz w:val="20"/>
                <w:szCs w:val="20"/>
                <w:color w:val="auto"/>
              </w:rPr>
            </w:pPr>
            <w:r>
              <w:rPr>
                <w:rFonts w:ascii="Arial" w:cs="Arial" w:eastAsia="Arial" w:hAnsi="Arial"/>
                <w:sz w:val="18"/>
                <w:szCs w:val="18"/>
                <w:color w:val="auto"/>
                <w:w w:val="96"/>
              </w:rPr>
              <w:t>be determined by a plurality of the votes cast by the</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0"/>
              </w:rPr>
              <w:t>stockholders present in person or represented by proxy</w:t>
            </w:r>
          </w:p>
        </w:tc>
        <w:tc>
          <w:tcPr>
            <w:tcW w:w="4100" w:type="dxa"/>
            <w:vAlign w:val="bottom"/>
          </w:tcPr>
          <w:p>
            <w:pPr>
              <w:ind w:left="40"/>
              <w:spacing w:after="0"/>
              <w:rPr>
                <w:sz w:val="20"/>
                <w:szCs w:val="20"/>
                <w:color w:val="auto"/>
              </w:rPr>
            </w:pPr>
            <w:r>
              <w:rPr>
                <w:rFonts w:ascii="Arial" w:cs="Arial" w:eastAsia="Arial" w:hAnsi="Arial"/>
                <w:sz w:val="18"/>
                <w:szCs w:val="18"/>
                <w:color w:val="auto"/>
                <w:w w:val="90"/>
              </w:rPr>
              <w:t>Subject to the rights of the holders of one or more series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at the meeting and entitled to vote on the election of</w:t>
            </w:r>
          </w:p>
        </w:tc>
        <w:tc>
          <w:tcPr>
            <w:tcW w:w="4100" w:type="dxa"/>
            <w:vAlign w:val="bottom"/>
          </w:tcPr>
          <w:p>
            <w:pPr>
              <w:ind w:left="40"/>
              <w:spacing w:after="0"/>
              <w:rPr>
                <w:sz w:val="20"/>
                <w:szCs w:val="20"/>
                <w:color w:val="auto"/>
              </w:rPr>
            </w:pPr>
            <w:r>
              <w:rPr>
                <w:rFonts w:ascii="Arial" w:cs="Arial" w:eastAsia="Arial" w:hAnsi="Arial"/>
                <w:sz w:val="18"/>
                <w:szCs w:val="18"/>
                <w:color w:val="auto"/>
              </w:rPr>
              <w:t>of preferred stock, the election of directors shall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directors.</w:t>
            </w:r>
          </w:p>
        </w:tc>
        <w:tc>
          <w:tcPr>
            <w:tcW w:w="4100" w:type="dxa"/>
            <w:vAlign w:val="bottom"/>
          </w:tcPr>
          <w:p>
            <w:pPr>
              <w:ind w:left="40"/>
              <w:spacing w:after="0"/>
              <w:rPr>
                <w:sz w:val="20"/>
                <w:szCs w:val="20"/>
                <w:color w:val="auto"/>
              </w:rPr>
            </w:pPr>
            <w:r>
              <w:rPr>
                <w:rFonts w:ascii="Arial" w:cs="Arial" w:eastAsia="Arial" w:hAnsi="Arial"/>
                <w:sz w:val="18"/>
                <w:szCs w:val="18"/>
                <w:color w:val="auto"/>
              </w:rPr>
              <w:t>determined by a plurality of the votes cast by the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Arial" w:cs="Arial" w:eastAsia="Arial" w:hAnsi="Arial"/>
                <w:sz w:val="18"/>
                <w:szCs w:val="18"/>
                <w:color w:val="auto"/>
                <w:w w:val="91"/>
              </w:rPr>
              <w:t>stockholders present in person or represented by proxy</w:t>
            </w:r>
          </w:p>
        </w:tc>
        <w:tc>
          <w:tcPr>
            <w:tcW w:w="0" w:type="dxa"/>
            <w:vAlign w:val="bottom"/>
          </w:tcPr>
          <w:p>
            <w:pPr>
              <w:spacing w:after="0"/>
              <w:rPr>
                <w:sz w:val="1"/>
                <w:szCs w:val="1"/>
                <w:color w:val="auto"/>
              </w:rPr>
            </w:pPr>
          </w:p>
        </w:tc>
      </w:tr>
    </w:tbl>
    <w:p>
      <w:pPr>
        <w:ind w:left="4500"/>
        <w:spacing w:after="0"/>
        <w:rPr>
          <w:sz w:val="20"/>
          <w:szCs w:val="20"/>
          <w:color w:val="auto"/>
        </w:rPr>
      </w:pPr>
      <w:r>
        <w:rPr>
          <w:rFonts w:ascii="Arial" w:cs="Arial" w:eastAsia="Arial" w:hAnsi="Arial"/>
          <w:sz w:val="17"/>
          <w:szCs w:val="17"/>
          <w:color w:val="auto"/>
        </w:rPr>
        <w:t>at the meeting and entitled to vote on the election of</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Removal of Directors</w:t>
      </w:r>
    </w:p>
    <w:p>
      <w:pPr>
        <w:spacing w:after="0" w:line="20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7"/>
          <w:szCs w:val="17"/>
          <w:color w:val="auto"/>
        </w:rPr>
        <w:t>Subject to the rights of the holders of any series of Subject to the rights of the holders of any series of preferred stock, any director or the entire board may preferred stock, as well as the Registration Rights be removed from office at any time, but only for cause Agreement and Voting Agreement, any director or the and only by the affirmative vote of holders of a entire board may be removed from office at any time, majority of the voting power of all then outstanding but only for cause and only by the affirmative vote of shares of capital stock of FS Development entitled to holders of at least 2/3</w:t>
      </w:r>
      <w:r>
        <w:rPr>
          <w:rFonts w:ascii="Arial" w:cs="Arial" w:eastAsia="Arial" w:hAnsi="Arial"/>
          <w:sz w:val="19"/>
          <w:szCs w:val="19"/>
          <w:color w:val="auto"/>
          <w:vertAlign w:val="superscript"/>
        </w:rPr>
        <w:t>rds</w:t>
      </w:r>
      <w:r>
        <w:rPr>
          <w:rFonts w:ascii="Arial" w:cs="Arial" w:eastAsia="Arial" w:hAnsi="Arial"/>
          <w:sz w:val="17"/>
          <w:szCs w:val="17"/>
          <w:color w:val="auto"/>
        </w:rPr>
        <w:t xml:space="preserve"> of the voting power of all then vote generally in the election of directors, voting outstanding shares of capital stock of the Combined</w:t>
      </w:r>
    </w:p>
    <w:p>
      <w:pPr>
        <w:spacing w:after="0" w:line="2"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Arial" w:cs="Arial" w:eastAsia="Arial" w:hAnsi="Arial"/>
          <w:sz w:val="18"/>
          <w:szCs w:val="18"/>
          <w:color w:val="auto"/>
        </w:rPr>
        <w:t>together as a single class.</w:t>
      </w:r>
      <w:r>
        <w:rPr>
          <w:sz w:val="20"/>
          <w:szCs w:val="20"/>
          <w:color w:val="auto"/>
        </w:rPr>
        <w:tab/>
      </w:r>
      <w:r>
        <w:rPr>
          <w:rFonts w:ascii="Arial" w:cs="Arial" w:eastAsia="Arial" w:hAnsi="Arial"/>
          <w:sz w:val="18"/>
          <w:szCs w:val="18"/>
          <w:color w:val="auto"/>
        </w:rPr>
        <w:t>Entity entitled to vote generally in the election of directors, voting together as a single class.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Except as otherwise required by law or the Current</w:t>
            </w:r>
          </w:p>
        </w:tc>
        <w:tc>
          <w:tcPr>
            <w:tcW w:w="4100" w:type="dxa"/>
            <w:vAlign w:val="bottom"/>
          </w:tcPr>
          <w:p>
            <w:pPr>
              <w:ind w:left="40"/>
              <w:spacing w:after="0"/>
              <w:rPr>
                <w:sz w:val="20"/>
                <w:szCs w:val="20"/>
                <w:color w:val="auto"/>
              </w:rPr>
            </w:pPr>
            <w:r>
              <w:rPr>
                <w:rFonts w:ascii="Arial" w:cs="Arial" w:eastAsia="Arial" w:hAnsi="Arial"/>
                <w:sz w:val="18"/>
                <w:szCs w:val="18"/>
                <w:color w:val="auto"/>
                <w:w w:val="98"/>
              </w:rPr>
              <w:t>Holders of the common stock will be entitled to cast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Charter, holders of the FS Development Class A</w:t>
            </w:r>
          </w:p>
        </w:tc>
        <w:tc>
          <w:tcPr>
            <w:tcW w:w="4100" w:type="dxa"/>
            <w:vAlign w:val="bottom"/>
          </w:tcPr>
          <w:p>
            <w:pPr>
              <w:ind w:left="40"/>
              <w:spacing w:after="0"/>
              <w:rPr>
                <w:sz w:val="20"/>
                <w:szCs w:val="20"/>
                <w:color w:val="auto"/>
              </w:rPr>
            </w:pPr>
            <w:r>
              <w:rPr>
                <w:rFonts w:ascii="Arial" w:cs="Arial" w:eastAsia="Arial" w:hAnsi="Arial"/>
                <w:sz w:val="18"/>
                <w:szCs w:val="18"/>
                <w:color w:val="auto"/>
              </w:rPr>
              <w:t>one vote per share.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Common Stock and the FS Development Class B</w:t>
            </w: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w w:val="91"/>
              </w:rPr>
              <w:t>Except as otherwise required by applicable law, holders</w:t>
            </w:r>
          </w:p>
        </w:tc>
        <w:tc>
          <w:tcPr>
            <w:tcW w:w="0" w:type="dxa"/>
            <w:vAlign w:val="bottom"/>
          </w:tcPr>
          <w:p>
            <w:pPr>
              <w:spacing w:after="0"/>
              <w:rPr>
                <w:sz w:val="1"/>
                <w:szCs w:val="1"/>
                <w:color w:val="auto"/>
              </w:rPr>
            </w:pPr>
          </w:p>
        </w:tc>
      </w:tr>
      <w:tr>
        <w:trPr>
          <w:trHeight w:val="176"/>
        </w:trPr>
        <w:tc>
          <w:tcPr>
            <w:tcW w:w="4000" w:type="dxa"/>
            <w:vAlign w:val="bottom"/>
          </w:tcPr>
          <w:p>
            <w:pPr>
              <w:spacing w:after="0" w:line="176" w:lineRule="exact"/>
              <w:rPr>
                <w:sz w:val="20"/>
                <w:szCs w:val="20"/>
                <w:color w:val="auto"/>
              </w:rPr>
            </w:pPr>
            <w:r>
              <w:rPr>
                <w:rFonts w:ascii="Arial" w:cs="Arial" w:eastAsia="Arial" w:hAnsi="Arial"/>
                <w:sz w:val="18"/>
                <w:szCs w:val="18"/>
                <w:color w:val="auto"/>
                <w:w w:val="95"/>
              </w:rPr>
              <w:t>Common Stock exclusively possess all voting power</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with respect to FS Development. Except as otherwise</w:t>
            </w:r>
          </w:p>
        </w:tc>
        <w:tc>
          <w:tcPr>
            <w:tcW w:w="4100" w:type="dxa"/>
            <w:vAlign w:val="bottom"/>
          </w:tcPr>
          <w:p>
            <w:pPr>
              <w:ind w:left="40"/>
              <w:spacing w:after="0"/>
              <w:rPr>
                <w:sz w:val="20"/>
                <w:szCs w:val="20"/>
                <w:color w:val="auto"/>
              </w:rPr>
            </w:pPr>
            <w:r>
              <w:rPr>
                <w:rFonts w:ascii="Arial" w:cs="Arial" w:eastAsia="Arial" w:hAnsi="Arial"/>
                <w:sz w:val="18"/>
                <w:szCs w:val="18"/>
                <w:color w:val="auto"/>
              </w:rPr>
              <w:t>of the Combined Entity’s common stock will not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required by law or the Current Charter, the holders of</w:t>
            </w:r>
          </w:p>
        </w:tc>
        <w:tc>
          <w:tcPr>
            <w:tcW w:w="4100" w:type="dxa"/>
            <w:vAlign w:val="bottom"/>
          </w:tcPr>
          <w:p>
            <w:pPr>
              <w:ind w:left="40"/>
              <w:spacing w:after="0"/>
              <w:rPr>
                <w:sz w:val="20"/>
                <w:szCs w:val="20"/>
                <w:color w:val="auto"/>
              </w:rPr>
            </w:pPr>
            <w:r>
              <w:rPr>
                <w:rFonts w:ascii="Arial" w:cs="Arial" w:eastAsia="Arial" w:hAnsi="Arial"/>
                <w:sz w:val="18"/>
                <w:szCs w:val="18"/>
                <w:color w:val="auto"/>
                <w:w w:val="98"/>
              </w:rPr>
              <w:t>entitled to vote on any amendment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FS Development shares shall be entitled to one vote</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Charter that relates solely to the terms of one or more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for each such share on each matter properly submitted</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outstanding series of the Combined Entity’s preferred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to  FS  Development’s  stockholders  on  which  the</w:t>
            </w:r>
          </w:p>
        </w:tc>
        <w:tc>
          <w:tcPr>
            <w:tcW w:w="4100" w:type="dxa"/>
            <w:vAlign w:val="bottom"/>
          </w:tcPr>
          <w:p>
            <w:pPr>
              <w:ind w:left="40"/>
              <w:spacing w:after="0"/>
              <w:rPr>
                <w:sz w:val="20"/>
                <w:szCs w:val="20"/>
                <w:color w:val="auto"/>
              </w:rPr>
            </w:pPr>
            <w:r>
              <w:rPr>
                <w:rFonts w:ascii="Arial" w:cs="Arial" w:eastAsia="Arial" w:hAnsi="Arial"/>
                <w:sz w:val="18"/>
                <w:szCs w:val="18"/>
                <w:color w:val="auto"/>
              </w:rPr>
              <w:t>stock if the holders of such affected series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holders of FS Development shares are entitled to vote.</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Combined  Entity’s  preferred  stock  are  exclusively</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4100" w:type="dxa"/>
            <w:vAlign w:val="bottom"/>
          </w:tcPr>
          <w:p>
            <w:pPr>
              <w:ind w:left="40"/>
              <w:spacing w:after="0" w:line="175" w:lineRule="exact"/>
              <w:rPr>
                <w:sz w:val="20"/>
                <w:szCs w:val="20"/>
                <w:color w:val="auto"/>
              </w:rPr>
            </w:pPr>
            <w:r>
              <w:rPr>
                <w:rFonts w:ascii="Arial" w:cs="Arial" w:eastAsia="Arial" w:hAnsi="Arial"/>
                <w:sz w:val="18"/>
                <w:szCs w:val="18"/>
                <w:color w:val="auto"/>
                <w:w w:val="94"/>
              </w:rPr>
              <w:t>entitled  to  vote  thereon  pursuant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Except as otherwise required by law or the Current</w:t>
            </w:r>
          </w:p>
        </w:tc>
        <w:tc>
          <w:tcPr>
            <w:tcW w:w="4100" w:type="dxa"/>
            <w:vAlign w:val="bottom"/>
          </w:tcPr>
          <w:p>
            <w:pPr>
              <w:ind w:left="40"/>
              <w:spacing w:after="0"/>
              <w:rPr>
                <w:sz w:val="20"/>
                <w:szCs w:val="20"/>
                <w:color w:val="auto"/>
              </w:rPr>
            </w:pPr>
            <w:r>
              <w:rPr>
                <w:rFonts w:ascii="Arial" w:cs="Arial" w:eastAsia="Arial" w:hAnsi="Arial"/>
                <w:sz w:val="18"/>
                <w:szCs w:val="18"/>
                <w:color w:val="auto"/>
              </w:rPr>
              <w:t>Charter or applicable law.</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Charter, for so long as any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Class  B  Common  Stock  remain  outstanding,  FS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Development may not, without first obtaining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written consent of the holders of at least a majority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the  then  outstanding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Class B Common Stock, voting separately as a single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class, amend, alter or repeal any provision of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Charter, if such amendment, alteration or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repeal would alter or change the powers, preferences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or relative, participating, optional or other or special</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w w:val="91"/>
              </w:rPr>
              <w:t>rights of the FS Development 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979"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79" w:gutter="0" w:footer="0" w:header="0"/>
          <w:type w:val="continuous"/>
        </w:sectPr>
      </w:pPr>
    </w:p>
    <w:bookmarkStart w:id="210" w:name="page211"/>
    <w:bookmarkEnd w:id="21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1840"/>
        <w:spacing w:after="0"/>
        <w:tabs>
          <w:tab w:leader="none" w:pos="5920" w:val="left"/>
        </w:tabs>
        <w:rPr>
          <w:sz w:val="20"/>
          <w:szCs w:val="20"/>
          <w:color w:val="auto"/>
        </w:rPr>
      </w:pPr>
      <w:r>
        <w:rPr>
          <w:rFonts w:ascii="Arial" w:cs="Arial" w:eastAsia="Arial" w:hAnsi="Arial"/>
          <w:sz w:val="16"/>
          <w:szCs w:val="16"/>
          <w:b w:val="1"/>
          <w:bCs w:val="1"/>
          <w:color w:val="auto"/>
        </w:rPr>
        <w:t>FS Development</w:t>
      </w:r>
      <w:r>
        <w:rPr>
          <w:sz w:val="20"/>
          <w:szCs w:val="20"/>
          <w:color w:val="auto"/>
        </w:rPr>
        <w:tab/>
      </w:r>
      <w:r>
        <w:rPr>
          <w:rFonts w:ascii="Arial" w:cs="Arial" w:eastAsia="Arial" w:hAnsi="Arial"/>
          <w:sz w:val="14"/>
          <w:szCs w:val="14"/>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71755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Voting</w:t>
      </w:r>
    </w:p>
    <w:p>
      <w:pPr>
        <w:spacing w:after="0" w:line="202"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Delaware law allows for cumulative voting only if Delaware law allows for cumulative voting only if provided for in the Current Charter; however, the provided for in the Proposed Charter; however, the Current Charter does not authorize cumulative voting. Proposed Charter does not authorize cumulative voting.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the Board of Directors</w:t>
      </w:r>
    </w:p>
    <w:p>
      <w:pPr>
        <w:spacing w:after="0" w:line="202"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Special meetings of the Board may be called by the Special meetings of the Combined Entity’s board of Chairman of the Board or Chief Executive Officer or directors may be called by the affirmative vote of a upon the written request of at least a majority of majority of the directors then in office, or by one</w:t>
      </w:r>
    </w:p>
    <w:p>
      <w:pPr>
        <w:spacing w:after="0" w:line="3"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Arial" w:cs="Arial" w:eastAsia="Arial" w:hAnsi="Arial"/>
          <w:sz w:val="18"/>
          <w:szCs w:val="18"/>
          <w:color w:val="auto"/>
        </w:rPr>
        <w:t>directors then in office or the sole director.</w:t>
      </w:r>
      <w:r>
        <w:rPr>
          <w:sz w:val="20"/>
          <w:szCs w:val="20"/>
          <w:color w:val="auto"/>
        </w:rPr>
        <w:tab/>
      </w:r>
      <w:r>
        <w:rPr>
          <w:rFonts w:ascii="Arial" w:cs="Arial" w:eastAsia="Arial" w:hAnsi="Arial"/>
          <w:sz w:val="18"/>
          <w:szCs w:val="18"/>
          <w:color w:val="auto"/>
        </w:rPr>
        <w:t>director in the event there is only a single director in office, or by the Chairman or the President.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202" w:lineRule="exact"/>
        <w:rPr>
          <w:sz w:val="20"/>
          <w:szCs w:val="20"/>
          <w:color w:val="auto"/>
        </w:rPr>
      </w:pPr>
    </w:p>
    <w:p>
      <w:pPr>
        <w:ind w:left="460" w:right="459"/>
        <w:spacing w:after="0" w:line="253" w:lineRule="auto"/>
        <w:rPr>
          <w:sz w:val="20"/>
          <w:szCs w:val="20"/>
          <w:color w:val="auto"/>
        </w:rPr>
      </w:pPr>
      <w:r>
        <w:rPr>
          <w:rFonts w:ascii="Arial" w:cs="Arial" w:eastAsia="Arial" w:hAnsi="Arial"/>
          <w:sz w:val="18"/>
          <w:szCs w:val="18"/>
          <w:color w:val="auto"/>
        </w:rPr>
        <w:t>Under the Current Charter, any action required or Subject to the terms of any series of preferred stock, permitted to be taken by the stockholders of FS any action required or permitted to be taken by the Development must be effected by a duly called annual stockholders of Combined Entity must be effected at an or special meeting of such stockholders and may not annual or special meeting of the stockholders and may be effected by written consent of the stockholders, not be effected by written consent. other than with respect to the FS Development Class B</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with respect to which action may be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taken by written consent, and other than what may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otherwise be provided for pursuant to the Current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Charter relating to the rights of the holders of any</w:t>
      </w:r>
    </w:p>
    <w:p>
      <w:pPr>
        <w:spacing w:after="0" w:line="9" w:lineRule="exact"/>
        <w:rPr>
          <w:sz w:val="20"/>
          <w:szCs w:val="20"/>
          <w:color w:val="auto"/>
        </w:rPr>
      </w:pPr>
    </w:p>
    <w:p>
      <w:pPr>
        <w:ind w:left="460"/>
        <w:spacing w:after="0"/>
        <w:tabs>
          <w:tab w:leader="none" w:pos="1460" w:val="left"/>
          <w:tab w:leader="none" w:pos="2080" w:val="left"/>
          <w:tab w:leader="none" w:pos="2420" w:val="left"/>
          <w:tab w:leader="none" w:pos="3260" w:val="left"/>
          <w:tab w:leader="none" w:pos="3840" w:val="left"/>
          <w:tab w:leader="none" w:pos="4180" w:val="left"/>
        </w:tabs>
        <w:rPr>
          <w:sz w:val="20"/>
          <w:szCs w:val="20"/>
          <w:color w:val="auto"/>
        </w:rPr>
      </w:pPr>
      <w:r>
        <w:rPr>
          <w:rFonts w:ascii="Arial" w:cs="Arial" w:eastAsia="Arial" w:hAnsi="Arial"/>
          <w:sz w:val="18"/>
          <w:szCs w:val="18"/>
          <w:color w:val="auto"/>
        </w:rPr>
        <w:t>outstanding</w:t>
        <w:tab/>
        <w:t>series</w:t>
        <w:tab/>
        <w:t>of</w:t>
        <w:tab/>
        <w:t>preferred</w:t>
        <w:tab/>
        <w:t>stock</w:t>
        <w:tab/>
        <w:t>of</w:t>
      </w:r>
      <w:r>
        <w:rPr>
          <w:sz w:val="20"/>
          <w:szCs w:val="20"/>
          <w:color w:val="auto"/>
        </w:rPr>
        <w:tab/>
      </w:r>
      <w:r>
        <w:rPr>
          <w:rFonts w:ascii="Arial" w:cs="Arial" w:eastAsia="Arial" w:hAnsi="Arial"/>
          <w:sz w:val="15"/>
          <w:szCs w:val="15"/>
          <w:color w:val="auto"/>
        </w:rPr>
        <w:t>FS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Development.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Certificate of Incorporation</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Under Delaware law, an amendment to a charter</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The Proposed Charter any will require the affirmative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generally requires the approval of a company’s board</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vote of the majority of the outstanding shares of capital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of directors and a majority of the combined voting</w:t>
            </w:r>
          </w:p>
        </w:tc>
        <w:tc>
          <w:tcPr>
            <w:tcW w:w="4100" w:type="dxa"/>
            <w:vAlign w:val="bottom"/>
          </w:tcPr>
          <w:p>
            <w:pPr>
              <w:ind w:left="40"/>
              <w:spacing w:after="0"/>
              <w:rPr>
                <w:sz w:val="20"/>
                <w:szCs w:val="20"/>
                <w:color w:val="auto"/>
              </w:rPr>
            </w:pPr>
            <w:r>
              <w:rPr>
                <w:rFonts w:ascii="Arial" w:cs="Arial" w:eastAsia="Arial" w:hAnsi="Arial"/>
                <w:sz w:val="18"/>
                <w:szCs w:val="18"/>
                <w:color w:val="auto"/>
                <w:w w:val="90"/>
              </w:rPr>
              <w:t>stock entitled to vote on such amendment, provided that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power of the then-outstanding shares of voting stock,</w:t>
            </w:r>
          </w:p>
        </w:tc>
        <w:tc>
          <w:tcPr>
            <w:tcW w:w="4100" w:type="dxa"/>
            <w:vAlign w:val="bottom"/>
          </w:tcPr>
          <w:p>
            <w:pPr>
              <w:ind w:left="40"/>
              <w:spacing w:after="0"/>
              <w:rPr>
                <w:sz w:val="20"/>
                <w:szCs w:val="20"/>
                <w:color w:val="auto"/>
              </w:rPr>
            </w:pPr>
            <w:r>
              <w:rPr>
                <w:rFonts w:ascii="Arial" w:cs="Arial" w:eastAsia="Arial" w:hAnsi="Arial"/>
                <w:sz w:val="18"/>
                <w:szCs w:val="18"/>
                <w:color w:val="auto"/>
              </w:rPr>
              <w:t>provisions  in  the  Proposed  Charter  in  Article  V</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voting together as a single class.</w:t>
            </w:r>
          </w:p>
        </w:tc>
        <w:tc>
          <w:tcPr>
            <w:tcW w:w="4100" w:type="dxa"/>
            <w:vAlign w:val="bottom"/>
          </w:tcPr>
          <w:p>
            <w:pPr>
              <w:ind w:left="40"/>
              <w:spacing w:after="0"/>
              <w:rPr>
                <w:sz w:val="20"/>
                <w:szCs w:val="20"/>
                <w:color w:val="auto"/>
              </w:rPr>
            </w:pPr>
            <w:r>
              <w:rPr>
                <w:rFonts w:ascii="Arial" w:cs="Arial" w:eastAsia="Arial" w:hAnsi="Arial"/>
                <w:sz w:val="18"/>
                <w:szCs w:val="18"/>
                <w:color w:val="auto"/>
                <w:w w:val="99"/>
              </w:rPr>
              <w:t>(covering stockholder actions), Article VI, Section 3</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color w:val="auto"/>
                <w:w w:val="96"/>
              </w:rPr>
              <w:t>Article IX of the Current Charter relating to business</w:t>
            </w:r>
          </w:p>
        </w:tc>
        <w:tc>
          <w:tcPr>
            <w:tcW w:w="4100" w:type="dxa"/>
            <w:vAlign w:val="bottom"/>
          </w:tcPr>
          <w:p>
            <w:pPr>
              <w:ind w:left="40"/>
              <w:spacing w:after="0"/>
              <w:rPr>
                <w:sz w:val="20"/>
                <w:szCs w:val="20"/>
                <w:color w:val="auto"/>
              </w:rPr>
            </w:pPr>
            <w:r>
              <w:rPr>
                <w:rFonts w:ascii="Arial" w:cs="Arial" w:eastAsia="Arial" w:hAnsi="Arial"/>
                <w:sz w:val="18"/>
                <w:szCs w:val="18"/>
                <w:color w:val="auto"/>
              </w:rPr>
              <w:t>(covering classified Board of directors), Article VI,</w:t>
            </w:r>
          </w:p>
        </w:tc>
        <w:tc>
          <w:tcPr>
            <w:tcW w:w="0" w:type="dxa"/>
            <w:vAlign w:val="bottom"/>
          </w:tcPr>
          <w:p>
            <w:pPr>
              <w:spacing w:after="0"/>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4100" w:type="dxa"/>
            <w:vAlign w:val="bottom"/>
          </w:tcPr>
          <w:p>
            <w:pPr>
              <w:ind w:left="40"/>
              <w:spacing w:after="0" w:line="176" w:lineRule="exact"/>
              <w:rPr>
                <w:sz w:val="20"/>
                <w:szCs w:val="20"/>
                <w:color w:val="auto"/>
              </w:rPr>
            </w:pPr>
            <w:r>
              <w:rPr>
                <w:rFonts w:ascii="Arial" w:cs="Arial" w:eastAsia="Arial" w:hAnsi="Arial"/>
                <w:sz w:val="18"/>
                <w:szCs w:val="18"/>
                <w:color w:val="auto"/>
                <w:w w:val="95"/>
              </w:rPr>
              <w:t>Section 5 (removal of directors), Article VII, Section 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combination requirements may not be amended prior</w:t>
            </w:r>
          </w:p>
        </w:tc>
        <w:tc>
          <w:tcPr>
            <w:tcW w:w="4100" w:type="dxa"/>
            <w:vAlign w:val="bottom"/>
          </w:tcPr>
          <w:p>
            <w:pPr>
              <w:ind w:left="40"/>
              <w:spacing w:after="0"/>
              <w:rPr>
                <w:sz w:val="20"/>
                <w:szCs w:val="20"/>
                <w:color w:val="auto"/>
              </w:rPr>
            </w:pPr>
            <w:r>
              <w:rPr>
                <w:rFonts w:ascii="Arial" w:cs="Arial" w:eastAsia="Arial" w:hAnsi="Arial"/>
                <w:sz w:val="18"/>
                <w:szCs w:val="18"/>
                <w:color w:val="auto"/>
              </w:rPr>
              <w:t>(limitation  on  director  liability)  and  Article  VIII</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  the  consummation  of  the  initial  business</w:t>
            </w:r>
          </w:p>
        </w:tc>
        <w:tc>
          <w:tcPr>
            <w:tcW w:w="4100" w:type="dxa"/>
            <w:vAlign w:val="bottom"/>
          </w:tcPr>
          <w:p>
            <w:pPr>
              <w:ind w:left="40"/>
              <w:spacing w:after="0"/>
              <w:rPr>
                <w:sz w:val="20"/>
                <w:szCs w:val="20"/>
                <w:color w:val="auto"/>
              </w:rPr>
            </w:pPr>
            <w:r>
              <w:rPr>
                <w:rFonts w:ascii="Arial" w:cs="Arial" w:eastAsia="Arial" w:hAnsi="Arial"/>
                <w:sz w:val="18"/>
                <w:szCs w:val="18"/>
                <w:color w:val="auto"/>
                <w:w w:val="98"/>
              </w:rPr>
              <w:t>(amendment of by-laws) will require approval of the</w:t>
            </w:r>
          </w:p>
        </w:tc>
        <w:tc>
          <w:tcPr>
            <w:tcW w:w="0" w:type="dxa"/>
            <w:vAlign w:val="bottom"/>
          </w:tcPr>
          <w:p>
            <w:pPr>
              <w:spacing w:after="0"/>
              <w:rPr>
                <w:sz w:val="1"/>
                <w:szCs w:val="1"/>
                <w:color w:val="auto"/>
              </w:rPr>
            </w:pPr>
          </w:p>
        </w:tc>
      </w:tr>
      <w:tr>
        <w:trPr>
          <w:trHeight w:val="175"/>
        </w:trPr>
        <w:tc>
          <w:tcPr>
            <w:tcW w:w="4000" w:type="dxa"/>
            <w:vAlign w:val="bottom"/>
          </w:tcPr>
          <w:p>
            <w:pPr>
              <w:spacing w:after="0" w:line="175" w:lineRule="exact"/>
              <w:rPr>
                <w:sz w:val="20"/>
                <w:szCs w:val="20"/>
                <w:color w:val="auto"/>
              </w:rPr>
            </w:pPr>
            <w:r>
              <w:rPr>
                <w:rFonts w:ascii="Arial" w:cs="Arial" w:eastAsia="Arial" w:hAnsi="Arial"/>
                <w:sz w:val="18"/>
                <w:szCs w:val="18"/>
                <w:color w:val="auto"/>
                <w:w w:val="95"/>
              </w:rPr>
              <w:t>combination unless approved by the affirmative vote</w:t>
            </w:r>
          </w:p>
        </w:tc>
        <w:tc>
          <w:tcPr>
            <w:tcW w:w="4100" w:type="dxa"/>
            <w:vAlign w:val="bottom"/>
            <w:vMerge w:val="restart"/>
          </w:tcPr>
          <w:p>
            <w:pPr>
              <w:ind w:left="40"/>
              <w:spacing w:after="0" w:line="351" w:lineRule="exact"/>
              <w:rPr>
                <w:sz w:val="20"/>
                <w:szCs w:val="20"/>
                <w:color w:val="auto"/>
              </w:rPr>
            </w:pPr>
            <w:r>
              <w:rPr>
                <w:rFonts w:ascii="Arial" w:cs="Arial" w:eastAsia="Arial" w:hAnsi="Arial"/>
                <w:sz w:val="18"/>
                <w:szCs w:val="18"/>
                <w:color w:val="auto"/>
              </w:rPr>
              <w:t>holders of at least 66</w:t>
            </w:r>
            <w:r>
              <w:rPr>
                <w:rFonts w:ascii="Arial" w:cs="Arial" w:eastAsia="Arial" w:hAnsi="Arial"/>
                <w:sz w:val="35"/>
                <w:szCs w:val="35"/>
                <w:color w:val="auto"/>
                <w:vertAlign w:val="superscript"/>
              </w:rPr>
              <w:t>⅔</w:t>
            </w:r>
            <w:r>
              <w:rPr>
                <w:rFonts w:ascii="Arial" w:cs="Arial" w:eastAsia="Arial" w:hAnsi="Arial"/>
                <w:sz w:val="18"/>
                <w:szCs w:val="18"/>
                <w:color w:val="auto"/>
              </w:rPr>
              <w:t>% of the Combined Entity’s</w:t>
            </w:r>
          </w:p>
        </w:tc>
        <w:tc>
          <w:tcPr>
            <w:tcW w:w="0" w:type="dxa"/>
            <w:vAlign w:val="bottom"/>
          </w:tcPr>
          <w:p>
            <w:pPr>
              <w:spacing w:after="0"/>
              <w:rPr>
                <w:sz w:val="1"/>
                <w:szCs w:val="1"/>
                <w:color w:val="auto"/>
              </w:rPr>
            </w:pPr>
          </w:p>
        </w:tc>
      </w:tr>
      <w:tr>
        <w:trPr>
          <w:trHeight w:val="176"/>
        </w:trPr>
        <w:tc>
          <w:tcPr>
            <w:tcW w:w="4000" w:type="dxa"/>
            <w:vAlign w:val="bottom"/>
          </w:tcPr>
          <w:p>
            <w:pPr>
              <w:spacing w:after="0" w:line="176" w:lineRule="exact"/>
              <w:rPr>
                <w:sz w:val="20"/>
                <w:szCs w:val="20"/>
                <w:color w:val="auto"/>
              </w:rPr>
            </w:pPr>
            <w:r>
              <w:rPr>
                <w:rFonts w:ascii="Arial" w:cs="Arial" w:eastAsia="Arial" w:hAnsi="Arial"/>
                <w:sz w:val="18"/>
                <w:szCs w:val="18"/>
                <w:color w:val="auto"/>
                <w:w w:val="96"/>
              </w:rPr>
              <w:t>of the holders of at least 65% of all then outstanding</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shares of Common Stock; and the rights, preferences</w:t>
            </w:r>
          </w:p>
        </w:tc>
        <w:tc>
          <w:tcPr>
            <w:tcW w:w="4100" w:type="dxa"/>
            <w:vAlign w:val="bottom"/>
          </w:tcPr>
          <w:p>
            <w:pPr>
              <w:ind w:left="40"/>
              <w:spacing w:after="0"/>
              <w:rPr>
                <w:sz w:val="20"/>
                <w:szCs w:val="20"/>
                <w:color w:val="auto"/>
              </w:rPr>
            </w:pPr>
            <w:r>
              <w:rPr>
                <w:rFonts w:ascii="Arial" w:cs="Arial" w:eastAsia="Arial" w:hAnsi="Arial"/>
                <w:sz w:val="18"/>
                <w:szCs w:val="18"/>
                <w:color w:val="auto"/>
                <w:w w:val="91"/>
              </w:rPr>
              <w:t>then-outstanding shares of capital stock entitled to vote</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0"/>
                <w:szCs w:val="20"/>
                <w:color w:val="auto"/>
              </w:rPr>
            </w:pPr>
            <w:r>
              <w:rPr>
                <w:rFonts w:ascii="Arial" w:cs="Arial" w:eastAsia="Arial" w:hAnsi="Arial"/>
                <w:sz w:val="18"/>
                <w:szCs w:val="18"/>
                <w:color w:val="auto"/>
              </w:rPr>
              <w:t>and privileges of the Class B Common Stock may</w:t>
            </w:r>
          </w:p>
        </w:tc>
        <w:tc>
          <w:tcPr>
            <w:tcW w:w="4100" w:type="dxa"/>
            <w:vAlign w:val="bottom"/>
          </w:tcPr>
          <w:p>
            <w:pPr>
              <w:ind w:left="40"/>
              <w:spacing w:after="0"/>
              <w:rPr>
                <w:sz w:val="20"/>
                <w:szCs w:val="20"/>
                <w:color w:val="auto"/>
              </w:rPr>
            </w:pPr>
            <w:r>
              <w:rPr>
                <w:rFonts w:ascii="Arial" w:cs="Arial" w:eastAsia="Arial" w:hAnsi="Arial"/>
                <w:sz w:val="18"/>
                <w:szCs w:val="18"/>
                <w:color w:val="auto"/>
              </w:rPr>
              <w:t>generally at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only be amended with the approval of the holders of at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least a majority of the then-outstanding shares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the By-laws</w:t>
      </w:r>
    </w:p>
    <w:p>
      <w:pPr>
        <w:spacing w:after="0" w:line="20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Board is expressly authorized to make, alter, The Combined Entity’s board of directors is expressly amend or repeal the Current By-laws. The Current By- authorized to make, alter, amend or repeal the Amended laws may also be adopted, amended, altered or By-laws by the affirmative vote of a majority of the repealed by the FS Development stockholders directors. representing a majority of the voting power of all of</w:t>
      </w:r>
    </w:p>
    <w:p>
      <w:pPr>
        <w:spacing w:after="0" w:line="2" w:lineRule="exact"/>
        <w:rPr>
          <w:sz w:val="20"/>
          <w:szCs w:val="20"/>
          <w:color w:val="auto"/>
        </w:rPr>
      </w:pPr>
    </w:p>
    <w:p>
      <w:pPr>
        <w:jc w:val="both"/>
        <w:ind w:left="460" w:right="479"/>
        <w:spacing w:after="0" w:line="181" w:lineRule="auto"/>
        <w:rPr>
          <w:sz w:val="20"/>
          <w:szCs w:val="20"/>
          <w:color w:val="auto"/>
        </w:rPr>
      </w:pPr>
      <w:r>
        <w:rPr>
          <w:rFonts w:ascii="Arial" w:cs="Arial" w:eastAsia="Arial" w:hAnsi="Arial"/>
          <w:sz w:val="31"/>
          <w:szCs w:val="31"/>
          <w:color w:val="auto"/>
          <w:vertAlign w:val="subscript"/>
        </w:rPr>
        <w:t>the then-outstanding shares of capital stock of FS</w:t>
      </w:r>
      <w:r>
        <w:rPr>
          <w:rFonts w:ascii="Arial" w:cs="Arial" w:eastAsia="Arial" w:hAnsi="Arial"/>
          <w:sz w:val="17"/>
          <w:szCs w:val="17"/>
          <w:color w:val="auto"/>
        </w:rPr>
        <w:t xml:space="preserve"> Any amendments to the Amended By-Laws will require Development entitled to vote generally in the election approval of the holders of at least 66</w:t>
      </w:r>
      <w:r>
        <w:rPr>
          <w:rFonts w:ascii="Arial" w:cs="Arial" w:eastAsia="Arial" w:hAnsi="Arial"/>
          <w:sz w:val="31"/>
          <w:szCs w:val="31"/>
          <w:color w:val="auto"/>
          <w:vertAlign w:val="superscript"/>
        </w:rPr>
        <w:t>⅔</w:t>
      </w:r>
      <w:r>
        <w:rPr>
          <w:rFonts w:ascii="Arial" w:cs="Arial" w:eastAsia="Arial" w:hAnsi="Arial"/>
          <w:sz w:val="17"/>
          <w:szCs w:val="17"/>
          <w:color w:val="auto"/>
        </w:rPr>
        <w:t xml:space="preserve">% of the of directors, provided that the approval of at least Combined Entity’s then-outstanding shares of capital </w:t>
      </w:r>
      <w:r>
        <w:rPr>
          <w:rFonts w:ascii="Arial" w:cs="Arial" w:eastAsia="Arial" w:hAnsi="Arial"/>
          <w:sz w:val="31"/>
          <w:szCs w:val="31"/>
          <w:color w:val="auto"/>
          <w:vertAlign w:val="subscript"/>
        </w:rPr>
        <w:t>66</w:t>
      </w:r>
      <w:r>
        <w:rPr>
          <w:rFonts w:ascii="Arial" w:cs="Arial" w:eastAsia="Arial" w:hAnsi="Arial"/>
          <w:sz w:val="17"/>
          <w:szCs w:val="17"/>
          <w:color w:val="auto"/>
        </w:rPr>
        <w:t>⅔</w:t>
      </w:r>
      <w:r>
        <w:rPr>
          <w:rFonts w:ascii="Arial" w:cs="Arial" w:eastAsia="Arial" w:hAnsi="Arial"/>
          <w:sz w:val="31"/>
          <w:szCs w:val="31"/>
          <w:color w:val="auto"/>
          <w:vertAlign w:val="subscript"/>
        </w:rPr>
        <w:t>% of the Combined Entity’s then-outstanding</w:t>
      </w:r>
      <w:r>
        <w:rPr>
          <w:rFonts w:ascii="Arial" w:cs="Arial" w:eastAsia="Arial" w:hAnsi="Arial"/>
          <w:sz w:val="17"/>
          <w:szCs w:val="17"/>
          <w:color w:val="auto"/>
        </w:rPr>
        <w:t xml:space="preserve"> stock entitled to vote generally at an election of shares of capital stock entitled to vote generally at an </w:t>
      </w:r>
      <w:r>
        <w:rPr>
          <w:rFonts w:ascii="Arial" w:cs="Arial" w:eastAsia="Arial" w:hAnsi="Arial"/>
          <w:sz w:val="31"/>
          <w:szCs w:val="31"/>
          <w:color w:val="auto"/>
          <w:vertAlign w:val="superscript"/>
        </w:rPr>
        <w:t>directors.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 of directors is required to amend Article VIII,</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which relates to indemnification matters.</w:t>
      </w:r>
    </w:p>
    <w:p>
      <w:pPr>
        <w:sectPr>
          <w:pgSz w:w="11900" w:h="16838" w:orient="portrait"/>
          <w:cols w:equalWidth="0" w:num="1">
            <w:col w:w="9019"/>
          </w:cols>
          <w:pgMar w:left="1440" w:top="274"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1" w:name="page212"/>
    <w:bookmarkEnd w:id="21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000" w:type="dxa"/>
            <w:vAlign w:val="bottom"/>
          </w:tcPr>
          <w:p>
            <w:pPr>
              <w:ind w:left="1380"/>
              <w:spacing w:after="0"/>
              <w:rPr>
                <w:sz w:val="20"/>
                <w:szCs w:val="20"/>
                <w:color w:val="auto"/>
              </w:rPr>
            </w:pPr>
            <w:r>
              <w:rPr>
                <w:rFonts w:ascii="Arial" w:cs="Arial" w:eastAsia="Arial" w:hAnsi="Arial"/>
                <w:sz w:val="16"/>
                <w:szCs w:val="16"/>
                <w:b w:val="1"/>
                <w:bCs w:val="1"/>
                <w:color w:val="auto"/>
              </w:rPr>
              <w:t>FS Development</w:t>
            </w:r>
          </w:p>
        </w:tc>
        <w:tc>
          <w:tcPr>
            <w:tcW w:w="4100" w:type="dxa"/>
            <w:vAlign w:val="bottom"/>
            <w:gridSpan w:val="2"/>
          </w:tcPr>
          <w:p>
            <w:pPr>
              <w:ind w:left="1480"/>
              <w:spacing w:after="0"/>
              <w:rPr>
                <w:sz w:val="20"/>
                <w:szCs w:val="20"/>
                <w:color w:val="auto"/>
              </w:rPr>
            </w:pPr>
            <w:r>
              <w:rPr>
                <w:rFonts w:ascii="Arial" w:cs="Arial" w:eastAsia="Arial" w:hAnsi="Arial"/>
                <w:sz w:val="16"/>
                <w:szCs w:val="16"/>
                <w:b w:val="1"/>
                <w:bCs w:val="1"/>
                <w:color w:val="auto"/>
              </w:rPr>
              <w:t>Combined Entity</w:t>
            </w:r>
          </w:p>
        </w:tc>
      </w:tr>
      <w:tr>
        <w:trPr>
          <w:trHeight w:val="87"/>
        </w:trPr>
        <w:tc>
          <w:tcPr>
            <w:tcW w:w="5700" w:type="dxa"/>
            <w:vAlign w:val="bottom"/>
            <w:tcBorders>
              <w:bottom w:val="single" w:sz="8" w:color="auto"/>
            </w:tcBorders>
            <w:gridSpan w:val="2"/>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r>
      <w:tr>
        <w:trPr>
          <w:trHeight w:val="250"/>
        </w:trPr>
        <w:tc>
          <w:tcPr>
            <w:tcW w:w="5700" w:type="dxa"/>
            <w:vAlign w:val="bottom"/>
            <w:gridSpan w:val="2"/>
          </w:tcPr>
          <w:p>
            <w:pPr>
              <w:ind w:left="3720"/>
              <w:spacing w:after="0"/>
              <w:rPr>
                <w:sz w:val="20"/>
                <w:szCs w:val="20"/>
                <w:color w:val="auto"/>
              </w:rPr>
            </w:pPr>
            <w:r>
              <w:rPr>
                <w:rFonts w:ascii="Arial" w:cs="Arial" w:eastAsia="Arial" w:hAnsi="Arial"/>
                <w:sz w:val="18"/>
                <w:szCs w:val="18"/>
                <w:b w:val="1"/>
                <w:bCs w:val="1"/>
                <w:color w:val="auto"/>
              </w:rPr>
              <w:t>Quorum</w:t>
            </w:r>
          </w:p>
        </w:tc>
        <w:tc>
          <w:tcPr>
            <w:tcW w:w="2400" w:type="dxa"/>
            <w:vAlign w:val="bottom"/>
          </w:tcPr>
          <w:p>
            <w:pPr>
              <w:spacing w:after="0"/>
              <w:rPr>
                <w:sz w:val="21"/>
                <w:szCs w:val="21"/>
                <w:color w:val="auto"/>
              </w:rPr>
            </w:pPr>
          </w:p>
        </w:tc>
      </w:tr>
      <w:tr>
        <w:trPr>
          <w:trHeight w:val="391"/>
        </w:trPr>
        <w:tc>
          <w:tcPr>
            <w:tcW w:w="4000" w:type="dxa"/>
            <w:vAlign w:val="bottom"/>
          </w:tcPr>
          <w:p>
            <w:pPr>
              <w:spacing w:after="0"/>
              <w:rPr>
                <w:sz w:val="20"/>
                <w:szCs w:val="20"/>
                <w:color w:val="auto"/>
              </w:rPr>
            </w:pPr>
            <w:r>
              <w:rPr>
                <w:rFonts w:ascii="Arial" w:cs="Arial" w:eastAsia="Arial" w:hAnsi="Arial"/>
                <w:sz w:val="18"/>
                <w:szCs w:val="18"/>
                <w:i w:val="1"/>
                <w:iCs w:val="1"/>
                <w:color w:val="auto"/>
                <w:w w:val="96"/>
              </w:rPr>
              <w:t>Board of Directors</w:t>
            </w:r>
            <w:r>
              <w:rPr>
                <w:rFonts w:ascii="Arial" w:cs="Arial" w:eastAsia="Arial" w:hAnsi="Arial"/>
                <w:sz w:val="18"/>
                <w:szCs w:val="18"/>
                <w:color w:val="auto"/>
                <w:w w:val="96"/>
              </w:rPr>
              <w:t>.  A majority the Board constitutes</w:t>
            </w:r>
          </w:p>
        </w:tc>
        <w:tc>
          <w:tcPr>
            <w:tcW w:w="1700" w:type="dxa"/>
            <w:vAlign w:val="bottom"/>
          </w:tcPr>
          <w:p>
            <w:pPr>
              <w:ind w:left="40"/>
              <w:spacing w:after="0"/>
              <w:rPr>
                <w:sz w:val="20"/>
                <w:szCs w:val="20"/>
                <w:color w:val="auto"/>
              </w:rPr>
            </w:pPr>
            <w:r>
              <w:rPr>
                <w:rFonts w:ascii="Arial" w:cs="Arial" w:eastAsia="Arial" w:hAnsi="Arial"/>
                <w:sz w:val="18"/>
                <w:szCs w:val="18"/>
                <w:i w:val="1"/>
                <w:iCs w:val="1"/>
                <w:color w:val="auto"/>
              </w:rPr>
              <w:t>Board of Directors.</w:t>
            </w:r>
          </w:p>
        </w:tc>
        <w:tc>
          <w:tcPr>
            <w:tcW w:w="2400" w:type="dxa"/>
            <w:vAlign w:val="bottom"/>
          </w:tcPr>
          <w:p>
            <w:pPr>
              <w:ind w:left="180"/>
              <w:spacing w:after="0"/>
              <w:rPr>
                <w:sz w:val="20"/>
                <w:szCs w:val="20"/>
                <w:color w:val="auto"/>
              </w:rPr>
            </w:pPr>
            <w:r>
              <w:rPr>
                <w:rFonts w:ascii="Arial" w:cs="Arial" w:eastAsia="Arial" w:hAnsi="Arial"/>
                <w:sz w:val="18"/>
                <w:szCs w:val="18"/>
                <w:color w:val="auto"/>
              </w:rPr>
              <w:t>A majority of the Combined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 quorum at any meeting of the Board.</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4"/>
              </w:rPr>
              <w:t>Entity’s board of directors constitutes a quorum at any</w:t>
            </w:r>
          </w:p>
        </w:tc>
      </w:tr>
      <w:tr>
        <w:trPr>
          <w:trHeight w:val="351"/>
        </w:trPr>
        <w:tc>
          <w:tcPr>
            <w:tcW w:w="4000" w:type="dxa"/>
            <w:vAlign w:val="bottom"/>
          </w:tcPr>
          <w:p>
            <w:pPr>
              <w:spacing w:after="0"/>
              <w:rPr>
                <w:sz w:val="20"/>
                <w:szCs w:val="20"/>
                <w:color w:val="auto"/>
              </w:rPr>
            </w:pPr>
            <w:r>
              <w:rPr>
                <w:rFonts w:ascii="Arial" w:cs="Arial" w:eastAsia="Arial" w:hAnsi="Arial"/>
                <w:sz w:val="18"/>
                <w:szCs w:val="18"/>
                <w:i w:val="1"/>
                <w:iCs w:val="1"/>
                <w:color w:val="auto"/>
                <w:w w:val="92"/>
              </w:rPr>
              <w:t>Stockholders</w:t>
            </w:r>
            <w:r>
              <w:rPr>
                <w:rFonts w:ascii="Arial" w:cs="Arial" w:eastAsia="Arial" w:hAnsi="Arial"/>
                <w:sz w:val="18"/>
                <w:szCs w:val="18"/>
                <w:color w:val="auto"/>
                <w:w w:val="92"/>
              </w:rPr>
              <w:t>.  The presence, in person or by proxy, at</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7"/>
              </w:rPr>
              <w:t>meeting of the Combined Entity’s board of directors.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9"/>
              </w:rPr>
              <w:t>a stockholders meeting of the holders of shares of</w:t>
            </w:r>
          </w:p>
        </w:tc>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w w:val="92"/>
              </w:rPr>
              <w:t xml:space="preserve">Stockholders.   </w:t>
            </w:r>
            <w:r>
              <w:rPr>
                <w:rFonts w:ascii="Arial" w:cs="Arial" w:eastAsia="Arial" w:hAnsi="Arial"/>
                <w:sz w:val="18"/>
                <w:szCs w:val="18"/>
                <w:color w:val="auto"/>
                <w:w w:val="92"/>
              </w:rPr>
              <w:t>The presence, in person or by proxy, at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outstanding capital stock representing a majority of</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rPr>
              <w:t>a stockholders meeting of the holders of shares of</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the voting power of all outstanding shares of capital</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4"/>
              </w:rPr>
              <w:t>issued  and  outstanding  capital  stock  of  Combined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stock entitled to vote at such meeting constitutes a</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3"/>
              </w:rPr>
              <w:t>Entity representing a majority of the voting power of all</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quorum; expect that when specified business is to be</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5"/>
              </w:rPr>
              <w:t>issued  and  outstanding  shares  of  capital  stock  of</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voted on by a class or series of stock voting together</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5"/>
              </w:rPr>
              <w:t>Combined  Entity  entitled  to  vote  at  such  meeting</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as a single class, the holders of shares representing a</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3"/>
              </w:rPr>
              <w:t>constitutes a quorum; provided, however, that where a</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majority of the voting power of the outstanding shares</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5"/>
              </w:rPr>
              <w:t>separate vote by a class or classes of capital stock is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of such class or series will constitute a quorum.</w:t>
            </w: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7"/>
              </w:rPr>
              <w:t>required, the holders of a majority in voting power of</w:t>
            </w:r>
          </w:p>
        </w:tc>
      </w:tr>
      <w:tr>
        <w:trPr>
          <w:trHeight w:val="230"/>
        </w:trPr>
        <w:tc>
          <w:tcPr>
            <w:tcW w:w="4000" w:type="dxa"/>
            <w:vAlign w:val="bottom"/>
          </w:tcPr>
          <w:p>
            <w:pPr>
              <w:spacing w:after="0"/>
              <w:rPr>
                <w:sz w:val="20"/>
                <w:szCs w:val="20"/>
                <w:color w:val="auto"/>
              </w:rPr>
            </w:pPr>
          </w:p>
        </w:tc>
        <w:tc>
          <w:tcPr>
            <w:tcW w:w="4100" w:type="dxa"/>
            <w:vAlign w:val="bottom"/>
            <w:gridSpan w:val="2"/>
          </w:tcPr>
          <w:p>
            <w:pPr>
              <w:ind w:left="40"/>
              <w:spacing w:after="0"/>
              <w:rPr>
                <w:sz w:val="20"/>
                <w:szCs w:val="20"/>
                <w:color w:val="auto"/>
              </w:rPr>
            </w:pPr>
            <w:r>
              <w:rPr>
                <w:rFonts w:ascii="Arial" w:cs="Arial" w:eastAsia="Arial" w:hAnsi="Arial"/>
                <w:sz w:val="18"/>
                <w:szCs w:val="18"/>
                <w:color w:val="auto"/>
                <w:w w:val="96"/>
              </w:rPr>
              <w:t>the shares of such class and entitled to vote on such</w:t>
            </w:r>
          </w:p>
        </w:tc>
      </w:tr>
    </w:tbl>
    <w:p>
      <w:pPr>
        <w:ind w:left="4500"/>
        <w:spacing w:after="0"/>
        <w:rPr>
          <w:sz w:val="20"/>
          <w:szCs w:val="20"/>
          <w:color w:val="auto"/>
        </w:rPr>
      </w:pPr>
      <w:r>
        <w:rPr>
          <w:rFonts w:ascii="Arial" w:cs="Arial" w:eastAsia="Arial" w:hAnsi="Arial"/>
          <w:sz w:val="16"/>
          <w:szCs w:val="16"/>
          <w:color w:val="auto"/>
        </w:rPr>
        <w:t>matter, present in person or represented by proxy, shall</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constitute a quorum.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Interested Directors</w:t>
      </w:r>
    </w:p>
    <w:p>
      <w:pPr>
        <w:spacing w:after="0" w:line="202" w:lineRule="exact"/>
        <w:rPr>
          <w:sz w:val="20"/>
          <w:szCs w:val="20"/>
          <w:color w:val="auto"/>
        </w:rPr>
      </w:pPr>
    </w:p>
    <w:p>
      <w:pPr>
        <w:ind w:left="460"/>
        <w:spacing w:after="0"/>
        <w:tabs>
          <w:tab w:leader="none" w:pos="4920" w:val="left"/>
          <w:tab w:leader="none" w:pos="5820" w:val="left"/>
          <w:tab w:leader="none" w:pos="6400" w:val="left"/>
          <w:tab w:leader="none" w:pos="7280" w:val="left"/>
          <w:tab w:leader="none" w:pos="7700" w:val="left"/>
          <w:tab w:leader="none" w:pos="8380" w:val="left"/>
        </w:tabs>
        <w:rPr>
          <w:sz w:val="20"/>
          <w:szCs w:val="20"/>
          <w:color w:val="auto"/>
        </w:rPr>
      </w:pPr>
      <w:r>
        <w:rPr>
          <w:rFonts w:ascii="Arial" w:cs="Arial" w:eastAsia="Arial" w:hAnsi="Arial"/>
          <w:sz w:val="18"/>
          <w:szCs w:val="18"/>
          <w:color w:val="auto"/>
        </w:rPr>
        <w:t>To the extent permitted by law, FS Development The</w:t>
        <w:tab/>
        <w:t>Combined</w:t>
        <w:tab/>
        <w:t>Entity</w:t>
        <w:tab/>
        <w:t>renounces</w:t>
        <w:tab/>
        <w:t>any</w:t>
        <w:tab/>
        <w:t>interest</w:t>
      </w:r>
      <w:r>
        <w:rPr>
          <w:sz w:val="20"/>
          <w:szCs w:val="20"/>
          <w:color w:val="auto"/>
        </w:rPr>
        <w:tab/>
      </w:r>
      <w:r>
        <w:rPr>
          <w:rFonts w:ascii="Arial" w:cs="Arial" w:eastAsia="Arial" w:hAnsi="Arial"/>
          <w:sz w:val="15"/>
          <w:szCs w:val="15"/>
          <w:color w:val="auto"/>
        </w:rPr>
        <w:t>or</w:t>
      </w:r>
    </w:p>
    <w:p>
      <w:pPr>
        <w:spacing w:after="0" w:line="23" w:lineRule="exact"/>
        <w:rPr>
          <w:sz w:val="20"/>
          <w:szCs w:val="20"/>
          <w:color w:val="auto"/>
        </w:rPr>
      </w:pPr>
    </w:p>
    <w:p>
      <w:pPr>
        <w:ind w:left="460"/>
        <w:spacing w:after="0"/>
        <w:tabs>
          <w:tab w:leader="none" w:pos="1320" w:val="left"/>
          <w:tab w:leader="none" w:pos="1720" w:val="left"/>
          <w:tab w:leader="none" w:pos="2680" w:val="left"/>
          <w:tab w:leader="none" w:pos="3100" w:val="left"/>
          <w:tab w:leader="none" w:pos="3520" w:val="left"/>
          <w:tab w:leader="none" w:pos="3820" w:val="left"/>
          <w:tab w:leader="none" w:pos="4180" w:val="left"/>
        </w:tabs>
        <w:rPr>
          <w:sz w:val="20"/>
          <w:szCs w:val="20"/>
          <w:color w:val="auto"/>
        </w:rPr>
      </w:pPr>
      <w:r>
        <w:rPr>
          <w:rFonts w:ascii="Arial" w:cs="Arial" w:eastAsia="Arial" w:hAnsi="Arial"/>
          <w:sz w:val="18"/>
          <w:szCs w:val="18"/>
          <w:color w:val="auto"/>
        </w:rPr>
        <w:t>renounces</w:t>
        <w:tab/>
        <w:t>any</w:t>
        <w:tab/>
        <w:t>expectancy</w:t>
        <w:tab/>
        <w:t>that</w:t>
        <w:tab/>
        <w:t>any</w:t>
        <w:tab/>
        <w:t>of</w:t>
        <w:tab/>
        <w:t>the</w:t>
      </w:r>
      <w:r>
        <w:rPr>
          <w:sz w:val="20"/>
          <w:szCs w:val="20"/>
          <w:color w:val="auto"/>
        </w:rPr>
        <w:tab/>
      </w:r>
      <w:r>
        <w:rPr>
          <w:rFonts w:ascii="Arial" w:cs="Arial" w:eastAsia="Arial" w:hAnsi="Arial"/>
          <w:sz w:val="17"/>
          <w:szCs w:val="17"/>
          <w:color w:val="auto"/>
        </w:rPr>
        <w:t>FS expectancy of Combined Entity in, or in being offered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Development  directors  or  officers  will  offer  any an opportunity to participate in, any matter, transaction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corporate opportunity in which he or she may become or interest that is presented to, or acquired, created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aware to FS Development, except with respect to any developed by any director of Combined Entity who 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 the directors or officers of FS Development with not an employee or officer of Combined Entity or any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respect to a corporate opportunity that was offered to of its subsidiaries, unless such matter, transaction or</w:t>
      </w:r>
    </w:p>
    <w:p>
      <w:pPr>
        <w:spacing w:after="0" w:line="21" w:lineRule="exact"/>
        <w:rPr>
          <w:sz w:val="20"/>
          <w:szCs w:val="20"/>
          <w:color w:val="auto"/>
        </w:rPr>
      </w:pPr>
    </w:p>
    <w:p>
      <w:pPr>
        <w:ind w:left="460"/>
        <w:spacing w:after="0"/>
        <w:tabs>
          <w:tab w:leader="none" w:pos="5160" w:val="left"/>
          <w:tab w:leader="none" w:pos="5420" w:val="left"/>
          <w:tab w:leader="none" w:pos="6260" w:val="left"/>
          <w:tab w:leader="none" w:pos="6600" w:val="left"/>
          <w:tab w:leader="none" w:pos="6900" w:val="left"/>
          <w:tab w:leader="none" w:pos="7700" w:val="left"/>
          <w:tab w:leader="none" w:pos="8380" w:val="left"/>
        </w:tabs>
        <w:rPr>
          <w:sz w:val="20"/>
          <w:szCs w:val="20"/>
          <w:color w:val="auto"/>
        </w:rPr>
      </w:pPr>
      <w:r>
        <w:rPr>
          <w:rFonts w:ascii="Arial" w:cs="Arial" w:eastAsia="Arial" w:hAnsi="Arial"/>
          <w:sz w:val="17"/>
          <w:szCs w:val="17"/>
          <w:color w:val="auto"/>
        </w:rPr>
        <w:t>such person solely in his or her capacity as a director interest</w:t>
      </w:r>
      <w:r>
        <w:rPr>
          <w:sz w:val="20"/>
          <w:szCs w:val="20"/>
          <w:color w:val="auto"/>
        </w:rPr>
        <w:tab/>
      </w:r>
      <w:r>
        <w:rPr>
          <w:rFonts w:ascii="Arial" w:cs="Arial" w:eastAsia="Arial" w:hAnsi="Arial"/>
          <w:sz w:val="18"/>
          <w:szCs w:val="18"/>
          <w:color w:val="auto"/>
        </w:rPr>
        <w:t>is</w:t>
        <w:tab/>
        <w:t>presented</w:t>
        <w:tab/>
        <w:t>to,</w:t>
        <w:tab/>
        <w:t>or</w:t>
        <w:tab/>
        <w:t>acquired,</w:t>
        <w:tab/>
        <w:t>created</w:t>
      </w:r>
      <w:r>
        <w:rPr>
          <w:sz w:val="20"/>
          <w:szCs w:val="20"/>
          <w:color w:val="auto"/>
        </w:rPr>
        <w:tab/>
      </w:r>
      <w:r>
        <w:rPr>
          <w:rFonts w:ascii="Arial" w:cs="Arial" w:eastAsia="Arial" w:hAnsi="Arial"/>
          <w:sz w:val="15"/>
          <w:szCs w:val="15"/>
          <w:color w:val="auto"/>
        </w:rPr>
        <w:t>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or officer of FS Development and (i) such opportunity developed by, or otherwise comes into the possession</w:t>
      </w:r>
    </w:p>
    <w:p>
      <w:pPr>
        <w:spacing w:after="0" w:line="32" w:lineRule="exact"/>
        <w:rPr>
          <w:sz w:val="20"/>
          <w:szCs w:val="20"/>
          <w:color w:val="auto"/>
        </w:rPr>
      </w:pPr>
    </w:p>
    <w:p>
      <w:pPr>
        <w:ind w:left="460"/>
        <w:spacing w:after="0"/>
        <w:tabs>
          <w:tab w:leader="none" w:pos="740" w:val="left"/>
          <w:tab w:leader="none" w:pos="1180" w:val="left"/>
          <w:tab w:leader="none" w:pos="1620" w:val="left"/>
          <w:tab w:leader="none" w:pos="2000" w:val="left"/>
          <w:tab w:leader="none" w:pos="3160" w:val="left"/>
          <w:tab w:leader="none" w:pos="3460" w:val="left"/>
          <w:tab w:leader="none" w:pos="4120" w:val="left"/>
        </w:tabs>
        <w:rPr>
          <w:sz w:val="20"/>
          <w:szCs w:val="20"/>
          <w:color w:val="auto"/>
        </w:rPr>
      </w:pPr>
      <w:r>
        <w:rPr>
          <w:rFonts w:ascii="Arial" w:cs="Arial" w:eastAsia="Arial" w:hAnsi="Arial"/>
          <w:sz w:val="18"/>
          <w:szCs w:val="18"/>
          <w:color w:val="auto"/>
        </w:rPr>
        <w:t>is</w:t>
        <w:tab/>
        <w:t>one</w:t>
        <w:tab/>
        <w:t>that</w:t>
        <w:tab/>
        <w:t>FS</w:t>
        <w:tab/>
        <w:t>Development</w:t>
        <w:tab/>
        <w:t>is</w:t>
        <w:tab/>
        <w:t>legally</w:t>
      </w:r>
      <w:r>
        <w:rPr>
          <w:sz w:val="20"/>
          <w:szCs w:val="20"/>
          <w:color w:val="auto"/>
        </w:rPr>
        <w:tab/>
      </w:r>
      <w:r>
        <w:rPr>
          <w:rFonts w:ascii="Arial" w:cs="Arial" w:eastAsia="Arial" w:hAnsi="Arial"/>
          <w:sz w:val="17"/>
          <w:szCs w:val="17"/>
          <w:color w:val="auto"/>
        </w:rPr>
        <w:t>and of, such person expressly and solely in such person’s</w:t>
      </w:r>
    </w:p>
    <w:p>
      <w:pPr>
        <w:spacing w:after="0" w:line="9" w:lineRule="exact"/>
        <w:rPr>
          <w:sz w:val="20"/>
          <w:szCs w:val="20"/>
          <w:color w:val="auto"/>
        </w:rPr>
      </w:pPr>
    </w:p>
    <w:p>
      <w:pPr>
        <w:ind w:left="460"/>
        <w:spacing w:after="0"/>
        <w:tabs>
          <w:tab w:leader="none" w:pos="1520" w:val="left"/>
          <w:tab w:leader="none" w:pos="2360" w:val="left"/>
          <w:tab w:leader="none" w:pos="2660" w:val="left"/>
          <w:tab w:leader="none" w:pos="3520" w:val="left"/>
          <w:tab w:leader="none" w:pos="3940" w:val="left"/>
        </w:tabs>
        <w:rPr>
          <w:sz w:val="20"/>
          <w:szCs w:val="20"/>
          <w:color w:val="auto"/>
        </w:rPr>
      </w:pPr>
      <w:r>
        <w:rPr>
          <w:rFonts w:ascii="Arial" w:cs="Arial" w:eastAsia="Arial" w:hAnsi="Arial"/>
          <w:sz w:val="18"/>
          <w:szCs w:val="18"/>
          <w:color w:val="auto"/>
        </w:rPr>
        <w:t>contractually</w:t>
        <w:tab/>
        <w:t>permitted</w:t>
        <w:tab/>
        <w:t>to</w:t>
        <w:tab/>
        <w:t>undertake</w:t>
        <w:tab/>
        <w:t>and</w:t>
      </w:r>
      <w:r>
        <w:rPr>
          <w:sz w:val="20"/>
          <w:szCs w:val="20"/>
          <w:color w:val="auto"/>
        </w:rPr>
        <w:tab/>
      </w:r>
      <w:r>
        <w:rPr>
          <w:rFonts w:ascii="Arial" w:cs="Arial" w:eastAsia="Arial" w:hAnsi="Arial"/>
          <w:sz w:val="16"/>
          <w:szCs w:val="16"/>
          <w:color w:val="auto"/>
        </w:rPr>
        <w:t>would capacity as a director of the Combined Entity.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otherwise be reasonable for FS Development to pursue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(ii) the director or officer is permitted to refer that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opportunity to FS Development without violating 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legal obligation.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Stockholder Meetings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Current By-laws provide that a special meeting of Subject to the rights of any series of preferred stock,</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stockholders may be called by the Chairman of the special meetings of the Combined Entity’s stockholders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Board, Chief Executive Officer of FS Development, or may be called by the Combined Entity’s board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Board pursuant to a resolution adopted by a directors pursuant to a resolution adopted by a majority</w:t>
      </w:r>
    </w:p>
    <w:p>
      <w:pPr>
        <w:spacing w:after="0" w:line="2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majority of the Board.</w:t>
      </w:r>
      <w:r>
        <w:rPr>
          <w:sz w:val="20"/>
          <w:szCs w:val="20"/>
          <w:color w:val="auto"/>
        </w:rPr>
        <w:tab/>
      </w:r>
      <w:r>
        <w:rPr>
          <w:rFonts w:ascii="Arial" w:cs="Arial" w:eastAsia="Arial" w:hAnsi="Arial"/>
          <w:sz w:val="16"/>
          <w:szCs w:val="16"/>
          <w:color w:val="auto"/>
        </w:rPr>
        <w:t>of the Combined Entity’s board of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Stockholder Meetings</w:t>
      </w:r>
    </w:p>
    <w:p>
      <w:pPr>
        <w:spacing w:after="0" w:line="202" w:lineRule="exact"/>
        <w:rPr>
          <w:sz w:val="20"/>
          <w:szCs w:val="20"/>
          <w:color w:val="auto"/>
        </w:rPr>
      </w:pPr>
    </w:p>
    <w:p>
      <w:pPr>
        <w:ind w:left="460" w:right="459"/>
        <w:spacing w:after="0" w:line="252" w:lineRule="auto"/>
        <w:rPr>
          <w:sz w:val="20"/>
          <w:szCs w:val="20"/>
          <w:color w:val="auto"/>
        </w:rPr>
      </w:pPr>
      <w:r>
        <w:rPr>
          <w:rFonts w:ascii="Arial" w:cs="Arial" w:eastAsia="Arial" w:hAnsi="Arial"/>
          <w:sz w:val="18"/>
          <w:szCs w:val="18"/>
          <w:color w:val="auto"/>
        </w:rPr>
        <w:t>Written notice stating the place, if any, date and hour Except as otherwise provided by law or the Proposed of each meeting of FS Development’s stockholders, Charter or the Amended By-laws, notice of each the means of remote communications, if any, by which meeting of the Combined Entity’s stockholders, stockholders and proxy holders may be deemed to be whether annual or special, shall be given not less than present in person and vote at such meeting, the record ten (10) nor more than sixty (60) days before the date of date for determining the stockholders entitled to vote the meeting to each stockholder entitled to vote at such at the meeting (if such date is different from the record meeting as of the record date for determining the date for stockholders entitled to notice of the meeting) Combined Entity’s stockholders entitled to notice of the must be delivered not less than ten (10) nor more than meeting. sixty (60) days before the date of the meeting, unless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otherwise required by law.</w:t>
      </w:r>
    </w:p>
    <w:p>
      <w:pPr>
        <w:sectPr>
          <w:pgSz w:w="11900" w:h="16838" w:orient="portrait"/>
          <w:cols w:equalWidth="0" w:num="1">
            <w:col w:w="9019"/>
          </w:cols>
          <w:pgMar w:left="1440" w:top="274"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2" w:name="page213"/>
    <w:bookmarkEnd w:id="21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1840"/>
        <w:spacing w:after="0"/>
        <w:tabs>
          <w:tab w:leader="none" w:pos="5920" w:val="left"/>
        </w:tabs>
        <w:rPr>
          <w:sz w:val="20"/>
          <w:szCs w:val="20"/>
          <w:color w:val="auto"/>
        </w:rPr>
      </w:pPr>
      <w:r>
        <w:rPr>
          <w:rFonts w:ascii="Arial" w:cs="Arial" w:eastAsia="Arial" w:hAnsi="Arial"/>
          <w:sz w:val="16"/>
          <w:szCs w:val="16"/>
          <w:b w:val="1"/>
          <w:bCs w:val="1"/>
          <w:color w:val="auto"/>
        </w:rPr>
        <w:t>FS Development</w:t>
      </w:r>
      <w:r>
        <w:rPr>
          <w:sz w:val="20"/>
          <w:szCs w:val="20"/>
          <w:color w:val="auto"/>
        </w:rPr>
        <w:tab/>
      </w:r>
      <w:r>
        <w:rPr>
          <w:rFonts w:ascii="Arial" w:cs="Arial" w:eastAsia="Arial" w:hAnsi="Arial"/>
          <w:sz w:val="14"/>
          <w:szCs w:val="14"/>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71755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3" w:lineRule="exact"/>
        <w:rPr>
          <w:sz w:val="20"/>
          <w:szCs w:val="20"/>
          <w:color w:val="auto"/>
        </w:rPr>
      </w:pPr>
    </w:p>
    <w:p>
      <w:pPr>
        <w:jc w:val="both"/>
        <w:ind w:left="460" w:right="459"/>
        <w:spacing w:after="0" w:line="274" w:lineRule="auto"/>
        <w:rPr>
          <w:sz w:val="20"/>
          <w:szCs w:val="20"/>
          <w:color w:val="auto"/>
        </w:rPr>
      </w:pPr>
      <w:r>
        <w:rPr>
          <w:rFonts w:ascii="Arial" w:cs="Arial" w:eastAsia="Arial" w:hAnsi="Arial"/>
          <w:sz w:val="17"/>
          <w:szCs w:val="17"/>
          <w:color w:val="auto"/>
        </w:rPr>
        <w:t>Whenever notice is required to be given to any FS Without limiting the manner by which notice otherwise Development stockholder, such notice may be given may be given to the Combined Entity’s stockholders,</w:t>
      </w:r>
    </w:p>
    <w:p>
      <w:pPr>
        <w:jc w:val="both"/>
        <w:ind w:left="460" w:right="459" w:hanging="6"/>
        <w:spacing w:after="0" w:line="265" w:lineRule="auto"/>
        <w:tabs>
          <w:tab w:leader="none" w:pos="67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writing and sent either by hand delivery, through any notice to the Combined Entity’s stockholders given the United States mail, or by a nationally recognized by Combined Entity shall be effective if given by overnight delivery service for next day delivery, or electronic transmission in accordance with Section 232</w:t>
      </w:r>
    </w:p>
    <w:p>
      <w:pPr>
        <w:jc w:val="both"/>
        <w:ind w:left="460" w:right="479" w:hanging="6"/>
        <w:spacing w:after="0" w:line="265" w:lineRule="auto"/>
        <w:tabs>
          <w:tab w:leader="none" w:pos="77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by means of a form of electronic transmission of the DGCL. The notices of all meetings shall state the consented to by the stockholder, to the extent place, if any, date and time of the meeting, the means of</w:t>
      </w:r>
    </w:p>
    <w:p>
      <w:pPr>
        <w:jc w:val="center"/>
        <w:ind w:right="19"/>
        <w:spacing w:after="0"/>
        <w:rPr>
          <w:sz w:val="20"/>
          <w:szCs w:val="20"/>
          <w:color w:val="auto"/>
        </w:rPr>
      </w:pPr>
      <w:r>
        <w:rPr>
          <w:rFonts w:ascii="Arial" w:cs="Arial" w:eastAsia="Arial" w:hAnsi="Arial"/>
          <w:sz w:val="16"/>
          <w:szCs w:val="16"/>
          <w:color w:val="auto"/>
        </w:rPr>
        <w:t>permitted by, and subject to the conditions set forth in remote communications, if any, by which stockholders</w:t>
      </w:r>
    </w:p>
    <w:p>
      <w:pPr>
        <w:spacing w:after="0" w:line="32"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Section 232 of the DGCL.</w:t>
      </w:r>
      <w:r>
        <w:rPr>
          <w:sz w:val="20"/>
          <w:szCs w:val="20"/>
          <w:color w:val="auto"/>
        </w:rPr>
        <w:tab/>
      </w:r>
      <w:r>
        <w:rPr>
          <w:rFonts w:ascii="Arial" w:cs="Arial" w:eastAsia="Arial" w:hAnsi="Arial"/>
          <w:sz w:val="18"/>
          <w:szCs w:val="18"/>
          <w:color w:val="auto"/>
        </w:rPr>
        <w:t>and proxyholders may be deemed to be present in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person and vote at such meeting, and the record date for</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determining the stockholders entitled to vote at the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meeting (if such date is different from the record date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for stockholders entitled to notice of the meeting). The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notice of a special meeting shall state, in addition, the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purpose or purposes for which the meeting is called.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(Other than Nomination of Persons for Election as Directors)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89"/>
              </w:rPr>
              <w:t>No business may be transacted at an annual meeting of</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0"/>
              </w:rPr>
              <w:t>No business may be conducted at an annual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89"/>
              </w:rPr>
              <w:t>FS Development stockholders, other than business that</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0"/>
              </w:rPr>
              <w:t>the Combined Entity’s stockholders, other than business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is either (i) specified in FS Development’s notice of</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6"/>
              </w:rPr>
              <w:t>that is either (i) specified in Combined Entity’s notice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meeting  (or  any  supplement  thereto)  delivered</w:t>
            </w:r>
          </w:p>
        </w:tc>
        <w:tc>
          <w:tcPr>
            <w:tcW w:w="1040" w:type="dxa"/>
            <w:vAlign w:val="bottom"/>
          </w:tcPr>
          <w:p>
            <w:pPr>
              <w:ind w:left="40"/>
              <w:spacing w:after="0"/>
              <w:rPr>
                <w:sz w:val="20"/>
                <w:szCs w:val="20"/>
                <w:color w:val="auto"/>
              </w:rPr>
            </w:pPr>
            <w:r>
              <w:rPr>
                <w:rFonts w:ascii="Arial" w:cs="Arial" w:eastAsia="Arial" w:hAnsi="Arial"/>
                <w:sz w:val="18"/>
                <w:szCs w:val="18"/>
                <w:color w:val="auto"/>
              </w:rPr>
              <w:t>of  meeting</w:t>
            </w:r>
          </w:p>
        </w:tc>
        <w:tc>
          <w:tcPr>
            <w:tcW w:w="860" w:type="dxa"/>
            <w:vAlign w:val="bottom"/>
          </w:tcPr>
          <w:p>
            <w:pPr>
              <w:ind w:left="80"/>
              <w:spacing w:after="0"/>
              <w:rPr>
                <w:sz w:val="20"/>
                <w:szCs w:val="20"/>
                <w:color w:val="auto"/>
              </w:rPr>
            </w:pPr>
            <w:r>
              <w:rPr>
                <w:rFonts w:ascii="Arial" w:cs="Arial" w:eastAsia="Arial" w:hAnsi="Arial"/>
                <w:sz w:val="18"/>
                <w:szCs w:val="18"/>
                <w:color w:val="auto"/>
              </w:rPr>
              <w:t>delivered</w:t>
            </w:r>
          </w:p>
        </w:tc>
        <w:tc>
          <w:tcPr>
            <w:tcW w:w="2200" w:type="dxa"/>
            <w:vAlign w:val="bottom"/>
          </w:tcPr>
          <w:p>
            <w:pPr>
              <w:jc w:val="right"/>
              <w:spacing w:after="0"/>
              <w:rPr>
                <w:sz w:val="20"/>
                <w:szCs w:val="20"/>
                <w:color w:val="auto"/>
              </w:rPr>
            </w:pPr>
            <w:r>
              <w:rPr>
                <w:rFonts w:ascii="Arial" w:cs="Arial" w:eastAsia="Arial" w:hAnsi="Arial"/>
                <w:sz w:val="18"/>
                <w:szCs w:val="18"/>
                <w:color w:val="auto"/>
              </w:rPr>
              <w:t>pursuant  to  the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9"/>
              </w:rPr>
              <w:t>pursuant  to  the  By-laws,  (ii)  otherwise  properly</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7"/>
              </w:rPr>
              <w:t>(ii)  otherwise  properly  brought  before  the  annual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brought  before  the  annual  meeting  by  or  at  the</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meeting by or at the direction of the board (or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direction of the Board or (iii) otherwise properly</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6"/>
              </w:rPr>
              <w:t>committee thereof) or (iii) otherwise properly brought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brought  before  the  annual  meeting  by  any  FS</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7"/>
              </w:rPr>
              <w:t>before the annual meeting by any stockholder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Development stockholder who is entitled to vote at the</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3"/>
              </w:rPr>
              <w:t>Combined Entity who is entitled to vote at the meeting,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meeting, who complies with the notice procedures set</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7"/>
              </w:rPr>
              <w:t>who complies with the notice procedures set forth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forth in the Current By-laws.</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5"/>
              </w:rPr>
              <w:t>Amended By-laws and who is a stockholder of record</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color w:val="auto"/>
                <w:w w:val="94"/>
              </w:rPr>
              <w:t>The FS Development stockholder must (i) give timely</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4"/>
              </w:rPr>
              <w:t>at the time such notice is delivered to the Secretary of</w:t>
            </w:r>
          </w:p>
        </w:tc>
        <w:tc>
          <w:tcPr>
            <w:tcW w:w="0" w:type="dxa"/>
            <w:vAlign w:val="bottom"/>
          </w:tcPr>
          <w:p>
            <w:pPr>
              <w:spacing w:after="0"/>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19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the Combined Entity.</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line="175" w:lineRule="exact"/>
              <w:rPr>
                <w:sz w:val="20"/>
                <w:szCs w:val="20"/>
                <w:color w:val="auto"/>
              </w:rPr>
            </w:pPr>
            <w:r>
              <w:rPr>
                <w:rFonts w:ascii="Arial" w:cs="Arial" w:eastAsia="Arial" w:hAnsi="Arial"/>
                <w:sz w:val="18"/>
                <w:szCs w:val="18"/>
                <w:color w:val="auto"/>
                <w:w w:val="95"/>
              </w:rPr>
              <w:t>notice thereof in proper written form to the Secretary</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of FS Development, and (ii) the business must be a</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6"/>
              </w:rPr>
              <w:t>The Combined Entity stockholder must (i) give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proper matter for stockholder action. To be timely, a</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2"/>
              </w:rPr>
              <w:t>notice thereof in proper written form to the Secretary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FS  Development  stockholder’s  notice  must  be</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8"/>
              </w:rPr>
              <w:t>the Combined Entity and (ii) the business must be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received by the Secretary at the principal executive</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8"/>
              </w:rPr>
              <w:t>proper matter for stockholder action. To be timely,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offices of FS Development not later than the close of</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5"/>
              </w:rPr>
              <w:t>stockholder’s notice must be received at the principal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8"/>
                <w:szCs w:val="18"/>
                <w:color w:val="auto"/>
                <w:w w:val="90"/>
              </w:rPr>
              <w:t>business on the ninetieth (90</w:t>
            </w:r>
            <w:r>
              <w:rPr>
                <w:rFonts w:ascii="Arial" w:cs="Arial" w:eastAsia="Arial" w:hAnsi="Arial"/>
                <w:sz w:val="20"/>
                <w:szCs w:val="20"/>
                <w:color w:val="auto"/>
                <w:w w:val="90"/>
                <w:vertAlign w:val="superscript"/>
              </w:rPr>
              <w:t>th</w:t>
            </w:r>
            <w:r>
              <w:rPr>
                <w:rFonts w:ascii="Arial" w:cs="Arial" w:eastAsia="Arial" w:hAnsi="Arial"/>
                <w:sz w:val="18"/>
                <w:szCs w:val="18"/>
                <w:color w:val="auto"/>
                <w:w w:val="90"/>
              </w:rPr>
              <w:t>) day nor earlier than the</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executive offices of Combined Entity not less than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9"/>
              </w:rPr>
              <w:t>opening of business on the one-hundred twentieth</w:t>
            </w:r>
          </w:p>
        </w:tc>
        <w:tc>
          <w:tcPr>
            <w:tcW w:w="1040" w:type="dxa"/>
            <w:vAlign w:val="bottom"/>
          </w:tcPr>
          <w:p>
            <w:pPr>
              <w:ind w:left="40"/>
              <w:spacing w:after="0"/>
              <w:rPr>
                <w:sz w:val="20"/>
                <w:szCs w:val="20"/>
                <w:color w:val="auto"/>
              </w:rPr>
            </w:pPr>
            <w:r>
              <w:rPr>
                <w:rFonts w:ascii="Arial" w:cs="Arial" w:eastAsia="Arial" w:hAnsi="Arial"/>
                <w:sz w:val="18"/>
                <w:szCs w:val="18"/>
                <w:color w:val="auto"/>
              </w:rPr>
              <w:t>ninety  (90)</w:t>
            </w:r>
          </w:p>
        </w:tc>
        <w:tc>
          <w:tcPr>
            <w:tcW w:w="860" w:type="dxa"/>
            <w:vAlign w:val="bottom"/>
          </w:tcPr>
          <w:p>
            <w:pPr>
              <w:ind w:left="100"/>
              <w:spacing w:after="0"/>
              <w:rPr>
                <w:sz w:val="20"/>
                <w:szCs w:val="20"/>
                <w:color w:val="auto"/>
              </w:rPr>
            </w:pPr>
            <w:r>
              <w:rPr>
                <w:rFonts w:ascii="Arial" w:cs="Arial" w:eastAsia="Arial" w:hAnsi="Arial"/>
                <w:sz w:val="18"/>
                <w:szCs w:val="18"/>
                <w:color w:val="auto"/>
              </w:rPr>
              <w:t>or  more</w:t>
            </w:r>
          </w:p>
        </w:tc>
        <w:tc>
          <w:tcPr>
            <w:tcW w:w="2200" w:type="dxa"/>
            <w:vAlign w:val="bottom"/>
          </w:tcPr>
          <w:p>
            <w:pPr>
              <w:jc w:val="right"/>
              <w:spacing w:after="0"/>
              <w:rPr>
                <w:sz w:val="20"/>
                <w:szCs w:val="20"/>
                <w:color w:val="auto"/>
              </w:rPr>
            </w:pPr>
            <w:r>
              <w:rPr>
                <w:rFonts w:ascii="Arial" w:cs="Arial" w:eastAsia="Arial" w:hAnsi="Arial"/>
                <w:sz w:val="18"/>
                <w:szCs w:val="18"/>
                <w:color w:val="auto"/>
              </w:rPr>
              <w:t>than  one-hundred  twenty</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8"/>
                <w:szCs w:val="18"/>
                <w:color w:val="auto"/>
              </w:rPr>
              <w:t>(120</w:t>
            </w:r>
            <w:r>
              <w:rPr>
                <w:rFonts w:ascii="Arial" w:cs="Arial" w:eastAsia="Arial" w:hAnsi="Arial"/>
                <w:sz w:val="20"/>
                <w:szCs w:val="20"/>
                <w:color w:val="auto"/>
                <w:vertAlign w:val="superscript"/>
              </w:rPr>
              <w:t>th</w:t>
            </w:r>
            <w:r>
              <w:rPr>
                <w:rFonts w:ascii="Arial" w:cs="Arial" w:eastAsia="Arial" w:hAnsi="Arial"/>
                <w:sz w:val="18"/>
                <w:szCs w:val="18"/>
                <w:color w:val="auto"/>
              </w:rPr>
              <w:t>)  day  before  the  anniversary  date  of  the</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(120) days prior to the one-year anniversary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immediately  preceding  annual  meeting;  provided,</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4"/>
              </w:rPr>
              <w:t>preceding year’s annual meeting; provided however if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however, that in the event that the annual meeting is</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4"/>
              </w:rPr>
              <w:t>the date of the annual meeting is more than thirty (30)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more than 30 days before or more than 60 days after</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9"/>
              </w:rPr>
              <w:t>days before or more than sixty (60) days after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such anniversary date, notice must be delivered not</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2"/>
              </w:rPr>
              <w:t>anniversary date, the notice must be delivered not later</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8"/>
                <w:szCs w:val="18"/>
                <w:color w:val="auto"/>
                <w:w w:val="98"/>
              </w:rPr>
              <w:t>earlier than the close of business on the 120</w:t>
            </w:r>
            <w:r>
              <w:rPr>
                <w:rFonts w:ascii="Arial" w:cs="Arial" w:eastAsia="Arial" w:hAnsi="Arial"/>
                <w:sz w:val="20"/>
                <w:szCs w:val="20"/>
                <w:color w:val="auto"/>
                <w:w w:val="98"/>
                <w:vertAlign w:val="superscript"/>
              </w:rPr>
              <w:t>th</w:t>
            </w:r>
            <w:r>
              <w:rPr>
                <w:rFonts w:ascii="Arial" w:cs="Arial" w:eastAsia="Arial" w:hAnsi="Arial"/>
                <w:sz w:val="18"/>
                <w:szCs w:val="18"/>
                <w:color w:val="auto"/>
                <w:w w:val="98"/>
              </w:rPr>
              <w:t xml:space="preserve">  day</w:t>
            </w:r>
          </w:p>
        </w:tc>
        <w:tc>
          <w:tcPr>
            <w:tcW w:w="4100" w:type="dxa"/>
            <w:vAlign w:val="bottom"/>
            <w:gridSpan w:val="3"/>
          </w:tcPr>
          <w:p>
            <w:pPr>
              <w:ind w:left="40"/>
              <w:spacing w:after="0" w:line="216" w:lineRule="exact"/>
              <w:rPr>
                <w:sz w:val="20"/>
                <w:szCs w:val="20"/>
                <w:color w:val="auto"/>
              </w:rPr>
            </w:pPr>
            <w:r>
              <w:rPr>
                <w:rFonts w:ascii="Arial" w:cs="Arial" w:eastAsia="Arial" w:hAnsi="Arial"/>
                <w:sz w:val="18"/>
                <w:szCs w:val="18"/>
                <w:color w:val="auto"/>
                <w:w w:val="95"/>
              </w:rPr>
              <w:t>than  the  ninetieth  (90</w:t>
            </w:r>
            <w:r>
              <w:rPr>
                <w:rFonts w:ascii="Arial" w:cs="Arial" w:eastAsia="Arial" w:hAnsi="Arial"/>
                <w:sz w:val="20"/>
                <w:szCs w:val="20"/>
                <w:color w:val="auto"/>
                <w:w w:val="95"/>
                <w:vertAlign w:val="superscript"/>
              </w:rPr>
              <w:t>th</w:t>
            </w:r>
            <w:r>
              <w:rPr>
                <w:rFonts w:ascii="Arial" w:cs="Arial" w:eastAsia="Arial" w:hAnsi="Arial"/>
                <w:sz w:val="18"/>
                <w:szCs w:val="18"/>
                <w:color w:val="auto"/>
                <w:w w:val="95"/>
              </w:rPr>
              <w:t>)  day  prior  to  such  annual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8"/>
                <w:szCs w:val="18"/>
                <w:color w:val="auto"/>
                <w:w w:val="99"/>
              </w:rPr>
              <w:t>before the meeting and not later than the 90</w:t>
            </w:r>
            <w:r>
              <w:rPr>
                <w:rFonts w:ascii="Arial" w:cs="Arial" w:eastAsia="Arial" w:hAnsi="Arial"/>
                <w:sz w:val="20"/>
                <w:szCs w:val="20"/>
                <w:color w:val="auto"/>
                <w:w w:val="99"/>
                <w:vertAlign w:val="superscript"/>
              </w:rPr>
              <w:t>th</w:t>
            </w:r>
            <w:r>
              <w:rPr>
                <w:rFonts w:ascii="Arial" w:cs="Arial" w:eastAsia="Arial" w:hAnsi="Arial"/>
                <w:sz w:val="18"/>
                <w:szCs w:val="18"/>
                <w:color w:val="auto"/>
                <w:w w:val="99"/>
              </w:rPr>
              <w:t xml:space="preserve">  day</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5"/>
              </w:rPr>
              <w:t>meeting or, if later, the tenth day following the day on</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8"/>
                <w:szCs w:val="18"/>
                <w:color w:val="auto"/>
                <w:w w:val="98"/>
              </w:rPr>
              <w:t>before the meeting or the 10</w:t>
            </w:r>
            <w:r>
              <w:rPr>
                <w:rFonts w:ascii="Arial" w:cs="Arial" w:eastAsia="Arial" w:hAnsi="Arial"/>
                <w:sz w:val="20"/>
                <w:szCs w:val="20"/>
                <w:color w:val="auto"/>
                <w:w w:val="98"/>
                <w:vertAlign w:val="superscript"/>
              </w:rPr>
              <w:t>th</w:t>
            </w:r>
            <w:r>
              <w:rPr>
                <w:rFonts w:ascii="Arial" w:cs="Arial" w:eastAsia="Arial" w:hAnsi="Arial"/>
                <w:sz w:val="18"/>
                <w:szCs w:val="18"/>
                <w:color w:val="auto"/>
                <w:w w:val="98"/>
              </w:rPr>
              <w:t xml:space="preserve">  day following public</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1"/>
              </w:rPr>
              <w:t>which public disclosure of such meeting was first made.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announcement of the date of the annual meeting, if</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8"/>
              </w:rPr>
              <w:t>The  public  announcement  of  an  adjournment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later. The public announcement of an adjournment or</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1"/>
              </w:rPr>
              <w:t>postponement of an annual meeting will not commence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postponement  of  an  annual  meeting  shall  not</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6"/>
              </w:rPr>
              <w:t>a new time period (or extend any time period) for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commence a new time period (or extend any time</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7"/>
              </w:rPr>
              <w:t>giving  of  a  stockholder’s  notice.  Additionally,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period)  for  the  giving  of  a  stockholder’s  notice.</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6"/>
              </w:rPr>
              <w:t>stockholder must provide information pursuant to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Additionally,   the   stockholder   must   provide</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8"/>
              </w:rPr>
              <w:t>advance notice provisions in the Amended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information pursuant to the advance notice provisions</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 the Current By-laws.</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Borders>
              <w:bottom w:val="single" w:sz="8" w:color="auto"/>
            </w:tcBorders>
            <w:gridSpan w:val="2"/>
          </w:tcPr>
          <w:p>
            <w:pPr>
              <w:ind w:left="3900"/>
              <w:spacing w:after="0"/>
              <w:rPr>
                <w:sz w:val="20"/>
                <w:szCs w:val="20"/>
                <w:color w:val="auto"/>
              </w:rPr>
            </w:pPr>
            <w:r>
              <w:rPr>
                <w:rFonts w:ascii="Arial" w:cs="Arial" w:eastAsia="Arial" w:hAnsi="Arial"/>
                <w:sz w:val="18"/>
                <w:szCs w:val="18"/>
                <w:color w:val="auto"/>
              </w:rPr>
              <w:t>201</w:t>
            </w:r>
          </w:p>
        </w:tc>
        <w:tc>
          <w:tcPr>
            <w:tcW w:w="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13" w:name="page214"/>
    <w:bookmarkEnd w:id="21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000" w:type="dxa"/>
            <w:vAlign w:val="bottom"/>
          </w:tcPr>
          <w:p>
            <w:pPr>
              <w:ind w:left="1380"/>
              <w:spacing w:after="0"/>
              <w:rPr>
                <w:sz w:val="20"/>
                <w:szCs w:val="20"/>
                <w:color w:val="auto"/>
              </w:rPr>
            </w:pPr>
            <w:r>
              <w:rPr>
                <w:rFonts w:ascii="Arial" w:cs="Arial" w:eastAsia="Arial" w:hAnsi="Arial"/>
                <w:sz w:val="16"/>
                <w:szCs w:val="16"/>
                <w:b w:val="1"/>
                <w:bCs w:val="1"/>
                <w:color w:val="auto"/>
              </w:rPr>
              <w:t>FS Development</w:t>
            </w:r>
          </w:p>
        </w:tc>
        <w:tc>
          <w:tcPr>
            <w:tcW w:w="4100" w:type="dxa"/>
            <w:vAlign w:val="bottom"/>
          </w:tcPr>
          <w:p>
            <w:pPr>
              <w:ind w:left="1480"/>
              <w:spacing w:after="0"/>
              <w:rPr>
                <w:sz w:val="20"/>
                <w:szCs w:val="20"/>
                <w:color w:val="auto"/>
              </w:rPr>
            </w:pPr>
            <w:r>
              <w:rPr>
                <w:rFonts w:ascii="Arial" w:cs="Arial" w:eastAsia="Arial" w:hAnsi="Arial"/>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680"/>
              <w:spacing w:after="0"/>
              <w:rPr>
                <w:sz w:val="20"/>
                <w:szCs w:val="20"/>
                <w:color w:val="auto"/>
              </w:rPr>
            </w:pPr>
            <w:r>
              <w:rPr>
                <w:rFonts w:ascii="Arial" w:cs="Arial" w:eastAsia="Arial" w:hAnsi="Arial"/>
                <w:sz w:val="18"/>
                <w:szCs w:val="18"/>
                <w:b w:val="1"/>
                <w:bCs w:val="1"/>
                <w:color w:val="auto"/>
              </w:rPr>
              <w:t>Stockholder Nominations of Persons for Election as Directors</w:t>
            </w:r>
          </w:p>
        </w:tc>
        <w:tc>
          <w:tcPr>
            <w:tcW w:w="0" w:type="dxa"/>
            <w:vAlign w:val="bottom"/>
          </w:tcPr>
          <w:p>
            <w:pPr>
              <w:spacing w:after="0"/>
              <w:rPr>
                <w:sz w:val="1"/>
                <w:szCs w:val="1"/>
                <w:color w:val="auto"/>
              </w:rPr>
            </w:pPr>
          </w:p>
        </w:tc>
      </w:tr>
      <w:tr>
        <w:trPr>
          <w:trHeight w:val="391"/>
        </w:trPr>
        <w:tc>
          <w:tcPr>
            <w:tcW w:w="4000" w:type="dxa"/>
            <w:vAlign w:val="bottom"/>
          </w:tcPr>
          <w:p>
            <w:pPr>
              <w:spacing w:after="0"/>
              <w:rPr>
                <w:sz w:val="20"/>
                <w:szCs w:val="20"/>
                <w:color w:val="auto"/>
              </w:rPr>
            </w:pPr>
            <w:r>
              <w:rPr>
                <w:rFonts w:ascii="Arial" w:cs="Arial" w:eastAsia="Arial" w:hAnsi="Arial"/>
                <w:sz w:val="18"/>
                <w:szCs w:val="18"/>
                <w:color w:val="auto"/>
                <w:w w:val="94"/>
              </w:rPr>
              <w:t>Nominations of persons for election to Board may be</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Nominations of persons for election to the Combined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made by any stockholder of FS Development who is a</w:t>
            </w:r>
          </w:p>
        </w:tc>
        <w:tc>
          <w:tcPr>
            <w:tcW w:w="4100" w:type="dxa"/>
            <w:vAlign w:val="bottom"/>
          </w:tcPr>
          <w:p>
            <w:pPr>
              <w:ind w:left="40"/>
              <w:spacing w:after="0"/>
              <w:rPr>
                <w:sz w:val="20"/>
                <w:szCs w:val="20"/>
                <w:color w:val="auto"/>
              </w:rPr>
            </w:pPr>
            <w:r>
              <w:rPr>
                <w:rFonts w:ascii="Arial" w:cs="Arial" w:eastAsia="Arial" w:hAnsi="Arial"/>
                <w:sz w:val="18"/>
                <w:szCs w:val="18"/>
                <w:color w:val="auto"/>
                <w:w w:val="97"/>
              </w:rPr>
              <w:t>Entity’s  board  of  directors  may  be  made  by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stockholder of record entitled to vote in the election of</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stockholder of Combined Entity who provides a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directors on the date of the giving of the notice</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notice (i.e. provides notice which must be received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required (as described below) and on the record date</w:t>
            </w:r>
          </w:p>
        </w:tc>
        <w:tc>
          <w:tcPr>
            <w:tcW w:w="4100" w:type="dxa"/>
            <w:vAlign w:val="bottom"/>
          </w:tcPr>
          <w:p>
            <w:pPr>
              <w:ind w:left="40"/>
              <w:spacing w:after="0"/>
              <w:rPr>
                <w:sz w:val="20"/>
                <w:szCs w:val="20"/>
                <w:color w:val="auto"/>
              </w:rPr>
            </w:pPr>
            <w:r>
              <w:rPr>
                <w:rFonts w:ascii="Arial" w:cs="Arial" w:eastAsia="Arial" w:hAnsi="Arial"/>
                <w:sz w:val="18"/>
                <w:szCs w:val="18"/>
                <w:color w:val="auto"/>
              </w:rPr>
              <w:t>writing  by  the  secretary  of  Combined  Entity  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for the determination of stockholders entitled to vote</w:t>
            </w:r>
          </w:p>
        </w:tc>
        <w:tc>
          <w:tcPr>
            <w:tcW w:w="4100" w:type="dxa"/>
            <w:vAlign w:val="bottom"/>
          </w:tcPr>
          <w:p>
            <w:pPr>
              <w:ind w:left="40"/>
              <w:spacing w:after="0"/>
              <w:rPr>
                <w:sz w:val="20"/>
                <w:szCs w:val="20"/>
                <w:color w:val="auto"/>
              </w:rPr>
            </w:pPr>
            <w:r>
              <w:rPr>
                <w:rFonts w:ascii="Arial" w:cs="Arial" w:eastAsia="Arial" w:hAnsi="Arial"/>
                <w:sz w:val="18"/>
                <w:szCs w:val="18"/>
                <w:color w:val="auto"/>
              </w:rPr>
              <w:t>Combined Entity’s principal executive officer either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at such meeting and who gives proper notice.</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(i) in the case of an election of directors at an annual</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Arial" w:cs="Arial" w:eastAsia="Arial" w:hAnsi="Arial"/>
                <w:sz w:val="18"/>
                <w:szCs w:val="18"/>
                <w:color w:val="auto"/>
                <w:w w:val="95"/>
              </w:rPr>
              <w:t>To give timely notice, a stockholder’s notice must be</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meeting, not less than ninety (90) days nor more than</w:t>
            </w:r>
          </w:p>
        </w:tc>
        <w:tc>
          <w:tcPr>
            <w:tcW w:w="0" w:type="dxa"/>
            <w:vAlign w:val="bottom"/>
          </w:tcPr>
          <w:p>
            <w:pPr>
              <w:spacing w:after="0"/>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4100" w:type="dxa"/>
            <w:vAlign w:val="bottom"/>
          </w:tcPr>
          <w:p>
            <w:pPr>
              <w:ind w:left="40"/>
              <w:spacing w:after="0" w:line="176" w:lineRule="exact"/>
              <w:rPr>
                <w:sz w:val="20"/>
                <w:szCs w:val="20"/>
                <w:color w:val="auto"/>
              </w:rPr>
            </w:pPr>
            <w:r>
              <w:rPr>
                <w:rFonts w:ascii="Arial" w:cs="Arial" w:eastAsia="Arial" w:hAnsi="Arial"/>
                <w:sz w:val="18"/>
                <w:szCs w:val="18"/>
                <w:color w:val="auto"/>
                <w:w w:val="97"/>
              </w:rPr>
              <w:t>one  hundred  twenty  (120)  days  prior  to  the  first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given to the Secretary of FS Development at the</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anniversary of the preceding year’s annual meeting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principal executive offices of FS Development either</w:t>
            </w:r>
          </w:p>
        </w:tc>
        <w:tc>
          <w:tcPr>
            <w:tcW w:w="4100" w:type="dxa"/>
            <w:vAlign w:val="bottom"/>
          </w:tcPr>
          <w:p>
            <w:pPr>
              <w:ind w:left="40"/>
              <w:spacing w:after="0"/>
              <w:rPr>
                <w:sz w:val="20"/>
                <w:szCs w:val="20"/>
                <w:color w:val="auto"/>
              </w:rPr>
            </w:pPr>
            <w:r>
              <w:rPr>
                <w:rFonts w:ascii="Arial" w:cs="Arial" w:eastAsia="Arial" w:hAnsi="Arial"/>
                <w:sz w:val="18"/>
                <w:szCs w:val="18"/>
                <w:color w:val="auto"/>
                <w:w w:val="91"/>
              </w:rPr>
              <w:t>most cases) or (ii) in the case of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(i) in the case of an annual meeting, not later than the</w:t>
            </w:r>
          </w:p>
        </w:tc>
        <w:tc>
          <w:tcPr>
            <w:tcW w:w="4100" w:type="dxa"/>
            <w:vAlign w:val="bottom"/>
          </w:tcPr>
          <w:p>
            <w:pPr>
              <w:ind w:left="40"/>
              <w:spacing w:after="0"/>
              <w:rPr>
                <w:sz w:val="20"/>
                <w:szCs w:val="20"/>
                <w:color w:val="auto"/>
              </w:rPr>
            </w:pPr>
            <w:r>
              <w:rPr>
                <w:rFonts w:ascii="Arial" w:cs="Arial" w:eastAsia="Arial" w:hAnsi="Arial"/>
                <w:sz w:val="18"/>
                <w:szCs w:val="18"/>
                <w:color w:val="auto"/>
              </w:rPr>
              <w:t>at a special meeting, not earlier than one hundred</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4"/>
                <w:szCs w:val="14"/>
                <w:color w:val="auto"/>
              </w:rPr>
              <w:t>close of business on the ninetieth (90</w:t>
            </w:r>
            <w:r>
              <w:rPr>
                <w:rFonts w:ascii="Arial" w:cs="Arial" w:eastAsia="Arial" w:hAnsi="Arial"/>
                <w:sz w:val="15"/>
                <w:szCs w:val="15"/>
                <w:color w:val="auto"/>
                <w:vertAlign w:val="superscript"/>
              </w:rPr>
              <w:t>th</w:t>
            </w:r>
            <w:r>
              <w:rPr>
                <w:rFonts w:ascii="Arial" w:cs="Arial" w:eastAsia="Arial" w:hAnsi="Arial"/>
                <w:sz w:val="14"/>
                <w:szCs w:val="14"/>
                <w:color w:val="auto"/>
              </w:rPr>
              <w:t>) day nor earlier</w:t>
            </w:r>
          </w:p>
        </w:tc>
        <w:tc>
          <w:tcPr>
            <w:tcW w:w="4100" w:type="dxa"/>
            <w:vAlign w:val="bottom"/>
          </w:tcPr>
          <w:p>
            <w:pPr>
              <w:ind w:left="1100"/>
              <w:spacing w:after="0"/>
              <w:rPr>
                <w:sz w:val="20"/>
                <w:szCs w:val="20"/>
                <w:color w:val="auto"/>
              </w:rPr>
            </w:pPr>
            <w:r>
              <w:rPr>
                <w:rFonts w:ascii="Arial" w:cs="Arial" w:eastAsia="Arial" w:hAnsi="Arial"/>
                <w:sz w:val="10"/>
                <w:szCs w:val="10"/>
                <w:color w:val="auto"/>
              </w:rPr>
              <w:t>th</w:t>
            </w:r>
          </w:p>
        </w:tc>
        <w:tc>
          <w:tcPr>
            <w:tcW w:w="0" w:type="dxa"/>
            <w:vAlign w:val="bottom"/>
          </w:tcPr>
          <w:p>
            <w:pPr>
              <w:spacing w:after="0"/>
              <w:rPr>
                <w:sz w:val="1"/>
                <w:szCs w:val="1"/>
                <w:color w:val="auto"/>
              </w:rPr>
            </w:pPr>
          </w:p>
        </w:tc>
      </w:tr>
      <w:tr>
        <w:trPr>
          <w:trHeight w:val="121"/>
        </w:trPr>
        <w:tc>
          <w:tcPr>
            <w:tcW w:w="4000" w:type="dxa"/>
            <w:vAlign w:val="bottom"/>
            <w:vMerge w:val="restart"/>
          </w:tcPr>
          <w:p>
            <w:pPr>
              <w:spacing w:after="0"/>
              <w:rPr>
                <w:sz w:val="20"/>
                <w:szCs w:val="20"/>
                <w:color w:val="auto"/>
              </w:rPr>
            </w:pPr>
            <w:r>
              <w:rPr>
                <w:rFonts w:ascii="Arial" w:cs="Arial" w:eastAsia="Arial" w:hAnsi="Arial"/>
                <w:sz w:val="18"/>
                <w:szCs w:val="18"/>
                <w:color w:val="auto"/>
                <w:w w:val="97"/>
              </w:rPr>
              <w:t>than  the  close  of  business  on  the  one  hundred</w:t>
            </w:r>
          </w:p>
        </w:tc>
        <w:tc>
          <w:tcPr>
            <w:tcW w:w="4100" w:type="dxa"/>
            <w:vAlign w:val="bottom"/>
          </w:tcPr>
          <w:p>
            <w:pPr>
              <w:ind w:left="40"/>
              <w:spacing w:after="0" w:line="121" w:lineRule="exact"/>
              <w:rPr>
                <w:sz w:val="20"/>
                <w:szCs w:val="20"/>
                <w:color w:val="auto"/>
              </w:rPr>
            </w:pPr>
            <w:r>
              <w:rPr>
                <w:rFonts w:ascii="Arial" w:cs="Arial" w:eastAsia="Arial" w:hAnsi="Arial"/>
                <w:sz w:val="13"/>
                <w:szCs w:val="13"/>
                <w:color w:val="auto"/>
              </w:rPr>
              <w:t>twentieth (120 ) day prior to such special meeting and</w:t>
            </w:r>
          </w:p>
        </w:tc>
        <w:tc>
          <w:tcPr>
            <w:tcW w:w="0" w:type="dxa"/>
            <w:vAlign w:val="bottom"/>
          </w:tcPr>
          <w:p>
            <w:pPr>
              <w:spacing w:after="0"/>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4100" w:type="dxa"/>
            <w:vAlign w:val="bottom"/>
          </w:tcPr>
          <w:p>
            <w:pPr>
              <w:ind w:left="40"/>
              <w:spacing w:after="0" w:line="176" w:lineRule="exact"/>
              <w:rPr>
                <w:sz w:val="20"/>
                <w:szCs w:val="20"/>
                <w:color w:val="auto"/>
              </w:rPr>
            </w:pPr>
            <w:r>
              <w:rPr>
                <w:rFonts w:ascii="Arial" w:cs="Arial" w:eastAsia="Arial" w:hAnsi="Arial"/>
                <w:sz w:val="18"/>
                <w:szCs w:val="18"/>
                <w:color w:val="auto"/>
                <w:w w:val="89"/>
              </w:rPr>
              <w:t>not later than the close of business on the later of (a)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8"/>
                <w:szCs w:val="18"/>
                <w:color w:val="auto"/>
                <w:w w:val="90"/>
              </w:rPr>
              <w:t>twentieth (120</w:t>
            </w:r>
            <w:r>
              <w:rPr>
                <w:rFonts w:ascii="Arial" w:cs="Arial" w:eastAsia="Arial" w:hAnsi="Arial"/>
                <w:sz w:val="20"/>
                <w:szCs w:val="20"/>
                <w:color w:val="auto"/>
                <w:w w:val="90"/>
                <w:vertAlign w:val="superscript"/>
              </w:rPr>
              <w:t>th</w:t>
            </w:r>
            <w:r>
              <w:rPr>
                <w:rFonts w:ascii="Arial" w:cs="Arial" w:eastAsia="Arial" w:hAnsi="Arial"/>
                <w:sz w:val="18"/>
                <w:szCs w:val="18"/>
                <w:color w:val="auto"/>
                <w:w w:val="90"/>
              </w:rPr>
              <w:t>) day before the anniversary date of the</w:t>
            </w:r>
          </w:p>
        </w:tc>
        <w:tc>
          <w:tcPr>
            <w:tcW w:w="4100" w:type="dxa"/>
            <w:vAlign w:val="bottom"/>
          </w:tcPr>
          <w:p>
            <w:pPr>
              <w:ind w:left="40"/>
              <w:spacing w:after="0" w:line="216" w:lineRule="exact"/>
              <w:rPr>
                <w:sz w:val="20"/>
                <w:szCs w:val="20"/>
                <w:color w:val="auto"/>
              </w:rPr>
            </w:pPr>
            <w:r>
              <w:rPr>
                <w:rFonts w:ascii="Arial" w:cs="Arial" w:eastAsia="Arial" w:hAnsi="Arial"/>
                <w:sz w:val="18"/>
                <w:szCs w:val="18"/>
                <w:color w:val="auto"/>
                <w:w w:val="96"/>
              </w:rPr>
              <w:t>ninetieth (90</w:t>
            </w:r>
            <w:r>
              <w:rPr>
                <w:rFonts w:ascii="Arial" w:cs="Arial" w:eastAsia="Arial" w:hAnsi="Arial"/>
                <w:sz w:val="20"/>
                <w:szCs w:val="20"/>
                <w:color w:val="auto"/>
                <w:w w:val="96"/>
                <w:vertAlign w:val="superscript"/>
              </w:rPr>
              <w:t>th</w:t>
            </w:r>
            <w:r>
              <w:rPr>
                <w:rFonts w:ascii="Arial" w:cs="Arial" w:eastAsia="Arial" w:hAnsi="Arial"/>
                <w:sz w:val="18"/>
                <w:szCs w:val="18"/>
                <w:color w:val="auto"/>
                <w:w w:val="96"/>
              </w:rPr>
              <w:t>) day prior to such special meeting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immediately preceding annual meeting of stockholders</w:t>
            </w:r>
          </w:p>
        </w:tc>
        <w:tc>
          <w:tcPr>
            <w:tcW w:w="4100" w:type="dxa"/>
            <w:vAlign w:val="bottom"/>
          </w:tcPr>
          <w:p>
            <w:pPr>
              <w:ind w:left="40"/>
              <w:spacing w:after="0" w:line="216" w:lineRule="exact"/>
              <w:rPr>
                <w:sz w:val="20"/>
                <w:szCs w:val="20"/>
                <w:color w:val="auto"/>
              </w:rPr>
            </w:pPr>
            <w:r>
              <w:rPr>
                <w:rFonts w:ascii="Arial" w:cs="Arial" w:eastAsia="Arial" w:hAnsi="Arial"/>
                <w:sz w:val="18"/>
                <w:szCs w:val="18"/>
                <w:color w:val="auto"/>
              </w:rPr>
              <w:t>(b) the tenth (10</w:t>
            </w:r>
            <w:r>
              <w:rPr>
                <w:rFonts w:ascii="Arial" w:cs="Arial" w:eastAsia="Arial" w:hAnsi="Arial"/>
                <w:sz w:val="20"/>
                <w:szCs w:val="20"/>
                <w:color w:val="auto"/>
                <w:vertAlign w:val="superscript"/>
              </w:rPr>
              <w:t>th</w:t>
            </w:r>
            <w:r>
              <w:rPr>
                <w:rFonts w:ascii="Arial" w:cs="Arial" w:eastAsia="Arial" w:hAnsi="Arial"/>
                <w:sz w:val="18"/>
                <w:szCs w:val="18"/>
                <w:color w:val="auto"/>
              </w:rPr>
              <w:t>) day following the day on which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0"/>
              </w:rPr>
              <w:t>(in most cases) and (ii) in the case of a special meeting</w:t>
            </w:r>
          </w:p>
        </w:tc>
        <w:tc>
          <w:tcPr>
            <w:tcW w:w="4100" w:type="dxa"/>
            <w:vAlign w:val="bottom"/>
          </w:tcPr>
          <w:p>
            <w:pPr>
              <w:ind w:left="40"/>
              <w:spacing w:after="0"/>
              <w:rPr>
                <w:sz w:val="20"/>
                <w:szCs w:val="20"/>
                <w:color w:val="auto"/>
              </w:rPr>
            </w:pPr>
            <w:r>
              <w:rPr>
                <w:rFonts w:ascii="Arial" w:cs="Arial" w:eastAsia="Arial" w:hAnsi="Arial"/>
                <w:sz w:val="18"/>
                <w:szCs w:val="18"/>
                <w:color w:val="auto"/>
                <w:w w:val="91"/>
              </w:rPr>
              <w:t>public disclosure of the date of such special meeting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of stockholders called for the purpose of electing</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the election of directors is first made), is a stockholder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directors, not later than the close of business on the</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of record on the date of giving such notices and on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8"/>
                <w:szCs w:val="18"/>
                <w:color w:val="auto"/>
              </w:rPr>
              <w:t>tenth (10</w:t>
            </w:r>
            <w:r>
              <w:rPr>
                <w:rFonts w:ascii="Arial" w:cs="Arial" w:eastAsia="Arial" w:hAnsi="Arial"/>
                <w:sz w:val="20"/>
                <w:szCs w:val="20"/>
                <w:color w:val="auto"/>
                <w:vertAlign w:val="superscript"/>
              </w:rPr>
              <w:t>th</w:t>
            </w:r>
            <w:r>
              <w:rPr>
                <w:rFonts w:ascii="Arial" w:cs="Arial" w:eastAsia="Arial" w:hAnsi="Arial"/>
                <w:sz w:val="18"/>
                <w:szCs w:val="18"/>
                <w:color w:val="auto"/>
              </w:rPr>
              <w:t>) day following the day on which public</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record  date  for  the  determination  of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announcement of the date of the special meeting is</w:t>
            </w:r>
          </w:p>
        </w:tc>
        <w:tc>
          <w:tcPr>
            <w:tcW w:w="4100" w:type="dxa"/>
            <w:vAlign w:val="bottom"/>
          </w:tcPr>
          <w:p>
            <w:pPr>
              <w:ind w:left="40"/>
              <w:spacing w:after="0"/>
              <w:rPr>
                <w:sz w:val="20"/>
                <w:szCs w:val="20"/>
                <w:color w:val="auto"/>
              </w:rPr>
            </w:pPr>
            <w:r>
              <w:rPr>
                <w:rFonts w:ascii="Arial" w:cs="Arial" w:eastAsia="Arial" w:hAnsi="Arial"/>
                <w:sz w:val="18"/>
                <w:szCs w:val="18"/>
                <w:color w:val="auto"/>
                <w:w w:val="90"/>
              </w:rPr>
              <w:t>entitled to vote at such a meeting, and is entitled to vote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first made.</w:t>
            </w: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at such meeting and on such election.</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202"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The DGCL permits limiting or eliminating the The DGCL permits limiting or eliminating the monetary liability of a director to a corporation or its monetary liability of a director to a corporation or its stockholders, except with regard to breaches of the stockholders, except with regard to breaches of the duty duty of loyalty, intentional misconduct, unlawful of loyalty, intentional misconduct, unlawful repurchases repurchases or dividends, or improper personal or dividends, or improper personal benefit. benefit.</w:t>
      </w:r>
    </w:p>
    <w:p>
      <w:pPr>
        <w:spacing w:after="0" w:line="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The Proposed Charter provides that no director will be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Current Charter provides that no director will be personally liable, except to the extent an exemption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personally liable, except to the extent an exemption from liability or limitation is not permitted under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liability or limitation is not permitted under the DGCL, unless a director breached his or her duty of</w:t>
      </w:r>
    </w:p>
    <w:p>
      <w:pPr>
        <w:spacing w:after="0" w:line="21" w:lineRule="exact"/>
        <w:rPr>
          <w:sz w:val="20"/>
          <w:szCs w:val="20"/>
          <w:color w:val="auto"/>
        </w:rPr>
      </w:pPr>
    </w:p>
    <w:p>
      <w:pPr>
        <w:ind w:left="460"/>
        <w:spacing w:after="0"/>
        <w:tabs>
          <w:tab w:leader="none" w:pos="5140" w:val="left"/>
          <w:tab w:leader="none" w:pos="5440" w:val="left"/>
          <w:tab w:leader="none" w:pos="6340" w:val="left"/>
          <w:tab w:leader="none" w:pos="6940" w:val="left"/>
          <w:tab w:leader="none" w:pos="7260" w:val="left"/>
          <w:tab w:leader="none" w:pos="7580" w:val="left"/>
        </w:tabs>
        <w:rPr>
          <w:sz w:val="20"/>
          <w:szCs w:val="20"/>
          <w:color w:val="auto"/>
        </w:rPr>
      </w:pPr>
      <w:r>
        <w:rPr>
          <w:rFonts w:ascii="Arial" w:cs="Arial" w:eastAsia="Arial" w:hAnsi="Arial"/>
          <w:sz w:val="18"/>
          <w:szCs w:val="18"/>
          <w:color w:val="auto"/>
        </w:rPr>
        <w:t>DGCL, unless a director violated his or her duty of loyalty</w:t>
        <w:tab/>
        <w:t>to</w:t>
        <w:tab/>
        <w:t>Combined</w:t>
        <w:tab/>
        <w:t>Entity</w:t>
        <w:tab/>
        <w:t>or</w:t>
        <w:tab/>
        <w:t>its</w:t>
      </w:r>
      <w:r>
        <w:rPr>
          <w:sz w:val="20"/>
          <w:szCs w:val="20"/>
          <w:color w:val="auto"/>
        </w:rPr>
        <w:tab/>
      </w:r>
      <w:r>
        <w:rPr>
          <w:rFonts w:ascii="Arial" w:cs="Arial" w:eastAsia="Arial" w:hAnsi="Arial"/>
          <w:sz w:val="16"/>
          <w:szCs w:val="16"/>
          <w:color w:val="auto"/>
        </w:rPr>
        <w:t>stockholders,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loyalty to the FS Development or its stockholders, performed acts or omissions not in good faith or which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acted in bad faith, knowingly or intentionally violated involve intentional misconduct or a knowing violation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law, authorized unlawful payments of dividends, of law, pursuant to Section 174 of the DGCL, or for any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unlawful stock purchases or unlawful redemptions, or transaction from which the director derived an improper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derived improper personal benefit from his or her personal benefit.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actions as a director.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Officers</w:t>
      </w:r>
    </w:p>
    <w:p>
      <w:pPr>
        <w:spacing w:after="0" w:line="202" w:lineRule="exact"/>
        <w:rPr>
          <w:sz w:val="20"/>
          <w:szCs w:val="20"/>
          <w:color w:val="auto"/>
        </w:rPr>
      </w:pPr>
    </w:p>
    <w:p>
      <w:pPr>
        <w:ind w:left="460"/>
        <w:spacing w:after="0"/>
        <w:tabs>
          <w:tab w:leader="none" w:pos="860" w:val="left"/>
          <w:tab w:leader="none" w:pos="1500" w:val="left"/>
          <w:tab w:leader="none" w:pos="2340" w:val="left"/>
          <w:tab w:leader="none" w:pos="3020" w:val="left"/>
          <w:tab w:leader="none" w:pos="3260" w:val="left"/>
          <w:tab w:leader="none" w:pos="4240" w:val="left"/>
          <w:tab w:leader="none" w:pos="4940" w:val="left"/>
          <w:tab w:leader="none" w:pos="5600" w:val="left"/>
          <w:tab w:leader="none" w:pos="6420" w:val="left"/>
          <w:tab w:leader="none" w:pos="7140" w:val="left"/>
          <w:tab w:leader="none" w:pos="7380" w:val="left"/>
          <w:tab w:leader="none" w:pos="8380" w:val="left"/>
        </w:tabs>
        <w:rPr>
          <w:sz w:val="20"/>
          <w:szCs w:val="20"/>
          <w:color w:val="auto"/>
        </w:rPr>
      </w:pPr>
      <w:r>
        <w:rPr>
          <w:rFonts w:ascii="Arial" w:cs="Arial" w:eastAsia="Arial" w:hAnsi="Arial"/>
          <w:sz w:val="18"/>
          <w:szCs w:val="18"/>
          <w:color w:val="auto"/>
        </w:rPr>
        <w:t>The</w:t>
        <w:tab/>
        <w:t>DGCL</w:t>
        <w:tab/>
        <w:t>generally</w:t>
        <w:tab/>
        <w:t>permits</w:t>
        <w:tab/>
        <w:t>a</w:t>
        <w:tab/>
        <w:t>corporation</w:t>
        <w:tab/>
        <w:t>to The</w:t>
        <w:tab/>
        <w:t>DGCL</w:t>
        <w:tab/>
        <w:t>generally</w:t>
        <w:tab/>
        <w:t>permits</w:t>
        <w:tab/>
        <w:t>a</w:t>
        <w:tab/>
        <w:t>corporation</w:t>
      </w:r>
      <w:r>
        <w:rPr>
          <w:sz w:val="20"/>
          <w:szCs w:val="20"/>
          <w:color w:val="auto"/>
        </w:rPr>
        <w:tab/>
      </w:r>
      <w:r>
        <w:rPr>
          <w:rFonts w:ascii="Arial" w:cs="Arial" w:eastAsia="Arial" w:hAnsi="Arial"/>
          <w:sz w:val="16"/>
          <w:szCs w:val="16"/>
          <w:color w:val="auto"/>
        </w:rPr>
        <w:t>to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indemnify its directors and officers acting in good indemnify its directors and officers acting in good faith.</w:t>
      </w:r>
    </w:p>
    <w:p>
      <w:pPr>
        <w:spacing w:after="0" w:line="21" w:lineRule="exact"/>
        <w:rPr>
          <w:sz w:val="20"/>
          <w:szCs w:val="20"/>
          <w:color w:val="auto"/>
        </w:rPr>
      </w:pPr>
    </w:p>
    <w:p>
      <w:pPr>
        <w:ind w:left="460"/>
        <w:spacing w:after="0"/>
        <w:tabs>
          <w:tab w:leader="none" w:pos="5120" w:val="left"/>
          <w:tab w:leader="none" w:pos="5500" w:val="left"/>
          <w:tab w:leader="none" w:pos="6220" w:val="left"/>
          <w:tab w:leader="none" w:pos="6620" w:val="left"/>
          <w:tab w:leader="none" w:pos="7620" w:val="left"/>
          <w:tab w:leader="none" w:pos="8360" w:val="left"/>
        </w:tabs>
        <w:rPr>
          <w:sz w:val="20"/>
          <w:szCs w:val="20"/>
          <w:color w:val="auto"/>
        </w:rPr>
      </w:pPr>
      <w:r>
        <w:rPr>
          <w:rFonts w:ascii="Arial" w:cs="Arial" w:eastAsia="Arial" w:hAnsi="Arial"/>
          <w:sz w:val="18"/>
          <w:szCs w:val="18"/>
          <w:color w:val="auto"/>
        </w:rPr>
        <w:t>faith. Under the DGCL, the corporation through its Under</w:t>
        <w:tab/>
        <w:t>the</w:t>
        <w:tab/>
        <w:t>DGCL,</w:t>
        <w:tab/>
        <w:t>the</w:t>
        <w:tab/>
        <w:t>corporation</w:t>
        <w:tab/>
        <w:t>through</w:t>
        <w:tab/>
        <w:t>its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stockholders, directors or independent legal counsel, stockholders, directors or independent legal counsel,</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will determine that the conduct of the person seeking will determine that the conduct of the person seeking</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indemnity conformed with the statutory provisions indemnity  conformed  with  the  statutory  provisions</w:t>
      </w:r>
    </w:p>
    <w:p>
      <w:pPr>
        <w:spacing w:after="0" w:line="2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governing indemnity.</w:t>
      </w:r>
      <w:r>
        <w:rPr>
          <w:sz w:val="20"/>
          <w:szCs w:val="20"/>
          <w:color w:val="auto"/>
        </w:rPr>
        <w:tab/>
      </w:r>
      <w:r>
        <w:rPr>
          <w:rFonts w:ascii="Arial" w:cs="Arial" w:eastAsia="Arial" w:hAnsi="Arial"/>
          <w:sz w:val="16"/>
          <w:szCs w:val="16"/>
          <w:color w:val="auto"/>
        </w:rPr>
        <w:t>governing indemnity.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Current Charter provides that FS Development The Amended By-laws provide that Combined Entity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will indemnify each director and officer to the fullest will indemnify each director and officer to the fullest</w:t>
      </w:r>
    </w:p>
    <w:p>
      <w:pPr>
        <w:spacing w:after="0" w:line="2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extent permitted by applicable law.</w:t>
      </w:r>
      <w:r>
        <w:rPr>
          <w:sz w:val="20"/>
          <w:szCs w:val="20"/>
          <w:color w:val="auto"/>
        </w:rPr>
        <w:tab/>
      </w:r>
      <w:r>
        <w:rPr>
          <w:rFonts w:ascii="Arial" w:cs="Arial" w:eastAsia="Arial" w:hAnsi="Arial"/>
          <w:sz w:val="16"/>
          <w:szCs w:val="16"/>
          <w:color w:val="auto"/>
        </w:rPr>
        <w:t>extent permitted by applicable law.</w:t>
      </w:r>
    </w:p>
    <w:p>
      <w:pPr>
        <w:sectPr>
          <w:pgSz w:w="11900" w:h="16838" w:orient="portrait"/>
          <w:cols w:equalWidth="0" w:num="1">
            <w:col w:w="9019"/>
          </w:cols>
          <w:pgMar w:left="1440" w:top="274"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4" w:name="page215"/>
    <w:bookmarkEnd w:id="21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1840"/>
        <w:spacing w:after="0"/>
        <w:tabs>
          <w:tab w:leader="none" w:pos="5920" w:val="left"/>
        </w:tabs>
        <w:rPr>
          <w:sz w:val="20"/>
          <w:szCs w:val="20"/>
          <w:color w:val="auto"/>
        </w:rPr>
      </w:pPr>
      <w:r>
        <w:rPr>
          <w:rFonts w:ascii="Arial" w:cs="Arial" w:eastAsia="Arial" w:hAnsi="Arial"/>
          <w:sz w:val="16"/>
          <w:szCs w:val="16"/>
          <w:b w:val="1"/>
          <w:bCs w:val="1"/>
          <w:color w:val="auto"/>
        </w:rPr>
        <w:t>FS Development</w:t>
      </w:r>
      <w:r>
        <w:rPr>
          <w:sz w:val="20"/>
          <w:szCs w:val="20"/>
          <w:color w:val="auto"/>
        </w:rPr>
        <w:tab/>
      </w:r>
      <w:r>
        <w:rPr>
          <w:rFonts w:ascii="Arial" w:cs="Arial" w:eastAsia="Arial" w:hAnsi="Arial"/>
          <w:sz w:val="14"/>
          <w:szCs w:val="14"/>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71755</wp:posOffset>
            </wp:positionV>
            <wp:extent cx="5143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Unless further restricted in the certificate of Unless further restricted in the certificate of incorporation, the DGCL permits a corporation to incorporation, the DGCL permits a corporation to declare and pay dividends out of either (i) surplus, or declare and pay dividends out of either (i) surplus, or</w:t>
      </w:r>
    </w:p>
    <w:p>
      <w:pPr>
        <w:spacing w:after="0" w:line="3" w:lineRule="exact"/>
        <w:rPr>
          <w:sz w:val="20"/>
          <w:szCs w:val="20"/>
          <w:color w:val="auto"/>
        </w:rPr>
      </w:pPr>
    </w:p>
    <w:p>
      <w:pPr>
        <w:jc w:val="both"/>
        <w:ind w:left="460" w:right="459" w:hanging="6"/>
        <w:spacing w:after="0" w:line="265" w:lineRule="auto"/>
        <w:tabs>
          <w:tab w:leader="none" w:pos="73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if no surplus exists, out of net profits for the fiscal (ii) if no surplus exists, out of net profits for the fiscal year in which the dividend is declared and/or the year in which the dividend is declared and/or the preceding fiscal year (provided that the amount of preceding fiscal year (provided that the amount of capital of the corporation is not less than the aggregate capital of the corporation is not less than the aggregate amount of the capital represented by the issued and amount of the capital represented by the issued and outstanding stock of all classes having a preference outstanding stock of all classes having a preference upon the distribution of assets). The DGCL defines upon the distribution of assets). The DGCL defines surplus as the excess, at any time, of the net assets of a surplus as the excess, at any time, of the net assets of a corporation over its stated capital. In addition, the corporation over its stated capital. In addition, the DGCL provides that a corporation may redeem or DGCL provides that a corporation may redeem or repurchase its shares only when the capital of the repurchase its shares only when the capital of the corporation is not impaired and only if such corporation is not impaired and only if such redemption redemption or repurchase would not cause any or repurchase would not cause any impairment of the</w:t>
      </w:r>
    </w:p>
    <w:p>
      <w:pPr>
        <w:spacing w:after="0" w:line="2"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impairment of the capital of a corporation.</w:t>
      </w:r>
      <w:r>
        <w:rPr>
          <w:sz w:val="20"/>
          <w:szCs w:val="20"/>
          <w:color w:val="auto"/>
        </w:rPr>
        <w:tab/>
      </w:r>
      <w:r>
        <w:rPr>
          <w:rFonts w:ascii="Arial" w:cs="Arial" w:eastAsia="Arial" w:hAnsi="Arial"/>
          <w:sz w:val="16"/>
          <w:szCs w:val="16"/>
          <w:color w:val="auto"/>
        </w:rPr>
        <w:t>capital of a corporation.</w:t>
      </w:r>
    </w:p>
    <w:p>
      <w:pPr>
        <w:spacing w:after="0" w:line="130" w:lineRule="exact"/>
        <w:rPr>
          <w:sz w:val="20"/>
          <w:szCs w:val="20"/>
          <w:color w:val="auto"/>
        </w:rPr>
      </w:pPr>
    </w:p>
    <w:p>
      <w:pPr>
        <w:ind w:left="460" w:right="479"/>
        <w:spacing w:after="0" w:line="253" w:lineRule="auto"/>
        <w:rPr>
          <w:sz w:val="20"/>
          <w:szCs w:val="20"/>
          <w:color w:val="auto"/>
        </w:rPr>
      </w:pPr>
      <w:r>
        <w:rPr>
          <w:rFonts w:ascii="Arial" w:cs="Arial" w:eastAsia="Arial" w:hAnsi="Arial"/>
          <w:sz w:val="18"/>
          <w:szCs w:val="18"/>
          <w:color w:val="auto"/>
        </w:rPr>
        <w:t>The Current Charter provides that, subject to The Proposed Charter provides dividends may be applicable law and the rights, if any, of outstanding declared only when and as declared by the board of shares of preferred stock, the holders of FS directors of the Combined Entity or any authorized Development common stock will be entitled to receive committee thereof out of any assets of Combined Entity dividends (payable in cash, property, or capital stock legally available for dividends. of FS Development) when, as, and if declared by the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from time to time out of any assets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FS Development legally available for dividends.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Liquidation</w:t>
      </w:r>
    </w:p>
    <w:p>
      <w:pPr>
        <w:spacing w:after="0" w:line="202" w:lineRule="exact"/>
        <w:rPr>
          <w:sz w:val="20"/>
          <w:szCs w:val="20"/>
          <w:color w:val="auto"/>
        </w:rPr>
      </w:pPr>
    </w:p>
    <w:p>
      <w:pPr>
        <w:ind w:left="460" w:right="459"/>
        <w:spacing w:after="0" w:line="252" w:lineRule="auto"/>
        <w:rPr>
          <w:sz w:val="20"/>
          <w:szCs w:val="20"/>
          <w:color w:val="auto"/>
        </w:rPr>
      </w:pPr>
      <w:r>
        <w:rPr>
          <w:rFonts w:ascii="Arial" w:cs="Arial" w:eastAsia="Arial" w:hAnsi="Arial"/>
          <w:sz w:val="18"/>
          <w:szCs w:val="18"/>
          <w:color w:val="auto"/>
        </w:rPr>
        <w:t>Subject to applicable law and the rights, if any, of the Subject to applicable law and the preferential or other holders of outstanding shares of preferred stock, the rights of any holders of preferred stock then Current Charter provides that following the payment outstanding, the Proposed Charter provides that upon or provision for payment of the debts and other the voluntary or involuntary liquidation, dissolution or liabilities of FS Development in the event of an winding up of the Combined Entity, the net assets of the voluntary or involuntary liquidation, dissolution, or Combined Entity shall be distributed pro rata to the winding up of FS Development, the holders of FS holders of Combined Entity common stock. Development common stock shall be entitled to</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receive all the remaining assets of FS Development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 for distribution to its stockholders, ratably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proportion to the number of shares of FS Development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held by them.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Supermajority Voting Provisions</w:t>
      </w:r>
    </w:p>
    <w:p>
      <w:pPr>
        <w:spacing w:after="0" w:line="202"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7"/>
          <w:szCs w:val="17"/>
          <w:color w:val="auto"/>
        </w:rPr>
        <w:t>The blank shell company provisions the Current The affirmative vote of two-thirds (2/3</w:t>
      </w:r>
      <w:r>
        <w:rPr>
          <w:rFonts w:ascii="Arial" w:cs="Arial" w:eastAsia="Arial" w:hAnsi="Arial"/>
          <w:sz w:val="19"/>
          <w:szCs w:val="19"/>
          <w:color w:val="auto"/>
          <w:vertAlign w:val="superscript"/>
        </w:rPr>
        <w:t>rds</w:t>
      </w:r>
      <w:r>
        <w:rPr>
          <w:rFonts w:ascii="Arial" w:cs="Arial" w:eastAsia="Arial" w:hAnsi="Arial"/>
          <w:sz w:val="17"/>
          <w:szCs w:val="17"/>
          <w:color w:val="auto"/>
        </w:rPr>
        <w:t>) of the voting Charter (Article XI) and Article VIII regarding power of the shares of capital stock of Combined Entity indemnification require the affirmative vote of a that would then be entitled to vote in the election of supermajority of the voting power of all outstanding directors at an annual meeting of stockholders will be</w:t>
      </w:r>
    </w:p>
    <w:p>
      <w:pPr>
        <w:spacing w:after="0" w:line="3"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shares of capital stock of FS Development.</w:t>
      </w:r>
      <w:r>
        <w:rPr>
          <w:sz w:val="20"/>
          <w:szCs w:val="20"/>
          <w:color w:val="auto"/>
        </w:rPr>
        <w:tab/>
      </w:r>
      <w:r>
        <w:rPr>
          <w:rFonts w:ascii="Arial" w:cs="Arial" w:eastAsia="Arial" w:hAnsi="Arial"/>
          <w:sz w:val="18"/>
          <w:szCs w:val="18"/>
          <w:color w:val="auto"/>
        </w:rPr>
        <w:t>required in order for the stockholders of Combined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Entity  to  amend  the  Proposed  Charter  in  certain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circumstances, including provides in the Charter related</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to  amending  the  Amended  By-laws,  increasing  or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decreasing the number of directors, filling vacancies on</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 board of directors, removing a director from office,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or calling a special meeting of stockholders.</w:t>
      </w:r>
    </w:p>
    <w:p>
      <w:pPr>
        <w:sectPr>
          <w:pgSz w:w="11900" w:h="16838" w:orient="portrait"/>
          <w:cols w:equalWidth="0" w:num="1">
            <w:col w:w="9019"/>
          </w:cols>
          <w:pgMar w:left="1440" w:top="274"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5" w:name="page216"/>
    <w:bookmarkEnd w:id="21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000" w:type="dxa"/>
            <w:vAlign w:val="bottom"/>
            <w:gridSpan w:val="2"/>
          </w:tcPr>
          <w:p>
            <w:pPr>
              <w:ind w:left="1380"/>
              <w:spacing w:after="0"/>
              <w:rPr>
                <w:sz w:val="20"/>
                <w:szCs w:val="20"/>
                <w:color w:val="auto"/>
              </w:rPr>
            </w:pPr>
            <w:r>
              <w:rPr>
                <w:rFonts w:ascii="Arial" w:cs="Arial" w:eastAsia="Arial" w:hAnsi="Arial"/>
                <w:sz w:val="16"/>
                <w:szCs w:val="16"/>
                <w:b w:val="1"/>
                <w:bCs w:val="1"/>
                <w:color w:val="auto"/>
              </w:rPr>
              <w:t>FS Development</w:t>
            </w:r>
          </w:p>
        </w:tc>
        <w:tc>
          <w:tcPr>
            <w:tcW w:w="4100" w:type="dxa"/>
            <w:vAlign w:val="bottom"/>
          </w:tcPr>
          <w:p>
            <w:pPr>
              <w:ind w:left="1480"/>
              <w:spacing w:after="0"/>
              <w:rPr>
                <w:sz w:val="20"/>
                <w:szCs w:val="20"/>
                <w:color w:val="auto"/>
              </w:rPr>
            </w:pPr>
            <w:r>
              <w:rPr>
                <w:rFonts w:ascii="Arial" w:cs="Arial" w:eastAsia="Arial" w:hAnsi="Arial"/>
                <w:sz w:val="16"/>
                <w:szCs w:val="16"/>
                <w:b w:val="1"/>
                <w:bCs w:val="1"/>
                <w:color w:val="auto"/>
              </w:rPr>
              <w:t>Combined Entity</w:t>
            </w:r>
          </w:p>
        </w:tc>
      </w:tr>
      <w:tr>
        <w:trPr>
          <w:trHeight w:val="87"/>
        </w:trPr>
        <w:tc>
          <w:tcPr>
            <w:tcW w:w="8100" w:type="dxa"/>
            <w:vAlign w:val="bottom"/>
            <w:tcBorders>
              <w:bottom w:val="single" w:sz="8" w:color="auto"/>
            </w:tcBorders>
            <w:gridSpan w:val="3"/>
          </w:tcPr>
          <w:p>
            <w:pPr>
              <w:spacing w:after="0"/>
              <w:rPr>
                <w:sz w:val="7"/>
                <w:szCs w:val="7"/>
                <w:color w:val="auto"/>
              </w:rPr>
            </w:pPr>
          </w:p>
        </w:tc>
      </w:tr>
      <w:tr>
        <w:trPr>
          <w:trHeight w:val="250"/>
        </w:trPr>
        <w:tc>
          <w:tcPr>
            <w:tcW w:w="8100" w:type="dxa"/>
            <w:vAlign w:val="bottom"/>
            <w:gridSpan w:val="3"/>
          </w:tcPr>
          <w:p>
            <w:pPr>
              <w:ind w:left="1700"/>
              <w:spacing w:after="0"/>
              <w:rPr>
                <w:sz w:val="20"/>
                <w:szCs w:val="20"/>
                <w:color w:val="auto"/>
              </w:rPr>
            </w:pPr>
            <w:r>
              <w:rPr>
                <w:rFonts w:ascii="Arial" w:cs="Arial" w:eastAsia="Arial" w:hAnsi="Arial"/>
                <w:sz w:val="18"/>
                <w:szCs w:val="18"/>
                <w:b w:val="1"/>
                <w:bCs w:val="1"/>
                <w:color w:val="auto"/>
              </w:rPr>
              <w:t>Anti-Takeover Provisions and Other Stockholder Protections</w:t>
            </w:r>
          </w:p>
        </w:tc>
      </w:tr>
      <w:tr>
        <w:trPr>
          <w:trHeight w:val="391"/>
        </w:trPr>
        <w:tc>
          <w:tcPr>
            <w:tcW w:w="4000" w:type="dxa"/>
            <w:vAlign w:val="bottom"/>
            <w:gridSpan w:val="2"/>
          </w:tcPr>
          <w:p>
            <w:pPr>
              <w:spacing w:after="0"/>
              <w:rPr>
                <w:sz w:val="20"/>
                <w:szCs w:val="20"/>
                <w:color w:val="auto"/>
              </w:rPr>
            </w:pPr>
            <w:r>
              <w:rPr>
                <w:rFonts w:ascii="Arial" w:cs="Arial" w:eastAsia="Arial" w:hAnsi="Arial"/>
                <w:sz w:val="18"/>
                <w:szCs w:val="18"/>
                <w:color w:val="auto"/>
                <w:w w:val="98"/>
              </w:rPr>
              <w:t>The anti-takeover provisions and other stockholder</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The anti-takeover  provisions  and  other  stockholder</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protections  in  the  Current</w:t>
            </w:r>
          </w:p>
        </w:tc>
        <w:tc>
          <w:tcPr>
            <w:tcW w:w="1700" w:type="dxa"/>
            <w:vAlign w:val="bottom"/>
          </w:tcPr>
          <w:p>
            <w:pPr>
              <w:ind w:left="40"/>
              <w:spacing w:after="0"/>
              <w:rPr>
                <w:sz w:val="20"/>
                <w:szCs w:val="20"/>
                <w:color w:val="auto"/>
              </w:rPr>
            </w:pPr>
            <w:r>
              <w:rPr>
                <w:rFonts w:ascii="Arial" w:cs="Arial" w:eastAsia="Arial" w:hAnsi="Arial"/>
                <w:sz w:val="18"/>
                <w:szCs w:val="18"/>
                <w:color w:val="auto"/>
              </w:rPr>
              <w:t>Charter  include  the</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protections included in the Proposed Charter include a</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5"/>
              </w:rPr>
              <w:t>staggered board, a prohibition</w:t>
            </w:r>
          </w:p>
        </w:tc>
        <w:tc>
          <w:tcPr>
            <w:tcW w:w="1700" w:type="dxa"/>
            <w:vAlign w:val="bottom"/>
          </w:tcPr>
          <w:p>
            <w:pPr>
              <w:ind w:left="40"/>
              <w:spacing w:after="0"/>
              <w:rPr>
                <w:sz w:val="20"/>
                <w:szCs w:val="20"/>
                <w:color w:val="auto"/>
              </w:rPr>
            </w:pPr>
            <w:r>
              <w:rPr>
                <w:rFonts w:ascii="Arial" w:cs="Arial" w:eastAsia="Arial" w:hAnsi="Arial"/>
                <w:sz w:val="18"/>
                <w:szCs w:val="18"/>
                <w:color w:val="auto"/>
                <w:w w:val="96"/>
              </w:rPr>
              <w:t>on stockholder action</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staggered board, a prohibition on stockholder action by</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8"/>
              </w:rPr>
              <w:t>by written consent other than</w:t>
            </w:r>
          </w:p>
        </w:tc>
        <w:tc>
          <w:tcPr>
            <w:tcW w:w="1700" w:type="dxa"/>
            <w:vAlign w:val="bottom"/>
          </w:tcPr>
          <w:p>
            <w:pPr>
              <w:ind w:left="40"/>
              <w:spacing w:after="0"/>
              <w:rPr>
                <w:sz w:val="20"/>
                <w:szCs w:val="20"/>
                <w:color w:val="auto"/>
              </w:rPr>
            </w:pPr>
            <w:r>
              <w:rPr>
                <w:rFonts w:ascii="Arial" w:cs="Arial" w:eastAsia="Arial" w:hAnsi="Arial"/>
                <w:sz w:val="18"/>
                <w:szCs w:val="18"/>
                <w:color w:val="auto"/>
                <w:w w:val="99"/>
              </w:rPr>
              <w:t>as relates to Class B</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written consent and blank check preferred stock. The</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Common Stock, and blank check preferred stock.</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Combined Entity opts out of Section 203 of the DGCL.</w:t>
            </w: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of  the  DGCL  prohibit  a  Delaware</w:t>
      </w:r>
    </w:p>
    <w:p>
      <w:pPr>
        <w:spacing w:after="0" w:line="23" w:lineRule="exact"/>
        <w:rPr>
          <w:sz w:val="20"/>
          <w:szCs w:val="20"/>
          <w:color w:val="auto"/>
        </w:rPr>
      </w:pPr>
    </w:p>
    <w:p>
      <w:pPr>
        <w:ind w:left="460"/>
        <w:spacing w:after="0"/>
        <w:tabs>
          <w:tab w:leader="none" w:pos="1500" w:val="left"/>
          <w:tab w:leader="none" w:pos="2100" w:val="left"/>
          <w:tab w:leader="none" w:pos="3000" w:val="left"/>
          <w:tab w:leader="none" w:pos="3380" w:val="left"/>
          <w:tab w:leader="none" w:pos="3680" w:val="left"/>
        </w:tabs>
        <w:rPr>
          <w:sz w:val="20"/>
          <w:szCs w:val="20"/>
          <w:color w:val="auto"/>
        </w:rPr>
      </w:pPr>
      <w:r>
        <w:rPr>
          <w:rFonts w:ascii="Arial" w:cs="Arial" w:eastAsia="Arial" w:hAnsi="Arial"/>
          <w:sz w:val="18"/>
          <w:szCs w:val="18"/>
          <w:color w:val="auto"/>
        </w:rPr>
        <w:t>corporation</w:t>
        <w:tab/>
        <w:t>from</w:t>
        <w:tab/>
        <w:t>engaging</w:t>
        <w:tab/>
        <w:t>in</w:t>
        <w:tab/>
        <w:t>a</w:t>
      </w:r>
      <w:r>
        <w:rPr>
          <w:sz w:val="20"/>
          <w:szCs w:val="20"/>
          <w:color w:val="auto"/>
        </w:rPr>
        <w:tab/>
      </w:r>
      <w:r>
        <w:rPr>
          <w:rFonts w:ascii="Arial" w:cs="Arial" w:eastAsia="Arial" w:hAnsi="Arial"/>
          <w:sz w:val="16"/>
          <w:szCs w:val="16"/>
          <w:color w:val="auto"/>
        </w:rPr>
        <w:t>“business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combination” with an “interested stockholder” (i.e.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 owning 15% or more of FS Development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voting stock) for three years following the time that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“interested stockholder” becomes such, subject 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exceptions.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Preemptive Rights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There are no preemptive rights relating to the capital</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There are no preemptive rights relating to the capital</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stock of FS.</w:t>
            </w:r>
          </w:p>
        </w:tc>
        <w:tc>
          <w:tcPr>
            <w:tcW w:w="4100" w:type="dxa"/>
            <w:vAlign w:val="bottom"/>
          </w:tcPr>
          <w:p>
            <w:pPr>
              <w:ind w:left="40"/>
              <w:spacing w:after="0"/>
              <w:rPr>
                <w:sz w:val="20"/>
                <w:szCs w:val="20"/>
                <w:color w:val="auto"/>
              </w:rPr>
            </w:pPr>
            <w:r>
              <w:rPr>
                <w:rFonts w:ascii="Arial" w:cs="Arial" w:eastAsia="Arial" w:hAnsi="Arial"/>
                <w:sz w:val="18"/>
                <w:szCs w:val="18"/>
                <w:color w:val="auto"/>
              </w:rPr>
              <w:t>stock of the Combined Entity.</w:t>
            </w:r>
          </w:p>
        </w:tc>
        <w:tc>
          <w:tcPr>
            <w:tcW w:w="0" w:type="dxa"/>
            <w:vAlign w:val="bottom"/>
          </w:tcPr>
          <w:p>
            <w:pPr>
              <w:spacing w:after="0"/>
              <w:rPr>
                <w:sz w:val="1"/>
                <w:szCs w:val="1"/>
                <w:color w:val="auto"/>
              </w:rPr>
            </w:pPr>
          </w:p>
        </w:tc>
      </w:tr>
      <w:tr>
        <w:trPr>
          <w:trHeight w:val="405"/>
        </w:trPr>
        <w:tc>
          <w:tcPr>
            <w:tcW w:w="8100" w:type="dxa"/>
            <w:vAlign w:val="bottom"/>
            <w:gridSpan w:val="2"/>
          </w:tcPr>
          <w:p>
            <w:pPr>
              <w:ind w:left="2920"/>
              <w:spacing w:after="0"/>
              <w:rPr>
                <w:sz w:val="20"/>
                <w:szCs w:val="20"/>
                <w:color w:val="auto"/>
              </w:rPr>
            </w:pPr>
            <w:r>
              <w:rPr>
                <w:rFonts w:ascii="Arial" w:cs="Arial" w:eastAsia="Arial" w:hAnsi="Arial"/>
                <w:sz w:val="18"/>
                <w:szCs w:val="18"/>
                <w:b w:val="1"/>
                <w:bCs w:val="1"/>
                <w:color w:val="auto"/>
              </w:rPr>
              <w:t>Fiduciary Duties of Directors</w:t>
            </w:r>
          </w:p>
        </w:tc>
        <w:tc>
          <w:tcPr>
            <w:tcW w:w="0" w:type="dxa"/>
            <w:vAlign w:val="bottom"/>
          </w:tcPr>
          <w:p>
            <w:pPr>
              <w:spacing w:after="0"/>
              <w:rPr>
                <w:sz w:val="1"/>
                <w:szCs w:val="1"/>
                <w:color w:val="auto"/>
              </w:rPr>
            </w:pPr>
          </w:p>
        </w:tc>
      </w:tr>
      <w:tr>
        <w:trPr>
          <w:trHeight w:val="391"/>
        </w:trPr>
        <w:tc>
          <w:tcPr>
            <w:tcW w:w="4000" w:type="dxa"/>
            <w:vAlign w:val="bottom"/>
          </w:tcPr>
          <w:p>
            <w:pPr>
              <w:spacing w:after="0"/>
              <w:rPr>
                <w:sz w:val="20"/>
                <w:szCs w:val="20"/>
                <w:color w:val="auto"/>
              </w:rPr>
            </w:pPr>
            <w:r>
              <w:rPr>
                <w:rFonts w:ascii="Arial" w:cs="Arial" w:eastAsia="Arial" w:hAnsi="Arial"/>
                <w:sz w:val="18"/>
                <w:szCs w:val="18"/>
                <w:color w:val="auto"/>
              </w:rPr>
              <w:t>Under Delaware law, the standards of conduct for</w:t>
            </w:r>
          </w:p>
        </w:tc>
        <w:tc>
          <w:tcPr>
            <w:tcW w:w="4100" w:type="dxa"/>
            <w:vAlign w:val="bottom"/>
          </w:tcPr>
          <w:p>
            <w:pPr>
              <w:ind w:left="40"/>
              <w:spacing w:after="0"/>
              <w:rPr>
                <w:sz w:val="20"/>
                <w:szCs w:val="20"/>
                <w:color w:val="auto"/>
              </w:rPr>
            </w:pPr>
            <w:r>
              <w:rPr>
                <w:rFonts w:ascii="Arial" w:cs="Arial" w:eastAsia="Arial" w:hAnsi="Arial"/>
                <w:sz w:val="18"/>
                <w:szCs w:val="18"/>
                <w:color w:val="auto"/>
              </w:rPr>
              <w:t>Under Delaware law, the standards of conduct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directors have developed through Delaware court case</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directors have developed through Delaware court case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law. Generally, directors must exercise a duty of care</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law. Generally, directors must exercise a duty of care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and duty of loyalty and good faith to the company and</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and duty of loyalty and good faith to the company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its stockholders. Members of the board of directors or</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its stockholders. Members of the board of directors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any committee designated by the board of directors</w:t>
            </w:r>
          </w:p>
        </w:tc>
        <w:tc>
          <w:tcPr>
            <w:tcW w:w="4100" w:type="dxa"/>
            <w:vAlign w:val="bottom"/>
          </w:tcPr>
          <w:p>
            <w:pPr>
              <w:ind w:left="40"/>
              <w:spacing w:after="0"/>
              <w:rPr>
                <w:sz w:val="20"/>
                <w:szCs w:val="20"/>
                <w:color w:val="auto"/>
              </w:rPr>
            </w:pPr>
            <w:r>
              <w:rPr>
                <w:rFonts w:ascii="Arial" w:cs="Arial" w:eastAsia="Arial" w:hAnsi="Arial"/>
                <w:sz w:val="18"/>
                <w:szCs w:val="18"/>
                <w:color w:val="auto"/>
                <w:w w:val="91"/>
              </w:rPr>
              <w:t>any committee designated by the board of directors 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are similarly entitled to rely in good faith upon the</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similarly entitled to rely in good faith upon the records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records of the corporation and upon such information,</w:t>
            </w:r>
          </w:p>
        </w:tc>
        <w:tc>
          <w:tcPr>
            <w:tcW w:w="4100" w:type="dxa"/>
            <w:vAlign w:val="bottom"/>
          </w:tcPr>
          <w:p>
            <w:pPr>
              <w:ind w:left="40"/>
              <w:spacing w:after="0"/>
              <w:rPr>
                <w:sz w:val="20"/>
                <w:szCs w:val="20"/>
                <w:color w:val="auto"/>
              </w:rPr>
            </w:pPr>
            <w:r>
              <w:rPr>
                <w:rFonts w:ascii="Arial" w:cs="Arial" w:eastAsia="Arial" w:hAnsi="Arial"/>
                <w:sz w:val="18"/>
                <w:szCs w:val="18"/>
                <w:color w:val="auto"/>
                <w:w w:val="91"/>
              </w:rPr>
              <w:t>of the corporation and upon such information, opinions,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opinions,  reports  and  statements  presented  to  the</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reports and statements presented to the corporation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9"/>
              </w:rPr>
              <w:t>corporation   by   corporate   officers,   employees,</w:t>
            </w:r>
          </w:p>
        </w:tc>
        <w:tc>
          <w:tcPr>
            <w:tcW w:w="4100" w:type="dxa"/>
            <w:vAlign w:val="bottom"/>
          </w:tcPr>
          <w:p>
            <w:pPr>
              <w:ind w:left="40"/>
              <w:spacing w:after="0"/>
              <w:rPr>
                <w:sz w:val="20"/>
                <w:szCs w:val="20"/>
                <w:color w:val="auto"/>
              </w:rPr>
            </w:pPr>
            <w:r>
              <w:rPr>
                <w:rFonts w:ascii="Arial" w:cs="Arial" w:eastAsia="Arial" w:hAnsi="Arial"/>
                <w:sz w:val="18"/>
                <w:szCs w:val="18"/>
                <w:color w:val="auto"/>
                <w:w w:val="91"/>
              </w:rPr>
              <w:t>corporate officers, employees, committees of the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committees of the board of directors or other persons</w:t>
            </w:r>
          </w:p>
        </w:tc>
        <w:tc>
          <w:tcPr>
            <w:tcW w:w="4100" w:type="dxa"/>
            <w:vAlign w:val="bottom"/>
          </w:tcPr>
          <w:p>
            <w:pPr>
              <w:ind w:left="40"/>
              <w:spacing w:after="0"/>
              <w:rPr>
                <w:sz w:val="20"/>
                <w:szCs w:val="20"/>
                <w:color w:val="auto"/>
              </w:rPr>
            </w:pPr>
            <w:r>
              <w:rPr>
                <w:rFonts w:ascii="Arial" w:cs="Arial" w:eastAsia="Arial" w:hAnsi="Arial"/>
                <w:sz w:val="18"/>
                <w:szCs w:val="18"/>
                <w:color w:val="auto"/>
                <w:w w:val="90"/>
              </w:rPr>
              <w:t>of directors or other persons as to matters such member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as to matters such member reasonably believes are</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reasonably  believes  are within  such other  person’s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within  such  other  person’s  professional  or  expert</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professional or expert competence, provided that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0"/>
              </w:rPr>
              <w:t>competence, provided that such other person has been</w:t>
            </w:r>
          </w:p>
        </w:tc>
        <w:tc>
          <w:tcPr>
            <w:tcW w:w="4100" w:type="dxa"/>
            <w:vAlign w:val="bottom"/>
          </w:tcPr>
          <w:p>
            <w:pPr>
              <w:ind w:left="40"/>
              <w:spacing w:after="0"/>
              <w:rPr>
                <w:sz w:val="20"/>
                <w:szCs w:val="20"/>
                <w:color w:val="auto"/>
              </w:rPr>
            </w:pPr>
            <w:r>
              <w:rPr>
                <w:rFonts w:ascii="Arial" w:cs="Arial" w:eastAsia="Arial" w:hAnsi="Arial"/>
                <w:sz w:val="18"/>
                <w:szCs w:val="18"/>
                <w:color w:val="auto"/>
                <w:w w:val="90"/>
              </w:rPr>
              <w:t>other person has been selected with reasonable care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selected with reasonable care by or on behalf of the</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or  on  behalf  of  the  corporation.  Such  appropriate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corporation. Such appropriate reliance on records and</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reliance  on  records  and  other  information  protects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other  information  protects  directors  from  liability</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directors from liability related to decisions made based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related to decisions made based on such records and</w:t>
            </w:r>
          </w:p>
        </w:tc>
        <w:tc>
          <w:tcPr>
            <w:tcW w:w="4100" w:type="dxa"/>
            <w:vAlign w:val="bottom"/>
          </w:tcPr>
          <w:p>
            <w:pPr>
              <w:ind w:left="40"/>
              <w:spacing w:after="0"/>
              <w:rPr>
                <w:sz w:val="20"/>
                <w:szCs w:val="20"/>
                <w:color w:val="auto"/>
              </w:rPr>
            </w:pPr>
            <w:r>
              <w:rPr>
                <w:rFonts w:ascii="Arial" w:cs="Arial" w:eastAsia="Arial" w:hAnsi="Arial"/>
                <w:sz w:val="18"/>
                <w:szCs w:val="18"/>
                <w:color w:val="auto"/>
              </w:rPr>
              <w:t>on such records and other information.</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other information.</w:t>
            </w: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w w:val="92"/>
              </w:rPr>
              <w:t>The Combined Entity’s board of directors may exercise</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The  Board  may  exercise  all  such  powers  of  FS</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all such authority and powers of Combined Entity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Development and do all such lawful acts and things as</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do all such lawful acts and things as are not by statute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are not by statute or the Current Charter or Current</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or the Proposed Charter or Amended By-laws directed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By-laws directed or required to be exercised or done</w:t>
            </w:r>
          </w:p>
        </w:tc>
        <w:tc>
          <w:tcPr>
            <w:tcW w:w="4100" w:type="dxa"/>
            <w:vAlign w:val="bottom"/>
          </w:tcPr>
          <w:p>
            <w:pPr>
              <w:ind w:left="40"/>
              <w:spacing w:after="0"/>
              <w:rPr>
                <w:sz w:val="20"/>
                <w:szCs w:val="20"/>
                <w:color w:val="auto"/>
              </w:rPr>
            </w:pPr>
            <w:r>
              <w:rPr>
                <w:rFonts w:ascii="Arial" w:cs="Arial" w:eastAsia="Arial" w:hAnsi="Arial"/>
                <w:sz w:val="18"/>
                <w:szCs w:val="18"/>
                <w:color w:val="auto"/>
              </w:rPr>
              <w:t>or required to be exercised or done solely by the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solely by stockholders.</w:t>
            </w:r>
          </w:p>
        </w:tc>
        <w:tc>
          <w:tcPr>
            <w:tcW w:w="4100" w:type="dxa"/>
            <w:vAlign w:val="bottom"/>
          </w:tcPr>
          <w:p>
            <w:pPr>
              <w:ind w:left="40"/>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Inspection of Books and Records</w:t>
      </w:r>
    </w:p>
    <w:p>
      <w:pPr>
        <w:spacing w:after="0" w:line="202" w:lineRule="exact"/>
        <w:rPr>
          <w:sz w:val="20"/>
          <w:szCs w:val="20"/>
          <w:color w:val="auto"/>
        </w:rPr>
      </w:pPr>
    </w:p>
    <w:p>
      <w:pPr>
        <w:ind w:left="460" w:right="459"/>
        <w:spacing w:after="0" w:line="252" w:lineRule="auto"/>
        <w:rPr>
          <w:sz w:val="20"/>
          <w:szCs w:val="20"/>
          <w:color w:val="auto"/>
        </w:rPr>
      </w:pPr>
      <w:r>
        <w:rPr>
          <w:rFonts w:ascii="Arial" w:cs="Arial" w:eastAsia="Arial" w:hAnsi="Arial"/>
          <w:sz w:val="18"/>
          <w:szCs w:val="18"/>
          <w:color w:val="auto"/>
        </w:rPr>
        <w:t>Under the DGCL, any stockholder or beneficial owner Under the DGCL, any stockholder or beneficial owner has the right, upon written demand under oath stating has the right, upon written demand under oath stating the proper purpose thereof, either in person or by the proper purpose thereof, either in person or by attorney or other agent, to inspect and make copies attorney or other agent, to inspect and make copies and and extracts from the corporation’s stock ledger, list of extracts from the corporation’s stock ledger, list of stockholders and its other books and records for a stockholders and its other books and records for a proper purpose during the usual hours for business. proper purpose during the usual hours for business. The Current Charter permits FS Development’s books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records to be kept within or outside Delaware.</w:t>
      </w:r>
    </w:p>
    <w:p>
      <w:pPr>
        <w:sectPr>
          <w:pgSz w:w="11900" w:h="16838" w:orient="portrait"/>
          <w:cols w:equalWidth="0" w:num="1">
            <w:col w:w="9019"/>
          </w:cols>
          <w:pgMar w:left="1440" w:top="274"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6" w:name="page217"/>
    <w:bookmarkEnd w:id="21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1840"/>
        <w:spacing w:after="0"/>
        <w:tabs>
          <w:tab w:leader="none" w:pos="5920" w:val="left"/>
        </w:tabs>
        <w:rPr>
          <w:sz w:val="20"/>
          <w:szCs w:val="20"/>
          <w:color w:val="auto"/>
        </w:rPr>
      </w:pPr>
      <w:r>
        <w:rPr>
          <w:rFonts w:ascii="Arial" w:cs="Arial" w:eastAsia="Arial" w:hAnsi="Arial"/>
          <w:sz w:val="16"/>
          <w:szCs w:val="16"/>
          <w:b w:val="1"/>
          <w:bCs w:val="1"/>
          <w:color w:val="auto"/>
        </w:rPr>
        <w:t>FS Development</w:t>
      </w:r>
      <w:r>
        <w:rPr>
          <w:sz w:val="20"/>
          <w:szCs w:val="20"/>
          <w:color w:val="auto"/>
        </w:rPr>
        <w:tab/>
      </w:r>
      <w:r>
        <w:rPr>
          <w:rFonts w:ascii="Arial" w:cs="Arial" w:eastAsia="Arial" w:hAnsi="Arial"/>
          <w:sz w:val="14"/>
          <w:szCs w:val="14"/>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71755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Choice of Forum</w:t>
      </w:r>
    </w:p>
    <w:p>
      <w:pPr>
        <w:spacing w:after="0" w:line="202"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Current Charter generally designates the Court of The Amended By-laws generally designates Court of Chancery of the State of Delaware as the sole and Chancery of the State of Delaware as the sole and exclusive forum for any stockholder (including a exclusive forum for: (i) any derivative action or beneficial owner) to: (i) any derivative action or proceeding brought on behalf of Combined Entity, proceeding brought on behalf of FS Development, (ii) any action asserting a claim of breach of a fiduciary</w:t>
      </w:r>
    </w:p>
    <w:p>
      <w:pPr>
        <w:spacing w:after="0" w:line="3" w:lineRule="exact"/>
        <w:rPr>
          <w:sz w:val="20"/>
          <w:szCs w:val="20"/>
          <w:color w:val="auto"/>
        </w:rPr>
      </w:pPr>
    </w:p>
    <w:p>
      <w:pPr>
        <w:jc w:val="both"/>
        <w:ind w:left="460" w:right="459" w:hanging="6"/>
        <w:spacing w:after="0" w:line="265" w:lineRule="auto"/>
        <w:tabs>
          <w:tab w:leader="none" w:pos="79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any action asserting a claim of breach of a duty owed by, or any other wrongdoing by, any director fiduciary duty owed by any director, officer, or other officer, employee, or stockholder of Combined Entity, employee of FS Development to FS Development or (iii) any action asserting a claim against Combined FS Development’s stockholders, (iii) any action Entity arising pursuant to any provision of the DCGL, asserting a claim against FS Development, its the Combined Entity Chart, or Combined Entity’s By-directors, officers, or employees arising pursuant to laws, (iv) any action to interpret, apply, enforce, or any provision of the DGCL or the Current Charter or determine the validity of any provisions in the Proposed Current By-laws, (iv) any action asserting a claim Charter or Amended By-laws, or (v) any action against FS Development, its directors, officers, or asserting a claim governed by the internal affairs employees governed by the internal affairs doctrine, doctrine and if brought outside of Delaware in the name and, if brought outside of Delaware, the stockholder of any stockholder, the stockholder bringing the suit bringing the suit will be deemed to have consented to will be deemed to have consented to (a) the personal service of process on such stockholder’s counsel, jurisdiction of the state and federal courts within subject to certain exceptions. In addition, Delaware and (b) service of process on such notwithstanding anything to the contrary in the stockholder’s counsel, subject to certain exceptions. In foregoing, the federal district courts of the addition, notwithstanding anything to the contrary in United States are the exclusive forum for the the foregoing, the federal district courts of the District resolution of any action, suit or proceeding asserting a of Massachusetts are the exclusive forum for the cause of action under the Securities Act. The exclusive resolution of any action, suit or proceeding asserting a forum provision does not apply to suits brought to cause of action under the Securities Act. The exclusive enforce any liability or duty created by the Exchange forum provision does not apply to suits brought to</w:t>
      </w:r>
    </w:p>
    <w:tbl>
      <w:tblPr>
        <w:tblLayout w:type="fixed"/>
        <w:tblInd w:w="460" w:type="dxa"/>
        <w:tblCellMar>
          <w:top w:w="0" w:type="dxa"/>
          <w:left w:w="0" w:type="dxa"/>
          <w:bottom w:w="0" w:type="dxa"/>
          <w:right w:w="0" w:type="dxa"/>
        </w:tblCellMar>
      </w:tblPr>
      <w:tr>
        <w:trPr>
          <w:trHeight w:val="205"/>
        </w:trPr>
        <w:tc>
          <w:tcPr>
            <w:tcW w:w="2100" w:type="dxa"/>
            <w:vAlign w:val="bottom"/>
          </w:tcPr>
          <w:p>
            <w:pPr>
              <w:spacing w:after="0" w:line="205" w:lineRule="exact"/>
              <w:rPr>
                <w:sz w:val="20"/>
                <w:szCs w:val="20"/>
                <w:color w:val="auto"/>
              </w:rPr>
            </w:pPr>
            <w:r>
              <w:rPr>
                <w:rFonts w:ascii="Arial" w:cs="Arial" w:eastAsia="Arial" w:hAnsi="Arial"/>
                <w:sz w:val="18"/>
                <w:szCs w:val="18"/>
                <w:color w:val="auto"/>
              </w:rPr>
              <w:t>Act.</w:t>
            </w:r>
          </w:p>
        </w:tc>
        <w:tc>
          <w:tcPr>
            <w:tcW w:w="6000" w:type="dxa"/>
            <w:vAlign w:val="bottom"/>
          </w:tcPr>
          <w:p>
            <w:pPr>
              <w:ind w:left="1940"/>
              <w:spacing w:after="0" w:line="205" w:lineRule="exact"/>
              <w:rPr>
                <w:sz w:val="20"/>
                <w:szCs w:val="20"/>
                <w:color w:val="auto"/>
              </w:rPr>
            </w:pPr>
            <w:r>
              <w:rPr>
                <w:rFonts w:ascii="Arial" w:cs="Arial" w:eastAsia="Arial" w:hAnsi="Arial"/>
                <w:sz w:val="18"/>
                <w:szCs w:val="18"/>
                <w:color w:val="auto"/>
                <w:w w:val="96"/>
              </w:rPr>
              <w:t>enforce any liability or duty created by the Exchange</w:t>
            </w:r>
          </w:p>
        </w:tc>
      </w:tr>
      <w:tr>
        <w:trPr>
          <w:trHeight w:val="230"/>
        </w:trPr>
        <w:tc>
          <w:tcPr>
            <w:tcW w:w="2100" w:type="dxa"/>
            <w:vAlign w:val="bottom"/>
          </w:tcPr>
          <w:p>
            <w:pPr>
              <w:spacing w:after="0"/>
              <w:rPr>
                <w:sz w:val="20"/>
                <w:szCs w:val="20"/>
                <w:color w:val="auto"/>
              </w:rPr>
            </w:pPr>
          </w:p>
        </w:tc>
        <w:tc>
          <w:tcPr>
            <w:tcW w:w="6000" w:type="dxa"/>
            <w:vAlign w:val="bottom"/>
          </w:tcPr>
          <w:p>
            <w:pPr>
              <w:ind w:left="1940"/>
              <w:spacing w:after="0"/>
              <w:rPr>
                <w:sz w:val="20"/>
                <w:szCs w:val="20"/>
                <w:color w:val="auto"/>
              </w:rPr>
            </w:pPr>
            <w:r>
              <w:rPr>
                <w:rFonts w:ascii="Arial" w:cs="Arial" w:eastAsia="Arial" w:hAnsi="Arial"/>
                <w:sz w:val="18"/>
                <w:szCs w:val="18"/>
                <w:color w:val="auto"/>
              </w:rPr>
              <w:t>Act.</w:t>
            </w:r>
          </w:p>
        </w:tc>
      </w:tr>
      <w:tr>
        <w:trPr>
          <w:trHeight w:val="432"/>
        </w:trPr>
        <w:tc>
          <w:tcPr>
            <w:tcW w:w="2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jc w:val="right"/>
              <w:ind w:right="3830"/>
              <w:spacing w:after="0"/>
              <w:rPr>
                <w:sz w:val="20"/>
                <w:szCs w:val="20"/>
                <w:color w:val="auto"/>
              </w:rPr>
            </w:pPr>
            <w:r>
              <w:rPr>
                <w:rFonts w:ascii="Arial" w:cs="Arial" w:eastAsia="Arial" w:hAnsi="Arial"/>
                <w:sz w:val="18"/>
                <w:szCs w:val="18"/>
                <w:color w:val="auto"/>
              </w:rPr>
              <w:t>205</w:t>
            </w:r>
          </w:p>
        </w:tc>
      </w:tr>
    </w:tbl>
    <w:p>
      <w:pPr>
        <w:sectPr>
          <w:pgSz w:w="11900" w:h="16838" w:orient="portrait"/>
          <w:cols w:equalWidth="0" w:num="1">
            <w:col w:w="9019"/>
          </w:cols>
          <w:pgMar w:left="1440" w:top="274" w:right="1440" w:bottom="1440" w:gutter="0" w:footer="0" w:header="0"/>
        </w:sectPr>
      </w:pPr>
    </w:p>
    <w:bookmarkStart w:id="217" w:name="page218"/>
    <w:bookmarkEnd w:id="21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TICKER SYMBOL, MARKET PRICE AND DIVIDEND POLICY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Ticker Symbol and Market Price</w:t>
      </w:r>
    </w:p>
    <w:p>
      <w:pPr>
        <w:spacing w:after="0" w:line="148" w:lineRule="exact"/>
        <w:rPr>
          <w:sz w:val="20"/>
          <w:szCs w:val="20"/>
          <w:color w:val="auto"/>
        </w:rPr>
      </w:pPr>
    </w:p>
    <w:p>
      <w:pPr>
        <w:ind w:left="460" w:right="459"/>
        <w:spacing w:after="0" w:line="274" w:lineRule="auto"/>
        <w:rPr>
          <w:sz w:val="20"/>
          <w:szCs w:val="20"/>
          <w:color w:val="auto"/>
        </w:rPr>
      </w:pPr>
      <w:r>
        <w:rPr>
          <w:rFonts w:ascii="Arial" w:cs="Arial" w:eastAsia="Arial" w:hAnsi="Arial"/>
          <w:sz w:val="17"/>
          <w:szCs w:val="17"/>
          <w:color w:val="auto"/>
        </w:rPr>
        <w:t>FS Development Class A Common Stock is currently listed on the Nasdaq Capital Market under the symbol “FSDC.” The closing price of the FS Development Class A Common Stock on October 14, 2020, the last</w:t>
      </w:r>
    </w:p>
    <w:p>
      <w:pPr>
        <w:ind w:left="460" w:right="459"/>
        <w:spacing w:after="0" w:line="265" w:lineRule="auto"/>
        <w:rPr>
          <w:sz w:val="20"/>
          <w:szCs w:val="20"/>
          <w:color w:val="auto"/>
        </w:rPr>
      </w:pPr>
      <w:r>
        <w:rPr>
          <w:rFonts w:ascii="Arial" w:cs="Arial" w:eastAsia="Arial" w:hAnsi="Arial"/>
          <w:sz w:val="17"/>
          <w:szCs w:val="17"/>
          <w:color w:val="auto"/>
        </w:rPr>
        <w:t>trading day before announcement of the execution of the Merger Agreement, was $11.14. As of , 2020, the record date for the special meeting, the closing price for the FS Development Class A Common Stock, was</w:t>
      </w:r>
    </w:p>
    <w:p>
      <w:pPr>
        <w:ind w:left="1180" w:hanging="726"/>
        <w:spacing w:after="0"/>
        <w:tabs>
          <w:tab w:leader="none" w:pos="11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not paid any cash dividends on shares of FS Development Common Stock to date and do not intend to pay cash dividends prior to the completion of the Business Combination. The payment of cash dividends in the future will be dependent upon our revenues and earnings, if any, capital requirements and general financial condition subsequent to the completion of the Business Combination. The payment of any dividends subsequent to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8" w:name="page219"/>
    <w:bookmarkEnd w:id="21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following table sets forth information regarding (i) the actual beneficial ownership of FS Development Common Stock as of October 15, 2020 (the “</w:t>
      </w:r>
      <w:r>
        <w:rPr>
          <w:rFonts w:ascii="Arial" w:cs="Arial" w:eastAsia="Arial" w:hAnsi="Arial"/>
          <w:sz w:val="17"/>
          <w:szCs w:val="17"/>
          <w:b w:val="1"/>
          <w:bCs w:val="1"/>
          <w:color w:val="auto"/>
        </w:rPr>
        <w:t>Ownership Date</w:t>
      </w:r>
      <w:r>
        <w:rPr>
          <w:rFonts w:ascii="Arial" w:cs="Arial" w:eastAsia="Arial" w:hAnsi="Arial"/>
          <w:sz w:val="17"/>
          <w:szCs w:val="17"/>
          <w:color w:val="auto"/>
        </w:rPr>
        <w:t>”), which is prior to the Closing (pre-Business Combination) and (ii) expected beneficial ownership of the Combined Entity’s common stock immediately following the Closing (post-Business Combination), assuming that no Public Shares are redeemed, and alternatively that the maximum number of Public Shares are redeemed, by:</w:t>
      </w:r>
    </w:p>
    <w:p>
      <w:pPr>
        <w:spacing w:after="0" w:line="109" w:lineRule="exact"/>
        <w:rPr>
          <w:sz w:val="20"/>
          <w:szCs w:val="20"/>
          <w:color w:val="auto"/>
        </w:rPr>
      </w:pPr>
    </w:p>
    <w:p>
      <w:pPr>
        <w:jc w:val="both"/>
        <w:ind w:left="1320" w:right="479" w:hanging="434"/>
        <w:spacing w:after="0" w:line="342" w:lineRule="auto"/>
        <w:tabs>
          <w:tab w:leader="none" w:pos="148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each person who is, or is expected to be, the beneficial owner of more than 5% of issued and outstanding shares of FS Development Common Stock or of the Combined Entity’s common stock;</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of our current executive officers and directors;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7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person who will (or is expected to) become an executive officer or director of the Combined Entity following the Closing; and</w:t>
      </w:r>
    </w:p>
    <w:p>
      <w:pPr>
        <w:spacing w:after="0" w:line="102" w:lineRule="exact"/>
        <w:rPr>
          <w:rFonts w:ascii="Arial" w:cs="Arial" w:eastAsia="Arial" w:hAnsi="Arial"/>
          <w:sz w:val="18"/>
          <w:szCs w:val="18"/>
          <w:color w:val="auto"/>
        </w:rPr>
      </w:pPr>
    </w:p>
    <w:p>
      <w:pPr>
        <w:ind w:left="1320" w:right="479" w:hanging="434"/>
        <w:spacing w:after="0" w:line="308" w:lineRule="auto"/>
        <w:tabs>
          <w:tab w:leader="none" w:pos="131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executive officers and directors of FS Development as a group pre-Business Combination and all executive officers and directors of the Combined Entity post-Business Combination.</w:t>
      </w:r>
    </w:p>
    <w:p>
      <w:pPr>
        <w:spacing w:after="0" w:line="79"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 xml:space="preserve">The beneficial ownership of shares of FS Development Common Stock pre-Business Combination is based on 15,535,250 issued and outstanding shares of FS Development Common Stock as of October 15, 2020. The beneficial ownership of shares of FS Development Common Stock immediately following Closing is based on 46,541,250 shares (assuming no redemption) and 35,388,875 shares (assuming maximum redemption) to be outstanding and assumes (i) the issuance of up to 21,500,000 shares as Merger Consideration determined as described in more detail under the heading titled </w:t>
      </w:r>
      <w:r>
        <w:rPr>
          <w:rFonts w:ascii="Arial" w:cs="Arial" w:eastAsia="Arial" w:hAnsi="Arial"/>
          <w:sz w:val="16"/>
          <w:szCs w:val="16"/>
          <w:i w:val="1"/>
          <w:iCs w:val="1"/>
          <w:color w:val="auto"/>
        </w:rPr>
        <w:t>“The Business Combination Proposal — Acquisition of</w:t>
      </w:r>
      <w:r>
        <w:rPr>
          <w:rFonts w:ascii="Arial" w:cs="Arial" w:eastAsia="Arial" w:hAnsi="Arial"/>
          <w:sz w:val="16"/>
          <w:szCs w:val="16"/>
          <w:color w:val="auto"/>
        </w:rPr>
        <w:t xml:space="preserve"> </w:t>
      </w:r>
      <w:r>
        <w:rPr>
          <w:rFonts w:ascii="Arial" w:cs="Arial" w:eastAsia="Arial" w:hAnsi="Arial"/>
          <w:sz w:val="16"/>
          <w:szCs w:val="16"/>
          <w:i w:val="1"/>
          <w:iCs w:val="1"/>
          <w:color w:val="auto"/>
        </w:rPr>
        <w:t>Gemini; Merger Consideration”</w:t>
      </w:r>
      <w:r>
        <w:rPr>
          <w:rFonts w:ascii="Arial" w:cs="Arial" w:eastAsia="Arial" w:hAnsi="Arial"/>
          <w:sz w:val="16"/>
          <w:szCs w:val="16"/>
          <w:color w:val="auto"/>
        </w:rPr>
        <w:t>, (ii) the issuance of 9,506,000 shares of Class A Common Stock in the PIPE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If the actual facts are different than these assumptions (which they are likely to be), the percentage ownership retained by FS Development’s existing stockholders in FS Development will be different.</w:t>
      </w:r>
    </w:p>
    <w:p>
      <w:pPr>
        <w:spacing w:after="0" w:line="9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Unless otherwise indicated, FS Development believes that all persons named in the table have sole voting and investment power with respect to all FS Development Common Stock beneficially owned by them.</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Pre-Business Combination</w:t>
            </w:r>
          </w:p>
        </w:tc>
        <w:tc>
          <w:tcPr>
            <w:tcW w:w="3220" w:type="dxa"/>
            <w:vAlign w:val="bottom"/>
            <w:gridSpan w:val="7"/>
          </w:tcPr>
          <w:p>
            <w:pPr>
              <w:jc w:val="right"/>
              <w:ind w:right="212"/>
              <w:spacing w:after="0"/>
              <w:rPr>
                <w:sz w:val="20"/>
                <w:szCs w:val="20"/>
                <w:color w:val="auto"/>
              </w:rPr>
            </w:pPr>
            <w:r>
              <w:rPr>
                <w:rFonts w:ascii="Arial" w:cs="Arial" w:eastAsia="Arial" w:hAnsi="Arial"/>
                <w:sz w:val="16"/>
                <w:szCs w:val="16"/>
                <w:b w:val="1"/>
                <w:bCs w:val="1"/>
                <w:color w:val="auto"/>
                <w:w w:val="97"/>
              </w:rPr>
              <w:t>Successor Post-Business Combination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2" w:lineRule="exact"/>
              <w:rPr>
                <w:sz w:val="20"/>
                <w:szCs w:val="20"/>
                <w:color w:val="auto"/>
              </w:rPr>
            </w:pPr>
            <w:r>
              <w:rPr>
                <w:rFonts w:ascii="Arial" w:cs="Arial" w:eastAsia="Arial" w:hAnsi="Arial"/>
                <w:sz w:val="16"/>
                <w:szCs w:val="16"/>
                <w:b w:val="1"/>
                <w:bCs w:val="1"/>
                <w:color w:val="auto"/>
                <w:w w:val="90"/>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2" w:lineRule="exact"/>
              <w:rPr>
                <w:sz w:val="20"/>
                <w:szCs w:val="20"/>
                <w:color w:val="auto"/>
              </w:rPr>
            </w:pPr>
            <w:r>
              <w:rPr>
                <w:rFonts w:ascii="Arial" w:cs="Arial" w:eastAsia="Arial" w:hAnsi="Arial"/>
                <w:sz w:val="16"/>
                <w:szCs w:val="16"/>
                <w:b w:val="1"/>
                <w:bCs w:val="1"/>
                <w:color w:val="auto"/>
                <w:w w:val="89"/>
              </w:rPr>
              <w:t>Assuming No</w:t>
            </w:r>
          </w:p>
        </w:tc>
        <w:tc>
          <w:tcPr>
            <w:tcW w:w="1620" w:type="dxa"/>
            <w:vAlign w:val="bottom"/>
            <w:gridSpan w:val="3"/>
          </w:tcPr>
          <w:p>
            <w:pPr>
              <w:jc w:val="right"/>
              <w:ind w:right="172"/>
              <w:spacing w:after="0" w:line="182" w:lineRule="exact"/>
              <w:rPr>
                <w:sz w:val="20"/>
                <w:szCs w:val="20"/>
                <w:color w:val="auto"/>
              </w:rPr>
            </w:pPr>
            <w:r>
              <w:rPr>
                <w:rFonts w:ascii="Arial" w:cs="Arial" w:eastAsia="Arial" w:hAnsi="Arial"/>
                <w:sz w:val="16"/>
                <w:szCs w:val="16"/>
                <w:b w:val="1"/>
                <w:bCs w:val="1"/>
                <w:color w:val="auto"/>
              </w:rPr>
              <w:t>Assuming 100%</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16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Redemption</w:t>
            </w:r>
          </w:p>
        </w:tc>
        <w:tc>
          <w:tcPr>
            <w:tcW w:w="1620" w:type="dxa"/>
            <w:vAlign w:val="bottom"/>
            <w:gridSpan w:val="3"/>
          </w:tcPr>
          <w:p>
            <w:pPr>
              <w:jc w:val="right"/>
              <w:ind w:right="292"/>
              <w:spacing w:after="0"/>
              <w:rPr>
                <w:sz w:val="20"/>
                <w:szCs w:val="20"/>
                <w:color w:val="auto"/>
              </w:rPr>
            </w:pPr>
            <w:r>
              <w:rPr>
                <w:rFonts w:ascii="Arial" w:cs="Arial" w:eastAsia="Arial" w:hAnsi="Arial"/>
                <w:sz w:val="16"/>
                <w:szCs w:val="16"/>
                <w:b w:val="1"/>
                <w:bCs w:val="1"/>
                <w:color w:val="auto"/>
              </w:rPr>
              <w:t>Redemption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Development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7"/>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Owner</w:t>
            </w:r>
            <w:r>
              <w:rPr>
                <w:rFonts w:ascii="Arial" w:cs="Arial" w:eastAsia="Arial" w:hAnsi="Arial"/>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Owned</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Common Stock</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560" w:type="dxa"/>
            <w:vAlign w:val="bottom"/>
          </w:tcPr>
          <w:p>
            <w:pPr>
              <w:jc w:val="right"/>
              <w:ind w:right="11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640" w:type="dxa"/>
            <w:vAlign w:val="bottom"/>
          </w:tcPr>
          <w:p>
            <w:pPr>
              <w:jc w:val="right"/>
              <w:ind w:right="15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25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b w:val="1"/>
                <w:bCs w:val="1"/>
                <w:i w:val="1"/>
                <w:iCs w:val="1"/>
                <w:color w:val="auto"/>
                <w:w w:val="89"/>
              </w:rPr>
              <w:t>Directors and Executive Officers</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of FS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3,370,250</w:t>
            </w: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4,870,250</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4,870,250</w:t>
            </w: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Dennis Ryan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Vikram Bajaj</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 Dubin</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Directors and Executive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1"/>
              </w:rPr>
              <w:t>Officers of FS Development as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 Group (7 Individuals</w:t>
            </w: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19" w:name="page220"/>
    <w:bookmarkEnd w:id="21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Pre-Business Combination</w:t>
            </w:r>
          </w:p>
        </w:tc>
        <w:tc>
          <w:tcPr>
            <w:tcW w:w="3220" w:type="dxa"/>
            <w:vAlign w:val="bottom"/>
            <w:gridSpan w:val="7"/>
          </w:tcPr>
          <w:p>
            <w:pPr>
              <w:jc w:val="right"/>
              <w:ind w:right="211"/>
              <w:spacing w:after="0"/>
              <w:rPr>
                <w:sz w:val="20"/>
                <w:szCs w:val="20"/>
                <w:color w:val="auto"/>
              </w:rPr>
            </w:pPr>
            <w:r>
              <w:rPr>
                <w:rFonts w:ascii="Arial" w:cs="Arial" w:eastAsia="Arial" w:hAnsi="Arial"/>
                <w:sz w:val="16"/>
                <w:szCs w:val="16"/>
                <w:b w:val="1"/>
                <w:bCs w:val="1"/>
                <w:color w:val="auto"/>
                <w:w w:val="97"/>
              </w:rPr>
              <w:t>Successor Post-Business Combination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2" w:lineRule="exact"/>
              <w:rPr>
                <w:sz w:val="20"/>
                <w:szCs w:val="20"/>
                <w:color w:val="auto"/>
              </w:rPr>
            </w:pPr>
            <w:r>
              <w:rPr>
                <w:rFonts w:ascii="Arial" w:cs="Arial" w:eastAsia="Arial" w:hAnsi="Arial"/>
                <w:sz w:val="16"/>
                <w:szCs w:val="16"/>
                <w:b w:val="1"/>
                <w:bCs w:val="1"/>
                <w:color w:val="auto"/>
                <w:w w:val="90"/>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2" w:lineRule="exact"/>
              <w:rPr>
                <w:sz w:val="20"/>
                <w:szCs w:val="20"/>
                <w:color w:val="auto"/>
              </w:rPr>
            </w:pPr>
            <w:r>
              <w:rPr>
                <w:rFonts w:ascii="Arial" w:cs="Arial" w:eastAsia="Arial" w:hAnsi="Arial"/>
                <w:sz w:val="16"/>
                <w:szCs w:val="16"/>
                <w:b w:val="1"/>
                <w:bCs w:val="1"/>
                <w:color w:val="auto"/>
                <w:w w:val="89"/>
              </w:rPr>
              <w:t>Assuming No</w:t>
            </w:r>
          </w:p>
        </w:tc>
        <w:tc>
          <w:tcPr>
            <w:tcW w:w="1620" w:type="dxa"/>
            <w:vAlign w:val="bottom"/>
            <w:gridSpan w:val="3"/>
          </w:tcPr>
          <w:p>
            <w:pPr>
              <w:jc w:val="right"/>
              <w:ind w:right="171"/>
              <w:spacing w:after="0" w:line="182" w:lineRule="exact"/>
              <w:rPr>
                <w:sz w:val="20"/>
                <w:szCs w:val="20"/>
                <w:color w:val="auto"/>
              </w:rPr>
            </w:pPr>
            <w:r>
              <w:rPr>
                <w:rFonts w:ascii="Arial" w:cs="Arial" w:eastAsia="Arial" w:hAnsi="Arial"/>
                <w:sz w:val="16"/>
                <w:szCs w:val="16"/>
                <w:b w:val="1"/>
                <w:bCs w:val="1"/>
                <w:color w:val="auto"/>
              </w:rPr>
              <w:t>Assuming 100%</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16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Redemption</w:t>
            </w:r>
          </w:p>
        </w:tc>
        <w:tc>
          <w:tcPr>
            <w:tcW w:w="162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rPr>
              <w:t>Redemption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Development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7"/>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Owner</w:t>
            </w:r>
            <w:r>
              <w:rPr>
                <w:rFonts w:ascii="Arial" w:cs="Arial" w:eastAsia="Arial" w:hAnsi="Arial"/>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Owned</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Common Stock</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560" w:type="dxa"/>
            <w:vAlign w:val="bottom"/>
          </w:tcPr>
          <w:p>
            <w:pPr>
              <w:jc w:val="right"/>
              <w:ind w:right="11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640" w:type="dxa"/>
            <w:vAlign w:val="bottom"/>
          </w:tcPr>
          <w:p>
            <w:pPr>
              <w:jc w:val="right"/>
              <w:ind w:right="1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25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b w:val="1"/>
                <w:bCs w:val="1"/>
                <w:i w:val="1"/>
                <w:iCs w:val="1"/>
                <w:color w:val="auto"/>
                <w:w w:val="89"/>
              </w:rPr>
              <w:t>Directors and Executive Officers</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of Combined Entity After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w w:val="88"/>
              </w:rPr>
              <w:t>Consummation of the Business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Combination:</w:t>
            </w: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Jason Meyenburg</w:t>
            </w:r>
            <w:r>
              <w:rPr>
                <w:rFonts w:ascii="Arial" w:cs="Arial" w:eastAsia="Arial" w:hAnsi="Arial"/>
                <w:sz w:val="20"/>
                <w:szCs w:val="20"/>
                <w:color w:val="auto"/>
                <w:vertAlign w:val="superscript"/>
              </w:rPr>
              <w:t>(2)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112,092</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112,092</w:t>
            </w: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Gregg Beloff</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Scott Lauder</w:t>
            </w:r>
            <w:r>
              <w:rPr>
                <w:rFonts w:ascii="Arial" w:cs="Arial" w:eastAsia="Arial" w:hAnsi="Arial"/>
                <w:sz w:val="20"/>
                <w:szCs w:val="20"/>
                <w:color w:val="auto"/>
                <w:vertAlign w:val="superscript"/>
              </w:rPr>
              <w:t>(3)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499,600</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499,600</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 Uknis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Jean George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Carl Gordon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David Lubner</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Tuyen Ong</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Jason Rhodes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20"/>
                <w:szCs w:val="20"/>
                <w:color w:val="auto"/>
                <w:vertAlign w:val="superscript"/>
              </w:rPr>
              <w:t>(1)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3,370,250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4,870,250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4,870,250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Directors and Executive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Officers of Combined Entity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 a Group (10 Individuals)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5,481,942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5,481,942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Five Percent Holders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Combined Entity After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w w:val="88"/>
              </w:rPr>
              <w:t>Consummation of the Business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Combination:</w:t>
            </w: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w w:val="96"/>
              </w:rPr>
              <w:t>FS Development Holdings, LLC</w:t>
            </w:r>
            <w:r>
              <w:rPr>
                <w:rFonts w:ascii="Arial" w:cs="Arial" w:eastAsia="Arial" w:hAnsi="Arial"/>
                <w:sz w:val="20"/>
                <w:szCs w:val="20"/>
                <w:color w:val="auto"/>
                <w:w w:val="96"/>
                <w:vertAlign w:val="superscript"/>
              </w:rPr>
              <w:t>(1)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3,370,250</w:t>
            </w: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4,870,250</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4,870,250</w:t>
            </w: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Adage Capital Management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w w:val="97"/>
              </w:rPr>
              <w:t>Blackrock Financial Management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 Capital Management LLC</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Arial" w:cs="Arial" w:eastAsia="Arial" w:hAnsi="Arial"/>
                <w:sz w:val="18"/>
                <w:szCs w:val="18"/>
                <w:color w:val="auto"/>
              </w:rPr>
              <w:t>Redmile Group</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Wellington Management Co LLP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990,000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1,690,000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1,690,000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w w:val="99"/>
              </w:rPr>
              <w:t>Orbimed Private Investments VI,</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600" w:type="dxa"/>
            <w:vAlign w:val="bottom"/>
            <w:gridSpan w:val="2"/>
          </w:tcPr>
          <w:p>
            <w:pPr>
              <w:ind w:left="180"/>
              <w:spacing w:after="0" w:line="271" w:lineRule="exact"/>
              <w:rPr>
                <w:sz w:val="20"/>
                <w:szCs w:val="20"/>
                <w:color w:val="auto"/>
              </w:rPr>
            </w:pPr>
            <w:r>
              <w:rPr>
                <w:rFonts w:ascii="Arial" w:cs="Arial" w:eastAsia="Arial" w:hAnsi="Arial"/>
                <w:sz w:val="31"/>
                <w:szCs w:val="31"/>
                <w:color w:val="auto"/>
                <w:vertAlign w:val="subscript"/>
              </w:rPr>
              <w:t>LP</w:t>
            </w:r>
            <w:r>
              <w:rPr>
                <w:rFonts w:ascii="Arial" w:cs="Arial" w:eastAsia="Arial" w:hAnsi="Arial"/>
                <w:sz w:val="10"/>
                <w:szCs w:val="10"/>
                <w:color w:val="auto"/>
              </w:rPr>
              <w:t>(4)</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6,064,613</w:t>
            </w: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6,064,613</w:t>
            </w: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Atlas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Ventures</w:t>
            </w:r>
            <w:r>
              <w:rPr>
                <w:rFonts w:ascii="Arial" w:cs="Arial" w:eastAsia="Arial" w:hAnsi="Arial"/>
                <w:sz w:val="20"/>
                <w:szCs w:val="20"/>
                <w:color w:val="auto"/>
                <w:vertAlign w:val="superscript"/>
              </w:rPr>
              <w:t>(5)</w:t>
            </w: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5,467,111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5,467,111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 Lightstone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600" w:type="dxa"/>
            <w:vAlign w:val="bottom"/>
            <w:gridSpan w:val="2"/>
          </w:tcPr>
          <w:p>
            <w:pPr>
              <w:ind w:left="180"/>
              <w:spacing w:after="0"/>
              <w:rPr>
                <w:sz w:val="20"/>
                <w:szCs w:val="20"/>
                <w:color w:val="auto"/>
              </w:rPr>
            </w:pPr>
            <w:r>
              <w:rPr>
                <w:rFonts w:ascii="Arial" w:cs="Arial" w:eastAsia="Arial" w:hAnsi="Arial"/>
                <w:sz w:val="18"/>
                <w:szCs w:val="18"/>
                <w:color w:val="auto"/>
              </w:rPr>
              <w:t>Ventures</w:t>
            </w:r>
            <w:r>
              <w:rPr>
                <w:rFonts w:ascii="Arial" w:cs="Arial" w:eastAsia="Arial" w:hAnsi="Arial"/>
                <w:sz w:val="20"/>
                <w:szCs w:val="20"/>
                <w:color w:val="auto"/>
                <w:vertAlign w:val="superscript"/>
              </w:rPr>
              <w:t>(6)</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5,039,585</w:t>
            </w: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5,036,585</w:t>
            </w: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w:t>
            </w: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
        </w:trPr>
        <w:tc>
          <w:tcPr>
            <w:tcW w:w="2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jc w:val="both"/>
        <w:ind w:left="880" w:right="459" w:hanging="426"/>
        <w:spacing w:after="0" w:line="286" w:lineRule="auto"/>
        <w:tabs>
          <w:tab w:leader="none" w:pos="931" w:val="left"/>
        </w:tabs>
        <w:numPr>
          <w:ilvl w:val="0"/>
          <w:numId w:val="219"/>
        </w:numPr>
        <w:rPr>
          <w:rFonts w:ascii="Arial" w:cs="Arial" w:eastAsia="Arial" w:hAnsi="Arial"/>
          <w:sz w:val="15"/>
          <w:szCs w:val="15"/>
          <w:color w:val="auto"/>
        </w:rPr>
      </w:pPr>
      <w:r>
        <w:rPr>
          <w:rFonts w:ascii="Arial" w:cs="Arial" w:eastAsia="Arial" w:hAnsi="Arial"/>
          <w:sz w:val="15"/>
          <w:szCs w:val="15"/>
          <w:color w:val="auto"/>
        </w:rPr>
        <w:t>FS Development Holdings, LLC is the record holder of the shares reported herein. Foresite Capital Management V, LLC (“FCM V”), is the general partner of Foresite Capital Fund V, L.P.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sole voting and investment discretion over these shares. Each of FCM V, FCOM V, each of their respective members and Dr. Tananbaum disclaim beneficial ownership of these shares except to the extent of any pecuniary interest therein.</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0" w:name="page221"/>
    <w:bookmarkEnd w:id="22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hanging="426"/>
        <w:spacing w:after="0"/>
        <w:tabs>
          <w:tab w:leader="none" w:pos="88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Represents shares of Common Stock issuable upon options exercisable upon 60 days of October 15, 2020.</w:t>
      </w:r>
    </w:p>
    <w:p>
      <w:pPr>
        <w:spacing w:after="0" w:line="24" w:lineRule="exact"/>
        <w:rPr>
          <w:rFonts w:ascii="Arial" w:cs="Arial" w:eastAsia="Arial" w:hAnsi="Arial"/>
          <w:sz w:val="15"/>
          <w:szCs w:val="15"/>
          <w:color w:val="auto"/>
        </w:rPr>
      </w:pPr>
    </w:p>
    <w:p>
      <w:pPr>
        <w:ind w:left="880" w:hanging="426"/>
        <w:spacing w:after="0"/>
        <w:tabs>
          <w:tab w:leader="none" w:pos="88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Represents shares of Common Stock issuable upon options exercisable upon 60 days of October 15, 2020.</w:t>
      </w:r>
    </w:p>
    <w:p>
      <w:pPr>
        <w:spacing w:after="0" w:line="30" w:lineRule="exact"/>
        <w:rPr>
          <w:rFonts w:ascii="Arial" w:cs="Arial" w:eastAsia="Arial" w:hAnsi="Arial"/>
          <w:sz w:val="15"/>
          <w:szCs w:val="15"/>
          <w:color w:val="auto"/>
        </w:rPr>
      </w:pPr>
    </w:p>
    <w:p>
      <w:pPr>
        <w:ind w:left="880" w:hanging="426"/>
        <w:spacing w:after="0"/>
        <w:tabs>
          <w:tab w:leader="none" w:pos="8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5,554,613 shares issued as Merger Consideration and 510,000 shares issued in the PIPE Investment.</w:t>
      </w:r>
    </w:p>
    <w:p>
      <w:pPr>
        <w:spacing w:after="0" w:line="41" w:lineRule="exact"/>
        <w:rPr>
          <w:rFonts w:ascii="Arial" w:cs="Arial" w:eastAsia="Arial" w:hAnsi="Arial"/>
          <w:sz w:val="14"/>
          <w:szCs w:val="14"/>
          <w:color w:val="auto"/>
        </w:rPr>
      </w:pPr>
    </w:p>
    <w:p>
      <w:pPr>
        <w:ind w:left="880" w:hanging="426"/>
        <w:spacing w:after="0"/>
        <w:tabs>
          <w:tab w:leader="none" w:pos="8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4,957,111 shares issued as Merger Consideration and 510,000 shares issued in the PIPE Investment.</w:t>
      </w:r>
    </w:p>
    <w:p>
      <w:pPr>
        <w:spacing w:after="0" w:line="41" w:lineRule="exact"/>
        <w:rPr>
          <w:rFonts w:ascii="Arial" w:cs="Arial" w:eastAsia="Arial" w:hAnsi="Arial"/>
          <w:sz w:val="14"/>
          <w:szCs w:val="14"/>
          <w:color w:val="auto"/>
        </w:rPr>
      </w:pPr>
    </w:p>
    <w:p>
      <w:pPr>
        <w:ind w:left="880" w:hanging="426"/>
        <w:spacing w:after="0"/>
        <w:tabs>
          <w:tab w:leader="none" w:pos="8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4,639,585 shares issued as Merger Consideration and 400,000 shares issued in the PIPE Investment.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1" w:name="page222"/>
    <w:bookmarkEnd w:id="22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FS Development</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we effected a 1:1.05 stock split of our Class B Common Stock, resulting in the Sponsor holding 2,928,750 Founders Shares and there being an aggregate of 3,018,750 Founders Shares outstanding. The number of Founders Shares outstanding was determined based on the expectation that the total size of the FS Development IPO would be a maximum of 12,075,000 Class A shares if the underwriters’ over-allotment option is exercised in full, and therefore that such Founders Shares would represent 20% of the issued and outstanding shares of common stock (excluding the private placement shares) after such offering.</w:t>
      </w:r>
    </w:p>
    <w:p>
      <w:pPr>
        <w:spacing w:after="0" w:line="11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Sponsor purchased 441,500 private placement shares at a price of $10.00 per share, or $4,415,000 in the aggregate, in a private placement that closed simultaneously with the FS Development IPO. The private placement shares may not, subject to certain limited exceptions, be transferred, assigned or sold until 30 days after the completion of our initial business combination.</w:t>
      </w:r>
    </w:p>
    <w:p>
      <w:pPr>
        <w:spacing w:after="0" w:line="119"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We currently utilize office space at 600 Montgomery Street, Suite 4500, San Francisco, California 94111 from the Sponsor. Following the closing of the FS Development IPO, we pay the Sponsor $10,000 per month for office space, secretarial and administrative services provided to members of our management team pursuant to the terms of an administrative services agreement between us and the Sponsor. Upon completion of our initial business combination or our liquidation, we will cease paying these monthly fees.</w:t>
      </w:r>
    </w:p>
    <w:p>
      <w:pPr>
        <w:spacing w:after="0" w:line="9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No compensation of any kind, including finder’s and consulting fees, will be paid by the Company to the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w:t>
      </w:r>
    </w:p>
    <w:p>
      <w:pPr>
        <w:spacing w:after="0" w:line="12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Sponsor loaned us funds to be used for a portion of the expenses of the IPO. These loans were non-interest bearing, unsecured and were due at the earlier of December 31, 2020 or the closing of the IPO. These loans have been repaid in connection with the closing of the IPO.</w:t>
      </w:r>
    </w:p>
    <w:p>
      <w:pPr>
        <w:spacing w:after="0" w:line="11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 As of October 28, 2020, there are no loans outstanding. Following the Closing, our Sponsor would be entitled to the repayment of any working capital loan and advances that have been made to FS Development and remain outstanding.</w:t>
      </w:r>
    </w:p>
    <w:p>
      <w:pPr>
        <w:spacing w:after="0" w:line="90"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Any of the foregoing payments to the Sponsor, repayments of loans from the Sponsor or repayments of working capital loans prior to our initial business combination will be made using funds held outside the trust account.</w:t>
      </w:r>
    </w:p>
    <w:p>
      <w:pPr>
        <w:spacing w:after="0" w:line="56"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The directors of the post-combination business will determine executive and director compensation.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2" w:name="page223"/>
    <w:bookmarkEnd w:id="22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 connection with the Business Combination, the Sponsor has entered into a subscription agreement to purchase an aggregate of $25,000,000 shares of our Class A Common Stock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post-transaction company. Consummation of the subscriptions are conditioned upon, among other things, closing conditions and the Closing</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entered into a registration rights agreement with respect to the Founders Shares and Private Placement Shares. Pursuant to such agreement, we will be obligated to register up to 3,520,250 shares of Class A Common Stock. The number of shares of Class A Common Stock includes (i) 2,928,750 shares of Class A Common Stock to be issued upon conversion of the Founders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 As part of the registration rights agreement, certain holders of registrable securities agreed to a lock-up period of one year from the Closing of the Business Combination.</w:t>
      </w:r>
    </w:p>
    <w:p>
      <w:pPr>
        <w:spacing w:after="0" w:line="11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In connection with the Closing of the Business Combination, the initial stockholders and certain other stockholders will enter into the Registration Rights Agreement with FS Development and Gemini that will replace the existing registration rights agreement. Pursuant to such agreement,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The presence of these additional shares of common stock trading in the public market may have an adverse effect on the market price of the Combined Entity’s securities.</w:t>
      </w:r>
    </w:p>
    <w:p>
      <w:pPr>
        <w:spacing w:after="0" w:line="11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connection with the execution of the Merger Agreement, certain stockholders of FS Development entered into support agreements with FS Development, Gemini and Sponsor. Under such support agreements, each such stockholder agreed to vote, at any meeting of the stockholders of the Company, and in any action by written consent of the stockholders of the Company, all of such stockholder’s Class B Common Stock of FS Development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 Development held by such stockholder or taking any action that would prevent or disable such stockholder from performing its obligations under the support agreement.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Gemini</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following is a summary of transactions since September 30, 2017 to which Gemini has been a participant, in which:</w:t>
      </w:r>
    </w:p>
    <w:p>
      <w:pPr>
        <w:spacing w:after="0" w:line="103" w:lineRule="exact"/>
        <w:rPr>
          <w:sz w:val="20"/>
          <w:szCs w:val="20"/>
          <w:color w:val="auto"/>
        </w:rPr>
      </w:pPr>
    </w:p>
    <w:p>
      <w:pPr>
        <w:ind w:left="1300" w:hanging="41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44" w:lineRule="exact"/>
        <w:rPr>
          <w:rFonts w:ascii="Arial" w:cs="Arial" w:eastAsia="Arial" w:hAnsi="Arial"/>
          <w:sz w:val="18"/>
          <w:szCs w:val="18"/>
          <w:color w:val="auto"/>
        </w:rPr>
      </w:pPr>
    </w:p>
    <w:p>
      <w:pPr>
        <w:jc w:val="both"/>
        <w:ind w:left="1320" w:right="459" w:hanging="434"/>
        <w:spacing w:after="0" w:line="301" w:lineRule="auto"/>
        <w:tabs>
          <w:tab w:leader="none" w:pos="148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of its directors, executive officers, or holders of more than 5% of its capital stock, or any member of the immediate family of the foregoing persons, had or will have a direct or indirect material interest, other than compensation and other arrangements that are described in the section titled “Executive Compensation of Gemini” or that were approved by its compensation committee.</w:t>
      </w:r>
    </w:p>
    <w:p>
      <w:pPr>
        <w:spacing w:after="0" w:line="9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Gemini believes the terms obtained or consideration that it paid or received, as applicable, in connection with the transactions described below were comparable to terms available or the amounts that would be paid or received, as applicable in arm’s-length transactions.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3" w:name="page224"/>
    <w:bookmarkEnd w:id="22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Series A Preferred Stock Financing</w:t>
      </w:r>
    </w:p>
    <w:p>
      <w:pPr>
        <w:spacing w:after="0" w:line="14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On March 30, 2018, Gemini held the second closing of its Series A Preferred Stock financing, pursuant to its Series A Preferred Stock Purchase Agreement, as amended (the “Series A Purchase Agreement”), at which Gemini issued 9,243,696 shares of its Series A Preferred Stock for a per share price of $1.19, for aggregate gross proceeds in the amount of $11.0 million. On November 2, 2018, Gemini held the third closing of its Series A Preferred Stock financing, pursuant to the Series A Purchase Agreement, at which Gemini issued 16,386,555 shares of its Series A Preferred Stock for a per share price of $1.19, for aggregate gross proceeds in the amount of $19.5 million. The following holders of more than 5% of Gemini’s capital stock participated in the second closing and third closing of the Series A Preferred Stock financing.</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Series A</w:t>
            </w: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Aggregate</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Series A</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Purchase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Preferred Stock</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Purchased –</w:t>
            </w: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Price – Second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Purchased –</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4"/>
              </w:rPr>
              <w:t>Price – Third</w:t>
            </w: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Second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Closing</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Third Closing</w:t>
            </w:r>
          </w:p>
        </w:tc>
        <w:tc>
          <w:tcPr>
            <w:tcW w:w="120" w:type="dxa"/>
            <w:vAlign w:val="bottom"/>
          </w:tcPr>
          <w:p>
            <w:pPr>
              <w:spacing w:after="0"/>
              <w:rPr>
                <w:sz w:val="18"/>
                <w:szCs w:val="18"/>
                <w:color w:val="auto"/>
              </w:rPr>
            </w:pP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Closing</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5"/>
        </w:trPr>
        <w:tc>
          <w:tcPr>
            <w:tcW w:w="3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7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Ventures</w:t>
            </w:r>
            <w:r>
              <w:rPr>
                <w:rFonts w:ascii="Arial" w:cs="Arial" w:eastAsia="Arial" w:hAnsi="Arial"/>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3,081,232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3,666,666.08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5,462,185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6,500,000.15</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3,081,232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w w:val="97"/>
              </w:rPr>
              <w:t>3,666,666.08</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5,462,185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6,500,000.15</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3,081,232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3,666,666.08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5,462,185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6,500,000.15</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79" w:hanging="426"/>
        <w:spacing w:after="0" w:line="278" w:lineRule="auto"/>
        <w:tabs>
          <w:tab w:leader="none" w:pos="92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Series B Preferred Stock Financing</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On September 26, 2019, Gemini held the initial closing of its Series B Preferred Stock financing, pursuant to its Series B Preferred Stock Purchase Agreement (the “Series B Purchase Agreement”), at which Gemini issued 9,916.375 shares of its Series B Preferred Stock for a per share price of $1.3513, for aggregate gross proceeds in the amount of $13.4 million. On January 21, 2020, Gemini held the second closing of its Series B Preferred Stock financing, pursuant to the Series B Purchase Agreement, at which Gemini issued 14,874,563 shares of its Series B Preferred Stock for a per share price of $1.3513, for aggregate gross proceeds in the amount of $20.1 million. The following holders of more than 5% of Gemini’s capital stock participated in the initial closing and second closing of the Series B Preferred Stock financing.</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Series B</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Aggregate</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Series B</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Purchase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Preferred Stock</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88"/>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Purchased –</w:t>
            </w: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Price – Initial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Purchased –</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Price – Second</w:t>
            </w: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Initial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Closing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Second Closing</w:t>
            </w:r>
          </w:p>
        </w:tc>
        <w:tc>
          <w:tcPr>
            <w:tcW w:w="100" w:type="dxa"/>
            <w:vAlign w:val="bottom"/>
          </w:tcPr>
          <w:p>
            <w:pPr>
              <w:spacing w:after="0"/>
              <w:rPr>
                <w:sz w:val="18"/>
                <w:szCs w:val="18"/>
                <w:color w:val="auto"/>
              </w:rPr>
            </w:pPr>
          </w:p>
        </w:tc>
        <w:tc>
          <w:tcPr>
            <w:tcW w:w="1180" w:type="dxa"/>
            <w:vAlign w:val="bottom"/>
          </w:tcPr>
          <w:p>
            <w:pPr>
              <w:jc w:val="center"/>
              <w:ind w:right="15"/>
              <w:spacing w:after="0"/>
              <w:rPr>
                <w:sz w:val="20"/>
                <w:szCs w:val="20"/>
                <w:color w:val="auto"/>
              </w:rPr>
            </w:pPr>
            <w:r>
              <w:rPr>
                <w:rFonts w:ascii="Arial" w:cs="Arial" w:eastAsia="Arial" w:hAnsi="Arial"/>
                <w:sz w:val="16"/>
                <w:szCs w:val="16"/>
                <w:b w:val="1"/>
                <w:bCs w:val="1"/>
                <w:color w:val="auto"/>
                <w:w w:val="88"/>
              </w:rPr>
              <w:t>Closing</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195"/>
        </w:trPr>
        <w:tc>
          <w:tcPr>
            <w:tcW w:w="3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71"/>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Ventures</w:t>
            </w:r>
            <w:r>
              <w:rPr>
                <w:rFonts w:ascii="Arial" w:cs="Arial" w:eastAsia="Arial" w:hAnsi="Arial"/>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1,924,073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2,886,109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3,899,999.09</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2,960,112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3,999,999.35</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4,440,168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5,999,999.02</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2,072,078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2,799,999.00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3,108,118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4,199,999.85</w:t>
            </w:r>
          </w:p>
        </w:tc>
      </w:tr>
      <w:tr>
        <w:trPr>
          <w:trHeight w:val="291"/>
        </w:trPr>
        <w:tc>
          <w:tcPr>
            <w:tcW w:w="3120" w:type="dxa"/>
            <w:vAlign w:val="bottom"/>
            <w:gridSpan w:val="2"/>
          </w:tcPr>
          <w:p>
            <w:pPr>
              <w:spacing w:after="0"/>
              <w:rPr>
                <w:sz w:val="20"/>
                <w:szCs w:val="20"/>
                <w:color w:val="auto"/>
              </w:rPr>
            </w:pPr>
            <w:r>
              <w:rPr>
                <w:rFonts w:ascii="Arial" w:cs="Arial" w:eastAsia="Arial" w:hAnsi="Arial"/>
                <w:sz w:val="18"/>
                <w:szCs w:val="18"/>
                <w:color w:val="auto"/>
              </w:rPr>
              <w:t>Wu Capital Investment LLC</w:t>
            </w:r>
            <w:r>
              <w:rPr>
                <w:rFonts w:ascii="Arial" w:cs="Arial" w:eastAsia="Arial" w:hAnsi="Arial"/>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2,960,112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3,999,999.35</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4,440,168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5,999,999.02</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79" w:hanging="426"/>
        <w:spacing w:after="0" w:line="265" w:lineRule="auto"/>
        <w:tabs>
          <w:tab w:leader="none" w:pos="95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Shares initially purchased by Wu Capital LLC and subsequently transferred to Wu Capital Investment LLC.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4" w:name="page225"/>
    <w:bookmarkEnd w:id="22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 Financing</w:t>
      </w:r>
    </w:p>
    <w:p>
      <w:pPr>
        <w:spacing w:after="0" w:line="14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On August 21, 2020, Gemini issued convertible promissory notes for aggregate gross proceeds of $14,000,000 (the “</w:t>
      </w:r>
      <w:r>
        <w:rPr>
          <w:rFonts w:ascii="Arial" w:cs="Arial" w:eastAsia="Arial" w:hAnsi="Arial"/>
          <w:sz w:val="18"/>
          <w:szCs w:val="18"/>
          <w:b w:val="1"/>
          <w:bCs w:val="1"/>
          <w:color w:val="auto"/>
        </w:rPr>
        <w:t>Convertible Notes</w:t>
      </w:r>
      <w:r>
        <w:rPr>
          <w:rFonts w:ascii="Arial" w:cs="Arial" w:eastAsia="Arial" w:hAnsi="Arial"/>
          <w:sz w:val="18"/>
          <w:szCs w:val="18"/>
          <w:color w:val="auto"/>
        </w:rPr>
        <w:t>”), at a closing held pursuant to a convertible note purchase agreement among Gemini and certain investors. The following holders of more than 5% of Gemini’s capital stock participated in note financing. The Notes accrue simple interest at 8% per annum and mature on February 21, 2021. Prior to the Closing, all principal and accrued interest under the Notes shall convert into shares of Gemini’s Series B Preferred Stock.</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3"/>
              <w:spacing w:after="0"/>
              <w:rPr>
                <w:sz w:val="20"/>
                <w:szCs w:val="20"/>
                <w:color w:val="auto"/>
              </w:rPr>
            </w:pPr>
            <w:r>
              <w:rPr>
                <w:rFonts w:ascii="Arial" w:cs="Arial" w:eastAsia="Arial" w:hAnsi="Arial"/>
                <w:sz w:val="16"/>
                <w:szCs w:val="16"/>
                <w:b w:val="1"/>
                <w:bCs w:val="1"/>
                <w:color w:val="auto"/>
                <w:w w:val="94"/>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Amount of Note</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Name of 5% Gemini Stockholder</w:t>
            </w:r>
          </w:p>
        </w:tc>
        <w:tc>
          <w:tcPr>
            <w:tcW w:w="160" w:type="dxa"/>
            <w:vAlign w:val="bottom"/>
          </w:tcPr>
          <w:p>
            <w:pPr>
              <w:spacing w:after="0"/>
              <w:rPr>
                <w:sz w:val="18"/>
                <w:szCs w:val="18"/>
                <w:color w:val="auto"/>
              </w:rPr>
            </w:pPr>
          </w:p>
        </w:tc>
        <w:tc>
          <w:tcPr>
            <w:tcW w:w="1080" w:type="dxa"/>
            <w:vAlign w:val="bottom"/>
          </w:tcPr>
          <w:p>
            <w:pPr>
              <w:jc w:val="center"/>
              <w:ind w:right="73"/>
              <w:spacing w:after="0"/>
              <w:rPr>
                <w:sz w:val="20"/>
                <w:szCs w:val="20"/>
                <w:color w:val="auto"/>
              </w:rPr>
            </w:pPr>
            <w:r>
              <w:rPr>
                <w:rFonts w:ascii="Arial" w:cs="Arial" w:eastAsia="Arial" w:hAnsi="Arial"/>
                <w:sz w:val="16"/>
                <w:szCs w:val="16"/>
                <w:b w:val="1"/>
                <w:bCs w:val="1"/>
                <w:color w:val="auto"/>
                <w:w w:val="87"/>
              </w:rPr>
              <w:t>Purchased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Lightstone Singapore L.P.</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OrbiMed Private Investments VI, LP</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4,887,000</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Atlas Venture Opportunity Fund I, L.P.</w:t>
            </w: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4,361,000</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Wu Capital Investment LLC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1,752,000</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Investors Rights Agreement</w:t>
      </w:r>
    </w:p>
    <w:p>
      <w:pPr>
        <w:spacing w:after="0" w:line="14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In connection with the initial closing of the Series B Preferred Stock financing, Gemini entered into an Amended and Restated Investors Rights Agreement (the “</w:t>
      </w:r>
      <w:r>
        <w:rPr>
          <w:rFonts w:ascii="Arial" w:cs="Arial" w:eastAsia="Arial" w:hAnsi="Arial"/>
          <w:sz w:val="18"/>
          <w:szCs w:val="18"/>
          <w:b w:val="1"/>
          <w:bCs w:val="1"/>
          <w:color w:val="auto"/>
        </w:rPr>
        <w:t>Investors Rights Agreement</w:t>
      </w:r>
      <w:r>
        <w:rPr>
          <w:rFonts w:ascii="Arial" w:cs="Arial" w:eastAsia="Arial" w:hAnsi="Arial"/>
          <w:sz w:val="18"/>
          <w:szCs w:val="18"/>
          <w:color w:val="auto"/>
        </w:rPr>
        <w:t>”) with certain of its investors, including its 5% stockholders. Pursuant to the Investors Agreement, the investors were granted certain demand and registration rights as well as certain information rights. Pursuant to the Merger Agreement and the Gemini Support Agreements, Gemini and its investors have agreed to terminate the Investors Rights Agreement at the Closing.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Agreement</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In connection with the initial closing of the Series B Preferred Stock financing, Gemini entered into an Amended and Restated Voting Agreement (the “</w:t>
      </w:r>
      <w:r>
        <w:rPr>
          <w:rFonts w:ascii="Arial" w:cs="Arial" w:eastAsia="Arial" w:hAnsi="Arial"/>
          <w:sz w:val="16"/>
          <w:szCs w:val="16"/>
          <w:b w:val="1"/>
          <w:bCs w:val="1"/>
          <w:color w:val="auto"/>
        </w:rPr>
        <w:t>Voting Agreement</w:t>
      </w:r>
      <w:r>
        <w:rPr>
          <w:rFonts w:ascii="Arial" w:cs="Arial" w:eastAsia="Arial" w:hAnsi="Arial"/>
          <w:sz w:val="16"/>
          <w:szCs w:val="16"/>
          <w:color w:val="auto"/>
        </w:rPr>
        <w:t>”) with certain of its investors, including its 5% stockholders. Pursuant to the Investors Agreement, certain investors were given the right to designate certain members of Gemini’s board of directors. Pursuant to the Merger Agreement and the Gemini Support Agreements, Gemini and its investors have agreed to terminate the Voting Agreement at the Closing.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Services</w:t>
      </w:r>
    </w:p>
    <w:p>
      <w:pPr>
        <w:spacing w:after="0" w:line="162" w:lineRule="exact"/>
        <w:rPr>
          <w:sz w:val="20"/>
          <w:szCs w:val="20"/>
          <w:color w:val="auto"/>
        </w:rPr>
      </w:pPr>
    </w:p>
    <w:p>
      <w:pPr>
        <w:jc w:val="both"/>
        <w:ind w:left="460" w:right="479"/>
        <w:spacing w:after="0" w:line="274" w:lineRule="auto"/>
        <w:rPr>
          <w:sz w:val="20"/>
          <w:szCs w:val="20"/>
          <w:color w:val="auto"/>
        </w:rPr>
      </w:pPr>
      <w:r>
        <w:rPr>
          <w:rFonts w:ascii="Arial" w:cs="Arial" w:eastAsia="Arial" w:hAnsi="Arial"/>
          <w:sz w:val="17"/>
          <w:szCs w:val="17"/>
          <w:color w:val="auto"/>
        </w:rPr>
        <w:t>On , 2020, Gemini engaged Danforth Advisors, an accounting and finance advisory company managed by Gregg Beloff, Gemini’s Interim Chief Financial Officer. Through September 30, 2020, Gemini has paid</w:t>
      </w:r>
    </w:p>
    <w:p>
      <w:pPr>
        <w:jc w:val="both"/>
        <w:ind w:left="460" w:right="479"/>
        <w:spacing w:after="0" w:line="260" w:lineRule="auto"/>
        <w:rPr>
          <w:sz w:val="20"/>
          <w:szCs w:val="20"/>
          <w:color w:val="auto"/>
        </w:rPr>
      </w:pPr>
      <w:r>
        <w:rPr>
          <w:rFonts w:ascii="Arial" w:cs="Arial" w:eastAsia="Arial" w:hAnsi="Arial"/>
          <w:sz w:val="18"/>
          <w:szCs w:val="18"/>
          <w:color w:val="auto"/>
        </w:rPr>
        <w:t>to Danforth Advisors in exchange for professional services related to accounting, finance and other administrative functions.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Policies for Approval of Related Party Transactions</w:t>
      </w:r>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Gemini’s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5" w:name="page226"/>
    <w:bookmarkEnd w:id="22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Policies and Procedures for Related Party Transactions</w:t>
      </w:r>
    </w:p>
    <w:p>
      <w:pPr>
        <w:spacing w:after="0" w:line="14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Upon the Closing, the Combined Entity will adopt a written related person transaction policy that sets forth the following policies and procedures for the review and approval or ratification of related person transactions.</w:t>
      </w:r>
    </w:p>
    <w:p>
      <w:pPr>
        <w:spacing w:after="0" w:line="56"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A “Related Person Transaction” is a transaction, arrangement or relationship in which Combined Entity or any of its subsidiaries was, is or will be a participant, the amount of which involved exceeds $120,000, and in which any related person had, has or will have a direct or indirect material interest. A “Related Person” means:</w:t>
      </w:r>
    </w:p>
    <w:p>
      <w:pPr>
        <w:spacing w:after="0" w:line="81" w:lineRule="exact"/>
        <w:rPr>
          <w:sz w:val="20"/>
          <w:szCs w:val="20"/>
          <w:color w:val="auto"/>
        </w:rPr>
      </w:pPr>
    </w:p>
    <w:p>
      <w:pPr>
        <w:ind w:left="1320" w:right="479" w:hanging="434"/>
        <w:spacing w:after="0" w:line="277" w:lineRule="auto"/>
        <w:tabs>
          <w:tab w:leader="none" w:pos="147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Combined Entity’s officers or one of Combined Entity’s directors;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person who is known by Combined Entity to be the beneficial owner of more than five percent (5%) of its voting stock;</w:t>
      </w:r>
    </w:p>
    <w:p>
      <w:pPr>
        <w:spacing w:after="0" w:line="102" w:lineRule="exact"/>
        <w:rPr>
          <w:rFonts w:ascii="Arial" w:cs="Arial" w:eastAsia="Arial" w:hAnsi="Arial"/>
          <w:sz w:val="18"/>
          <w:szCs w:val="18"/>
          <w:color w:val="auto"/>
        </w:rPr>
      </w:pPr>
    </w:p>
    <w:p>
      <w:pPr>
        <w:jc w:val="both"/>
        <w:ind w:left="1320" w:right="459" w:hanging="434"/>
        <w:spacing w:after="0" w:line="296" w:lineRule="auto"/>
        <w:tabs>
          <w:tab w:leader="none" w:pos="137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93" w:lineRule="exact"/>
        <w:rPr>
          <w:rFonts w:ascii="Arial" w:cs="Arial" w:eastAsia="Arial" w:hAnsi="Arial"/>
          <w:sz w:val="16"/>
          <w:szCs w:val="16"/>
          <w:color w:val="auto"/>
        </w:rPr>
      </w:pPr>
    </w:p>
    <w:p>
      <w:pPr>
        <w:jc w:val="both"/>
        <w:ind w:left="1320" w:right="459" w:hanging="434"/>
        <w:spacing w:after="0" w:line="263" w:lineRule="auto"/>
        <w:tabs>
          <w:tab w:leader="none" w:pos="135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3"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Combined Entity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6" w:name="page227"/>
    <w:bookmarkEnd w:id="22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Submission of Stockholder Proposals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Board is aware of no other matter that may be brought before the special meeting. Under Delaware law, only business that is specified in the notice of special meeting to stockholders may be transacted at the special meeting.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Future Stockholder Proposals</w:t>
      </w:r>
    </w:p>
    <w:p>
      <w:pPr>
        <w:spacing w:after="0" w:line="162" w:lineRule="exact"/>
        <w:rPr>
          <w:sz w:val="20"/>
          <w:szCs w:val="20"/>
          <w:color w:val="auto"/>
        </w:rPr>
      </w:pPr>
    </w:p>
    <w:p>
      <w:pPr>
        <w:ind w:left="460"/>
        <w:spacing w:after="0"/>
        <w:tabs>
          <w:tab w:leader="none" w:pos="7380" w:val="left"/>
        </w:tabs>
        <w:rPr>
          <w:sz w:val="20"/>
          <w:szCs w:val="20"/>
          <w:color w:val="auto"/>
        </w:rPr>
      </w:pPr>
      <w:r>
        <w:rPr>
          <w:rFonts w:ascii="Arial" w:cs="Arial" w:eastAsia="Arial" w:hAnsi="Arial"/>
          <w:sz w:val="18"/>
          <w:szCs w:val="18"/>
          <w:color w:val="auto"/>
        </w:rPr>
        <w:t>We anticipate that the 2021 annual meeting of stockholders will be held no later than</w:t>
      </w:r>
      <w:r>
        <w:rPr>
          <w:sz w:val="20"/>
          <w:szCs w:val="20"/>
          <w:color w:val="auto"/>
        </w:rPr>
        <w:tab/>
      </w:r>
      <w:r>
        <w:rPr>
          <w:rFonts w:ascii="Arial" w:cs="Arial" w:eastAsia="Arial" w:hAnsi="Arial"/>
          <w:sz w:val="17"/>
          <w:szCs w:val="17"/>
          <w:color w:val="auto"/>
        </w:rPr>
        <w:t>, 2021. For any</w:t>
      </w:r>
    </w:p>
    <w:p>
      <w:pPr>
        <w:spacing w:after="0" w:line="23" w:lineRule="exact"/>
        <w:rPr>
          <w:sz w:val="20"/>
          <w:szCs w:val="20"/>
          <w:color w:val="auto"/>
        </w:rPr>
      </w:pPr>
    </w:p>
    <w:p>
      <w:pPr>
        <w:jc w:val="both"/>
        <w:ind w:left="460" w:right="459"/>
        <w:spacing w:after="0" w:line="281" w:lineRule="auto"/>
        <w:rPr>
          <w:sz w:val="20"/>
          <w:szCs w:val="20"/>
          <w:color w:val="auto"/>
        </w:rPr>
      </w:pPr>
      <w:r>
        <w:rPr>
          <w:rFonts w:ascii="Arial" w:cs="Arial" w:eastAsia="Arial" w:hAnsi="Arial"/>
          <w:sz w:val="16"/>
          <w:szCs w:val="16"/>
          <w:color w:val="auto"/>
        </w:rPr>
        <w:t>proposal to be considered for inclusion in our proxy statement and form of proxy for submission to the stockholders at our 2021 annual meeting of stockholders, it must be submitted in writing and comply with the requirements of Rule 14a-8 of the Exchange Act and the Current By-laws. Assuming the meeting is held on or</w:t>
      </w:r>
    </w:p>
    <w:p>
      <w:pPr>
        <w:spacing w:after="0" w:line="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7"/>
          <w:szCs w:val="17"/>
          <w:color w:val="auto"/>
        </w:rPr>
        <w:t>about , 2021, such proposals must be received by the Combined Entity at its offices at c/o Gemini Therapeutics, 300 One Kendall Square, 3</w:t>
      </w:r>
      <w:r>
        <w:rPr>
          <w:rFonts w:ascii="Arial" w:cs="Arial" w:eastAsia="Arial" w:hAnsi="Arial"/>
          <w:sz w:val="19"/>
          <w:szCs w:val="19"/>
          <w:color w:val="auto"/>
          <w:vertAlign w:val="superscript"/>
        </w:rPr>
        <w:t>rd</w:t>
      </w:r>
      <w:r>
        <w:rPr>
          <w:rFonts w:ascii="Arial" w:cs="Arial" w:eastAsia="Arial" w:hAnsi="Arial"/>
          <w:sz w:val="17"/>
          <w:szCs w:val="17"/>
          <w:color w:val="auto"/>
        </w:rPr>
        <w:t xml:space="preserve"> Floor, Cambridge, Massachusetts 02139, within a reasonable time before the Combined Entity begins to print and send its proxy materials for the meeting.</w:t>
      </w:r>
    </w:p>
    <w:p>
      <w:pPr>
        <w:spacing w:after="0" w:line="114" w:lineRule="exact"/>
        <w:rPr>
          <w:sz w:val="20"/>
          <w:szCs w:val="20"/>
          <w:color w:val="auto"/>
        </w:rPr>
      </w:pPr>
    </w:p>
    <w:p>
      <w:pPr>
        <w:jc w:val="both"/>
        <w:ind w:left="460" w:right="459"/>
        <w:spacing w:after="0" w:line="274" w:lineRule="auto"/>
        <w:rPr>
          <w:sz w:val="20"/>
          <w:szCs w:val="20"/>
          <w:color w:val="auto"/>
        </w:rPr>
      </w:pPr>
      <w:r>
        <w:rPr>
          <w:rFonts w:ascii="Arial" w:cs="Arial" w:eastAsia="Arial" w:hAnsi="Arial"/>
          <w:sz w:val="16"/>
          <w:szCs w:val="16"/>
          <w:color w:val="auto"/>
        </w:rPr>
        <w:t>In addition, the Amended By-laws, which will be effective upon the Closing, provide notice procedures for stockholders to propose business (other than director nominations) to be considered by stockholders at a meeting. To be timely, a stockholder’s notice must be received by the Secretary at the principal executive offices of the Combined Entity not later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30 days after such anniversary of the preceding year’s annual meeting, notice by the stockholder to be timely must be so received no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and no later than the close of business on the later of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or the tenth day following the day on which public announcement of the date such meeting is first made. Thus, for our 2021 annual meeting of stockholders, notice of a proposal must be delivered</w:t>
      </w:r>
    </w:p>
    <w:p>
      <w:pPr>
        <w:spacing w:after="0" w:line="1"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to our Secretary no later than , 2021 and no earlier than , 2021. The Chairperson of the Combined Entity’s board of directors may refuse to acknowledge the introduction of any stockholder proposal not made in compliance with the foregoing procedures.</w:t>
      </w:r>
    </w:p>
    <w:p>
      <w:pPr>
        <w:spacing w:after="0" w:line="10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Further, the Amended By-laws, which will be effective upon the Closing, provide notice procedures for stockholders to nominate a person as a director to be considered by stockholders at a meeting. To be timely, a stockholder’s notice must be received by the Secretary at the principal executive offices of the Combined Entity</w:t>
      </w:r>
    </w:p>
    <w:p>
      <w:pPr>
        <w:spacing w:after="0" w:line="2" w:lineRule="exact"/>
        <w:rPr>
          <w:sz w:val="20"/>
          <w:szCs w:val="20"/>
          <w:color w:val="auto"/>
        </w:rPr>
      </w:pPr>
    </w:p>
    <w:p>
      <w:pPr>
        <w:jc w:val="both"/>
        <w:ind w:left="460" w:right="459" w:hanging="6"/>
        <w:spacing w:after="0" w:line="265" w:lineRule="auto"/>
        <w:tabs>
          <w:tab w:leader="none" w:pos="70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in the case of an annual meeting, not later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preceding year’s annual meeting, notice by the stockholder to be timely must be so received no earlier than the close of business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such annual meeting or the tenth day following the day on which public announcement of the date of such meeting was first made. Thus, for our 2021 annual meeting of stockholders,</w:t>
      </w:r>
    </w:p>
    <w:p>
      <w:pPr>
        <w:spacing w:after="0" w:line="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notice of a nomination must be delivered to our Secretary no later than , 2021 and no earlier than , 2021. The Chairperson of the Combined Entity’s board of directors may refuse to acknowledge the introduction of any stockholder nomination not made in compliance with the foregoing procedures.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Communications</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Stockholders and interested parties may communicate with the Board, any committee chairperson or the non-management directors as a group by writing to the board or committee chairperson in care FS Development, 600 Montgomery Street, Suite 4500, San Francisco, California 94111. Following the Business Combination, such communications should be sent to Gemini Therapeutics, 300 One Kendall Square, 3</w:t>
      </w:r>
      <w:r>
        <w:rPr>
          <w:rFonts w:ascii="Arial" w:cs="Arial" w:eastAsia="Arial" w:hAnsi="Arial"/>
          <w:sz w:val="18"/>
          <w:szCs w:val="18"/>
          <w:color w:val="auto"/>
          <w:vertAlign w:val="superscript"/>
        </w:rPr>
        <w:t>rd</w:t>
      </w:r>
      <w:r>
        <w:rPr>
          <w:rFonts w:ascii="Arial" w:cs="Arial" w:eastAsia="Arial" w:hAnsi="Arial"/>
          <w:sz w:val="16"/>
          <w:szCs w:val="16"/>
          <w:color w:val="auto"/>
        </w:rPr>
        <w:t xml:space="preserve"> Floor, Cambridge, Massachusetts 02139. Each communication will be forwarded, depending on the subject matter, to the board of directors, the appropriate committee chairperson or all non-management directors.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validity of the shares of Class A Common Stock to be issued in connection with the Business Combination will be passed upon by White &amp; Case LLP, New York, New York.</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7" w:name="page228"/>
    <w:bookmarkEnd w:id="22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financial statements of FS Development as of June 30, 2020, and for the period from June 25, 2020 (inception) through June 30, 2020 appearing in this proxy statement/prospectus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20"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financial statements of Gemini Therapeutics, Inc. as of December 31, 2018 and December 31, 2019, and for the years then ended included in the Proxy Statement of FS Development Corp., which is referred to and made part of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Pursuant to the rules of the SEC, FS Development and servicers that it employs to deliver communications to its stockholders are permitted to deliver to two or more stockholders sharing the same address a single copy of this proxy statement/prospectus. Upon written or oral request, FS Development will deliver a separate copy of this proxy statement/prospectus to any stockholder at a shared address to which a single copy of this proxy statement/prospectus was delivered and who wishes to receive separate copies in the future. Stockholders receiving multiple copies of this proxy statement/prospectus may likewise request delivery of single copies of this proxy statement/prospectus in the future. Stockholders may notify FS Development of their requests by calling or writing FS Development at its principal executive offices 600 Montgomery Street, Suite 4500, San Francisco, California 94111.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The registrar and transfer agent for the shares of Common Stock is Continental Stock Transfer &amp; Trust Company. FS Development has agreed to indemnify Continental Stock Transfer &amp; Trust Company in its role as transfer agent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8" w:name="page229"/>
    <w:bookmarkEnd w:id="22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 xml:space="preserve">We file reports, proxy statements and other information with the SEC as required by the Exchange Act. You can read FS Development’s SEC filings, including this proxy statement/prospectus,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or the proposals to be presented at the Special Meeting, you should contact FS Development by telephone or in writing:</w:t>
      </w:r>
    </w:p>
    <w:p>
      <w:pPr>
        <w:spacing w:after="0" w:line="11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You may also obtain these documents by requesting them in writing or by telephone from FS Development’s proxy solicitation agent at the following address and telephone number: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Morrow Sodali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Stamford CT 06902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Individuals call toll-free (800) 662-5200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Banks and brokers call (203) 658-9400Email: FSDC.info@investor.morrowsodali.com</w:t>
      </w:r>
    </w:p>
    <w:p>
      <w:pPr>
        <w:spacing w:after="0" w:line="13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If you are a stockholder of FS Development and would like to request documents, please do so by one week prior to the Special Meeting in order to receive them before the Special Meeting. If you request any documents from FS Development, FS Development will mail them to you by first class mail, or another equally prompt means.</w:t>
      </w:r>
    </w:p>
    <w:p>
      <w:pPr>
        <w:spacing w:after="0" w:line="11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All information contained in this proxy statement/prospectus relating to FS Development has been supplied by FS Development, and all such information relating to Gemini has been supplied by Gemini. Information provided by either FS Development or Gemini does not constitute any representation, estimate or projection of any other party.</w:t>
      </w:r>
    </w:p>
    <w:p>
      <w:pPr>
        <w:spacing w:after="0" w:line="11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This document is a proxy statement/prospectus of FS Development for the Special Meeting. FS Development has not authorized anyone to give any information or make any representation about the Business Combination, FS Development or Gemini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9" w:name="page230"/>
    <w:bookmarkEnd w:id="22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6"/>
                <w:szCs w:val="16"/>
                <w:b w:val="1"/>
                <w:bCs w:val="1"/>
                <w:color w:val="auto"/>
              </w:rPr>
              <w:t>Page</w:t>
            </w:r>
          </w:p>
        </w:tc>
      </w:tr>
      <w:tr>
        <w:trPr>
          <w:trHeight w:val="210"/>
        </w:trPr>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r>
      <w:tr>
        <w:trPr>
          <w:trHeight w:val="46"/>
        </w:trPr>
        <w:tc>
          <w:tcPr>
            <w:tcW w:w="18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214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57"/>
        </w:trPr>
        <w:tc>
          <w:tcPr>
            <w:tcW w:w="73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FS Development Corp.</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gridSpan w:val="9"/>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Report of Independent Registered Public Accounting Firm</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40"/>
        </w:trPr>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Balance Sheets as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243"/>
        </w:trPr>
        <w:tc>
          <w:tcPr>
            <w:tcW w:w="7360" w:type="dxa"/>
            <w:vAlign w:val="bottom"/>
            <w:gridSpan w:val="9"/>
          </w:tcPr>
          <w:p>
            <w:pPr>
              <w:spacing w:after="0"/>
              <w:rPr>
                <w:rFonts w:ascii="Arial" w:cs="Arial" w:eastAsia="Arial" w:hAnsi="Arial"/>
                <w:sz w:val="18"/>
                <w:szCs w:val="18"/>
                <w:u w:val="single" w:color="auto"/>
                <w:color w:val="0000EE"/>
                <w:w w:val="97"/>
              </w:rPr>
            </w:pPr>
            <w:hyperlink w:anchor="page233">
              <w:r>
                <w:rPr>
                  <w:rFonts w:ascii="Arial" w:cs="Arial" w:eastAsia="Arial" w:hAnsi="Arial"/>
                  <w:sz w:val="18"/>
                  <w:szCs w:val="18"/>
                  <w:u w:val="single" w:color="auto"/>
                  <w:color w:val="0000EE"/>
                  <w:w w:val="97"/>
                </w:rPr>
                <w:t>Statements of Operations for the period from June 25, 2020 (inception) through June 30, 2020</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0"/>
        </w:trPr>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6"/>
        </w:trPr>
        <w:tc>
          <w:tcPr>
            <w:tcW w:w="66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234">
              <w:r>
                <w:rPr>
                  <w:rFonts w:ascii="Arial" w:cs="Arial" w:eastAsia="Arial" w:hAnsi="Arial"/>
                  <w:sz w:val="18"/>
                  <w:szCs w:val="18"/>
                  <w:color w:val="0000EE"/>
                  <w:w w:val="91"/>
                </w:rPr>
                <w:t>Statement of Changes in Stockholder’s Equity for the period from June 25, 2020 (inception)</w:t>
              </w:r>
            </w:hyperlink>
          </w:p>
        </w:tc>
        <w:tc>
          <w:tcPr>
            <w:tcW w:w="680" w:type="dxa"/>
            <w:vAlign w:val="bottom"/>
            <w:tcBorders>
              <w:bottom w:val="single" w:sz="8" w:color="CCEEFF"/>
            </w:tcBorders>
            <w:gridSpan w:val="4"/>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8"/>
            <w:shd w:val="clear" w:color="auto" w:fill="CCEEFF"/>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through June 30, 2020</w:t>
              </w:r>
            </w:hyperlink>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21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9"/>
          </w:tcPr>
          <w:p>
            <w:pPr>
              <w:spacing w:after="0"/>
              <w:rPr>
                <w:rFonts w:ascii="Arial" w:cs="Arial" w:eastAsia="Arial" w:hAnsi="Arial"/>
                <w:sz w:val="18"/>
                <w:szCs w:val="18"/>
                <w:u w:val="single" w:color="auto"/>
                <w:color w:val="0000EE"/>
                <w:w w:val="98"/>
              </w:rPr>
            </w:pPr>
            <w:hyperlink w:anchor="page235">
              <w:r>
                <w:rPr>
                  <w:rFonts w:ascii="Arial" w:cs="Arial" w:eastAsia="Arial" w:hAnsi="Arial"/>
                  <w:sz w:val="18"/>
                  <w:szCs w:val="18"/>
                  <w:u w:val="single" w:color="auto"/>
                  <w:color w:val="0000EE"/>
                  <w:w w:val="98"/>
                </w:rPr>
                <w:t>Statement of Cash Flows for the period from June 25, 2020 (inception) through June 30, 2020</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0"/>
        </w:trPr>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736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Notes to Financial Statements</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F-7</w:t>
            </w:r>
          </w:p>
        </w:tc>
      </w:tr>
      <w:tr>
        <w:trPr>
          <w:trHeight w:val="283"/>
        </w:trPr>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3"/>
        </w:trPr>
        <w:tc>
          <w:tcPr>
            <w:tcW w:w="73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Gemini Therapeutics, Inc.</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gridSpan w:val="9"/>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Report of Independent Registered Public Accounting Firm</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1"/>
              </w:rPr>
              <w:t>F-15</w:t>
            </w:r>
          </w:p>
        </w:tc>
      </w:tr>
      <w:tr>
        <w:trPr>
          <w:trHeight w:val="40"/>
        </w:trPr>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Balance Sheets as of December 31, 2018 and 2019, and (unaudited) as of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F-16</w:t>
            </w:r>
          </w:p>
        </w:tc>
      </w:tr>
      <w:tr>
        <w:trPr>
          <w:trHeight w:val="176"/>
        </w:trPr>
        <w:tc>
          <w:tcPr>
            <w:tcW w:w="6860" w:type="dxa"/>
            <w:vAlign w:val="bottom"/>
            <w:tcBorders>
              <w:bottom w:val="single" w:sz="8" w:color="0000EE"/>
            </w:tcBorders>
            <w:gridSpan w:val="6"/>
          </w:tcPr>
          <w:p>
            <w:pPr>
              <w:spacing w:after="0" w:line="176" w:lineRule="exact"/>
              <w:rPr>
                <w:rFonts w:ascii="Arial" w:cs="Arial" w:eastAsia="Arial" w:hAnsi="Arial"/>
                <w:sz w:val="18"/>
                <w:szCs w:val="18"/>
                <w:color w:val="0000EE"/>
                <w:w w:val="88"/>
              </w:rPr>
            </w:pPr>
            <w:hyperlink w:anchor="page246">
              <w:r>
                <w:rPr>
                  <w:rFonts w:ascii="Arial" w:cs="Arial" w:eastAsia="Arial" w:hAnsi="Arial"/>
                  <w:sz w:val="18"/>
                  <w:szCs w:val="18"/>
                  <w:color w:val="0000EE"/>
                  <w:w w:val="88"/>
                </w:rPr>
                <w:t>Statements of Operations and Comprehensive Loss for the years ended December 31, 2018 and</w:t>
              </w:r>
            </w:hyperlink>
          </w:p>
        </w:tc>
        <w:tc>
          <w:tcPr>
            <w:tcW w:w="50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8"/>
          </w:tcPr>
          <w:p>
            <w:pPr>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2019, and (unaudited) for the six months ended June 30, 2019 and 2020</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F-17</w:t>
            </w:r>
          </w:p>
        </w:tc>
      </w:tr>
      <w:tr>
        <w:trPr>
          <w:trHeight w:val="61"/>
        </w:trPr>
        <w:tc>
          <w:tcPr>
            <w:tcW w:w="180" w:type="dxa"/>
            <w:vAlign w:val="bottom"/>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70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247">
              <w:r>
                <w:rPr>
                  <w:rFonts w:ascii="Arial" w:cs="Arial" w:eastAsia="Arial" w:hAnsi="Arial"/>
                  <w:sz w:val="18"/>
                  <w:szCs w:val="18"/>
                  <w:color w:val="0000EE"/>
                  <w:w w:val="90"/>
                </w:rPr>
                <w:t>Statements of Convertible Preferred Stock and Stockholders’ Equity (Deficit) for the years ended</w:t>
              </w:r>
            </w:hyperlink>
          </w:p>
        </w:tc>
        <w:tc>
          <w:tcPr>
            <w:tcW w:w="36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w w:val="92"/>
              </w:rPr>
            </w:pPr>
            <w:hyperlink w:anchor="page247">
              <w:r>
                <w:rPr>
                  <w:rFonts w:ascii="Arial" w:cs="Arial" w:eastAsia="Arial" w:hAnsi="Arial"/>
                  <w:sz w:val="18"/>
                  <w:szCs w:val="18"/>
                  <w:u w:val="single" w:color="auto"/>
                  <w:color w:val="0000EE"/>
                  <w:w w:val="92"/>
                </w:rPr>
                <w:t>December 31, 2018 and 2019, and (unaudited) for the six months ended June 30, 2019 and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F-18</w:t>
            </w:r>
          </w:p>
        </w:tc>
      </w:tr>
      <w:tr>
        <w:trPr>
          <w:trHeight w:val="176"/>
        </w:trPr>
        <w:tc>
          <w:tcPr>
            <w:tcW w:w="7200" w:type="dxa"/>
            <w:vAlign w:val="bottom"/>
            <w:tcBorders>
              <w:bottom w:val="single" w:sz="8" w:color="0000EE"/>
            </w:tcBorders>
            <w:gridSpan w:val="8"/>
          </w:tcPr>
          <w:p>
            <w:pPr>
              <w:spacing w:after="0" w:line="176" w:lineRule="exact"/>
              <w:rPr>
                <w:rFonts w:ascii="Arial" w:cs="Arial" w:eastAsia="Arial" w:hAnsi="Arial"/>
                <w:sz w:val="18"/>
                <w:szCs w:val="18"/>
                <w:color w:val="0000EE"/>
                <w:w w:val="89"/>
              </w:rPr>
            </w:pPr>
            <w:hyperlink w:anchor="page249">
              <w:r>
                <w:rPr>
                  <w:rFonts w:ascii="Arial" w:cs="Arial" w:eastAsia="Arial" w:hAnsi="Arial"/>
                  <w:sz w:val="18"/>
                  <w:szCs w:val="18"/>
                  <w:color w:val="0000EE"/>
                  <w:w w:val="89"/>
                </w:rPr>
                <w:t>Statements of Cash Flows for the years ended December 31, 2018 and 2019, and (unaudited) for the</w:t>
              </w:r>
            </w:hyperlink>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8"/>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six months ended June 30, 2019 and 2020</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F-19</w:t>
            </w:r>
          </w:p>
        </w:tc>
      </w:tr>
      <w:tr>
        <w:trPr>
          <w:trHeight w:val="61"/>
        </w:trPr>
        <w:tc>
          <w:tcPr>
            <w:tcW w:w="180" w:type="dxa"/>
            <w:vAlign w:val="bottom"/>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2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63"/>
        </w:trPr>
        <w:tc>
          <w:tcPr>
            <w:tcW w:w="736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250">
              <w:r>
                <w:rPr>
                  <w:rFonts w:ascii="Arial" w:cs="Arial" w:eastAsia="Arial" w:hAnsi="Arial"/>
                  <w:sz w:val="18"/>
                  <w:szCs w:val="18"/>
                  <w:u w:val="single" w:color="auto"/>
                  <w:color w:val="0000EE"/>
                </w:rPr>
                <w:t>Notes to Financial Statements</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F-20</w:t>
            </w:r>
          </w:p>
        </w:tc>
      </w:tr>
      <w:tr>
        <w:trPr>
          <w:trHeight w:val="392"/>
        </w:trPr>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color w:val="auto"/>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30" w:name="page231"/>
    <w:bookmarkEnd w:id="23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FS Development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11,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1" w:name="page232"/>
    <w:bookmarkEnd w:id="231"/>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FS DEVELOPMENT CORP.</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June 30, 2020</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assets: Cash</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proposed public offering</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53,000</w:t>
            </w: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78,000</w:t>
            </w:r>
          </w:p>
        </w:tc>
        <w:tc>
          <w:tcPr>
            <w:tcW w:w="140" w:type="dxa"/>
            <w:vAlign w:val="bottom"/>
            <w:tcBorders>
              <w:bottom w:val="single" w:sz="8" w:color="CCEEFF"/>
            </w:tcBorders>
          </w:tcPr>
          <w:p>
            <w:pPr>
              <w:spacing w:after="0"/>
              <w:rPr>
                <w:sz w:val="24"/>
                <w:szCs w:val="24"/>
                <w:color w:val="auto"/>
              </w:rPr>
            </w:pPr>
          </w:p>
        </w:tc>
      </w:tr>
      <w:tr>
        <w:trPr>
          <w:trHeight w:val="251"/>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54,500</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Preferred stock, $0.0001 par value; 1,000,000 shares authorized; none issued and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2"/>
              </w:rPr>
              <w:t>Class A common stock, $0.0001 par value; 100,000,000 shares authorized; none issued and</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B common stock, $0.0001 par value; 10,000,000 shares authorized; 3,018,750 shares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w:t>
            </w:r>
            <w:r>
              <w:rPr>
                <w:rFonts w:ascii="Arial" w:cs="Arial" w:eastAsia="Arial" w:hAnsi="Arial"/>
                <w:sz w:val="20"/>
                <w:szCs w:val="20"/>
                <w:color w:val="auto"/>
                <w:vertAlign w:val="superscript"/>
              </w:rPr>
              <w:t>(1)(2)</w:t>
            </w:r>
          </w:p>
        </w:tc>
        <w:tc>
          <w:tcPr>
            <w:tcW w:w="3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24,698</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66" w:lineRule="auto"/>
        <w:tabs>
          <w:tab w:leader="none" w:pos="89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This number includes up to 393,750 shares of Class B common stock subject to forfeiture by our sponsor if the over-allotment option is not exercised in full or in part by the underwriters.</w:t>
      </w:r>
    </w:p>
    <w:p>
      <w:pPr>
        <w:spacing w:after="0" w:line="1" w:lineRule="exact"/>
        <w:rPr>
          <w:rFonts w:ascii="Arial" w:cs="Arial" w:eastAsia="Arial" w:hAnsi="Arial"/>
          <w:sz w:val="16"/>
          <w:szCs w:val="16"/>
          <w:color w:val="auto"/>
        </w:rPr>
      </w:pPr>
    </w:p>
    <w:p>
      <w:pPr>
        <w:ind w:left="880" w:right="479" w:hanging="426"/>
        <w:spacing w:after="0" w:line="288" w:lineRule="auto"/>
        <w:tabs>
          <w:tab w:leader="none" w:pos="105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shares and the associated amounts have been retroactively restated to reflect a 1:1.05 stock split of each outstanding share of Class B common stock in August 2020 (see Note 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2" w:name="page233"/>
    <w:bookmarkEnd w:id="232"/>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FS DEVELOPMENT CORP.</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STATEMENT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For the period from June 25, 2020 (inception) through June 30, 2020</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(1)(2)</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59" w:hanging="426"/>
        <w:spacing w:after="0" w:line="266" w:lineRule="auto"/>
        <w:tabs>
          <w:tab w:leader="none" w:pos="95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This number excludes an aggregate of up to 393,750 shares of Class B common stock subject to forfeiture by our sponsor if the over-allotment option is not exercised in full or in part by the underwriters.</w:t>
      </w:r>
    </w:p>
    <w:p>
      <w:pPr>
        <w:spacing w:after="0" w:line="1" w:lineRule="exact"/>
        <w:rPr>
          <w:rFonts w:ascii="Arial" w:cs="Arial" w:eastAsia="Arial" w:hAnsi="Arial"/>
          <w:sz w:val="16"/>
          <w:szCs w:val="16"/>
          <w:color w:val="auto"/>
        </w:rPr>
      </w:pPr>
    </w:p>
    <w:p>
      <w:pPr>
        <w:ind w:left="880" w:right="479" w:hanging="426"/>
        <w:spacing w:after="0" w:line="288" w:lineRule="auto"/>
        <w:tabs>
          <w:tab w:leader="none" w:pos="105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shares and the associated amounts have been retroactively restated to reflect a 1:1.05 stock split of each outstanding share of Class B common stock in August 2020 (see Note 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3" w:name="page234"/>
    <w:bookmarkEnd w:id="23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211" w:lineRule="exact"/>
        <w:rPr>
          <w:sz w:val="20"/>
          <w:szCs w:val="20"/>
          <w:color w:val="auto"/>
        </w:rPr>
      </w:pPr>
    </w:p>
    <w:tbl>
      <w:tblPr>
        <w:tblLayout w:type="fixed"/>
        <w:tblInd w:w="2520" w:type="dxa"/>
        <w:tblCellMar>
          <w:top w:w="0" w:type="dxa"/>
          <w:left w:w="0" w:type="dxa"/>
          <w:bottom w:w="0" w:type="dxa"/>
          <w:right w:w="0" w:type="dxa"/>
        </w:tblCellMar>
      </w:tblPr>
      <w:tr>
        <w:trPr>
          <w:trHeight w:val="210"/>
        </w:trPr>
        <w:tc>
          <w:tcPr>
            <w:tcW w:w="3040" w:type="dxa"/>
            <w:vAlign w:val="bottom"/>
            <w:gridSpan w:val="3"/>
          </w:tcPr>
          <w:p>
            <w:pPr>
              <w:ind w:left="980"/>
              <w:spacing w:after="0"/>
              <w:rPr>
                <w:sz w:val="20"/>
                <w:szCs w:val="20"/>
                <w:color w:val="auto"/>
              </w:rPr>
            </w:pPr>
            <w:r>
              <w:rPr>
                <w:rFonts w:ascii="Arial" w:cs="Arial" w:eastAsia="Arial" w:hAnsi="Arial"/>
                <w:sz w:val="16"/>
                <w:szCs w:val="16"/>
                <w:b w:val="1"/>
                <w:bCs w:val="1"/>
                <w:color w:val="auto"/>
              </w:rPr>
              <w:t>Common Stock</w:t>
            </w: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Class A</w:t>
            </w:r>
          </w:p>
        </w:tc>
        <w:tc>
          <w:tcPr>
            <w:tcW w:w="150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Class B</w:t>
            </w:r>
          </w:p>
        </w:tc>
        <w:tc>
          <w:tcPr>
            <w:tcW w:w="9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54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90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7"/>
              </w:rPr>
              <w:t>Paid-In</w:t>
            </w:r>
          </w:p>
        </w:tc>
        <w:tc>
          <w:tcPr>
            <w:tcW w:w="98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Shares   Amount</w:t>
            </w:r>
          </w:p>
        </w:tc>
        <w:tc>
          <w:tcPr>
            <w:tcW w:w="24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   Amount   Capital</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Total</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Stockholder’s</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Equity</w:t>
      </w:r>
    </w:p>
    <w:p>
      <w:pPr>
        <w:spacing w:after="0" w:line="15" w:lineRule="exact"/>
        <w:rPr>
          <w:sz w:val="20"/>
          <w:szCs w:val="20"/>
          <w:color w:val="auto"/>
        </w:rPr>
      </w:pPr>
    </w:p>
    <w:p>
      <w:pPr>
        <w:sectPr>
          <w:pgSz w:w="11900" w:h="16838" w:orient="portrait"/>
          <w:cols w:equalWidth="0" w:num="2">
            <w:col w:w="7440" w:space="180"/>
            <w:col w:w="1399"/>
          </w:cols>
          <w:pgMar w:left="1440" w:top="274" w:right="1440" w:bottom="1440" w:gutter="0" w:footer="0" w:header="0"/>
        </w:sectPr>
      </w:pPr>
    </w:p>
    <w:tbl>
      <w:tblPr>
        <w:tblLayout w:type="fixed"/>
        <w:tblInd w:w="460" w:type="dxa"/>
        <w:tblCellMar>
          <w:top w:w="0" w:type="dxa"/>
          <w:left w:w="0" w:type="dxa"/>
          <w:bottom w:w="0" w:type="dxa"/>
          <w:right w:w="0" w:type="dxa"/>
        </w:tblCellMar>
      </w:tblPr>
      <w:tr>
        <w:trPr>
          <w:trHeight w:val="198"/>
        </w:trPr>
        <w:tc>
          <w:tcPr>
            <w:tcW w:w="206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Balance – June 25, 2020</w:t>
            </w: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b w:val="1"/>
                <w:bCs w:val="1"/>
                <w:color w:val="auto"/>
              </w:rPr>
              <w:t>— $</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w:t>
            </w: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Issuance of Class B</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common stock to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60" w:type="dxa"/>
            <w:vAlign w:val="bottom"/>
          </w:tcPr>
          <w:p>
            <w:pPr>
              <w:ind w:left="180"/>
              <w:spacing w:after="0"/>
              <w:rPr>
                <w:sz w:val="20"/>
                <w:szCs w:val="20"/>
                <w:color w:val="auto"/>
              </w:rPr>
            </w:pPr>
            <w:r>
              <w:rPr>
                <w:rFonts w:ascii="Arial" w:cs="Arial" w:eastAsia="Arial" w:hAnsi="Arial"/>
                <w:sz w:val="18"/>
                <w:szCs w:val="18"/>
                <w:color w:val="auto"/>
              </w:rPr>
              <w:t xml:space="preserve">Sponsor </w:t>
            </w:r>
            <w:r>
              <w:rPr>
                <w:rFonts w:ascii="Arial" w:cs="Arial" w:eastAsia="Arial" w:hAnsi="Arial"/>
                <w:sz w:val="20"/>
                <w:szCs w:val="20"/>
                <w:color w:val="auto"/>
                <w:vertAlign w:val="superscript"/>
              </w:rPr>
              <w:t>(1)(2)</w:t>
            </w:r>
          </w:p>
        </w:tc>
        <w:tc>
          <w:tcPr>
            <w:tcW w:w="10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3,018,750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24,698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w w:val="98"/>
              </w:rPr>
              <w:t>Balance – June 30, 2020</w:t>
            </w: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vMerge w:val="continue"/>
          </w:tcPr>
          <w:p>
            <w:pPr>
              <w:spacing w:after="0"/>
              <w:rPr>
                <w:sz w:val="21"/>
                <w:szCs w:val="21"/>
                <w:color w:val="auto"/>
              </w:rPr>
            </w:pPr>
          </w:p>
        </w:tc>
        <w:tc>
          <w:tcPr>
            <w:tcW w:w="1040" w:type="dxa"/>
            <w:vAlign w:val="bottom"/>
            <w:gridSpan w:val="3"/>
          </w:tcPr>
          <w:p>
            <w:pPr>
              <w:ind w:left="460"/>
              <w:spacing w:after="0"/>
              <w:rPr>
                <w:sz w:val="20"/>
                <w:szCs w:val="20"/>
                <w:color w:val="auto"/>
              </w:rPr>
            </w:pPr>
            <w:r>
              <w:rPr>
                <w:rFonts w:ascii="Arial" w:cs="Arial" w:eastAsia="Arial" w:hAnsi="Arial"/>
                <w:sz w:val="18"/>
                <w:szCs w:val="18"/>
                <w:b w:val="1"/>
                <w:bCs w:val="1"/>
                <w:color w:val="auto"/>
              </w:rPr>
              <w:t>— $</w:t>
            </w:r>
          </w:p>
        </w:tc>
        <w:tc>
          <w:tcPr>
            <w:tcW w:w="5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3,018,750</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302</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24,698</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23,500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66" w:lineRule="auto"/>
        <w:tabs>
          <w:tab w:leader="none" w:pos="89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This number includes up to 393,750 shares of Class B common stock subject to forfeiture by our sponsor if the over-allotment option is not exercised in full or in part by the underwriters.</w:t>
      </w:r>
    </w:p>
    <w:p>
      <w:pPr>
        <w:spacing w:after="0" w:line="1" w:lineRule="exact"/>
        <w:rPr>
          <w:rFonts w:ascii="Arial" w:cs="Arial" w:eastAsia="Arial" w:hAnsi="Arial"/>
          <w:sz w:val="16"/>
          <w:szCs w:val="16"/>
          <w:color w:val="auto"/>
        </w:rPr>
      </w:pPr>
    </w:p>
    <w:p>
      <w:pPr>
        <w:ind w:left="880" w:right="479" w:hanging="426"/>
        <w:spacing w:after="0" w:line="288" w:lineRule="auto"/>
        <w:tabs>
          <w:tab w:leader="none" w:pos="105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shares and the associated amounts have been retroactively restated to reflect a 1:1.05 stock split of each outstanding share of Class B common stock in August 2020 (see Note 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4" w:name="page235"/>
    <w:bookmarkEnd w:id="234"/>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FS DEVELOPMENT CORP.</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STATEMENT OF CASH FLOWS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For the period from June 25, 2020 (inception) through June 30, 2020</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5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Proceeds from issuance of Class B common stock to Sponsor</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increase in cash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end of the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25,000</w:t>
      </w:r>
    </w:p>
    <w:p>
      <w:pPr>
        <w:spacing w:after="0" w:line="63"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25,000</w:t>
      </w:r>
    </w:p>
    <w:p>
      <w:pPr>
        <w:spacing w:after="0" w:line="90"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w:t>
      </w:r>
    </w:p>
    <w:p>
      <w:pPr>
        <w:spacing w:after="0" w:line="73" w:lineRule="exact"/>
        <w:rPr>
          <w:sz w:val="20"/>
          <w:szCs w:val="20"/>
          <w:color w:val="auto"/>
        </w:rPr>
      </w:pPr>
    </w:p>
    <w:p>
      <w:pPr>
        <w:ind w:left="608" w:hanging="608"/>
        <w:spacing w:after="0"/>
        <w:tabs>
          <w:tab w:leader="none" w:pos="608"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029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00" w:lineRule="exact"/>
        <w:rPr>
          <w:sz w:val="20"/>
          <w:szCs w:val="20"/>
          <w:color w:val="auto"/>
        </w:rPr>
      </w:pPr>
    </w:p>
    <w:p>
      <w:pPr>
        <w:sectPr>
          <w:pgSz w:w="11900" w:h="16838" w:orient="portrait"/>
          <w:cols w:equalWidth="0" w:num="2">
            <w:col w:w="6592" w:space="720"/>
            <w:col w:w="1707"/>
          </w:cols>
          <w:pgMar w:left="1440" w:top="274" w:right="1440" w:bottom="1440" w:gutter="0" w:footer="0" w:header="0"/>
          <w:type w:val="continuous"/>
        </w:sectPr>
      </w:pPr>
    </w:p>
    <w:p>
      <w:pPr>
        <w:ind w:left="640"/>
        <w:spacing w:after="0"/>
        <w:tabs>
          <w:tab w:leader="none" w:pos="7300" w:val="left"/>
          <w:tab w:leader="none" w:pos="7900" w:val="left"/>
        </w:tabs>
        <w:rPr>
          <w:sz w:val="20"/>
          <w:szCs w:val="20"/>
          <w:color w:val="auto"/>
        </w:rPr>
      </w:pPr>
      <w:r>
        <w:rPr>
          <w:rFonts w:ascii="Arial" w:cs="Arial" w:eastAsia="Arial" w:hAnsi="Arial"/>
          <w:sz w:val="18"/>
          <w:szCs w:val="18"/>
          <w:color w:val="auto"/>
        </w:rPr>
        <w:t>Deferred offering costs included in accrued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53,000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5" w:name="page236"/>
    <w:bookmarkEnd w:id="23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2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9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10,500,000 shares of Class A common stock (each, a “Public Share” and collectively, the “Public Shares”) at $10.00 per share (or 12,075,000 shares if the underwriters’ over-allotment option is exercised in full), which is discussed in Note 3, and the sale of 410,000 shares of Class A common stock (or 441,500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00"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1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2" w:lineRule="exact"/>
        <w:rPr>
          <w:sz w:val="20"/>
          <w:szCs w:val="20"/>
          <w:color w:val="auto"/>
        </w:rPr>
      </w:pPr>
    </w:p>
    <w:p>
      <w:pPr>
        <w:jc w:val="both"/>
        <w:ind w:left="460" w:right="459" w:hanging="6"/>
        <w:spacing w:after="0" w:line="268" w:lineRule="auto"/>
        <w:tabs>
          <w:tab w:leader="none" w:pos="74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Proposed Public Offering in accordance with the Financial Accounting Standards Board’s (“FASB”)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6" w:name="page237"/>
    <w:bookmarkEnd w:id="23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0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7"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9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0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7" w:name="page238"/>
    <w:bookmarkEnd w:id="23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03"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8"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8" w:name="page239"/>
    <w:bookmarkEnd w:id="23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 Associated with the Proposed Public Offering</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58" w:lineRule="exact"/>
        <w:rPr>
          <w:sz w:val="20"/>
          <w:szCs w:val="20"/>
          <w:color w:val="auto"/>
        </w:rPr>
      </w:pPr>
    </w:p>
    <w:p>
      <w:pPr>
        <w:jc w:val="both"/>
        <w:ind w:left="460" w:right="479"/>
        <w:spacing w:after="0" w:line="253"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393,750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1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 related to unrecognized tax benefits as income tax expense. No amounts were accrued for the payment of interest and penalties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9" w:name="page240"/>
    <w:bookmarkEnd w:id="23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 Company’s management does not believe that any recently issued, but not yet effective, accounting standards if currently adopted would have a material effect on the accompanying financial statements.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Pursuant to the Proposed Public Offering, the Company intends to offer for sale 10,500,000 shares of Class A Common stock at a price of $10.00 per share.</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Company will grant the underwriters a 45-day option from the date of the final prospectus relating to the Proposed Public Offering to purchase up to 1,575,000 additional shares to cover over-allotments, if any, at the Proposed Public Offering price, less underwriting discounts and commissions.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has agreed to forfeit up to 393,750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w:t>
      </w:r>
    </w:p>
    <w:p>
      <w:pPr>
        <w:spacing w:after="0" w:line="9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Sponsor has agreed to purchase an aggregate of 410,000 Private Placement Shares (or 441,500 Private Placement Shares if the underwriters’ over-allotment option is exercised in full), at a price of $10.00 per Private Placement Share ($4,100,000 in the aggregate, or $4,415,000 if the underwriters’ over-allotment option is exercised in full) in a private placement that will occur simultaneously with the closing of the Proposed Public Offering.</w:t>
      </w:r>
    </w:p>
    <w:p>
      <w:pPr>
        <w:spacing w:after="0" w:line="12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0" w:name="page241"/>
    <w:bookmarkEnd w:id="24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On June 30, 2020, the Sponsor agreed to loan the Company an aggregate of up to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$200,000 in loan proceeds under the Note.</w:t>
      </w:r>
    </w:p>
    <w:p>
      <w:pPr>
        <w:spacing w:after="0" w:line="10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of Common Stock in connection with initial Business Combination</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20"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1" w:name="page242"/>
    <w:bookmarkEnd w:id="24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underwriters are entitled to an underwriting discount of $0.20 per share, or $2,100,000 in the aggregate (or $2,415,000 in the aggregate if the underwriters’ over-allotment option is exercised in full), payable upon the closing of the Proposed Public Offering. $0.35 per share, or $3,675,000 in the aggregate (or $4,226,250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Stockholder’s Equity</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par value of $0.0001 per share. As of June 30, 2020, there were no shares of Class A common stock issued or outstanding.</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b w:val="1"/>
          <w:bCs w:val="1"/>
          <w:i w:val="1"/>
          <w:iCs w:val="1"/>
          <w:color w:val="auto"/>
        </w:rPr>
        <w:t xml:space="preserve">Class B Common Stock </w:t>
      </w:r>
      <w:r>
        <w:rPr>
          <w:rFonts w:ascii="Arial" w:cs="Arial" w:eastAsia="Arial" w:hAnsi="Arial"/>
          <w:sz w:val="17"/>
          <w:szCs w:val="17"/>
          <w:color w:val="auto"/>
        </w:rPr>
        <w:t>— The Company is authorized to issue 10,000,000 shares of Class B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 All shares and the associated amounts have been retroactively restated to reflect the aforementioned stock split.</w:t>
      </w:r>
    </w:p>
    <w:p>
      <w:pPr>
        <w:spacing w:after="0" w:line="11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2" w:name="page243"/>
    <w:bookmarkEnd w:id="24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99"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par value $0.0001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with such designations, voting and other rights and preferences as may be determined from time to time by the Company’s board of directors. As of June 30, 2020, there were no shares of preferred stock issued or outstanding.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Subsequent Events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June 30, 2020, the Company received $200,000 in loan proceeds under the Note.</w:t>
      </w:r>
    </w:p>
    <w:p>
      <w:pPr>
        <w:spacing w:after="0" w:line="158"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color w:val="auto"/>
        </w:rPr>
        <w:t>On July 24, 2020, the Sponsor transferred 30,000 Founder Shares to each of its independent director nominees at their original per-share purchase price, for an aggregate of 90,000 Founder Shares transferred.</w:t>
      </w:r>
    </w:p>
    <w:p>
      <w:pPr>
        <w:spacing w:after="0" w:line="5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w:t>
      </w:r>
    </w:p>
    <w:p>
      <w:pPr>
        <w:spacing w:after="0" w:line="10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through the date that the financial statements were available to be issued. Based on this review, except as noted above, the Company did not identify any subsequent events that would have required adjustment or disclosure in the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3" w:name="page244"/>
    <w:bookmarkEnd w:id="24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1439" w:firstLine="969"/>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Gemini Therapeutics, Inc.</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We have audited the accompanying balance sheets of Gemini Therapeutics, Inc. (the Company) as of December 31, 2019 and 2018, the related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19"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October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4" w:name="page245"/>
    <w:bookmarkEnd w:id="24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7"/>
          </w:tcPr>
          <w:p>
            <w:pPr>
              <w:ind w:left="3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46"/>
        </w:trPr>
        <w:tc>
          <w:tcPr>
            <w:tcW w:w="48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1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8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i w:val="1"/>
                <w:iCs w:val="1"/>
                <w:color w:val="auto"/>
                <w:w w:val="93"/>
              </w:rPr>
              <w:t>(unaudited)</w:t>
            </w:r>
          </w:p>
        </w:tc>
        <w:tc>
          <w:tcPr>
            <w:tcW w:w="0" w:type="dxa"/>
            <w:vAlign w:val="bottom"/>
          </w:tcPr>
          <w:p>
            <w:pPr>
              <w:spacing w:after="0"/>
              <w:rPr>
                <w:sz w:val="1"/>
                <w:szCs w:val="1"/>
                <w:color w:val="auto"/>
              </w:rPr>
            </w:pPr>
          </w:p>
        </w:tc>
      </w:tr>
      <w:tr>
        <w:trPr>
          <w:trHeight w:val="47"/>
        </w:trPr>
        <w:tc>
          <w:tcPr>
            <w:tcW w:w="4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57"/>
        </w:trPr>
        <w:tc>
          <w:tcPr>
            <w:tcW w:w="48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40"/>
        </w:trPr>
        <w:tc>
          <w:tcPr>
            <w:tcW w:w="4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3"/>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21,608</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488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Liabilities, Convertible Preferred Stock and Stockholders’</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80"/>
              <w:spacing w:after="0"/>
              <w:rPr>
                <w:sz w:val="20"/>
                <w:szCs w:val="20"/>
                <w:color w:val="auto"/>
              </w:rPr>
            </w:pPr>
            <w:r>
              <w:rPr>
                <w:rFonts w:ascii="Arial" w:cs="Arial" w:eastAsia="Arial" w:hAnsi="Arial"/>
                <w:sz w:val="18"/>
                <w:szCs w:val="18"/>
                <w:b w:val="1"/>
                <w:bCs w:val="1"/>
                <w:color w:val="auto"/>
              </w:rPr>
              <w:t>Equity (Deficit)</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40"/>
        </w:trPr>
        <w:tc>
          <w:tcPr>
            <w:tcW w:w="4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57"/>
        </w:trPr>
        <w:tc>
          <w:tcPr>
            <w:tcW w:w="4880" w:type="dxa"/>
            <w:vAlign w:val="bottom"/>
          </w:tcPr>
          <w:p>
            <w:pPr>
              <w:spacing w:after="0"/>
              <w:rPr>
                <w:sz w:val="20"/>
                <w:szCs w:val="20"/>
                <w:color w:val="auto"/>
              </w:rPr>
            </w:pPr>
            <w:r>
              <w:rPr>
                <w:rFonts w:ascii="Arial" w:cs="Arial" w:eastAsia="Arial" w:hAnsi="Arial"/>
                <w:sz w:val="16"/>
                <w:szCs w:val="16"/>
                <w:color w:val="auto"/>
              </w:rPr>
              <w:t>Term loan, current portion</w:t>
            </w:r>
          </w:p>
        </w:tc>
        <w:tc>
          <w:tcPr>
            <w:tcW w:w="2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40"/>
        </w:trPr>
        <w:tc>
          <w:tcPr>
            <w:tcW w:w="4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Term loan, net of current portion and discount</w:t>
            </w: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83"/>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16,576</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9019"/>
          </w:cols>
          <w:pgMar w:left="1440" w:top="274" w:right="1440" w:bottom="11" w:gutter="0" w:footer="0" w:header="0"/>
        </w:sectPr>
      </w:pPr>
    </w:p>
    <w:p>
      <w:pPr>
        <w:ind w:left="460"/>
        <w:spacing w:after="0"/>
        <w:rPr>
          <w:sz w:val="20"/>
          <w:szCs w:val="20"/>
          <w:color w:val="auto"/>
        </w:rPr>
      </w:pPr>
      <w:r>
        <w:rPr>
          <w:rFonts w:ascii="Arial" w:cs="Arial" w:eastAsia="Arial" w:hAnsi="Arial"/>
          <w:sz w:val="18"/>
          <w:szCs w:val="18"/>
          <w:color w:val="auto"/>
        </w:rPr>
        <w:t>Convertible Preferred Stock:</w:t>
      </w:r>
    </w:p>
    <w:p>
      <w:pPr>
        <w:spacing w:after="0" w:line="50" w:lineRule="exact"/>
        <w:rPr>
          <w:sz w:val="20"/>
          <w:szCs w:val="20"/>
          <w:color w:val="auto"/>
        </w:rPr>
      </w:pPr>
    </w:p>
    <w:p>
      <w:pPr>
        <w:ind w:left="640" w:hanging="179"/>
        <w:spacing w:after="0" w:line="257" w:lineRule="auto"/>
        <w:rPr>
          <w:sz w:val="20"/>
          <w:szCs w:val="20"/>
          <w:color w:val="auto"/>
        </w:rPr>
      </w:pPr>
      <w:r>
        <w:rPr>
          <w:rFonts w:ascii="Arial" w:cs="Arial" w:eastAsia="Arial" w:hAnsi="Arial"/>
          <w:sz w:val="18"/>
          <w:szCs w:val="18"/>
          <w:color w:val="auto"/>
        </w:rPr>
        <w:t>Series A convertible preferred stock, $0.001 par value; 39,722,088 shares authorized at December 31, 2018 and 2019, and at June 30, 2020 (unaudited); 39,722,088 shares issued and outstanding at December 31, 2018 and 2019, and at June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-694055</wp:posOffset>
            </wp:positionV>
            <wp:extent cx="5143500" cy="7112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711200"/>
                    </a:xfrm>
                    <a:prstGeom prst="rect">
                      <a:avLst/>
                    </a:prstGeom>
                    <a:noFill/>
                  </pic:spPr>
                </pic:pic>
              </a:graphicData>
            </a:graphic>
          </wp:anchor>
        </w:drawing>
      </w:r>
    </w:p>
    <w:p>
      <w:pPr>
        <w:ind w:left="640" w:hanging="179"/>
        <w:spacing w:after="0" w:line="255" w:lineRule="auto"/>
        <w:rPr>
          <w:sz w:val="20"/>
          <w:szCs w:val="20"/>
          <w:color w:val="auto"/>
        </w:rPr>
      </w:pPr>
      <w:r>
        <w:rPr>
          <w:rFonts w:ascii="Arial" w:cs="Arial" w:eastAsia="Arial" w:hAnsi="Arial"/>
          <w:sz w:val="18"/>
          <w:szCs w:val="18"/>
          <w:color w:val="auto"/>
        </w:rPr>
        <w:t>Series B convertible preferred stock, $0.001 par value; zero and 37,001,401 shares authorized at December 31, 2018 and 2019, and 37,001,401 shares authorized at June 30, 2020 (unaudited); zero and 9,916,375 shares issued and outstanding at December 31, 2018 and 2019, and 24,790,938 at June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19685</wp:posOffset>
            </wp:positionV>
            <wp:extent cx="5143500" cy="1803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Convertible Preferred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Equity (Deficit):</w:t>
      </w:r>
    </w:p>
    <w:p>
      <w:pPr>
        <w:spacing w:after="0" w:line="50" w:lineRule="exact"/>
        <w:rPr>
          <w:sz w:val="20"/>
          <w:szCs w:val="20"/>
          <w:color w:val="auto"/>
        </w:rPr>
      </w:pPr>
    </w:p>
    <w:p>
      <w:pPr>
        <w:ind w:left="640" w:right="60" w:hanging="179"/>
        <w:spacing w:after="0" w:line="255" w:lineRule="auto"/>
        <w:rPr>
          <w:sz w:val="20"/>
          <w:szCs w:val="20"/>
          <w:color w:val="auto"/>
        </w:rPr>
      </w:pPr>
      <w:r>
        <w:rPr>
          <w:rFonts w:ascii="Arial" w:cs="Arial" w:eastAsia="Arial" w:hAnsi="Arial"/>
          <w:sz w:val="18"/>
          <w:szCs w:val="18"/>
          <w:color w:val="auto"/>
        </w:rPr>
        <w:t>Common stock, $0.001 par value; 55,000,000 and 95,000,000 shares authorized at December 31, 2018 and 2019, and 95,000,000 shares authorized at June 30, 2020 (unaudited); 4,968,155 and 5,313,766 shares issued and outstanding at December 31, 2018 and 2019 and 5,552,755 shares at June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-828040</wp:posOffset>
            </wp:positionV>
            <wp:extent cx="5143500" cy="8483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48360"/>
                    </a:xfrm>
                    <a:prstGeom prst="rect">
                      <a:avLst/>
                    </a:prstGeom>
                    <a:noFill/>
                  </pic:spPr>
                </pic:pic>
              </a:graphicData>
            </a:graphic>
          </wp:anchor>
        </w:drawing>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43815</wp:posOffset>
            </wp:positionV>
            <wp:extent cx="514350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Accumulated deficit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0"/>
        <w:spacing w:after="0"/>
        <w:tabs>
          <w:tab w:leader="none" w:pos="1420" w:val="left"/>
          <w:tab w:leader="none" w:pos="2580" w:val="left"/>
        </w:tabs>
        <w:rPr>
          <w:sz w:val="20"/>
          <w:szCs w:val="20"/>
          <w:color w:val="auto"/>
        </w:rPr>
      </w:pPr>
      <w:r>
        <w:rPr>
          <w:rFonts w:ascii="Arial" w:cs="Arial" w:eastAsia="Arial" w:hAnsi="Arial"/>
          <w:sz w:val="18"/>
          <w:szCs w:val="18"/>
          <w:color w:val="auto"/>
        </w:rPr>
        <w:t>47,113</w:t>
      </w:r>
      <w:r>
        <w:rPr>
          <w:sz w:val="20"/>
          <w:szCs w:val="20"/>
          <w:color w:val="auto"/>
        </w:rPr>
        <w:tab/>
      </w:r>
      <w:r>
        <w:rPr>
          <w:rFonts w:ascii="Arial" w:cs="Arial" w:eastAsia="Arial" w:hAnsi="Arial"/>
          <w:sz w:val="18"/>
          <w:szCs w:val="18"/>
          <w:color w:val="auto"/>
        </w:rPr>
        <w:t>47,113</w:t>
      </w:r>
      <w:r>
        <w:rPr>
          <w:sz w:val="20"/>
          <w:szCs w:val="20"/>
          <w:color w:val="auto"/>
        </w:rPr>
        <w:tab/>
      </w:r>
      <w:r>
        <w:rPr>
          <w:rFonts w:ascii="Arial" w:cs="Arial" w:eastAsia="Arial" w:hAnsi="Arial"/>
          <w:sz w:val="15"/>
          <w:szCs w:val="15"/>
          <w:color w:val="auto"/>
        </w:rPr>
        <w:t>47,113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13,252</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33,336</w:t>
            </w:r>
          </w:p>
        </w:tc>
      </w:tr>
      <w:tr>
        <w:trPr>
          <w:trHeight w:val="33"/>
        </w:trPr>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47,113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60,365</w:t>
            </w:r>
          </w:p>
        </w:tc>
        <w:tc>
          <w:tcPr>
            <w:tcW w:w="920" w:type="dxa"/>
            <w:vAlign w:val="bottom"/>
          </w:tcPr>
          <w:p>
            <w:pPr>
              <w:jc w:val="right"/>
              <w:spacing w:after="0"/>
              <w:rPr>
                <w:sz w:val="20"/>
                <w:szCs w:val="20"/>
                <w:color w:val="auto"/>
              </w:rPr>
            </w:pPr>
            <w:r>
              <w:rPr>
                <w:rFonts w:ascii="Arial" w:cs="Arial" w:eastAsia="Arial" w:hAnsi="Arial"/>
                <w:sz w:val="18"/>
                <w:szCs w:val="18"/>
                <w:color w:val="auto"/>
              </w:rPr>
              <w:t>80,449</w:t>
            </w:r>
          </w:p>
        </w:tc>
      </w:tr>
      <w:tr>
        <w:trPr>
          <w:trHeight w:val="27"/>
        </w:trPr>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60"/>
        <w:spacing w:after="0"/>
        <w:tabs>
          <w:tab w:leader="none" w:pos="1820" w:val="left"/>
          <w:tab w:leader="none" w:pos="29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6</w:t>
      </w:r>
    </w:p>
    <w:p>
      <w:pPr>
        <w:spacing w:after="0" w:line="77" w:lineRule="exact"/>
        <w:rPr>
          <w:sz w:val="20"/>
          <w:szCs w:val="20"/>
          <w:color w:val="auto"/>
        </w:rPr>
      </w:pPr>
    </w:p>
    <w:p>
      <w:pPr>
        <w:ind w:left="580"/>
        <w:spacing w:after="0"/>
        <w:tabs>
          <w:tab w:leader="none" w:pos="1500" w:val="left"/>
          <w:tab w:leader="none" w:pos="2660" w:val="left"/>
        </w:tabs>
        <w:rPr>
          <w:sz w:val="20"/>
          <w:szCs w:val="20"/>
          <w:color w:val="auto"/>
        </w:rPr>
      </w:pPr>
      <w:r>
        <w:rPr>
          <w:rFonts w:ascii="Arial" w:cs="Arial" w:eastAsia="Arial" w:hAnsi="Arial"/>
          <w:sz w:val="18"/>
          <w:szCs w:val="18"/>
          <w:color w:val="auto"/>
        </w:rPr>
        <w:t>736</w:t>
      </w:r>
      <w:r>
        <w:rPr>
          <w:sz w:val="20"/>
          <w:szCs w:val="20"/>
          <w:color w:val="auto"/>
        </w:rPr>
        <w:tab/>
      </w:r>
      <w:r>
        <w:rPr>
          <w:rFonts w:ascii="Arial" w:cs="Arial" w:eastAsia="Arial" w:hAnsi="Arial"/>
          <w:sz w:val="18"/>
          <w:szCs w:val="18"/>
          <w:color w:val="auto"/>
        </w:rPr>
        <w:t>1,182</w:t>
      </w:r>
      <w:r>
        <w:rPr>
          <w:sz w:val="20"/>
          <w:szCs w:val="20"/>
          <w:color w:val="auto"/>
        </w:rPr>
        <w:tab/>
      </w:r>
      <w:r>
        <w:rPr>
          <w:rFonts w:ascii="Arial" w:cs="Arial" w:eastAsia="Arial" w:hAnsi="Arial"/>
          <w:sz w:val="15"/>
          <w:szCs w:val="15"/>
          <w:color w:val="auto"/>
        </w:rPr>
        <w:t>1,433</w:t>
      </w:r>
    </w:p>
    <w:p>
      <w:pPr>
        <w:spacing w:after="0" w:line="77" w:lineRule="exact"/>
        <w:rPr>
          <w:sz w:val="20"/>
          <w:szCs w:val="20"/>
          <w:color w:val="auto"/>
        </w:rPr>
      </w:pPr>
    </w:p>
    <w:p>
      <w:pPr>
        <w:ind w:left="300"/>
        <w:spacing w:after="0"/>
        <w:tabs>
          <w:tab w:leader="none" w:pos="1360" w:val="left"/>
          <w:tab w:leader="none" w:pos="2500" w:val="left"/>
        </w:tabs>
        <w:rPr>
          <w:sz w:val="20"/>
          <w:szCs w:val="20"/>
          <w:color w:val="auto"/>
        </w:rPr>
      </w:pPr>
      <w:r>
        <w:rPr>
          <w:rFonts w:ascii="Arial" w:cs="Arial" w:eastAsia="Arial" w:hAnsi="Arial"/>
          <w:sz w:val="18"/>
          <w:szCs w:val="18"/>
          <w:color w:val="auto"/>
        </w:rPr>
        <w:t>(30,584)</w:t>
      </w:r>
      <w:r>
        <w:rPr>
          <w:sz w:val="20"/>
          <w:szCs w:val="20"/>
          <w:color w:val="auto"/>
        </w:rPr>
        <w:tab/>
      </w:r>
      <w:r>
        <w:rPr>
          <w:rFonts w:ascii="Arial" w:cs="Arial" w:eastAsia="Arial" w:hAnsi="Arial"/>
          <w:sz w:val="18"/>
          <w:szCs w:val="18"/>
          <w:color w:val="auto"/>
        </w:rPr>
        <w:t>(71,984)</w:t>
      </w:r>
      <w:r>
        <w:rPr>
          <w:sz w:val="20"/>
          <w:szCs w:val="20"/>
          <w:color w:val="auto"/>
        </w:rPr>
        <w:tab/>
      </w:r>
      <w:r>
        <w:rPr>
          <w:rFonts w:ascii="Arial" w:cs="Arial" w:eastAsia="Arial" w:hAnsi="Arial"/>
          <w:sz w:val="16"/>
          <w:szCs w:val="16"/>
          <w:color w:val="auto"/>
        </w:rPr>
        <w:t>(88,503)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19545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7" w:lineRule="exact"/>
        <w:rPr>
          <w:sz w:val="20"/>
          <w:szCs w:val="20"/>
          <w:color w:val="auto"/>
        </w:rPr>
      </w:pPr>
    </w:p>
    <w:p>
      <w:pPr>
        <w:ind w:left="300"/>
        <w:spacing w:after="0"/>
        <w:tabs>
          <w:tab w:leader="none" w:pos="1360" w:val="left"/>
          <w:tab w:leader="none" w:pos="2500" w:val="left"/>
        </w:tabs>
        <w:rPr>
          <w:sz w:val="20"/>
          <w:szCs w:val="20"/>
          <w:color w:val="auto"/>
        </w:rPr>
      </w:pPr>
      <w:r>
        <w:rPr>
          <w:rFonts w:ascii="Arial" w:cs="Arial" w:eastAsia="Arial" w:hAnsi="Arial"/>
          <w:sz w:val="18"/>
          <w:szCs w:val="18"/>
          <w:color w:val="auto"/>
        </w:rPr>
        <w:t>(29,843)</w:t>
      </w:r>
      <w:r>
        <w:rPr>
          <w:sz w:val="20"/>
          <w:szCs w:val="20"/>
          <w:color w:val="auto"/>
        </w:rPr>
        <w:tab/>
      </w:r>
      <w:r>
        <w:rPr>
          <w:rFonts w:ascii="Arial" w:cs="Arial" w:eastAsia="Arial" w:hAnsi="Arial"/>
          <w:sz w:val="18"/>
          <w:szCs w:val="18"/>
          <w:color w:val="auto"/>
        </w:rPr>
        <w:t>(70,797)</w:t>
      </w:r>
      <w:r>
        <w:rPr>
          <w:sz w:val="20"/>
          <w:szCs w:val="20"/>
          <w:color w:val="auto"/>
        </w:rPr>
        <w:tab/>
      </w:r>
      <w:r>
        <w:rPr>
          <w:rFonts w:ascii="Arial" w:cs="Arial" w:eastAsia="Arial" w:hAnsi="Arial"/>
          <w:sz w:val="16"/>
          <w:szCs w:val="16"/>
          <w:color w:val="auto"/>
        </w:rPr>
        <w:t>(87,064)</w:t>
      </w:r>
    </w:p>
    <w:p>
      <w:pPr>
        <w:spacing w:after="0" w:line="200" w:lineRule="exact"/>
        <w:rPr>
          <w:sz w:val="20"/>
          <w:szCs w:val="20"/>
          <w:color w:val="auto"/>
        </w:rPr>
      </w:pPr>
    </w:p>
    <w:p>
      <w:pPr>
        <w:sectPr>
          <w:pgSz w:w="11900" w:h="16838" w:orient="portrait"/>
          <w:cols w:equalWidth="0" w:num="2">
            <w:col w:w="5200" w:space="140"/>
            <w:col w:w="3679"/>
          </w:cols>
          <w:pgMar w:left="1440" w:top="274" w:right="1440" w:bottom="11" w:gutter="0" w:footer="0" w:header="0"/>
          <w:type w:val="continuous"/>
        </w:sectPr>
      </w:pP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4"/>
              </w:rPr>
              <w:t>Total Liabilities, Convertible Preferred Stock and Stockholders’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4"/>
        </w:trPr>
        <w:tc>
          <w:tcPr>
            <w:tcW w:w="4740" w:type="dxa"/>
            <w:vAlign w:val="bottom"/>
          </w:tcPr>
          <w:p>
            <w:pPr>
              <w:ind w:left="180"/>
              <w:spacing w:after="0"/>
              <w:rPr>
                <w:sz w:val="20"/>
                <w:szCs w:val="20"/>
                <w:color w:val="auto"/>
              </w:rPr>
            </w:pPr>
            <w:r>
              <w:rPr>
                <w:rFonts w:ascii="Arial" w:cs="Arial" w:eastAsia="Arial" w:hAnsi="Arial"/>
                <w:sz w:val="18"/>
                <w:szCs w:val="18"/>
                <w:color w:val="auto"/>
              </w:rPr>
              <w:t>Equity (Deficit)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21,608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6,144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8890</wp:posOffset>
            </wp:positionV>
            <wp:extent cx="195453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54530" cy="2603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 w:gutter="0" w:footer="0" w:header="0"/>
          <w:type w:val="continuous"/>
        </w:sectPr>
      </w:pPr>
    </w:p>
    <w:bookmarkStart w:id="245" w:name="page246"/>
    <w:bookmarkEnd w:id="24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jc w:val="right"/>
              <w:ind w:right="581"/>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5"/>
          </w:tcPr>
          <w:p>
            <w:pPr>
              <w:jc w:val="center"/>
              <w:ind w:right="81"/>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jc w:val="right"/>
              <w:ind w:right="501"/>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41"/>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center"/>
              <w:ind w:right="41"/>
              <w:spacing w:after="0"/>
              <w:rPr>
                <w:sz w:val="20"/>
                <w:szCs w:val="20"/>
                <w:color w:val="auto"/>
              </w:rPr>
            </w:pPr>
            <w:r>
              <w:rPr>
                <w:rFonts w:ascii="Arial" w:cs="Arial" w:eastAsia="Arial" w:hAnsi="Arial"/>
                <w:sz w:val="16"/>
                <w:szCs w:val="16"/>
                <w:i w:val="1"/>
                <w:iCs w:val="1"/>
                <w:color w:val="auto"/>
                <w:w w:val="93"/>
              </w:rPr>
              <w:t>(unaudited)</w:t>
            </w: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14,651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34,472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18,151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2,883</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20,191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41,225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21,034</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16,297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3"/>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(20,167)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(41,400)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(20,997)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(16,519)</w:t>
            </w: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w w:val="98"/>
              </w:rPr>
              <w:t>Weighted average common shares outstanding,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4,811,641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5,171,537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w w:val="92"/>
              </w:rPr>
              <w:t>5,095,813</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w w:val="94"/>
              </w:rPr>
              <w:t>5,465,177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6" w:name="page247"/>
    <w:bookmarkEnd w:id="246"/>
    <w:p>
      <w:pPr>
        <w:spacing w:after="0" w:line="62" w:lineRule="exact"/>
        <w:rPr>
          <w:sz w:val="20"/>
          <w:szCs w:val="20"/>
          <w:color w:val="auto"/>
        </w:rPr>
      </w:pPr>
    </w:p>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35"/>
        </w:trPr>
        <w:tc>
          <w:tcPr>
            <w:tcW w:w="1420" w:type="dxa"/>
            <w:vAlign w:val="bottom"/>
          </w:tcPr>
          <w:p>
            <w:pPr>
              <w:spacing w:after="0"/>
              <w:rPr>
                <w:sz w:val="3"/>
                <w:szCs w:val="3"/>
                <w:color w:val="auto"/>
              </w:rPr>
            </w:pPr>
          </w:p>
        </w:tc>
        <w:tc>
          <w:tcPr>
            <w:tcW w:w="140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89"/>
              </w:rPr>
              <w:t>Series A</w:t>
            </w:r>
          </w:p>
        </w:tc>
        <w:tc>
          <w:tcPr>
            <w:tcW w:w="100" w:type="dxa"/>
            <w:vAlign w:val="bottom"/>
          </w:tcPr>
          <w:p>
            <w:pPr>
              <w:spacing w:after="0"/>
              <w:rPr>
                <w:sz w:val="3"/>
                <w:szCs w:val="3"/>
                <w:color w:val="auto"/>
              </w:rPr>
            </w:pPr>
          </w:p>
        </w:tc>
        <w:tc>
          <w:tcPr>
            <w:tcW w:w="900" w:type="dxa"/>
            <w:vAlign w:val="bottom"/>
            <w:gridSpan w:val="3"/>
            <w:vMerge w:val="restart"/>
          </w:tcPr>
          <w:p>
            <w:pPr>
              <w:jc w:val="center"/>
              <w:ind w:left="281"/>
              <w:spacing w:after="0"/>
              <w:rPr>
                <w:sz w:val="20"/>
                <w:szCs w:val="20"/>
                <w:color w:val="auto"/>
              </w:rPr>
            </w:pPr>
            <w:r>
              <w:rPr>
                <w:rFonts w:ascii="Arial" w:cs="Arial" w:eastAsia="Arial" w:hAnsi="Arial"/>
                <w:sz w:val="14"/>
                <w:szCs w:val="14"/>
                <w:b w:val="1"/>
                <w:bCs w:val="1"/>
                <w:color w:val="auto"/>
                <w:w w:val="89"/>
              </w:rPr>
              <w:t>Series B</w:t>
            </w: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420" w:type="dxa"/>
            <w:vAlign w:val="bottom"/>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40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560" w:type="dxa"/>
            <w:vAlign w:val="bottom"/>
            <w:tcBorders>
              <w:right w:val="single" w:sz="8" w:color="auto"/>
            </w:tcBorders>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Convertible Preferred</w:t>
            </w:r>
          </w:p>
        </w:tc>
        <w:tc>
          <w:tcPr>
            <w:tcW w:w="124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6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40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2"/>
                <w:szCs w:val="12"/>
                <w:color w:val="auto"/>
              </w:rPr>
            </w:pPr>
          </w:p>
        </w:tc>
        <w:tc>
          <w:tcPr>
            <w:tcW w:w="900" w:type="dxa"/>
            <w:vAlign w:val="bottom"/>
            <w:gridSpan w:val="3"/>
          </w:tcPr>
          <w:p>
            <w:pPr>
              <w:jc w:val="center"/>
              <w:ind w:left="281"/>
              <w:spacing w:after="0" w:line="149" w:lineRule="exact"/>
              <w:rPr>
                <w:sz w:val="20"/>
                <w:szCs w:val="20"/>
                <w:color w:val="auto"/>
              </w:rPr>
            </w:pPr>
            <w:r>
              <w:rPr>
                <w:rFonts w:ascii="Arial" w:cs="Arial" w:eastAsia="Arial" w:hAnsi="Arial"/>
                <w:sz w:val="14"/>
                <w:szCs w:val="14"/>
                <w:b w:val="1"/>
                <w:bCs w:val="1"/>
                <w:color w:val="auto"/>
                <w:w w:val="89"/>
              </w:rPr>
              <w:t>Stock</w:t>
            </w:r>
          </w:p>
        </w:tc>
        <w:tc>
          <w:tcPr>
            <w:tcW w:w="4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4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4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Paid-in</w:t>
            </w:r>
          </w:p>
        </w:tc>
        <w:tc>
          <w:tcPr>
            <w:tcW w:w="920" w:type="dxa"/>
            <w:vAlign w:val="bottom"/>
            <w:gridSpan w:val="5"/>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5"/>
                <w:szCs w:val="5"/>
                <w:color w:val="auto"/>
              </w:rPr>
            </w:pPr>
          </w:p>
        </w:tc>
        <w:tc>
          <w:tcPr>
            <w:tcW w:w="7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5"/>
        </w:trPr>
        <w:tc>
          <w:tcPr>
            <w:tcW w:w="1420" w:type="dxa"/>
            <w:vAlign w:val="bottom"/>
          </w:tcPr>
          <w:p>
            <w:pPr>
              <w:spacing w:after="0"/>
              <w:rPr>
                <w:sz w:val="5"/>
                <w:szCs w:val="5"/>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right w:val="single" w:sz="8" w:color="auto"/>
            </w:tcBorders>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92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tcBorders>
              <w:right w:val="single" w:sz="8" w:color="auto"/>
            </w:tcBorders>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6"/>
        </w:trPr>
        <w:tc>
          <w:tcPr>
            <w:tcW w:w="1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at</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December 31,</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2017</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14,091,837</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16,625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5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4,672,144</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(10,417)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w w:val="95"/>
              </w:rPr>
              <w:t>Issuance of Series A</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net of issuance</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80"/>
              <w:spacing w:after="0"/>
              <w:rPr>
                <w:sz w:val="20"/>
                <w:szCs w:val="20"/>
                <w:color w:val="auto"/>
              </w:rPr>
            </w:pPr>
            <w:r>
              <w:rPr>
                <w:rFonts w:ascii="Arial" w:cs="Arial" w:eastAsia="Arial" w:hAnsi="Arial"/>
                <w:sz w:val="16"/>
                <w:szCs w:val="16"/>
                <w:color w:val="auto"/>
              </w:rPr>
              <w:t>costs of $13</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25,630,251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30,488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common</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upon</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 of stock</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32,037</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w w:val="98"/>
              </w:rPr>
              <w:t>Vesting of restricted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shares of</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263,974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expense</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363</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4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(20,167)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(20,167)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at</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December 31,</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39,722,088</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47,113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color w:val="auto"/>
              </w:rPr>
              <w:t>$</w:t>
            </w:r>
          </w:p>
        </w:tc>
        <w:tc>
          <w:tcPr>
            <w:tcW w:w="5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9"/>
              </w:rPr>
              <w:t>4,968,155</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736</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(30,584)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(29,843)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w w:val="95"/>
              </w:rPr>
              <w:t>Issuance of Series B</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net of issuance</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80"/>
              <w:spacing w:after="0"/>
              <w:rPr>
                <w:sz w:val="20"/>
                <w:szCs w:val="20"/>
                <w:color w:val="auto"/>
              </w:rPr>
            </w:pPr>
            <w:r>
              <w:rPr>
                <w:rFonts w:ascii="Arial" w:cs="Arial" w:eastAsia="Arial" w:hAnsi="Arial"/>
                <w:sz w:val="16"/>
                <w:szCs w:val="16"/>
                <w:color w:val="auto"/>
              </w:rPr>
              <w:t>costs of $148</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9,916,375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13,252</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1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common</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upon</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 of stock</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80,118</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w w:val="98"/>
              </w:rPr>
              <w:t>Vesting of restricted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shares of</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265,493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expense</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423</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(41,400)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(41,400)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at</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December 31,</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39,722,088</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47,113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9,916,375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13,252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5,313,766</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1,182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7"/>
              </w:rPr>
              <w:t>(71,984)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(70,797)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December 31,</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39,722,088</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47,113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5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4,968,155</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736</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(30,584)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(29,843)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w w:val="94"/>
              </w:rPr>
              <w:t>Issuance of common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stock upon</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exercise of stock</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80"/>
              <w:spacing w:after="0"/>
              <w:rPr>
                <w:sz w:val="20"/>
                <w:szCs w:val="20"/>
                <w:color w:val="auto"/>
              </w:rPr>
            </w:pPr>
            <w:r>
              <w:rPr>
                <w:rFonts w:ascii="Arial" w:cs="Arial" w:eastAsia="Arial" w:hAnsi="Arial"/>
                <w:sz w:val="16"/>
                <w:szCs w:val="16"/>
                <w:color w:val="auto"/>
              </w:rPr>
              <w:t>options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68,270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8"/>
              </w:rPr>
              <w:t>Vesting of restricted</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132,745</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rPr>
              <w:t>Stock-based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tcPr>
          <w:p>
            <w:pPr>
              <w:ind w:left="180"/>
              <w:spacing w:after="0"/>
              <w:rPr>
                <w:sz w:val="20"/>
                <w:szCs w:val="20"/>
                <w:color w:val="auto"/>
              </w:rPr>
            </w:pPr>
            <w:r>
              <w:rPr>
                <w:rFonts w:ascii="Arial" w:cs="Arial" w:eastAsia="Arial" w:hAnsi="Arial"/>
                <w:sz w:val="16"/>
                <w:szCs w:val="16"/>
                <w:color w:val="auto"/>
              </w:rPr>
              <w:t>expense</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184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(20,997)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(20,997)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line="169" w:lineRule="exact"/>
              <w:rPr>
                <w:sz w:val="20"/>
                <w:szCs w:val="20"/>
                <w:color w:val="auto"/>
              </w:rPr>
            </w:pPr>
            <w:r>
              <w:rPr>
                <w:rFonts w:ascii="Arial" w:cs="Arial" w:eastAsia="Arial" w:hAnsi="Arial"/>
                <w:sz w:val="16"/>
                <w:szCs w:val="16"/>
                <w:b w:val="1"/>
                <w:bCs w:val="1"/>
                <w:color w:val="auto"/>
                <w:w w:val="94"/>
              </w:rPr>
              <w:t>Balance at June 30,</w:t>
            </w: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180" w:type="dxa"/>
            <w:vAlign w:val="bottom"/>
            <w:gridSpan w:val="3"/>
          </w:tcPr>
          <w:p>
            <w:pPr>
              <w:ind w:left="180"/>
              <w:spacing w:after="0"/>
              <w:rPr>
                <w:sz w:val="20"/>
                <w:szCs w:val="20"/>
                <w:color w:val="auto"/>
              </w:rPr>
            </w:pPr>
            <w:r>
              <w:rPr>
                <w:rFonts w:ascii="Arial" w:cs="Arial" w:eastAsia="Arial" w:hAnsi="Arial"/>
                <w:sz w:val="16"/>
                <w:szCs w:val="16"/>
                <w:b w:val="1"/>
                <w:bCs w:val="1"/>
                <w:color w:val="auto"/>
                <w:w w:val="93"/>
              </w:rPr>
              <w:t>2019 (unaudited) 39,722,088</w:t>
            </w:r>
          </w:p>
        </w:tc>
        <w:tc>
          <w:tcPr>
            <w:tcW w:w="120" w:type="dxa"/>
            <w:vAlign w:val="bottom"/>
            <w:gridSpan w:val="2"/>
          </w:tcPr>
          <w:p>
            <w:pPr>
              <w:ind w:left="40"/>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47,113</w:t>
            </w:r>
          </w:p>
        </w:tc>
        <w:tc>
          <w:tcPr>
            <w:tcW w:w="1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7"/>
              </w:rPr>
              <w:t>5,169,170</w:t>
            </w:r>
          </w:p>
        </w:tc>
        <w:tc>
          <w:tcPr>
            <w:tcW w:w="26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w:t>
            </w:r>
          </w:p>
        </w:tc>
        <w:tc>
          <w:tcPr>
            <w:tcW w:w="120" w:type="dxa"/>
            <w:vAlign w:val="bottom"/>
            <w:gridSpan w:val="2"/>
          </w:tcPr>
          <w:p>
            <w:pPr>
              <w:ind w:left="40"/>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939</w:t>
            </w:r>
          </w:p>
        </w:tc>
        <w:tc>
          <w:tcPr>
            <w:tcW w:w="18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(51,581)</w:t>
            </w: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(50,637)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right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Arial" w:cs="Arial" w:eastAsia="Arial" w:hAnsi="Arial"/>
                <w:sz w:val="16"/>
                <w:szCs w:val="16"/>
                <w:b w:val="1"/>
                <w:bCs w:val="1"/>
                <w:color w:val="auto"/>
              </w:rPr>
              <w:t>Balance at</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tcPr>
          <w:p>
            <w:pPr>
              <w:ind w:left="180"/>
              <w:spacing w:after="0"/>
              <w:rPr>
                <w:sz w:val="20"/>
                <w:szCs w:val="20"/>
                <w:color w:val="auto"/>
              </w:rPr>
            </w:pPr>
            <w:r>
              <w:rPr>
                <w:rFonts w:ascii="Arial" w:cs="Arial" w:eastAsia="Arial" w:hAnsi="Arial"/>
                <w:sz w:val="16"/>
                <w:szCs w:val="16"/>
                <w:b w:val="1"/>
                <w:bCs w:val="1"/>
                <w:color w:val="auto"/>
              </w:rPr>
              <w:t>2019</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39,722,088</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47,113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9,916,375</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13,252</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5,313,766</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1,182</w:t>
            </w: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(71,984)</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(70,797)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5"/>
              </w:rPr>
              <w:t>Issuance of Series B</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14,874,563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20,084</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convertible</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of issuance</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14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4" w:right="1440" w:bottom="0" w:gutter="0" w:footer="0" w:header="0"/>
        </w:sectPr>
      </w:pPr>
    </w:p>
    <w:bookmarkStart w:id="247" w:name="page248"/>
    <w:bookmarkEnd w:id="24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1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costs of $16</w:t>
            </w: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w w:val="94"/>
              </w:rPr>
              <w:t>Issuance of common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stock upon</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exercise of stock</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1420" w:type="dxa"/>
            <w:vAlign w:val="bottom"/>
          </w:tcPr>
          <w:p>
            <w:pPr>
              <w:ind w:left="180"/>
              <w:spacing w:after="0"/>
              <w:rPr>
                <w:sz w:val="20"/>
                <w:szCs w:val="20"/>
                <w:color w:val="auto"/>
              </w:rPr>
            </w:pPr>
            <w:r>
              <w:rPr>
                <w:rFonts w:ascii="Arial" w:cs="Arial" w:eastAsia="Arial" w:hAnsi="Arial"/>
                <w:sz w:val="16"/>
                <w:szCs w:val="16"/>
                <w:color w:val="auto"/>
              </w:rPr>
              <w:t>options</w:t>
            </w:r>
          </w:p>
        </w:tc>
        <w:tc>
          <w:tcPr>
            <w:tcW w:w="760" w:type="dxa"/>
            <w:vAlign w:val="bottom"/>
            <w:gridSpan w:val="2"/>
          </w:tcPr>
          <w:p>
            <w:pPr>
              <w:ind w:left="58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106,239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r>
      <w:tr>
        <w:trPr>
          <w:trHeight w:val="46"/>
        </w:trPr>
        <w:tc>
          <w:tcPr>
            <w:tcW w:w="1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9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8"/>
              </w:rPr>
              <w:t>Vesting of restricted</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7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132,750</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3"/>
        </w:trPr>
        <w:tc>
          <w:tcPr>
            <w:tcW w:w="1420" w:type="dxa"/>
            <w:vAlign w:val="bottom"/>
          </w:tcPr>
          <w:p>
            <w:pPr>
              <w:spacing w:after="0"/>
              <w:rPr>
                <w:sz w:val="20"/>
                <w:szCs w:val="20"/>
                <w:color w:val="auto"/>
              </w:rPr>
            </w:pPr>
            <w:r>
              <w:rPr>
                <w:rFonts w:ascii="Arial" w:cs="Arial" w:eastAsia="Arial" w:hAnsi="Arial"/>
                <w:sz w:val="16"/>
                <w:szCs w:val="16"/>
                <w:color w:val="auto"/>
              </w:rPr>
              <w:t>Stock-based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42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1420" w:type="dxa"/>
            <w:vAlign w:val="bottom"/>
          </w:tcPr>
          <w:p>
            <w:pPr>
              <w:ind w:left="180"/>
              <w:spacing w:after="0"/>
              <w:rPr>
                <w:sz w:val="20"/>
                <w:szCs w:val="20"/>
                <w:color w:val="auto"/>
              </w:rPr>
            </w:pPr>
            <w:r>
              <w:rPr>
                <w:rFonts w:ascii="Arial" w:cs="Arial" w:eastAsia="Arial" w:hAnsi="Arial"/>
                <w:sz w:val="16"/>
                <w:szCs w:val="16"/>
                <w:color w:val="auto"/>
              </w:rPr>
              <w:t>expense</w:t>
            </w:r>
          </w:p>
        </w:tc>
        <w:tc>
          <w:tcPr>
            <w:tcW w:w="760" w:type="dxa"/>
            <w:vAlign w:val="bottom"/>
            <w:gridSpan w:val="2"/>
          </w:tcPr>
          <w:p>
            <w:pPr>
              <w:ind w:left="58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232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7"/>
                <w:szCs w:val="17"/>
                <w:color w:val="auto"/>
              </w:rPr>
            </w:pPr>
          </w:p>
        </w:tc>
      </w:tr>
      <w:tr>
        <w:trPr>
          <w:trHeight w:val="46"/>
        </w:trPr>
        <w:tc>
          <w:tcPr>
            <w:tcW w:w="1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84"/>
        </w:trPr>
        <w:tc>
          <w:tcPr>
            <w:tcW w:w="1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(16,519)</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(16,519)</w:t>
            </w:r>
          </w:p>
        </w:tc>
      </w:tr>
      <w:tr>
        <w:trPr>
          <w:trHeight w:val="169"/>
        </w:trPr>
        <w:tc>
          <w:tcPr>
            <w:tcW w:w="1420" w:type="dxa"/>
            <w:vAlign w:val="bottom"/>
          </w:tcPr>
          <w:p>
            <w:pPr>
              <w:spacing w:after="0" w:line="169" w:lineRule="exact"/>
              <w:rPr>
                <w:sz w:val="20"/>
                <w:szCs w:val="20"/>
                <w:color w:val="auto"/>
              </w:rPr>
            </w:pPr>
            <w:r>
              <w:rPr>
                <w:rFonts w:ascii="Arial" w:cs="Arial" w:eastAsia="Arial" w:hAnsi="Arial"/>
                <w:sz w:val="16"/>
                <w:szCs w:val="16"/>
                <w:b w:val="1"/>
                <w:bCs w:val="1"/>
                <w:color w:val="auto"/>
                <w:w w:val="94"/>
              </w:rPr>
              <w:t>Balance at June 30,</w:t>
            </w: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2180" w:type="dxa"/>
            <w:vAlign w:val="bottom"/>
            <w:gridSpan w:val="3"/>
          </w:tcPr>
          <w:p>
            <w:pPr>
              <w:ind w:left="180"/>
              <w:spacing w:after="0"/>
              <w:rPr>
                <w:sz w:val="20"/>
                <w:szCs w:val="20"/>
                <w:color w:val="auto"/>
              </w:rPr>
            </w:pPr>
            <w:r>
              <w:rPr>
                <w:rFonts w:ascii="Arial" w:cs="Arial" w:eastAsia="Arial" w:hAnsi="Arial"/>
                <w:sz w:val="16"/>
                <w:szCs w:val="16"/>
                <w:b w:val="1"/>
                <w:bCs w:val="1"/>
                <w:color w:val="auto"/>
                <w:w w:val="93"/>
              </w:rPr>
              <w:t>2020 (unaudited) 39,722,088</w:t>
            </w:r>
          </w:p>
        </w:tc>
        <w:tc>
          <w:tcPr>
            <w:tcW w:w="6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9"/>
              </w:rPr>
              <w:t>$ 47,113</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24,790,938</w:t>
            </w:r>
          </w:p>
        </w:tc>
        <w:tc>
          <w:tcPr>
            <w:tcW w:w="60" w:type="dxa"/>
            <w:vAlign w:val="bottom"/>
          </w:tcPr>
          <w:p>
            <w:pPr>
              <w:spacing w:after="0"/>
              <w:rPr>
                <w:sz w:val="20"/>
                <w:szCs w:val="20"/>
                <w:color w:val="auto"/>
              </w:rPr>
            </w:pP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w w:val="86"/>
              </w:rPr>
              <w:t>$ 33,336</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7"/>
              </w:rPr>
              <w:t>5,552,755</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1,433</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(88,503)  $</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(87,064)</w:t>
            </w:r>
          </w:p>
        </w:tc>
      </w:tr>
      <w:tr>
        <w:trPr>
          <w:trHeight w:val="20"/>
        </w:trPr>
        <w:tc>
          <w:tcPr>
            <w:tcW w:w="1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48" w:name="page249"/>
    <w:bookmarkEnd w:id="24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6"/>
          </w:tcPr>
          <w:p>
            <w:pPr>
              <w:jc w:val="right"/>
              <w:ind w:right="401"/>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6"/>
          </w:tcPr>
          <w:p>
            <w:pPr>
              <w:jc w:val="right"/>
              <w:ind w:right="321"/>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left="471"/>
              <w:spacing w:after="0"/>
              <w:rPr>
                <w:sz w:val="20"/>
                <w:szCs w:val="20"/>
                <w:color w:val="auto"/>
              </w:rPr>
            </w:pPr>
            <w:r>
              <w:rPr>
                <w:rFonts w:ascii="Arial" w:cs="Arial" w:eastAsia="Arial" w:hAnsi="Arial"/>
                <w:sz w:val="16"/>
                <w:szCs w:val="16"/>
                <w:b w:val="1"/>
                <w:bCs w:val="1"/>
                <w:color w:val="auto"/>
                <w:w w:val="90"/>
              </w:rPr>
              <w:t>June 30,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3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Arial" w:cs="Arial" w:eastAsia="Arial" w:hAnsi="Arial"/>
                <w:sz w:val="16"/>
                <w:szCs w:val="16"/>
                <w:b w:val="1"/>
                <w:bCs w:val="1"/>
                <w:color w:val="auto"/>
                <w:w w:val="95"/>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6"/>
          </w:tcPr>
          <w:p>
            <w:pPr>
              <w:jc w:val="center"/>
              <w:ind w:right="120"/>
              <w:spacing w:after="0"/>
              <w:rPr>
                <w:sz w:val="20"/>
                <w:szCs w:val="20"/>
                <w:color w:val="auto"/>
              </w:rPr>
            </w:pPr>
            <w:r>
              <w:rPr>
                <w:rFonts w:ascii="Arial" w:cs="Arial" w:eastAsia="Arial" w:hAnsi="Arial"/>
                <w:sz w:val="16"/>
                <w:szCs w:val="16"/>
                <w:i w:val="1"/>
                <w:iCs w:val="1"/>
                <w:color w:val="auto"/>
                <w:w w:val="91"/>
              </w:rPr>
              <w:t>(unaudited)</w:t>
            </w:r>
          </w:p>
        </w:tc>
        <w:tc>
          <w:tcPr>
            <w:tcW w:w="0" w:type="dxa"/>
            <w:vAlign w:val="bottom"/>
          </w:tcPr>
          <w:p>
            <w:pPr>
              <w:spacing w:after="0"/>
              <w:rPr>
                <w:sz w:val="1"/>
                <w:szCs w:val="1"/>
                <w:color w:val="auto"/>
              </w:rPr>
            </w:pPr>
          </w:p>
        </w:tc>
      </w:tr>
      <w:tr>
        <w:trPr>
          <w:trHeight w:val="46"/>
        </w:trPr>
        <w:tc>
          <w:tcPr>
            <w:tcW w:w="4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6"/>
                <w:szCs w:val="16"/>
                <w:color w:val="auto"/>
              </w:rPr>
              <w:t>Net loss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w w:val="89"/>
              </w:rPr>
              <w:t>(20,167)</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(41,400)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w w:val="98"/>
              </w:rPr>
              <w:t>(20,997)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(16,519)</w:t>
            </w:r>
          </w:p>
        </w:tc>
        <w:tc>
          <w:tcPr>
            <w:tcW w:w="0" w:type="dxa"/>
            <w:vAlign w:val="bottom"/>
          </w:tcPr>
          <w:p>
            <w:pPr>
              <w:spacing w:after="0"/>
              <w:rPr>
                <w:sz w:val="1"/>
                <w:szCs w:val="1"/>
                <w:color w:val="auto"/>
              </w:rPr>
            </w:pPr>
          </w:p>
        </w:tc>
      </w:tr>
      <w:tr>
        <w:trPr>
          <w:trHeight w:val="41"/>
        </w:trPr>
        <w:tc>
          <w:tcPr>
            <w:tcW w:w="4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operating activities:</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60"/>
              <w:spacing w:after="0"/>
              <w:rPr>
                <w:sz w:val="20"/>
                <w:szCs w:val="20"/>
                <w:color w:val="auto"/>
              </w:rPr>
            </w:pPr>
            <w:r>
              <w:rPr>
                <w:rFonts w:ascii="Arial" w:cs="Arial" w:eastAsia="Arial" w:hAnsi="Arial"/>
                <w:sz w:val="16"/>
                <w:szCs w:val="16"/>
                <w:color w:val="auto"/>
              </w:rPr>
              <w:t>Depreciation expense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184</w:t>
            </w: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60"/>
              <w:spacing w:after="0"/>
              <w:rPr>
                <w:sz w:val="20"/>
                <w:szCs w:val="20"/>
                <w:color w:val="auto"/>
              </w:rPr>
            </w:pPr>
            <w:r>
              <w:rPr>
                <w:rFonts w:ascii="Arial" w:cs="Arial" w:eastAsia="Arial" w:hAnsi="Arial"/>
                <w:sz w:val="16"/>
                <w:szCs w:val="16"/>
                <w:color w:val="auto"/>
              </w:rPr>
              <w:t>Non-cash interest expense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fair value of warrant liability</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24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Prepaid expenses and other assets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(1,195)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1,001</w:t>
            </w: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540"/>
              <w:spacing w:after="0"/>
              <w:rPr>
                <w:sz w:val="20"/>
                <w:szCs w:val="20"/>
                <w:color w:val="auto"/>
              </w:rPr>
            </w:pPr>
            <w:r>
              <w:rPr>
                <w:rFonts w:ascii="Arial" w:cs="Arial" w:eastAsia="Arial" w:hAnsi="Arial"/>
                <w:sz w:val="16"/>
                <w:szCs w:val="16"/>
                <w:color w:val="auto"/>
              </w:rPr>
              <w:t>Other assets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1"/>
                <w:szCs w:val="2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1,132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1,418</w:t>
            </w: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57"/>
        </w:trPr>
        <w:tc>
          <w:tcPr>
            <w:tcW w:w="4240" w:type="dxa"/>
            <w:vAlign w:val="bottom"/>
          </w:tcPr>
          <w:p>
            <w:pPr>
              <w:ind w:left="540"/>
              <w:spacing w:after="0"/>
              <w:rPr>
                <w:sz w:val="20"/>
                <w:szCs w:val="20"/>
                <w:color w:val="auto"/>
              </w:rPr>
            </w:pPr>
            <w:r>
              <w:rPr>
                <w:rFonts w:ascii="Arial" w:cs="Arial" w:eastAsia="Arial" w:hAnsi="Arial"/>
                <w:sz w:val="16"/>
                <w:szCs w:val="16"/>
                <w:color w:val="auto"/>
              </w:rPr>
              <w:t>Accrued expenses and other liabilities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rPr>
              <w:t>1,439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22"/>
                <w:szCs w:val="22"/>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operating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(18,340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(38,530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(18,620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(16,914</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Purchase of property and equipment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(189)</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180"/>
              <w:spacing w:after="0"/>
              <w:rPr>
                <w:sz w:val="20"/>
                <w:szCs w:val="20"/>
                <w:color w:val="auto"/>
              </w:rPr>
            </w:pPr>
            <w:r>
              <w:rPr>
                <w:rFonts w:ascii="Arial" w:cs="Arial" w:eastAsia="Arial" w:hAnsi="Arial"/>
                <w:sz w:val="16"/>
                <w:szCs w:val="16"/>
                <w:color w:val="auto"/>
                <w:w w:val="96"/>
              </w:rPr>
              <w:t>Proceeds from sale of Series A convertible preferred 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w w:val="98"/>
              </w:rPr>
              <w:t>30,488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40" w:type="dxa"/>
            <w:vAlign w:val="bottom"/>
          </w:tcPr>
          <w:p>
            <w:pPr>
              <w:ind w:left="360"/>
              <w:spacing w:after="0"/>
              <w:rPr>
                <w:sz w:val="20"/>
                <w:szCs w:val="20"/>
                <w:color w:val="auto"/>
              </w:rPr>
            </w:pPr>
            <w:r>
              <w:rPr>
                <w:rFonts w:ascii="Arial" w:cs="Arial" w:eastAsia="Arial" w:hAnsi="Arial"/>
                <w:sz w:val="16"/>
                <w:szCs w:val="16"/>
                <w:color w:val="auto"/>
              </w:rPr>
              <w:t>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Proceeds from sale of Series B convertible preferred stock,</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13,252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20,084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vMerge w:val="continue"/>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6"/>
                <w:szCs w:val="16"/>
                <w:color w:val="auto"/>
              </w:rPr>
              <w:t>Proceeds from term loan, net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7,446</w:t>
            </w:r>
          </w:p>
        </w:tc>
        <w:tc>
          <w:tcPr>
            <w:tcW w:w="300" w:type="dxa"/>
            <w:vAlign w:val="bottom"/>
          </w:tcPr>
          <w:p>
            <w:pPr>
              <w:spacing w:after="0"/>
              <w:rPr>
                <w:sz w:val="21"/>
                <w:szCs w:val="2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30,497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23,221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7,465</w:t>
            </w:r>
          </w:p>
        </w:tc>
        <w:tc>
          <w:tcPr>
            <w:tcW w:w="3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20,103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rPr>
              <w:t>Increase (decrease) in cash, cash equivalents and restricted cash</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11,728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(15,542)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(11,344)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0"/>
                <w:szCs w:val="20"/>
                <w:color w:val="auto"/>
              </w:rPr>
            </w:pPr>
            <w:r>
              <w:rPr>
                <w:rFonts w:ascii="Arial" w:cs="Arial" w:eastAsia="Arial" w:hAnsi="Arial"/>
                <w:sz w:val="16"/>
                <w:szCs w:val="16"/>
                <w:color w:val="auto"/>
                <w:w w:val="91"/>
              </w:rPr>
              <w:t>Cash, cash equivalents and restricted cash at beginning of period</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rPr>
              <w:t>7,123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18,851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18,851</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18,851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7,507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Supplemental Disclosure</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240" w:type="dxa"/>
            <w:vAlign w:val="bottom"/>
          </w:tcPr>
          <w:p>
            <w:pPr>
              <w:ind w:left="180"/>
              <w:spacing w:after="0"/>
              <w:rPr>
                <w:sz w:val="20"/>
                <w:szCs w:val="20"/>
                <w:color w:val="auto"/>
              </w:rPr>
            </w:pPr>
            <w:r>
              <w:rPr>
                <w:rFonts w:ascii="Arial" w:cs="Arial" w:eastAsia="Arial" w:hAnsi="Arial"/>
                <w:sz w:val="16"/>
                <w:szCs w:val="16"/>
                <w:color w:val="auto"/>
              </w:rPr>
              <w:t>Cash paid for interest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6"/>
                <w:szCs w:val="16"/>
                <w:b w:val="1"/>
                <w:bCs w:val="1"/>
                <w:color w:val="auto"/>
              </w:rPr>
              <w:t>Noncash Financing Activities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w w:val="91"/>
              </w:rPr>
              <w:t>Property and equipment purchases included in accounts payable</w:t>
            </w:r>
          </w:p>
        </w:tc>
        <w:tc>
          <w:tcPr>
            <w:tcW w:w="6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shd w:val="clear" w:color="auto" w:fill="CCEEFF"/>
          </w:tcPr>
          <w:p>
            <w:pPr>
              <w:jc w:val="right"/>
              <w:ind w:right="61"/>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accrued expenses</w:t>
            </w:r>
          </w:p>
        </w:tc>
        <w:tc>
          <w:tcPr>
            <w:tcW w:w="6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6"/>
                <w:szCs w:val="16"/>
                <w:color w:val="auto"/>
              </w:rPr>
              <w:t>Issuance of warrants in connection with term loan facility</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9" w:name="page250"/>
    <w:bookmarkEnd w:id="24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Gemini Therapeutics Inc. (the “Company”) is a clinical-stage precision medicine company developing novel therapeutic compounds to treat genetically defined, age-related macular degeneration. The Company was founded on March 3, 2015 and is currently located in Cambridge, Massachusetts.</w:t>
      </w:r>
    </w:p>
    <w:p>
      <w:pPr>
        <w:spacing w:after="0" w:line="116"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and consultants.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Basis of presentation</w:t>
      </w:r>
    </w:p>
    <w:p>
      <w:pPr>
        <w:spacing w:after="0" w:line="14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Liquidity and going concern</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As of December 31, 2019 and June 30, 2020 (unaudited), the Company had $3.0 million and $6.2 million of cash and cash equivalents, respectively. To date, the Company has primarily financed its operations through the sale of preferred stock, borrowings under convertible promissory notes and borrowings under loan agreements. The Company has experienced significant negative cash flows from operations since inception including net losses of $41.4 million and $16.5 million for periods ended December 31, 2019 and June 30, 2020, respectively. In addition, as of December 31, 2019 and June 30, 2020, the Company has an accumulated deficit of $72.0 million and $88.5 million, respectively. The Company expects to incur substantial operating losses and negative cash flows from operations for the foreseeable future. As of October 30, 2020, the Company expects its existing cash and cash equivalents, together with the $14.0 million in proceeds raised from its issuance of convertible promissory notes in August 2020, will not be sufficient to fund its operating expenses and capital expenditure requirements for at least the next year following the date that the financial statements are issued.</w:t>
      </w:r>
    </w:p>
    <w:p>
      <w:pPr>
        <w:spacing w:after="0" w:line="10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is seeking to complete a merger with FS Development Corp. (“FS Development”), which would result in FS Development acquiring 100% of the Company’s issued and outstanding securities. Together with FS Development’s cash resources, additional funding for the Company’s operations would be provided through a Private Investment in Public Equity (“PIPE”) offering to be completed concurrently with the merger. In the event a merger is not consummated, the Company may be required to obtain additional funding whether through future collaboration agreements, private or public offerings, debt or a combination thereof and such additional funding may not be available on terms the Company finds acceptable or favorable. There is inherent uncertainty associated with these fundraising activities and they are not considered probable. If the Company is unable to obtain sufficient capital to continue to advance its programs, the Company would be forced to delay, reduce or eliminate its research and development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0" w:name="page251"/>
    <w:bookmarkEnd w:id="25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Nature of the business and basis of presentation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programs and any future commercialization efforts. Accordingly, substantial doubt is deemed to exist about the Company’s ability to continue as a going concern within one year after the date these financial statements are issued.</w:t>
      </w:r>
    </w:p>
    <w:p>
      <w:pPr>
        <w:spacing w:after="0" w:line="11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of the COVID-19 Pandemic</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March 2020, the World Health Organization declared the outbreak of a novel coronavirus (COVID-19) a pandemic. The COVID-19 pandemic is evolving, and to date has led to the implementation of various responses, including government-imposed quarantines, travel restrictions and other public health safety measures.</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Company is closely monitoring the impact of the COVID-19 pandemic on all aspects of our business, including how it will impact our operations and the operations of our customers, suppliers, vendors and business partners. The Company does not yet know the full extent of potential delays or impacts on its business, its clinical trials, its research programs, healthcare systems or the global economy and it cannot presently predict the scope and severity of any potential business shutdowns or disruptions. The extent to which COVID-19 impacts its business, results of operation and financial condition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If the Company or any of the third parties with whom the Company engages, however, were to experience shutdowns or other business disruptions, its ability to conduct its business in the manner and on the timelines presently planned could be materially and negatively affected, which could have a material adverse impact on its business, results of operation and financial condition.</w:t>
      </w:r>
    </w:p>
    <w:p>
      <w:pPr>
        <w:spacing w:after="0" w:line="100"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The Company has not incurred impairment losses in the carrying values of its assets as a result of the pandemic and it is not aware of any specific related event or circumstance that would require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prepaid expenses,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Actual results may differ materially from those estimates or assumptions.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1" w:name="page252"/>
    <w:bookmarkEnd w:id="25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accompanying balance sheet as of June 30, 2020, the statements of operations, of convertible preferred stock and stockholders’ deficit and of cash flows for the six months ended June 30, 2019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2020 and the results of its operations and its cash flows for the six months ended June 30, 2019 and 2020. The financial data and other information disclosed in these notes related to the six months ended June 30, 2019 and 2020 are also unaudited. The results for the six months ended June 30, 2020 are not necessarily indicative of results to be expected for the year ending December 31, 2020, any other interim periods, or any future year or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at December 31, 2018 and 2019, and at June 30, 2020 (unaudited).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Restricted cash</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Restricted cash amounted to $323 thousand at December 31, 2018 and 2019, and June 30, 2019 and 2020 (unaudited), which represents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0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jc w:val="center"/>
        <w:ind w:left="47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46355</wp:posOffset>
            </wp:positionV>
            <wp:extent cx="123444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93" w:lineRule="exact"/>
        <w:rPr>
          <w:sz w:val="20"/>
          <w:szCs w:val="20"/>
          <w:color w:val="auto"/>
        </w:rPr>
      </w:pPr>
    </w:p>
    <w:p>
      <w:pPr>
        <w:ind w:left="4740"/>
        <w:spacing w:after="0"/>
        <w:tabs>
          <w:tab w:leader="none" w:pos="57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60960</wp:posOffset>
            </wp:positionV>
            <wp:extent cx="12344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46355</wp:posOffset>
            </wp:positionV>
            <wp:extent cx="13201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9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60960</wp:posOffset>
            </wp:positionV>
            <wp:extent cx="13201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6080" w:space="700"/>
            <w:col w:w="2239"/>
          </w:cols>
          <w:pgMar w:left="1440" w:top="274" w:right="1440" w:bottom="1440" w:gutter="0" w:footer="0" w:header="0"/>
          <w:type w:val="continuous"/>
        </w:sectPr>
      </w:pPr>
    </w:p>
    <w:p>
      <w:pPr>
        <w:ind w:left="7140"/>
        <w:spacing w:after="0"/>
        <w:rPr>
          <w:sz w:val="20"/>
          <w:szCs w:val="20"/>
          <w:color w:val="auto"/>
        </w:rPr>
      </w:pPr>
      <w:r>
        <w:rPr>
          <w:rFonts w:ascii="Arial" w:cs="Arial" w:eastAsia="Arial" w:hAnsi="Arial"/>
          <w:sz w:val="16"/>
          <w:szCs w:val="16"/>
          <w:i w:val="1"/>
          <w:iCs w:val="1"/>
          <w:color w:val="auto"/>
        </w:rPr>
        <w:t>(unaudited)</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18,528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7,184</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w:t>
            </w:r>
          </w:p>
        </w:tc>
      </w:tr>
      <w:tr>
        <w:trPr>
          <w:trHeight w:val="257"/>
        </w:trPr>
        <w:tc>
          <w:tcPr>
            <w:tcW w:w="368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cash, cash equivalents and restricted cash</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18,851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2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2" w:name="page253"/>
    <w:bookmarkEnd w:id="25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Property and equipment are stated at cost, less accumulated depreciation. Depreciation is computed on the straight-line basis over the estimated useful lives of the assets. The estimated useful lives are as follows: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Computer equipment</w:t>
            </w:r>
          </w:p>
        </w:tc>
        <w:tc>
          <w:tcPr>
            <w:tcW w:w="5080" w:type="dxa"/>
            <w:vAlign w:val="bottom"/>
          </w:tcPr>
          <w:p>
            <w:pPr>
              <w:jc w:val="center"/>
              <w:ind w:left="770"/>
              <w:spacing w:after="0"/>
              <w:rPr>
                <w:sz w:val="20"/>
                <w:szCs w:val="20"/>
                <w:color w:val="auto"/>
              </w:rPr>
            </w:pPr>
            <w:r>
              <w:rPr>
                <w:rFonts w:ascii="Arial" w:cs="Arial" w:eastAsia="Arial" w:hAnsi="Arial"/>
                <w:sz w:val="18"/>
                <w:szCs w:val="18"/>
                <w:color w:val="auto"/>
                <w:w w:val="84"/>
              </w:rPr>
              <w:t>3 years</w:t>
            </w:r>
          </w:p>
        </w:tc>
      </w:t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80" w:type="dxa"/>
            <w:vAlign w:val="bottom"/>
          </w:tcPr>
          <w:p>
            <w:pPr>
              <w:jc w:val="center"/>
              <w:ind w:left="770"/>
              <w:spacing w:after="0"/>
              <w:rPr>
                <w:sz w:val="20"/>
                <w:szCs w:val="20"/>
                <w:color w:val="auto"/>
              </w:rPr>
            </w:pPr>
            <w:r>
              <w:rPr>
                <w:rFonts w:ascii="Arial" w:cs="Arial" w:eastAsia="Arial" w:hAnsi="Arial"/>
                <w:sz w:val="18"/>
                <w:szCs w:val="18"/>
                <w:color w:val="auto"/>
                <w:w w:val="84"/>
              </w:rPr>
              <w:t>5 years</w:t>
            </w:r>
          </w:p>
        </w:tc>
      </w:t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Laboratory equipment</w:t>
            </w:r>
          </w:p>
        </w:tc>
        <w:tc>
          <w:tcPr>
            <w:tcW w:w="5080" w:type="dxa"/>
            <w:vAlign w:val="bottom"/>
          </w:tcPr>
          <w:p>
            <w:pPr>
              <w:jc w:val="center"/>
              <w:ind w:left="770"/>
              <w:spacing w:after="0"/>
              <w:rPr>
                <w:sz w:val="20"/>
                <w:szCs w:val="20"/>
                <w:color w:val="auto"/>
              </w:rPr>
            </w:pPr>
            <w:r>
              <w:rPr>
                <w:rFonts w:ascii="Arial" w:cs="Arial" w:eastAsia="Arial" w:hAnsi="Arial"/>
                <w:sz w:val="18"/>
                <w:szCs w:val="18"/>
                <w:color w:val="auto"/>
                <w:w w:val="84"/>
              </w:rPr>
              <w:t>3 years</w:t>
            </w:r>
          </w:p>
        </w:tc>
      </w:tr>
      <w:tr>
        <w:trPr>
          <w:trHeight w:val="284"/>
        </w:trPr>
        <w:tc>
          <w:tcPr>
            <w:tcW w:w="2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080" w:type="dxa"/>
            <w:vAlign w:val="bottom"/>
          </w:tcPr>
          <w:p>
            <w:pPr>
              <w:jc w:val="center"/>
              <w:ind w:left="770"/>
              <w:spacing w:after="0"/>
              <w:rPr>
                <w:sz w:val="20"/>
                <w:szCs w:val="20"/>
                <w:color w:val="auto"/>
              </w:rPr>
            </w:pPr>
            <w:r>
              <w:rPr>
                <w:rFonts w:ascii="Arial" w:cs="Arial" w:eastAsia="Arial" w:hAnsi="Arial"/>
                <w:sz w:val="18"/>
                <w:szCs w:val="18"/>
                <w:color w:val="auto"/>
                <w:w w:val="90"/>
              </w:rPr>
              <w:t>Shorter of the useful life of the asset or the life of the lease</w:t>
            </w:r>
          </w:p>
        </w:tc>
      </w:tr>
    </w:tbl>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158"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8"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1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June 30, 2020 (unaudited) (see Note 6) approximated fair value based on interest rates currently available to the Company.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3" w:name="page254"/>
    <w:bookmarkEnd w:id="25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issuance costs</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February 2019, concurrent with the Company’s term loan agreement (see Note 6), the Company issued warrants to purchase shares of the Company’s Series A preferred stock. The Company accounts for the warrants to purchase Series A preferred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1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Classification of convertible preferred stock</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records all preferred convertible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information</w:t>
      </w:r>
    </w:p>
    <w:p>
      <w:pPr>
        <w:spacing w:after="0" w:line="162"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162"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Research and development expenses include employee payroll, consulting, contract research, depreciation, rent and other corporate costs attributable to research and development activities, and are expensed as incurred.</w:t>
      </w:r>
    </w:p>
    <w:p>
      <w:pPr>
        <w:spacing w:after="0" w:line="43"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4" w:name="page255"/>
    <w:bookmarkEnd w:id="25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Patent costs</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 of operations and comprehensive loss.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1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0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Issued as Compensation</w:t>
      </w:r>
      <w:r>
        <w:rPr>
          <w:rFonts w:ascii="Arial" w:cs="Arial" w:eastAsia="Arial" w:hAnsi="Arial"/>
          <w:sz w:val="16"/>
          <w:szCs w:val="16"/>
          <w:color w:val="auto"/>
        </w:rPr>
        <w:t>. The Company’s common stock valuations were prepared using an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method, or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IPO or sale. Significant changes to the key assumptions used in the valuations could result in different fair values of common stock at each valuation date.</w:t>
      </w:r>
    </w:p>
    <w:p>
      <w:pPr>
        <w:spacing w:after="0" w:line="10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9).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5" w:name="page256"/>
    <w:bookmarkEnd w:id="25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0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Comprehensive loss</w:t>
      </w:r>
    </w:p>
    <w:p>
      <w:pPr>
        <w:spacing w:after="0" w:line="162"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financial statements.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income (loss) per share</w:t>
      </w:r>
    </w:p>
    <w:p>
      <w:pPr>
        <w:spacing w:after="0" w:line="148"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9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income (loss) per share as their effect is anti-dilutive.</w:t>
      </w:r>
    </w:p>
    <w:p>
      <w:pPr>
        <w:spacing w:after="0" w:line="11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6" w:name="page257"/>
    <w:bookmarkEnd w:id="25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2018 and 2019 and for the six months ended June 30, 2019 and 2020 (unaudited).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Company is expected to be an “emerging growth company” (“EGC”) upon merger,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ASU 2014-09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Company early adopted this ASU 2014-09 on January 1, 2017 using the full retrospective approach. The Company did not have any revenue arrangements and therefore, its adoption did not have any impact on the Company’s financial statements.</w:t>
      </w:r>
    </w:p>
    <w:p>
      <w:pPr>
        <w:spacing w:after="0" w:line="9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Employee Share-Based Payment Accounting </w:t>
      </w:r>
      <w:r>
        <w:rPr>
          <w:rFonts w:ascii="Arial" w:cs="Arial" w:eastAsia="Arial" w:hAnsi="Arial"/>
          <w:sz w:val="17"/>
          <w:szCs w:val="17"/>
          <w:color w:val="auto"/>
        </w:rPr>
        <w:t>(“ASU 2016-09”). ASU 2016-09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 provisions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 Company early adopted this pronouncement at its inception and has elected to recognize actual forfeitures as they occur. The adoption of ASU 2016-09 did not have any impact on the Company’s financial statements since it was adopted at its inception.</w:t>
      </w:r>
    </w:p>
    <w:p>
      <w:pPr>
        <w:spacing w:after="0" w:line="11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 xml:space="preserve">The Company has early adopted Accounting Standards Update 2018-07 (“ASU 2018-07”) </w:t>
      </w:r>
      <w:r>
        <w:rPr>
          <w:rFonts w:ascii="Arial" w:cs="Arial" w:eastAsia="Arial" w:hAnsi="Arial"/>
          <w:sz w:val="17"/>
          <w:szCs w:val="17"/>
          <w:i w:val="1"/>
          <w:iCs w:val="1"/>
          <w:color w:val="auto"/>
        </w:rPr>
        <w:t xml:space="preserve">Compensation — Stock Compensation: Improvements to Non-Employee Share-Based Compensation Accounting </w:t>
      </w:r>
      <w:r>
        <w:rPr>
          <w:rFonts w:ascii="Arial" w:cs="Arial" w:eastAsia="Arial" w:hAnsi="Arial"/>
          <w:sz w:val="17"/>
          <w:szCs w:val="17"/>
          <w:color w:val="auto"/>
        </w:rPr>
        <w:t>as of the date of January 1, 2017. ASU 2018-07 generally allows the Company to treat stock-based awards to non-employees similar to employees for purposes of measuring and recognition stock-based compensation. The adoption of this pronouncement did not have a material impact on its financial statements based on the fair value of the Company’s common stock at January 1, 2017.</w:t>
      </w:r>
    </w:p>
    <w:p>
      <w:pPr>
        <w:spacing w:after="0" w:line="97"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 xml:space="preserve">In August 2016, the FASB issued ASU No. 2016-15, Statement of Cash Flows: </w:t>
      </w:r>
      <w:r>
        <w:rPr>
          <w:rFonts w:ascii="Arial" w:cs="Arial" w:eastAsia="Arial" w:hAnsi="Arial"/>
          <w:sz w:val="17"/>
          <w:szCs w:val="17"/>
          <w:i w:val="1"/>
          <w:iCs w:val="1"/>
          <w:color w:val="auto"/>
        </w:rPr>
        <w:t>Classification of Certain Cash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Receipts and Cash Payments </w:t>
      </w:r>
      <w:r>
        <w:rPr>
          <w:rFonts w:ascii="Arial" w:cs="Arial" w:eastAsia="Arial" w:hAnsi="Arial"/>
          <w:sz w:val="17"/>
          <w:szCs w:val="17"/>
          <w:color w:val="auto"/>
        </w:rPr>
        <w:t>(“ASU 2016-15”), to address diversity in practice in how certain cash receipts and</w:t>
      </w:r>
      <w:r>
        <w:rPr>
          <w:rFonts w:ascii="Arial" w:cs="Arial" w:eastAsia="Arial" w:hAnsi="Arial"/>
          <w:sz w:val="17"/>
          <w:szCs w:val="17"/>
          <w:i w:val="1"/>
          <w:iCs w:val="1"/>
          <w:color w:val="auto"/>
        </w:rPr>
        <w:t xml:space="preserve"> </w:t>
      </w:r>
      <w:r>
        <w:rPr>
          <w:rFonts w:ascii="Arial" w:cs="Arial" w:eastAsia="Arial" w:hAnsi="Arial"/>
          <w:sz w:val="17"/>
          <w:szCs w:val="17"/>
          <w:color w:val="auto"/>
        </w:rPr>
        <w:t>cash payments are presented and classified in the statement of cash flows. The standard is effective for annual periods beginning after December 15, 2018, including interim periods within those fiscal years. The Company adopted ASU 2016-15 at January 1, 2019. The adoption of this pronouncement did not have a material impact on the Company’s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7" w:name="page258"/>
    <w:bookmarkEnd w:id="25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(“ASU 2016-18”), which requires that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2018, and interim periods within those years, and should be applied using a retrospective transition method to each period presented. The Company elected to early adopt this pronouncement at January 1, 2017 and has presented its statement of cash flows in accordance with ASU 2016-18.</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at January 1, 2019. The adoption of this pronouncement did not have a material impact on the Company’s financial statements.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 February 2016, the FASB issued ASU No. 2016-02, Leases (“ASU 2016-02”). ASU 2016-02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27"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(“ASU 2018-13”). The new standard removes certain disclosures, modifies certain disclosures and adds additional disclosures related to fair value measurement. ASU 2018-13 is effective for annual periods after December 15, 2019. The Company is currently evaluating the potential impact ASU 2018-13 may have on its disclosures upon adoption.</w:t>
      </w:r>
    </w:p>
    <w:p>
      <w:pPr>
        <w:spacing w:after="0" w:line="9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 xml:space="preserve">In November 2018, the FASB issued ASU 2018-18, Collaborative Arrangements (Topic 808): </w:t>
      </w:r>
      <w:r>
        <w:rPr>
          <w:rFonts w:ascii="Arial" w:cs="Arial" w:eastAsia="Arial" w:hAnsi="Arial"/>
          <w:sz w:val="16"/>
          <w:szCs w:val="16"/>
          <w:i w:val="1"/>
          <w:iCs w:val="1"/>
          <w:color w:val="auto"/>
        </w:rPr>
        <w:t>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Interaction between Topic 808 and Topic 606</w:t>
      </w:r>
      <w:r>
        <w:rPr>
          <w:rFonts w:ascii="Arial" w:cs="Arial" w:eastAsia="Arial" w:hAnsi="Arial"/>
          <w:sz w:val="16"/>
          <w:szCs w:val="16"/>
          <w:color w:val="auto"/>
        </w:rPr>
        <w:t>, (“ASU 2018-18”). The amendments in this update clarify that</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ASU 2018-18 is effective for annual reporting periods after December 15, 2020. The Company is currently evaluating the potential impact ASU 2018-18 will have on its financial statements.</w:t>
      </w:r>
    </w:p>
    <w:p>
      <w:pPr>
        <w:spacing w:after="0" w:line="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(“ASU 2019-12”), which is intended to simplify the accounting for income taxes. 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removes certain exceptions to the general principles in Topic 740 and also clarifies and amends existing guidance to improve consistent application. The new standard will be effective beginning January 1, 2021. The Company is currently evaluating the potential impact ASU 2019-12 may have on its financial position and results of operations upon adoption.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8" w:name="page259"/>
    <w:bookmarkEnd w:id="25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Fair value measurements</w:t>
      </w:r>
    </w:p>
    <w:p>
      <w:pPr>
        <w:spacing w:after="0" w:line="162"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880" w:type="dxa"/>
            <w:vAlign w:val="bottom"/>
          </w:tcPr>
          <w:p>
            <w:pPr>
              <w:spacing w:after="0"/>
              <w:rPr>
                <w:sz w:val="20"/>
                <w:szCs w:val="20"/>
                <w:color w:val="auto"/>
              </w:rPr>
            </w:pPr>
            <w:r>
              <w:rPr>
                <w:rFonts w:ascii="Arial" w:cs="Arial" w:eastAsia="Arial" w:hAnsi="Arial"/>
                <w:sz w:val="16"/>
                <w:szCs w:val="16"/>
                <w:b w:val="1"/>
                <w:bCs w:val="1"/>
                <w:color w:val="auto"/>
              </w:rPr>
              <w:t>December 31, 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6"/>
                <w:szCs w:val="16"/>
                <w:b w:val="1"/>
                <w:bCs w:val="1"/>
                <w:color w:val="auto"/>
                <w:w w:val="88"/>
              </w:rPr>
              <w:t>Level 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w w:val="96"/>
              </w:rPr>
              <w:t>Money market funds in cash and cash equivalents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17,521</w:t>
            </w: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17,521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17,521</w:t>
            </w: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52"/>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880" w:type="dxa"/>
            <w:vAlign w:val="bottom"/>
          </w:tcPr>
          <w:p>
            <w:pPr>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6"/>
                <w:szCs w:val="16"/>
                <w:b w:val="1"/>
                <w:bCs w:val="1"/>
                <w:color w:val="auto"/>
                <w:w w:val="88"/>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w w:val="96"/>
              </w:rPr>
              <w:t>Money market funds in cash and cash equivalents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2,037</w:t>
            </w: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2,037</w:t>
            </w: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8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6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gridSpan w:val="3"/>
          </w:tcPr>
          <w:p>
            <w:pPr>
              <w:spacing w:after="0"/>
              <w:rPr>
                <w:sz w:val="3"/>
                <w:szCs w:val="3"/>
                <w:color w:val="auto"/>
              </w:rPr>
            </w:pPr>
          </w:p>
        </w:tc>
        <w:tc>
          <w:tcPr>
            <w:tcW w:w="3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52"/>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80" w:type="dxa"/>
            <w:vAlign w:val="bottom"/>
          </w:tcPr>
          <w:p>
            <w:pPr>
              <w:spacing w:after="0"/>
              <w:rPr>
                <w:sz w:val="20"/>
                <w:szCs w:val="20"/>
                <w:color w:val="auto"/>
              </w:rPr>
            </w:pPr>
            <w:r>
              <w:rPr>
                <w:rFonts w:ascii="Arial" w:cs="Arial" w:eastAsia="Arial" w:hAnsi="Arial"/>
                <w:sz w:val="16"/>
                <w:szCs w:val="16"/>
                <w:b w:val="1"/>
                <w:bCs w:val="1"/>
                <w:color w:val="auto"/>
              </w:rPr>
              <w:t>June 30, 2020 (unaudited)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6"/>
                <w:szCs w:val="16"/>
                <w:b w:val="1"/>
                <w:bCs w:val="1"/>
                <w:color w:val="auto"/>
                <w:w w:val="88"/>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w w:val="96"/>
              </w:rPr>
              <w:t>Money market funds in cash and cash equivalents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5,175</w:t>
            </w: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5,175</w:t>
            </w: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6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gridSpan w:val="3"/>
          </w:tcPr>
          <w:p>
            <w:pPr>
              <w:spacing w:after="0"/>
              <w:rPr>
                <w:sz w:val="3"/>
                <w:szCs w:val="3"/>
                <w:color w:val="auto"/>
              </w:rPr>
            </w:pPr>
          </w:p>
        </w:tc>
        <w:tc>
          <w:tcPr>
            <w:tcW w:w="3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52"/>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66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Money market funds were valued by the Company using quoted prices in active markets for similar securities, which represent a Level 1 measurement within the fair value hierarchy. During the years ended December 31, 2018 and 2019 and the six months ended June 30, 2020 (unaudited), there were no transfers between Level 1, Level 2 and Level 3.</w:t>
      </w:r>
    </w:p>
    <w:p>
      <w:pPr>
        <w:spacing w:after="0" w:line="11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value for the warrant liability balance is based on significant inputs not observable in the market, which represents a Level 3 measurement within the fair value hierarchy.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 ended December 31, 2019 and six months ended June 30, 2020 (unaudited). The fair value of the warrants was recorded as a liability on the date of issuance.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9" w:name="page260"/>
    <w:bookmarkEnd w:id="25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Fair value measurements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Warrant</w:t>
            </w:r>
          </w:p>
        </w:tc>
      </w:tr>
      <w:tr>
        <w:trPr>
          <w:trHeight w:val="210"/>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Liability</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Issuance of Series A Preferred Stock warrants</w:t>
            </w: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Balance at June 30, 2020 (unaudited)</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Year Ended</w:t>
            </w:r>
          </w:p>
        </w:tc>
        <w:tc>
          <w:tcPr>
            <w:tcW w:w="260" w:type="dxa"/>
            <w:vAlign w:val="bottom"/>
          </w:tcPr>
          <w:p>
            <w:pPr>
              <w:spacing w:after="0"/>
              <w:rPr>
                <w:sz w:val="17"/>
                <w:szCs w:val="17"/>
                <w:color w:val="auto"/>
              </w:rPr>
            </w:pPr>
          </w:p>
        </w:tc>
        <w:tc>
          <w:tcPr>
            <w:tcW w:w="2440" w:type="dxa"/>
            <w:vAlign w:val="bottom"/>
            <w:gridSpan w:val="3"/>
          </w:tcPr>
          <w:p>
            <w:pPr>
              <w:jc w:val="center"/>
              <w:ind w:right="232"/>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94"/>
        </w:trPr>
        <w:tc>
          <w:tcPr>
            <w:tcW w:w="40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440" w:type="dxa"/>
            <w:vAlign w:val="bottom"/>
            <w:gridSpan w:val="3"/>
            <w:vMerge w:val="restart"/>
          </w:tcPr>
          <w:p>
            <w:pPr>
              <w:jc w:val="center"/>
              <w:ind w:right="172"/>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116"/>
        </w:trPr>
        <w:tc>
          <w:tcPr>
            <w:tcW w:w="4080" w:type="dxa"/>
            <w:vAlign w:val="bottom"/>
          </w:tcPr>
          <w:p>
            <w:pPr>
              <w:spacing w:after="0"/>
              <w:rPr>
                <w:sz w:val="10"/>
                <w:szCs w:val="10"/>
                <w:color w:val="auto"/>
              </w:rPr>
            </w:pPr>
          </w:p>
        </w:tc>
        <w:tc>
          <w:tcPr>
            <w:tcW w:w="132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0"/>
              </w:rPr>
              <w:t>December 31,</w:t>
            </w:r>
          </w:p>
        </w:tc>
        <w:tc>
          <w:tcPr>
            <w:tcW w:w="260" w:type="dxa"/>
            <w:vAlign w:val="bottom"/>
          </w:tcPr>
          <w:p>
            <w:pPr>
              <w:spacing w:after="0"/>
              <w:rPr>
                <w:sz w:val="10"/>
                <w:szCs w:val="10"/>
                <w:color w:val="auto"/>
              </w:rPr>
            </w:pPr>
          </w:p>
        </w:tc>
        <w:tc>
          <w:tcPr>
            <w:tcW w:w="2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7"/>
        </w:trPr>
        <w:tc>
          <w:tcPr>
            <w:tcW w:w="40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3"/>
          </w:tcPr>
          <w:p>
            <w:pPr>
              <w:jc w:val="center"/>
              <w:ind w:right="192"/>
              <w:spacing w:after="0"/>
              <w:rPr>
                <w:sz w:val="20"/>
                <w:szCs w:val="20"/>
                <w:color w:val="auto"/>
              </w:rPr>
            </w:pPr>
            <w:r>
              <w:rPr>
                <w:rFonts w:ascii="Arial" w:cs="Arial" w:eastAsia="Arial" w:hAnsi="Arial"/>
                <w:sz w:val="16"/>
                <w:szCs w:val="16"/>
                <w:i w:val="1"/>
                <w:iCs w:val="1"/>
                <w:color w:val="auto"/>
                <w:w w:val="93"/>
              </w:rPr>
              <w:t>(unaudited)</w:t>
            </w:r>
          </w:p>
        </w:tc>
        <w:tc>
          <w:tcPr>
            <w:tcW w:w="0" w:type="dxa"/>
            <w:vAlign w:val="bottom"/>
          </w:tcPr>
          <w:p>
            <w:pPr>
              <w:spacing w:after="0"/>
              <w:rPr>
                <w:sz w:val="1"/>
                <w:szCs w:val="1"/>
                <w:color w:val="auto"/>
              </w:rPr>
            </w:pPr>
          </w:p>
        </w:tc>
      </w:tr>
      <w:tr>
        <w:trPr>
          <w:trHeight w:val="47"/>
        </w:trPr>
        <w:tc>
          <w:tcPr>
            <w:tcW w:w="4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the underlying instrument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1.20 – $1.28</w:t>
            </w: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1.70% –</w:t>
            </w:r>
          </w:p>
        </w:tc>
        <w:tc>
          <w:tcPr>
            <w:tcW w:w="2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2.01%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6"/>
              </w:rPr>
              <w:t>0.58% – 0.64%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 – 10.0</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 10.0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 8.9</w:t>
            </w:r>
          </w:p>
        </w:tc>
        <w:tc>
          <w:tcPr>
            <w:tcW w:w="0" w:type="dxa"/>
            <w:vAlign w:val="bottom"/>
          </w:tcPr>
          <w:p>
            <w:pPr>
              <w:spacing w:after="0"/>
              <w:rPr>
                <w:sz w:val="1"/>
                <w:szCs w:val="1"/>
                <w:color w:val="auto"/>
              </w:rPr>
            </w:pPr>
          </w:p>
        </w:tc>
      </w:tr>
      <w:tr>
        <w:trPr>
          <w:trHeight w:val="202"/>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73.4% –</w:t>
            </w:r>
          </w:p>
        </w:tc>
        <w:tc>
          <w:tcPr>
            <w:tcW w:w="2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73.9%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6"/>
              </w:rPr>
              <w:t>73.8% – 74.0%</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0"/>
        </w:trPr>
        <w:tc>
          <w:tcPr>
            <w:tcW w:w="40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Property and equipment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6"/>
          </w:tcPr>
          <w:p>
            <w:pPr>
              <w:ind w:left="46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i w:val="1"/>
                <w:iCs w:val="1"/>
                <w:color w:val="auto"/>
                <w:w w:val="93"/>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c>
          <w:tcPr>
            <w:tcW w:w="340" w:type="dxa"/>
            <w:vAlign w:val="bottom"/>
            <w:tcBorders>
              <w:bottom w:val="single" w:sz="8" w:color="CCEEFF"/>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w:t>
            </w:r>
          </w:p>
        </w:tc>
        <w:tc>
          <w:tcPr>
            <w:tcW w:w="26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79"/>
              </w:rPr>
              <w:t>759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Depreciation expense for the years ended December 31, 2018 and 2019 and for the six months ended June 30, 2019 and 2020 (unaudited) was approximately $114 thousand, $290 thousand, $140 thousand and $155 thousand,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700" w:gutter="0" w:footer="0" w:header="0"/>
        </w:sectPr>
      </w:pPr>
    </w:p>
    <w:bookmarkStart w:id="260" w:name="page261"/>
    <w:bookmarkEnd w:id="26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center"/>
              <w:ind w:right="133"/>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i w:val="1"/>
                <w:iCs w:val="1"/>
                <w:color w:val="auto"/>
                <w:w w:val="93"/>
              </w:rPr>
              <w:t>(unaudited)</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1,133</w:t>
            </w:r>
          </w:p>
        </w:tc>
        <w:tc>
          <w:tcPr>
            <w:tcW w:w="7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2,123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Accrued external research and development</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Accrued other</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2,004</w:t>
            </w:r>
          </w:p>
        </w:tc>
        <w:tc>
          <w:tcPr>
            <w:tcW w:w="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2,689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Term loan</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(Note 3). As of December 31, 2019 and June 30, 2020 (unaudited), the Company had $10.0 million in principal outstanding under the Term Loan.</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Term Loan is governed by a loan and security agreement, dated February 8, 2019, between the Company and SVB (the “SVB Loan Agreement”). The SVB Loan Agreement provided for two separate tranches under which the Company could borrow. The first tranche for $7,500,000 was available as single term loan advance until January 31, 2020. The second tranche was also available until January 31, 2020, as single term loan advance for $2,500,000, and required that the Company meet a certain milestone event. On April 18, 2019, the Company borrowed $7,500,000 under the first tranche and on December 17, 2019, the Company borrowed $2,500,000 under the second tranche having satisfied the milestone requirement.</w:t>
      </w:r>
    </w:p>
    <w:p>
      <w:pPr>
        <w:spacing w:after="0" w:line="9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Term Loan initially matured on July 1, 2022 and accrues interest at a floating rate per annum equal to the greater of 3.75% or the prime rate minus 1.5% (3.25% as of December 31, 2019).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0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1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June 30, 2020 (unaudited), the Company accrued $104 thousand and $161 thousand, respectively, related to the end of term charge, which has been classified as other long-term liabilities.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1" w:name="page262"/>
    <w:bookmarkEnd w:id="26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 Term loan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2019.</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2019, scheduled principal payments for the Term Loan are as follows (in thousands):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4"/>
        </w:trPr>
        <w:tc>
          <w:tcPr>
            <w:tcW w:w="6860" w:type="dxa"/>
            <w:vAlign w:val="bottom"/>
            <w:gridSpan w:val="2"/>
          </w:tcPr>
          <w:p>
            <w:pPr>
              <w:spacing w:after="0"/>
              <w:rPr>
                <w:sz w:val="20"/>
                <w:szCs w:val="20"/>
                <w:color w:val="auto"/>
              </w:rPr>
            </w:pPr>
            <w:r>
              <w:rPr>
                <w:rFonts w:ascii="Arial" w:cs="Arial" w:eastAsia="Arial" w:hAnsi="Arial"/>
                <w:sz w:val="18"/>
                <w:szCs w:val="18"/>
                <w:color w:val="auto"/>
              </w:rPr>
              <w:t>Total principal</w:t>
            </w: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Unamortized discounts</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r>
      <w:tr>
        <w:trPr>
          <w:trHeight w:val="224"/>
        </w:trPr>
        <w:tc>
          <w:tcPr>
            <w:tcW w:w="6860" w:type="dxa"/>
            <w:vAlign w:val="bottom"/>
            <w:gridSpan w:val="2"/>
          </w:tcPr>
          <w:p>
            <w:pPr>
              <w:spacing w:after="0"/>
              <w:rPr>
                <w:sz w:val="20"/>
                <w:szCs w:val="20"/>
                <w:color w:val="auto"/>
              </w:rPr>
            </w:pPr>
            <w:r>
              <w:rPr>
                <w:rFonts w:ascii="Arial" w:cs="Arial" w:eastAsia="Arial" w:hAnsi="Arial"/>
                <w:sz w:val="18"/>
                <w:szCs w:val="18"/>
                <w:color w:val="auto"/>
              </w:rPr>
              <w:t>Carrying amount</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Long-term portion</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Interest expense for the years ended December 31, 2018 and 2019 and for the six months ended June 30, 2019 and 2020 (unaudited) was approximately $0 thousand, $350 thousand, $99 thousand and $260 thousand, respectively.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Convertible preferred stock</w:t>
      </w:r>
    </w:p>
    <w:p>
      <w:pPr>
        <w:spacing w:after="0" w:line="162"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As of December 31, 2019 and June 30, 2020 (unaudited), the Company’s Certificate of Incorporation, as amended and restated,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0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holders of Series A Preferred Stock and Series B Preferred Stock (collectively, the “Preferred Stock”) have liquidation rights in the event of a deemed liquidation that, in certain situations, are not solely within the control of the Company. Therefore, Preferred Stock is classified outside of stockholders’ deficit.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104"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The Series A Preferred Stock financing included a provision for two subsequent closings. A second closing for an additional 9,243,696 shares of Series A Preferred Stock at a price of $1.19 in exchange for gross proceeds of $11.0 million and a third closing for an additional 16,386,555 shares of Series A Preferred Stock at a price of $1.19 per share in exchange for gross proceeds of $19.5 million. The Company determined that these tranche rights do not meet the definition of a freestanding financial instrument and do not require bifurcation.</w:t>
      </w:r>
    </w:p>
    <w:p>
      <w:pPr>
        <w:spacing w:after="0" w:line="9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second closing occurred on March 30, 2018 for the issuance of 9,243,696 shares of Series A Preferred Stock. The third closing occurred on November 2, 2018 for the issuance of 16,386,555 shares of Series A Preferred Stock.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On September 26, 2019, the Company issued 9,916,375 shares of Series B Preferred Stock at a purchase price of $1.3513 per share for gross proceeds in the amount of $13.4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2" w:name="page263"/>
    <w:bookmarkEnd w:id="26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Convertible preferred stock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97"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The Series B Preferred Stock financing included a provision for the issuance of an additional 14,874,563 shares of Series B Preferred Stock at a price of $1.3513 per share in exchange for gross proceeds of $20.1 million. Consistent with the accounting considerations for the Series A tranche right, the Company determined that the Series B tranche right did not meet the definition of a freestanding financial instrument and does not require bifurcation. The second closing occurred on January 21, 2020, during which the Company issued 14,874,563 shares of Series B preferred stock at a price of $1.3513 per share in exchange for net proceeds of $20.1 million.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each balance sheet date, the Preferred Stock consisted of the following: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Shares issued</w:t>
            </w: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Carrying</w:t>
            </w:r>
          </w:p>
        </w:tc>
        <w:tc>
          <w:tcPr>
            <w:tcW w:w="4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Liquidation</w:t>
            </w:r>
          </w:p>
        </w:tc>
        <w:tc>
          <w:tcPr>
            <w:tcW w:w="8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Arial" w:cs="Arial" w:eastAsia="Arial" w:hAnsi="Arial"/>
                <w:sz w:val="16"/>
                <w:szCs w:val="16"/>
                <w:b w:val="1"/>
                <w:bCs w:val="1"/>
                <w:color w:val="auto"/>
                <w:w w:val="88"/>
              </w:rPr>
              <w:t>Conversion</w:t>
            </w:r>
          </w:p>
        </w:tc>
      </w:tr>
      <w:tr>
        <w:trPr>
          <w:trHeight w:val="210"/>
        </w:trPr>
        <w:tc>
          <w:tcPr>
            <w:tcW w:w="2900" w:type="dxa"/>
            <w:vAlign w:val="bottom"/>
          </w:tcPr>
          <w:p>
            <w:pPr>
              <w:spacing w:after="0"/>
              <w:rPr>
                <w:sz w:val="20"/>
                <w:szCs w:val="20"/>
                <w:color w:val="auto"/>
              </w:rPr>
            </w:pPr>
            <w:r>
              <w:rPr>
                <w:rFonts w:ascii="Arial" w:cs="Arial" w:eastAsia="Arial" w:hAnsi="Arial"/>
                <w:sz w:val="16"/>
                <w:szCs w:val="16"/>
                <w:b w:val="1"/>
                <w:bCs w:val="1"/>
                <w:color w:val="auto"/>
              </w:rPr>
              <w:t>As of December 31, 2018</w:t>
            </w: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2"/>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Arial" w:cs="Arial" w:eastAsia="Arial" w:hAnsi="Arial"/>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price per share</w:t>
            </w:r>
          </w:p>
        </w:tc>
      </w:tr>
      <w:tr>
        <w:trPr>
          <w:trHeight w:val="47"/>
        </w:trPr>
        <w:tc>
          <w:tcPr>
            <w:tcW w:w="29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7"/>
              </w:rPr>
              <w:t>39,722,088</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39,722,088</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47,113</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r>
      <w:tr>
        <w:trPr>
          <w:trHeight w:val="358"/>
        </w:trPr>
        <w:tc>
          <w:tcPr>
            <w:tcW w:w="2900" w:type="dxa"/>
            <w:vAlign w:val="bottom"/>
          </w:tcPr>
          <w:p>
            <w:pPr>
              <w:spacing w:after="0"/>
              <w:rPr>
                <w:sz w:val="24"/>
                <w:szCs w:val="24"/>
                <w:color w:val="auto"/>
              </w:rPr>
            </w:pPr>
          </w:p>
        </w:tc>
        <w:tc>
          <w:tcPr>
            <w:tcW w:w="90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Shares issued</w:t>
            </w:r>
          </w:p>
        </w:tc>
        <w:tc>
          <w:tcPr>
            <w:tcW w:w="12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7"/>
              </w:rPr>
              <w:t>Carrying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5"/>
              </w:rPr>
              <w:t>Liquidation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Arial" w:cs="Arial" w:eastAsia="Arial" w:hAnsi="Arial"/>
                <w:sz w:val="16"/>
                <w:szCs w:val="16"/>
                <w:b w:val="1"/>
                <w:bCs w:val="1"/>
                <w:color w:val="auto"/>
                <w:w w:val="88"/>
              </w:rPr>
              <w:t>Conversion</w:t>
            </w:r>
          </w:p>
        </w:tc>
      </w:tr>
      <w:tr>
        <w:trPr>
          <w:trHeight w:val="210"/>
        </w:trPr>
        <w:tc>
          <w:tcPr>
            <w:tcW w:w="2900" w:type="dxa"/>
            <w:vAlign w:val="bottom"/>
          </w:tcPr>
          <w:p>
            <w:pPr>
              <w:spacing w:after="0"/>
              <w:rPr>
                <w:sz w:val="20"/>
                <w:szCs w:val="20"/>
                <w:color w:val="auto"/>
              </w:rPr>
            </w:pPr>
            <w:r>
              <w:rPr>
                <w:rFonts w:ascii="Arial" w:cs="Arial" w:eastAsia="Arial" w:hAnsi="Arial"/>
                <w:sz w:val="16"/>
                <w:szCs w:val="16"/>
                <w:b w:val="1"/>
                <w:bCs w:val="1"/>
                <w:color w:val="auto"/>
              </w:rPr>
              <w:t>As of December 31, 2019</w:t>
            </w: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2"/>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Arial" w:cs="Arial" w:eastAsia="Arial" w:hAnsi="Arial"/>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price per share</w:t>
            </w:r>
          </w:p>
        </w:tc>
      </w:tr>
      <w:tr>
        <w:trPr>
          <w:trHeight w:val="46"/>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4"/>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r>
      <w:tr>
        <w:trPr>
          <w:trHeight w:val="257"/>
        </w:trPr>
        <w:tc>
          <w:tcPr>
            <w:tcW w:w="290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37,001,401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9,916,375</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13,252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76,723,489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49,638,463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60,365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351"/>
        </w:trPr>
        <w:tc>
          <w:tcPr>
            <w:tcW w:w="290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Shares issued</w:t>
            </w: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Carrying</w:t>
            </w:r>
          </w:p>
        </w:tc>
        <w:tc>
          <w:tcPr>
            <w:tcW w:w="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Liquidation</w:t>
            </w: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Arial" w:cs="Arial" w:eastAsia="Arial" w:hAnsi="Arial"/>
                <w:sz w:val="16"/>
                <w:szCs w:val="16"/>
                <w:b w:val="1"/>
                <w:bCs w:val="1"/>
                <w:color w:val="auto"/>
                <w:w w:val="88"/>
              </w:rPr>
              <w:t>Conversion</w:t>
            </w:r>
          </w:p>
        </w:tc>
      </w:tr>
      <w:tr>
        <w:trPr>
          <w:trHeight w:val="210"/>
        </w:trPr>
        <w:tc>
          <w:tcPr>
            <w:tcW w:w="2900" w:type="dxa"/>
            <w:vAlign w:val="bottom"/>
          </w:tcPr>
          <w:p>
            <w:pPr>
              <w:spacing w:after="0"/>
              <w:rPr>
                <w:sz w:val="20"/>
                <w:szCs w:val="20"/>
                <w:color w:val="auto"/>
              </w:rPr>
            </w:pPr>
            <w:r>
              <w:rPr>
                <w:rFonts w:ascii="Arial" w:cs="Arial" w:eastAsia="Arial" w:hAnsi="Arial"/>
                <w:sz w:val="16"/>
                <w:szCs w:val="16"/>
                <w:b w:val="1"/>
                <w:bCs w:val="1"/>
                <w:color w:val="auto"/>
              </w:rPr>
              <w:t>As of June 30, 2020 (unaudited)</w:t>
            </w: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2"/>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Arial" w:cs="Arial" w:eastAsia="Arial" w:hAnsi="Arial"/>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price per share</w:t>
            </w:r>
          </w:p>
        </w:tc>
      </w:tr>
      <w:tr>
        <w:trPr>
          <w:trHeight w:val="46"/>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4"/>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r>
      <w:tr>
        <w:trPr>
          <w:trHeight w:val="257"/>
        </w:trPr>
        <w:tc>
          <w:tcPr>
            <w:tcW w:w="290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37,001,401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24,790,938</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33,336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76,723,489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64,513,026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80,449</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the Preferred Stock have the following rights and preferences: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w:t>
      </w:r>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1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3" w:name="page264"/>
    <w:bookmarkEnd w:id="26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Convertible preferred stock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Series A original issue price and Series A conversion price were equal to $1.19 as of December 31, 2018 and 2019 and June 30, 2020 (unaudited). The Series B original issue price and Series B conversion price were equal to $1.3513 as of December 31, 2019 and June 30, 2020 (unaudited).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2018 and 2019 and June 30, 2020 (unaudited), each share of Series A Preferred Stock was convertible into one share of common stock. As of December 31, 2019 and June 30, 2020 (unaudited), each share of Series B Preferred Stock was convertible into one share of common stock.</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 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holders of the Preferred Stock are entitled to receive noncumulative dividends when in preference to any dividend on common stock at the rate of eight percent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w:t>
      </w:r>
    </w:p>
    <w:p>
      <w:pPr>
        <w:spacing w:after="0" w:line="1" w:lineRule="exact"/>
        <w:rPr>
          <w:sz w:val="20"/>
          <w:szCs w:val="20"/>
          <w:color w:val="auto"/>
        </w:rPr>
      </w:pPr>
    </w:p>
    <w:p>
      <w:pPr>
        <w:jc w:val="both"/>
        <w:ind w:left="460" w:right="479" w:hanging="6"/>
        <w:spacing w:after="0" w:line="255" w:lineRule="auto"/>
        <w:tabs>
          <w:tab w:leader="none" w:pos="73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multiplying such fraction by an amount equal to the applicable Series A or Series B original issue price. No cash dividends were declared or paid during the years ended December 31, 2018 or 2019 or the six months ended June 30, 2020 (unaudited).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58"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In the event of any liquidation, dissolution,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0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remaining proceeds are then payable to the holders of the Series B Preferred Stock and Series A Preferred Stock together with holders of common stock, however, that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w:t>
      </w:r>
    </w:p>
    <w:p>
      <w:pPr>
        <w:spacing w:after="0" w:line="4" w:lineRule="exact"/>
        <w:rPr>
          <w:sz w:val="20"/>
          <w:szCs w:val="20"/>
          <w:color w:val="auto"/>
        </w:rPr>
      </w:pPr>
    </w:p>
    <w:p>
      <w:pPr>
        <w:jc w:val="both"/>
        <w:ind w:left="460" w:right="459" w:hanging="6"/>
        <w:spacing w:after="0" w:line="255" w:lineRule="auto"/>
        <w:tabs>
          <w:tab w:leader="none" w:pos="72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4" w:name="page265"/>
    <w:bookmarkEnd w:id="26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Convertible preferred stock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Amended and Restated Certificate of Incorporation does not provide redemption rights to the holders of Preferred Stock.</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Common stock</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As of December 31, 2018, the Amended and Restated Certificate of Incorporation authorized the Company to issue 55,000,000 shares of common stock with a par value of $0.001. As of December 31, 2019 and June 30, 2020 (unaudited),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1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Company had reserved 50,031,845 shares and 89,686,234 shares as of December 31, 2018 and 2019, respectively, and 89,447,245 shares as of June 30, 2020 (unaudited), of common stock for the conversion of outstanding shares of Preferred Stock (see Note 7), the exercise of outstanding stock options, the number of shares remaining available for grant under the Company’s 2017 Equity Incentive Plan (see Note 9)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w:t>
      </w:r>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2018 or 2019 or the six months ended June 30, 2020 (unaudited).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5" w:name="page266"/>
    <w:bookmarkEnd w:id="26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Equity incentive plan</w:t>
      </w:r>
    </w:p>
    <w:p>
      <w:pPr>
        <w:spacing w:after="0" w:line="148"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90"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The total number of shares of common stock that may be issued under the 2017 Plan was 7,898,675 shares as of December 31, 2018. The total number of shares of common stock that may be issued under the 2017 Plan was 11,834,437 as of December 31, 2019 and June 30, 2020 (unaudited), of which 3,789,697 and 3,955,547 shares remained available for future grant as of December 31, 2019 and June 30, 2020 (unaudited), respectively.</w:t>
      </w:r>
    </w:p>
    <w:p>
      <w:pPr>
        <w:spacing w:after="0" w:line="9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 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9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Shares that are expired, terminated, surrendered or canceled under the 2017 Plan without having been fully exercised will be available for future awards.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valuation</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non-employees was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2600" w:type="dxa"/>
            <w:vAlign w:val="bottom"/>
            <w:gridSpan w:val="4"/>
          </w:tcPr>
          <w:p>
            <w:pPr>
              <w:jc w:val="right"/>
              <w:ind w:right="960"/>
              <w:spacing w:after="0"/>
              <w:rPr>
                <w:sz w:val="20"/>
                <w:szCs w:val="20"/>
                <w:color w:val="auto"/>
              </w:rPr>
            </w:pPr>
            <w:r>
              <w:rPr>
                <w:rFonts w:ascii="Arial" w:cs="Arial" w:eastAsia="Arial" w:hAnsi="Arial"/>
                <w:sz w:val="16"/>
                <w:szCs w:val="16"/>
                <w:b w:val="1"/>
                <w:bCs w:val="1"/>
                <w:color w:val="auto"/>
              </w:rPr>
              <w:t>Year Ended</w:t>
            </w:r>
          </w:p>
        </w:tc>
        <w:tc>
          <w:tcPr>
            <w:tcW w:w="2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3320" w:type="dxa"/>
            <w:vAlign w:val="bottom"/>
          </w:tcPr>
          <w:p>
            <w:pPr>
              <w:spacing w:after="0"/>
              <w:rPr>
                <w:sz w:val="18"/>
                <w:szCs w:val="18"/>
                <w:color w:val="auto"/>
              </w:rPr>
            </w:pPr>
          </w:p>
        </w:tc>
        <w:tc>
          <w:tcPr>
            <w:tcW w:w="260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auto"/>
              </w:rPr>
              <w:t>December 31,</w:t>
            </w:r>
          </w:p>
        </w:tc>
        <w:tc>
          <w:tcPr>
            <w:tcW w:w="1420" w:type="dxa"/>
            <w:vAlign w:val="bottom"/>
          </w:tcPr>
          <w:p>
            <w:pPr>
              <w:jc w:val="center"/>
              <w:ind w:left="675"/>
              <w:spacing w:after="0"/>
              <w:rPr>
                <w:sz w:val="20"/>
                <w:szCs w:val="20"/>
                <w:color w:val="auto"/>
              </w:rPr>
            </w:pPr>
            <w:r>
              <w:rPr>
                <w:rFonts w:ascii="Arial" w:cs="Arial" w:eastAsia="Arial" w:hAnsi="Arial"/>
                <w:sz w:val="16"/>
                <w:szCs w:val="16"/>
                <w:b w:val="1"/>
                <w:bCs w:val="1"/>
                <w:color w:val="auto"/>
                <w:w w:val="90"/>
              </w:rPr>
              <w:t>June 30,</w:t>
            </w:r>
          </w:p>
        </w:tc>
        <w:tc>
          <w:tcPr>
            <w:tcW w:w="760" w:type="dxa"/>
            <w:vAlign w:val="bottom"/>
          </w:tcPr>
          <w:p>
            <w:pPr>
              <w:spacing w:after="0"/>
              <w:rPr>
                <w:sz w:val="18"/>
                <w:szCs w:val="18"/>
                <w:color w:val="auto"/>
              </w:rPr>
            </w:pPr>
          </w:p>
        </w:tc>
      </w:tr>
      <w:tr>
        <w:trPr>
          <w:trHeight w:val="47"/>
        </w:trPr>
        <w:tc>
          <w:tcPr>
            <w:tcW w:w="33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0"/>
        </w:trPr>
        <w:tc>
          <w:tcPr>
            <w:tcW w:w="3320" w:type="dxa"/>
            <w:vAlign w:val="bottom"/>
          </w:tcPr>
          <w:p>
            <w:pPr>
              <w:spacing w:after="0"/>
              <w:rPr>
                <w:sz w:val="20"/>
                <w:szCs w:val="20"/>
                <w:color w:val="auto"/>
              </w:rPr>
            </w:pPr>
          </w:p>
        </w:tc>
        <w:tc>
          <w:tcPr>
            <w:tcW w:w="116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tcPr>
          <w:p>
            <w:pPr>
              <w:jc w:val="right"/>
              <w:ind w:right="695"/>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jc w:val="right"/>
              <w:ind w:right="332"/>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33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2"/>
          </w:tcPr>
          <w:p>
            <w:pPr>
              <w:spacing w:after="0"/>
              <w:rPr>
                <w:sz w:val="4"/>
                <w:szCs w:val="4"/>
                <w:color w:val="auto"/>
              </w:rPr>
            </w:pPr>
          </w:p>
        </w:tc>
      </w:tr>
      <w:tr>
        <w:trPr>
          <w:trHeight w:val="230"/>
        </w:trPr>
        <w:tc>
          <w:tcPr>
            <w:tcW w:w="3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jc w:val="center"/>
              <w:spacing w:after="0"/>
              <w:rPr>
                <w:sz w:val="20"/>
                <w:szCs w:val="20"/>
                <w:color w:val="auto"/>
              </w:rPr>
            </w:pPr>
            <w:r>
              <w:rPr>
                <w:rFonts w:ascii="Arial" w:cs="Arial" w:eastAsia="Arial" w:hAnsi="Arial"/>
                <w:sz w:val="16"/>
                <w:szCs w:val="16"/>
                <w:i w:val="1"/>
                <w:iCs w:val="1"/>
                <w:color w:val="auto"/>
                <w:w w:val="93"/>
              </w:rPr>
              <w:t>(unaudited)</w:t>
            </w:r>
          </w:p>
        </w:tc>
      </w:tr>
      <w:tr>
        <w:trPr>
          <w:trHeight w:val="47"/>
        </w:trPr>
        <w:tc>
          <w:tcPr>
            <w:tcW w:w="3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63"/>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 – 3.0%</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 2.4%</w:t>
            </w:r>
          </w:p>
        </w:tc>
        <w:tc>
          <w:tcPr>
            <w:tcW w:w="142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8"/>
                <w:szCs w:val="18"/>
                <w:color w:val="auto"/>
              </w:rPr>
              <w:t>2.43%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5"/>
              </w:rPr>
              <w:t>5.6 – 6.3 years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6.0 – 6.25 years</w:t>
            </w:r>
          </w:p>
        </w:tc>
        <w:tc>
          <w:tcPr>
            <w:tcW w:w="1420" w:type="dxa"/>
            <w:vAlign w:val="bottom"/>
          </w:tcPr>
          <w:p>
            <w:pPr>
              <w:jc w:val="right"/>
              <w:ind w:right="395"/>
              <w:spacing w:after="0"/>
              <w:rPr>
                <w:sz w:val="20"/>
                <w:szCs w:val="20"/>
                <w:color w:val="auto"/>
              </w:rPr>
            </w:pPr>
            <w:r>
              <w:rPr>
                <w:rFonts w:ascii="Arial" w:cs="Arial" w:eastAsia="Arial" w:hAnsi="Arial"/>
                <w:sz w:val="18"/>
                <w:szCs w:val="18"/>
                <w:color w:val="auto"/>
              </w:rPr>
              <w:t>6.1 years</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6.1 years</w:t>
            </w:r>
          </w:p>
        </w:tc>
      </w:tr>
      <w:tr>
        <w:trPr>
          <w:trHeight w:val="40"/>
        </w:trPr>
        <w:tc>
          <w:tcPr>
            <w:tcW w:w="3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64"/>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 – 75%</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 – 77%</w:t>
            </w:r>
          </w:p>
        </w:tc>
        <w:tc>
          <w:tcPr>
            <w:tcW w:w="142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8"/>
                <w:szCs w:val="18"/>
                <w:color w:val="auto"/>
              </w:rPr>
              <w:t>77%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395"/>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45"/>
        </w:trPr>
        <w:tc>
          <w:tcPr>
            <w:tcW w:w="3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F-36</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66" w:name="page267"/>
    <w:bookmarkEnd w:id="26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Equity incentive plan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Through June 30, 2020, all options granted by the Company under the 2017 Plan were for the purchase of shares of common stock. The following table summarizes option activity under the 2017 Plan since December 31, 2018 (in thousands, except share and per share amounts):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Weighted</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average</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remaining</w:t>
            </w:r>
          </w:p>
        </w:tc>
        <w:tc>
          <w:tcPr>
            <w:tcW w:w="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exercise</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contractual</w:t>
            </w:r>
          </w:p>
        </w:tc>
        <w:tc>
          <w:tcPr>
            <w:tcW w:w="100" w:type="dxa"/>
            <w:vAlign w:val="bottom"/>
          </w:tcPr>
          <w:p>
            <w:pPr>
              <w:spacing w:after="0"/>
              <w:rPr>
                <w:sz w:val="17"/>
                <w:szCs w:val="17"/>
                <w:color w:val="auto"/>
              </w:rPr>
            </w:pPr>
          </w:p>
        </w:tc>
        <w:tc>
          <w:tcPr>
            <w:tcW w:w="74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stock options</w:t>
            </w:r>
          </w:p>
        </w:tc>
        <w:tc>
          <w:tcPr>
            <w:tcW w:w="16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8"/>
                <w:szCs w:val="18"/>
                <w:color w:val="auto"/>
              </w:rPr>
            </w:pPr>
          </w:p>
        </w:tc>
        <w:tc>
          <w:tcPr>
            <w:tcW w:w="740" w:type="dxa"/>
            <w:vAlign w:val="bottom"/>
          </w:tcPr>
          <w:p>
            <w:pPr>
              <w:jc w:val="center"/>
              <w:ind w:right="13"/>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46"/>
        </w:trPr>
        <w:tc>
          <w:tcPr>
            <w:tcW w:w="44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(in years)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6,782,422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4,802,164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(80,118)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(2,964,150)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8,540,318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1,182,200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(106,239)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(1,348,050)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2020 (unaudited)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8,268,229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Options vested and expected to vest at December 31, 2019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Arial" w:cs="Arial" w:eastAsia="Arial" w:hAnsi="Arial"/>
                <w:sz w:val="18"/>
                <w:szCs w:val="18"/>
                <w:color w:val="auto"/>
              </w:rPr>
              <w:t>0.18</w:t>
            </w:r>
          </w:p>
        </w:tc>
        <w:tc>
          <w:tcPr>
            <w:tcW w:w="9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line="20" w:lineRule="exact"/>
              <w:rPr>
                <w:sz w:val="1"/>
                <w:szCs w:val="1"/>
                <w:color w:val="auto"/>
              </w:rPr>
            </w:pPr>
          </w:p>
        </w:tc>
      </w:tr>
      <w:tr>
        <w:trPr>
          <w:trHeight w:val="217"/>
        </w:trPr>
        <w:tc>
          <w:tcPr>
            <w:tcW w:w="44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2,179,020</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vested and expected to vest at June 30, 2020</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2,346,274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40"/>
        </w:trPr>
        <w:tc>
          <w:tcPr>
            <w:tcW w:w="44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intrinsic value of options exercised during the years ended December 31, 2018 and 2019 and the six months ended June 30, 2019 and 2020 (unaudited) was $4 thousand, $11 thousand, $9 thousand and $40 thousand, respectively.</w:t>
      </w:r>
    </w:p>
    <w:p>
      <w:pPr>
        <w:spacing w:after="0" w:line="10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weighted-average grant-date fair value per share of options granted during the years ended December 31, 2018 and 2019 and the six months ended June 30, 2019 and 2020 (unaudited) was $0.22, $0.30, $0.28 and $0.37, respectively.</w:t>
      </w:r>
    </w:p>
    <w:p>
      <w:pPr>
        <w:spacing w:after="0" w:line="11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total fair value of options vested during the years ended December 31, 2018 and 2019 and the six months ended June 30, 2019 and 2020 (unaudited) was $190 thousand, $352 thousand, $148 thousand and $130 thousand,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5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7" w:name="page268"/>
    <w:bookmarkEnd w:id="26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Equity incentive plan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activity since December 31, 2018:</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grant date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fair value</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(265,493)</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428,657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ind w:left="180"/>
              <w:spacing w:after="0"/>
              <w:rPr>
                <w:sz w:val="20"/>
                <w:szCs w:val="20"/>
                <w:color w:val="auto"/>
              </w:rPr>
            </w:pPr>
            <w:r>
              <w:rPr>
                <w:rFonts w:ascii="Arial" w:cs="Arial" w:eastAsia="Arial" w:hAnsi="Arial"/>
                <w:sz w:val="22"/>
                <w:szCs w:val="22"/>
                <w:color w:val="auto"/>
              </w:rPr>
              <w:t>Forfeited</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9"/>
        </w:trPr>
        <w:tc>
          <w:tcPr>
            <w:tcW w:w="5600" w:type="dxa"/>
            <w:vAlign w:val="bottom"/>
          </w:tcPr>
          <w:p>
            <w:pPr>
              <w:ind w:left="180"/>
              <w:spacing w:after="0"/>
              <w:rPr>
                <w:sz w:val="20"/>
                <w:szCs w:val="20"/>
                <w:color w:val="auto"/>
              </w:rPr>
            </w:pPr>
            <w:r>
              <w:rPr>
                <w:rFonts w:ascii="Arial" w:cs="Arial" w:eastAsia="Arial" w:hAnsi="Arial"/>
                <w:sz w:val="22"/>
                <w:szCs w:val="22"/>
                <w:color w:val="auto"/>
              </w:rPr>
              <w:t>Vested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(132,750)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Unvested at June 30, 2020 (unaudited)</w:t>
            </w: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line="20" w:lineRule="exact"/>
              <w:rPr>
                <w:sz w:val="1"/>
                <w:szCs w:val="1"/>
                <w:color w:val="auto"/>
              </w:rPr>
            </w:pPr>
          </w:p>
        </w:tc>
      </w:tr>
      <w:tr>
        <w:trPr>
          <w:trHeight w:val="248"/>
        </w:trPr>
        <w:tc>
          <w:tcPr>
            <w:tcW w:w="560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295,907</w:t>
            </w:r>
          </w:p>
        </w:tc>
        <w:tc>
          <w:tcPr>
            <w:tcW w:w="26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aggregate fair value of restricted stock that vested during the years ended December 31, 2018 and 2019 and the six months ended June 30, 2019 and 2020 (unaudited) was $108 thousand, $125 thousand, $54 thousand and $73 thousand, respectively.</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Company recorded stock-based compensation expense for restricted stock of $32 thousand, $30 thousand, $15 thousand and $15 thousand, during the years ended December 31, 2018 and 2019 and the six months ended June 30, 2019 and 2020 (unaudited),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Performance-based stock option awards</w:t>
      </w:r>
    </w:p>
    <w:p>
      <w:pPr>
        <w:spacing w:after="0" w:line="158" w:lineRule="exact"/>
        <w:rPr>
          <w:sz w:val="20"/>
          <w:szCs w:val="20"/>
          <w:color w:val="auto"/>
        </w:rPr>
      </w:pPr>
    </w:p>
    <w:p>
      <w:pPr>
        <w:jc w:val="both"/>
        <w:ind w:left="460" w:right="479"/>
        <w:spacing w:after="0" w:line="291" w:lineRule="auto"/>
        <w:rPr>
          <w:sz w:val="20"/>
          <w:szCs w:val="20"/>
          <w:color w:val="auto"/>
        </w:rPr>
      </w:pPr>
      <w:r>
        <w:rPr>
          <w:rFonts w:ascii="Arial" w:cs="Arial" w:eastAsia="Arial" w:hAnsi="Arial"/>
          <w:sz w:val="16"/>
          <w:szCs w:val="16"/>
          <w:color w:val="auto"/>
        </w:rPr>
        <w:t>The Company granted options to purchase 200,000 shares of common stock to scientific founders that contain a combination of service- and performance-based vesting conditions based on (i) IND submission and</w:t>
      </w:r>
    </w:p>
    <w:p>
      <w:pPr>
        <w:jc w:val="both"/>
        <w:ind w:left="460" w:right="459" w:hanging="6"/>
        <w:spacing w:after="0" w:line="252" w:lineRule="auto"/>
        <w:tabs>
          <w:tab w:leader="none" w:pos="7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completion of a Phase I clinical study. During the year ended December 31, 2019, fifty percent of the options vested because of the successful submission of the Company’s first investigational drug and the implicit service condition was met. The related stock-based compensation expense recognized was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statements of operations (in thousands):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3"/>
          </w:tcPr>
          <w:p>
            <w:pPr>
              <w:jc w:val="right"/>
              <w:ind w:right="264"/>
              <w:spacing w:after="0"/>
              <w:rPr>
                <w:sz w:val="20"/>
                <w:szCs w:val="20"/>
                <w:color w:val="auto"/>
              </w:rPr>
            </w:pPr>
            <w:r>
              <w:rPr>
                <w:rFonts w:ascii="Arial" w:cs="Arial" w:eastAsia="Arial" w:hAnsi="Arial"/>
                <w:sz w:val="16"/>
                <w:szCs w:val="16"/>
                <w:b w:val="1"/>
                <w:bCs w:val="1"/>
                <w:color w:val="auto"/>
                <w:w w:val="90"/>
              </w:rPr>
              <w:t>Year Ended</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center"/>
              <w:ind w:right="192"/>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3560" w:type="dxa"/>
            <w:vAlign w:val="bottom"/>
          </w:tcPr>
          <w:p>
            <w:pPr>
              <w:spacing w:after="0"/>
              <w:rPr>
                <w:sz w:val="18"/>
                <w:szCs w:val="18"/>
                <w:color w:val="auto"/>
              </w:rPr>
            </w:pPr>
          </w:p>
        </w:tc>
        <w:tc>
          <w:tcPr>
            <w:tcW w:w="1800" w:type="dxa"/>
            <w:vAlign w:val="bottom"/>
            <w:gridSpan w:val="4"/>
          </w:tcPr>
          <w:p>
            <w:pPr>
              <w:jc w:val="right"/>
              <w:ind w:right="184"/>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left="435"/>
              <w:spacing w:after="0"/>
              <w:rPr>
                <w:sz w:val="20"/>
                <w:szCs w:val="20"/>
                <w:color w:val="auto"/>
              </w:rPr>
            </w:pPr>
            <w:r>
              <w:rPr>
                <w:rFonts w:ascii="Arial" w:cs="Arial" w:eastAsia="Arial" w:hAnsi="Arial"/>
                <w:sz w:val="16"/>
                <w:szCs w:val="16"/>
                <w:b w:val="1"/>
                <w:bCs w:val="1"/>
                <w:color w:val="auto"/>
                <w:w w:val="87"/>
              </w:rPr>
              <w:t>June 30,</w:t>
            </w:r>
          </w:p>
        </w:tc>
        <w:tc>
          <w:tcPr>
            <w:tcW w:w="760" w:type="dxa"/>
            <w:vAlign w:val="bottom"/>
          </w:tcPr>
          <w:p>
            <w:pPr>
              <w:spacing w:after="0"/>
              <w:rPr>
                <w:sz w:val="18"/>
                <w:szCs w:val="18"/>
                <w:color w:val="auto"/>
              </w:rPr>
            </w:pPr>
          </w:p>
        </w:tc>
      </w:tr>
      <w:tr>
        <w:trPr>
          <w:trHeight w:val="47"/>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32"/>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left="435"/>
              <w:spacing w:after="0"/>
              <w:rPr>
                <w:sz w:val="20"/>
                <w:szCs w:val="20"/>
                <w:color w:val="auto"/>
              </w:rPr>
            </w:pPr>
            <w:r>
              <w:rPr>
                <w:rFonts w:ascii="Arial" w:cs="Arial" w:eastAsia="Arial" w:hAnsi="Arial"/>
                <w:sz w:val="16"/>
                <w:szCs w:val="16"/>
                <w:i w:val="1"/>
                <w:iCs w:val="1"/>
                <w:color w:val="auto"/>
                <w:w w:val="93"/>
              </w:rPr>
              <w:t>(unaudited)</w:t>
            </w:r>
          </w:p>
        </w:tc>
        <w:tc>
          <w:tcPr>
            <w:tcW w:w="760" w:type="dxa"/>
            <w:vAlign w:val="bottom"/>
          </w:tcPr>
          <w:p>
            <w:pPr>
              <w:spacing w:after="0"/>
              <w:rPr>
                <w:sz w:val="20"/>
                <w:szCs w:val="20"/>
                <w:color w:val="auto"/>
              </w:rPr>
            </w:pPr>
          </w:p>
        </w:tc>
      </w:tr>
      <w:tr>
        <w:trPr>
          <w:trHeight w:val="46"/>
        </w:trPr>
        <w:tc>
          <w:tcPr>
            <w:tcW w:w="3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64"/>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Borders>
              <w:bottom w:val="single" w:sz="8" w:color="CCEEFF"/>
            </w:tcBorders>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143</w:t>
            </w:r>
          </w:p>
        </w:tc>
        <w:tc>
          <w:tcPr>
            <w:tcW w:w="740" w:type="dxa"/>
            <w:vAlign w:val="bottom"/>
            <w:tcBorders>
              <w:bottom w:val="single" w:sz="8" w:color="CCEEFF"/>
            </w:tcBorders>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56"/>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220</w:t>
            </w:r>
          </w:p>
        </w:tc>
        <w:tc>
          <w:tcPr>
            <w:tcW w:w="74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3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64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363</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As of both December 31, 2019 and June 30, 2020 (unaudited), total unrecognized compensation cost related to the unvested stock-based awards was $1.6 million, which is expected to be recognized over a weighted average period of 3.3 and 3.1 years,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8" w:name="page269"/>
    <w:bookmarkEnd w:id="26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Income taxes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For the years ended December 31, 2018 and 2019, the Company recorded no income tax benefit for the net operating losses incurred in each year, due its uncertainty of realizing a benefit from those items and recorded a full valuation allowance on its net deferred tax assets.</w:t>
      </w:r>
    </w:p>
    <w:p>
      <w:pPr>
        <w:spacing w:after="0" w:line="11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reconciliation of income taxes computed using the statutory federal tax rate to that reflected in operations as of December 31, 2018 and 2019 are as follows:</w:t>
      </w:r>
    </w:p>
    <w:p>
      <w:pPr>
        <w:spacing w:after="0" w:line="130"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41275</wp:posOffset>
            </wp:positionV>
            <wp:extent cx="15684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6"/>
        </w:trPr>
        <w:tc>
          <w:tcPr>
            <w:tcW w:w="56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State and local taxes, net of federal benefit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6.1%</w:t>
            </w:r>
          </w:p>
        </w:tc>
      </w:tr>
      <w:tr>
        <w:trPr>
          <w:trHeight w:val="40"/>
        </w:trPr>
        <w:tc>
          <w:tcPr>
            <w:tcW w:w="5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0.0%</w:t>
            </w:r>
          </w:p>
        </w:tc>
      </w:tr>
      <w:tr>
        <w:trPr>
          <w:trHeight w:val="41"/>
        </w:trPr>
        <w:tc>
          <w:tcPr>
            <w:tcW w:w="5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r>
      <w:tr>
        <w:trPr>
          <w:trHeight w:val="20"/>
        </w:trPr>
        <w:tc>
          <w:tcPr>
            <w:tcW w:w="5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were as follows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7"/>
          </w:tcPr>
          <w:p>
            <w:pPr>
              <w:jc w:val="right"/>
              <w:ind w:right="680"/>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4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0"/>
        </w:trPr>
        <w:tc>
          <w:tcPr>
            <w:tcW w:w="4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42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8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7,256</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18,078</w:t>
            </w:r>
          </w:p>
        </w:tc>
      </w:tr>
      <w:tr>
        <w:trPr>
          <w:trHeight w:val="40"/>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4220" w:type="dxa"/>
            <w:vAlign w:val="bottom"/>
          </w:tcPr>
          <w:p>
            <w:pPr>
              <w:ind w:left="180"/>
              <w:spacing w:after="0"/>
              <w:rPr>
                <w:sz w:val="20"/>
                <w:szCs w:val="20"/>
                <w:color w:val="auto"/>
              </w:rPr>
            </w:pPr>
            <w:r>
              <w:rPr>
                <w:rFonts w:ascii="Arial" w:cs="Arial" w:eastAsia="Arial" w:hAnsi="Arial"/>
                <w:sz w:val="18"/>
                <w:szCs w:val="18"/>
                <w:color w:val="auto"/>
              </w:rPr>
              <w:t>Other temporary differences</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739</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21,476</w:t>
            </w: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56"/>
        </w:trPr>
        <w:tc>
          <w:tcPr>
            <w:tcW w:w="42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21,467</w:t>
            </w:r>
          </w:p>
        </w:tc>
        <w:tc>
          <w:tcPr>
            <w:tcW w:w="140" w:type="dxa"/>
            <w:vAlign w:val="bottom"/>
            <w:gridSpan w:val="2"/>
          </w:tcPr>
          <w:p>
            <w:pPr>
              <w:spacing w:after="0"/>
              <w:rPr>
                <w:sz w:val="19"/>
                <w:szCs w:val="19"/>
                <w:color w:val="auto"/>
              </w:rPr>
            </w:pPr>
          </w:p>
        </w:tc>
      </w:tr>
      <w:tr>
        <w:trPr>
          <w:trHeight w:val="40"/>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(8,114)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(21,467)</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56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1"/>
                <w:szCs w:val="21"/>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December 31, 2018, the Company had federal net operating loss carryforwards of $7.6 million that are subject to expire at various dates through 2037, and net operating loss carryforwards of $19.0 million, which have no expiration date, can be carried forward indefinitely, and are limited to a deduction to 80% of annual taxable income. The Company has state tax net operating loss carryforwards of $26.5 million, which may be available to offset future income tax liabilities and expire at various dates through 2037. The Company also has federal and state research and development tax credit carryforwards of $0.4 million and $0.1 million, respectively, which expire at various dates through 2038.</w:t>
      </w:r>
    </w:p>
    <w:p>
      <w:pPr>
        <w:spacing w:after="0" w:line="11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9" w:name="page270"/>
    <w:bookmarkEnd w:id="26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 Income taxes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2018 and 2019. The valuation allowance increased by $5.9 million during the year ended December 31, 2018 and $13.4 million during the year ended December 31, 2019 primarily as a result of net operating losses generated during the periods. The Company reevaluates the positive and negative evidence at each reporting period.</w:t>
      </w:r>
    </w:p>
    <w:p>
      <w:pPr>
        <w:spacing w:after="0" w:line="118"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w:t>
      </w:r>
    </w:p>
    <w:p>
      <w:pPr>
        <w:spacing w:after="0" w:line="4" w:lineRule="exact"/>
        <w:rPr>
          <w:sz w:val="20"/>
          <w:szCs w:val="20"/>
          <w:color w:val="auto"/>
        </w:rPr>
      </w:pPr>
    </w:p>
    <w:p>
      <w:pPr>
        <w:jc w:val="both"/>
        <w:ind w:left="460" w:right="459"/>
        <w:spacing w:after="0" w:line="260" w:lineRule="auto"/>
        <w:rPr>
          <w:sz w:val="20"/>
          <w:szCs w:val="20"/>
          <w:color w:val="auto"/>
        </w:rPr>
      </w:pPr>
      <w:r>
        <w:rPr>
          <w:rFonts w:ascii="Arial" w:cs="Arial" w:eastAsia="Arial" w:hAnsi="Arial"/>
          <w:sz w:val="18"/>
          <w:szCs w:val="18"/>
          <w:color w:val="auto"/>
        </w:rPr>
        <w:t>determine if any such changes have occurred that could limit its ability to use the net operating loss and tax credit carryforwards.</w:t>
      </w:r>
    </w:p>
    <w:p>
      <w:pPr>
        <w:spacing w:after="0" w:line="104"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has not recorded any liabilities for unrecognized tax benefits as of December 31, 2018 and 2019. The Company will recognize interest and penalties related to uncertain tax positions in income tax expense. As of December 31, 2018 and 2019, the Company had no accrued interest or penalties related to uncertain tax positions.</w:t>
      </w:r>
    </w:p>
    <w:p>
      <w:pPr>
        <w:spacing w:after="0" w:line="11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Company is subject to U.S. federal income tax and Massachusetts state income tax. The statute of limitations for assessment by the IRS and state tax authorities is open for the tax years since 2016;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1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0" w:name="page271"/>
    <w:bookmarkEnd w:id="27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Net loss per share</w:t>
      </w:r>
    </w:p>
    <w:p>
      <w:pPr>
        <w:spacing w:after="0" w:line="14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3"/>
              </w:rPr>
              <w:t>Six Months</w:t>
            </w:r>
          </w:p>
        </w:tc>
      </w:tr>
      <w:tr>
        <w:trPr>
          <w:trHeight w:val="210"/>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1"/>
              </w:rPr>
              <w:t>Ended June 30,</w:t>
            </w:r>
          </w:p>
        </w:tc>
      </w:tr>
      <w:tr>
        <w:trPr>
          <w:trHeight w:val="46"/>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5"/>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35"/>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r>
      <w:tr>
        <w:trPr>
          <w:trHeight w:val="46"/>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6"/>
                <w:szCs w:val="16"/>
                <w:i w:val="1"/>
                <w:iCs w:val="1"/>
                <w:color w:val="auto"/>
                <w:w w:val="93"/>
              </w:rPr>
              <w:t>(unaudited)</w:t>
            </w:r>
          </w:p>
        </w:tc>
      </w:tr>
      <w:tr>
        <w:trPr>
          <w:trHeight w:val="47"/>
        </w:trPr>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Net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(20,997)</w:t>
            </w: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(16,519)</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common shares outstanding-</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4,811,641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5,171,537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5,095,813</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5,465,177</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0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21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3"/>
              </w:rPr>
              <w:t>Year Ended</w:t>
            </w:r>
          </w:p>
        </w:tc>
        <w:tc>
          <w:tcPr>
            <w:tcW w:w="23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3580" w:type="dxa"/>
            <w:vAlign w:val="bottom"/>
          </w:tcPr>
          <w:p>
            <w:pPr>
              <w:spacing w:after="0"/>
              <w:rPr>
                <w:sz w:val="18"/>
                <w:szCs w:val="18"/>
                <w:color w:val="auto"/>
              </w:rPr>
            </w:pPr>
          </w:p>
        </w:tc>
        <w:tc>
          <w:tcPr>
            <w:tcW w:w="21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500" w:type="dxa"/>
            <w:vAlign w:val="bottom"/>
            <w:gridSpan w:val="3"/>
          </w:tcPr>
          <w:p>
            <w:pPr>
              <w:jc w:val="center"/>
              <w:ind w:left="774"/>
              <w:spacing w:after="0"/>
              <w:rPr>
                <w:sz w:val="20"/>
                <w:szCs w:val="20"/>
                <w:color w:val="auto"/>
              </w:rPr>
            </w:pPr>
            <w:r>
              <w:rPr>
                <w:rFonts w:ascii="Arial" w:cs="Arial" w:eastAsia="Arial" w:hAnsi="Arial"/>
                <w:sz w:val="16"/>
                <w:szCs w:val="16"/>
                <w:b w:val="1"/>
                <w:bCs w:val="1"/>
                <w:color w:val="auto"/>
                <w:w w:val="87"/>
              </w:rPr>
              <w:t>June 30,</w:t>
            </w:r>
          </w:p>
        </w:tc>
        <w:tc>
          <w:tcPr>
            <w:tcW w:w="860" w:type="dxa"/>
            <w:vAlign w:val="bottom"/>
          </w:tcPr>
          <w:p>
            <w:pPr>
              <w:spacing w:after="0"/>
              <w:rPr>
                <w:sz w:val="18"/>
                <w:szCs w:val="18"/>
                <w:color w:val="auto"/>
              </w:rPr>
            </w:pPr>
          </w:p>
        </w:tc>
      </w:tr>
      <w:tr>
        <w:trPr>
          <w:trHeight w:val="47"/>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0"/>
        </w:trPr>
        <w:tc>
          <w:tcPr>
            <w:tcW w:w="3580" w:type="dxa"/>
            <w:vAlign w:val="bottom"/>
          </w:tcPr>
          <w:p>
            <w:pPr>
              <w:spacing w:after="0"/>
              <w:rPr>
                <w:sz w:val="20"/>
                <w:szCs w:val="20"/>
                <w:color w:val="auto"/>
              </w:rPr>
            </w:pPr>
          </w:p>
        </w:tc>
        <w:tc>
          <w:tcPr>
            <w:tcW w:w="900" w:type="dxa"/>
            <w:vAlign w:val="bottom"/>
          </w:tcPr>
          <w:p>
            <w:pPr>
              <w:jc w:val="right"/>
              <w:ind w:right="1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080" w:type="dxa"/>
            <w:vAlign w:val="bottom"/>
          </w:tcPr>
          <w:p>
            <w:pPr>
              <w:jc w:val="right"/>
              <w:ind w:right="2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r>
      <w:tr>
        <w:trPr>
          <w:trHeight w:val="46"/>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uto"/>
            </w:tcBorders>
            <w:gridSpan w:val="4"/>
          </w:tcPr>
          <w:p>
            <w:pPr>
              <w:spacing w:after="0"/>
              <w:rPr>
                <w:sz w:val="4"/>
                <w:szCs w:val="4"/>
                <w:color w:val="auto"/>
              </w:rPr>
            </w:pPr>
          </w:p>
        </w:tc>
      </w:tr>
      <w:tr>
        <w:trPr>
          <w:trHeight w:val="230"/>
        </w:trPr>
        <w:tc>
          <w:tcPr>
            <w:tcW w:w="3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4"/>
          </w:tcPr>
          <w:p>
            <w:pPr>
              <w:jc w:val="center"/>
              <w:spacing w:after="0"/>
              <w:rPr>
                <w:sz w:val="20"/>
                <w:szCs w:val="20"/>
                <w:color w:val="auto"/>
              </w:rPr>
            </w:pPr>
            <w:r>
              <w:rPr>
                <w:rFonts w:ascii="Arial" w:cs="Arial" w:eastAsia="Arial" w:hAnsi="Arial"/>
                <w:sz w:val="16"/>
                <w:szCs w:val="16"/>
                <w:i w:val="1"/>
                <w:iCs w:val="1"/>
                <w:color w:val="auto"/>
                <w:w w:val="93"/>
              </w:rPr>
              <w:t>(unaudited)</w:t>
            </w:r>
          </w:p>
        </w:tc>
      </w:tr>
      <w:tr>
        <w:trPr>
          <w:trHeight w:val="47"/>
        </w:trPr>
        <w:tc>
          <w:tcPr>
            <w:tcW w:w="3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preferred stock (as converted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51"/>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39,722,088</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39,722,088</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39,722,088</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39,722,088</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Series B preferred stock (as converted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9,916,375</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24,790,938</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694,150</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428,657</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561,405</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295,907</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6,782,422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8,540,318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7,206,652</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8,268,229</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to purchase shares of Series 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(as converted to common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1"/>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70,000</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0"/>
        </w:trPr>
        <w:tc>
          <w:tcPr>
            <w:tcW w:w="3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43"/>
        </w:trPr>
        <w:tc>
          <w:tcPr>
            <w:tcW w:w="35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47,198,660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58,677,438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47,560,145</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73,147,162</w:t>
            </w:r>
          </w:p>
        </w:tc>
      </w:tr>
      <w:tr>
        <w:trPr>
          <w:trHeight w:val="20"/>
        </w:trPr>
        <w:tc>
          <w:tcPr>
            <w:tcW w:w="3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Commitments and contingencies</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As of December 31, 2019,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1" w:name="page272"/>
    <w:bookmarkEnd w:id="27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Commitments and contingencies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the years ended December 31, 2018 and 2019 and for the six months ended June 30, 2019 and 2020 (unaudited) was $827 thousand, $964 thousand, $482 thousand and $576 thousand, respectively.</w:t>
      </w:r>
    </w:p>
    <w:p>
      <w:pPr>
        <w:spacing w:after="0" w:line="9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Minimum annual rent payments under this lease for the remaining term, excluding operating expenses and taxes which are not fixed for future periods as of December 31, 2019, 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6"/>
                <w:szCs w:val="16"/>
                <w:b w:val="1"/>
                <w:bCs w:val="1"/>
                <w:color w:val="auto"/>
              </w:rPr>
              <w:t>Amount</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2018 and 2019, and June 30, 2020 (unaudited), do not include liabilities with respect to this agreement as the Company has not yet generated revenue and the achievement of certain milestones is not probable.</w:t>
      </w:r>
    </w:p>
    <w:p>
      <w:pPr>
        <w:spacing w:after="0" w:line="11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2018 License Agreement as of December 31, 2018 and 2019, and June 30, 2020 (unaudited).</w:t>
      </w:r>
    </w:p>
    <w:p>
      <w:pPr>
        <w:spacing w:after="0" w:line="8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2019 License Agreement as of December 31, 2018 and 2019, and June 30, 2020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2" w:name="page273"/>
    <w:bookmarkEnd w:id="27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Commitments and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2018 and 2019, and June 30, 2020 (unaudited), do not include liabilities with respect to this agreement as the Company has not yet generated revenue and the achievement of certain milestones is not probable.</w:t>
      </w:r>
    </w:p>
    <w:p>
      <w:pPr>
        <w:spacing w:after="0" w:line="11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2018 and 2019, and June 30, 2020 (unaudited), do not include liabilities with respect to this agreement as the Company has not yet generated revenue and the achievement of certain milestones is not probable.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2018 or 2019, or June 30, 2020 (unaudited).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December 31, 2018 and 2019, and June 30, 2020 (unaudited), the Company was not a party to any material legal matters or claims.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Benefit plans</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During the year ended December 31, 2018, the Company contributed a discretionary match of $33 thousand. Beginning in 2019, the Company provides contributions equal to fifty percent (50%) up to six percent (6%) of each participant’s salary. Employees are immediately and fully vested in the Company’s contribution. During the year ended December 31, 2019 and the six months ended June 30, 2019 and 2020 (unaudited), the Company contributed $124 thousand, $62 thousand and $83 thousand to the plan,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3" w:name="page274"/>
    <w:bookmarkEnd w:id="27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Related party transactions</w:t>
      </w:r>
    </w:p>
    <w:p>
      <w:pPr>
        <w:spacing w:after="0" w:line="14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Company engaged a firm managed by an executive of the Company for professional services related to accounting, finance and other administrative functions. For the six months ended June 30, 2020, the costs incurred under this arrangement totaled $44 thousand, which was recorded as general and administrative expense in the accompanying statement of operations. As of June 30, 2020, amounts owed under this arrangement totaled $44 thousand and is included in accounts payable in the accompanying balance sheet.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Subsequent events</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 Company has evaluated subsequent events through October 30, 2020, the issuance date of these financial statements, to ensure that these financial statements include appropriate disclosure of events both recognized in the financial statements as of December 31, 2019 and/or June 30, 2020 (unaudited),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 preferred stock financing</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On January 21, 2020, the Company issued 14,874,563 shares of Series B preferred stock at a price of $1.3513 per share in exchange for net proceeds of $20.1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Deferral of principal payments due under term loan facility</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Refer to Note 6 for further details.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Convertible promissory notes</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On August 21, 2020, the Company entered into a purchase agreement with various investors to issue $14,000,000 in convertible promissory notes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1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 of FS Development and Gemini</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October 15, 2020, Gemini executed a definitive business combination agreement between it and FS Development Corp. As a result of the proposed business combination, FS Development Corp. will be renamed to Gemini Therapeutics, Inc., or Combined Entity, and Gemini will become a wholly owned subsidiary of Combined Entity. Upon the completion of the proposed business combination transaction, the shareholders of Gemini will exchange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4" w:name="page275"/>
    <w:bookmarkEnd w:id="27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Subsequent events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their interests in Gemini for shares of common stock of Combined Entity. In addition, Gemini’s existing equity incentive plan will be terminated; awards issued under Gemini’s existing equity incentive plan will be exchanged for awards issued under a new equity incentive plan to be adopted by Combined Entity. Lastly, immediately after the completion of the Business Combination, certain investors have agreed to subscribe for and purchase an aggregate of $95.1 million of common stock of Combined Entity. The combined company is expected to receive net proceeds of approximately $196.4 million at the closing of the transaction (assuming no redemptions are effected by shareholders of FS Development Corp.) and will continue to operate under the Gemini management team, led by chief executive officer Jason Meyenburg. The boards of directors of both FS Development Corp. and Gemini have approved the proposed transaction. Completion of the transaction, which is expected by the first quarter of 2021, is subject to approval of FS Development Corp.’s shareholders and the satisfaction or waiver of certain other customary closing conditions.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Grants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October 2020, the Company granted under the 2017 Plan 3,965,552 stock options to fourteen (14) individuals, which included employees, executives, board members and one non-employee executive deemed to be a related party. Such stock options were issued with an exercise price of $1.66 per share and a grant date fair value per share of $1.12. The stock option awards vest in accordance with terms typically granted under the 2017 Plan. The Company will record equity-based compensation expense of $4.4 million related to the grant over the vesting term.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5" w:name="page276"/>
    <w:bookmarkEnd w:id="27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15,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Gemini Therapeutics,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 Representative Services LLC, as the Stockholders’ Representative,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 Development Corp.,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271780</wp:posOffset>
            </wp:positionV>
            <wp:extent cx="5143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6" w:name="page277"/>
    <w:bookmarkEnd w:id="276"/>
    <w:p>
      <w:pPr>
        <w:spacing w:after="0" w:line="29" w:lineRule="exact"/>
        <w:rPr>
          <w:sz w:val="20"/>
          <w:szCs w:val="20"/>
          <w:color w:val="auto"/>
        </w:rPr>
      </w:pPr>
    </w:p>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380" w:type="dxa"/>
            <w:vAlign w:val="bottom"/>
          </w:tcPr>
          <w:p>
            <w:pPr>
              <w:ind w:left="21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r>
      <w:tr>
        <w:trPr>
          <w:trHeight w:val="364"/>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Annex A</w:t>
            </w:r>
          </w:p>
        </w:tc>
      </w:tr>
      <w:tr>
        <w:trPr>
          <w:trHeight w:val="210"/>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7"/>
              </w:rPr>
              <w:t>Page No.</w:t>
            </w:r>
          </w:p>
        </w:tc>
      </w:tr>
      <w:tr>
        <w:trPr>
          <w:trHeight w:val="46"/>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1.2</w:t>
            </w:r>
          </w:p>
        </w:tc>
        <w:tc>
          <w:tcPr>
            <w:tcW w:w="6380" w:type="dxa"/>
            <w:vAlign w:val="bottom"/>
          </w:tcPr>
          <w:p>
            <w:pPr>
              <w:ind w:left="160"/>
              <w:spacing w:after="0"/>
              <w:rPr>
                <w:sz w:val="20"/>
                <w:szCs w:val="20"/>
                <w:color w:val="auto"/>
              </w:rPr>
            </w:pPr>
            <w:r>
              <w:rPr>
                <w:rFonts w:ascii="Arial" w:cs="Arial" w:eastAsia="Arial" w:hAnsi="Arial"/>
                <w:sz w:val="18"/>
                <w:szCs w:val="18"/>
                <w:color w:val="auto"/>
              </w:rPr>
              <w:t>Construction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A-11</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II MERGER</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2.1</w:t>
            </w:r>
          </w:p>
        </w:tc>
        <w:tc>
          <w:tcPr>
            <w:tcW w:w="6380" w:type="dxa"/>
            <w:vAlign w:val="bottom"/>
          </w:tcPr>
          <w:p>
            <w:pPr>
              <w:ind w:left="160"/>
              <w:spacing w:after="0"/>
              <w:rPr>
                <w:sz w:val="20"/>
                <w:szCs w:val="20"/>
                <w:color w:val="auto"/>
              </w:rPr>
            </w:pPr>
            <w:r>
              <w:rPr>
                <w:rFonts w:ascii="Arial" w:cs="Arial" w:eastAsia="Arial" w:hAnsi="Arial"/>
                <w:sz w:val="18"/>
                <w:szCs w:val="18"/>
                <w:color w:val="auto"/>
              </w:rPr>
              <w:t>Merger</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Merger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A-12</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2.3</w:t>
            </w:r>
          </w:p>
        </w:tc>
        <w:tc>
          <w:tcPr>
            <w:tcW w:w="6380" w:type="dxa"/>
            <w:vAlign w:val="bottom"/>
          </w:tcPr>
          <w:p>
            <w:pPr>
              <w:ind w:left="160"/>
              <w:spacing w:after="0"/>
              <w:rPr>
                <w:sz w:val="20"/>
                <w:szCs w:val="20"/>
                <w:color w:val="auto"/>
              </w:rPr>
            </w:pPr>
            <w:r>
              <w:rPr>
                <w:rFonts w:ascii="Arial" w:cs="Arial" w:eastAsia="Arial" w:hAnsi="Arial"/>
                <w:sz w:val="18"/>
                <w:szCs w:val="18"/>
                <w:color w:val="auto"/>
              </w:rPr>
              <w:t>Effect of the Merger</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A-12</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Tax Treatment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A-12</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2.5</w:t>
            </w:r>
          </w:p>
        </w:tc>
        <w:tc>
          <w:tcPr>
            <w:tcW w:w="6380" w:type="dxa"/>
            <w:vAlign w:val="bottom"/>
          </w:tcPr>
          <w:p>
            <w:pPr>
              <w:ind w:left="160"/>
              <w:spacing w:after="0"/>
              <w:rPr>
                <w:sz w:val="20"/>
                <w:szCs w:val="20"/>
                <w:color w:val="auto"/>
              </w:rPr>
            </w:pPr>
            <w:r>
              <w:rPr>
                <w:rFonts w:ascii="Arial" w:cs="Arial" w:eastAsia="Arial" w:hAnsi="Arial"/>
                <w:sz w:val="18"/>
                <w:szCs w:val="18"/>
                <w:color w:val="auto"/>
              </w:rPr>
              <w:t>Certificate of Incorporation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Closing;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A-12</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2.7</w:t>
            </w:r>
          </w:p>
        </w:tc>
        <w:tc>
          <w:tcPr>
            <w:tcW w:w="6380" w:type="dxa"/>
            <w:vAlign w:val="bottom"/>
          </w:tcPr>
          <w:p>
            <w:pPr>
              <w:ind w:left="160"/>
              <w:spacing w:after="0"/>
              <w:rPr>
                <w:sz w:val="20"/>
                <w:szCs w:val="20"/>
                <w:color w:val="auto"/>
              </w:rPr>
            </w:pPr>
            <w:r>
              <w:rPr>
                <w:rFonts w:ascii="Arial" w:cs="Arial" w:eastAsia="Arial" w:hAnsi="Arial"/>
                <w:sz w:val="18"/>
                <w:szCs w:val="18"/>
                <w:color w:val="auto"/>
              </w:rPr>
              <w:t>Board of Directors of Parent</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A-13</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Taking of Necessary Action; Further Action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A-13</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2.9</w:t>
            </w:r>
          </w:p>
        </w:tc>
        <w:tc>
          <w:tcPr>
            <w:tcW w:w="6380" w:type="dxa"/>
            <w:vAlign w:val="bottom"/>
          </w:tcPr>
          <w:p>
            <w:pPr>
              <w:ind w:left="160"/>
              <w:spacing w:after="0"/>
              <w:rPr>
                <w:sz w:val="20"/>
                <w:szCs w:val="20"/>
                <w:color w:val="auto"/>
              </w:rPr>
            </w:pPr>
            <w:r>
              <w:rPr>
                <w:rFonts w:ascii="Arial" w:cs="Arial" w:eastAsia="Arial" w:hAnsi="Arial"/>
                <w:sz w:val="18"/>
                <w:szCs w:val="18"/>
                <w:color w:val="auto"/>
              </w:rPr>
              <w:t>No Further Ownership Rights in Company Securities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A-13</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Appraisal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III [INTENTIONALLY OMITTED]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A-14</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IV CONSIDERATION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A-14</w:t>
            </w:r>
          </w:p>
        </w:tc>
      </w:tr>
      <w:tr>
        <w:trPr>
          <w:trHeight w:val="284"/>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4.1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Conversion of Company Securities; Convertible Notes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A-14</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4.2</w:t>
            </w:r>
          </w:p>
        </w:tc>
        <w:tc>
          <w:tcPr>
            <w:tcW w:w="6380" w:type="dxa"/>
            <w:vAlign w:val="bottom"/>
          </w:tcPr>
          <w:p>
            <w:pPr>
              <w:ind w:left="160"/>
              <w:spacing w:after="0"/>
              <w:rPr>
                <w:sz w:val="20"/>
                <w:szCs w:val="20"/>
                <w:color w:val="auto"/>
              </w:rPr>
            </w:pPr>
            <w:r>
              <w:rPr>
                <w:rFonts w:ascii="Arial" w:cs="Arial" w:eastAsia="Arial" w:hAnsi="Arial"/>
                <w:sz w:val="18"/>
                <w:szCs w:val="18"/>
                <w:color w:val="auto"/>
              </w:rPr>
              <w:t>No Fractional Shares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4.3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Withholding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A-15</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V REPRESENTATIONS AND WARRANTIES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A-16</w:t>
            </w:r>
          </w:p>
        </w:tc>
      </w:tr>
      <w:tr>
        <w:trPr>
          <w:trHeight w:val="284"/>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Existence and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A-16</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5.2</w:t>
            </w:r>
          </w:p>
        </w:tc>
        <w:tc>
          <w:tcPr>
            <w:tcW w:w="6380" w:type="dxa"/>
            <w:vAlign w:val="bottom"/>
          </w:tcPr>
          <w:p>
            <w:pPr>
              <w:ind w:left="160"/>
              <w:spacing w:after="0"/>
              <w:rPr>
                <w:sz w:val="20"/>
                <w:szCs w:val="20"/>
                <w:color w:val="auto"/>
              </w:rPr>
            </w:pPr>
            <w:r>
              <w:rPr>
                <w:rFonts w:ascii="Arial" w:cs="Arial" w:eastAsia="Arial" w:hAnsi="Arial"/>
                <w:sz w:val="18"/>
                <w:szCs w:val="18"/>
                <w:color w:val="auto"/>
              </w:rPr>
              <w:t>Authorization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Governmental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A-16</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5.4</w:t>
            </w:r>
          </w:p>
        </w:tc>
        <w:tc>
          <w:tcPr>
            <w:tcW w:w="6380" w:type="dxa"/>
            <w:vAlign w:val="bottom"/>
          </w:tcPr>
          <w:p>
            <w:pPr>
              <w:ind w:left="160"/>
              <w:spacing w:after="0"/>
              <w:rPr>
                <w:sz w:val="20"/>
                <w:szCs w:val="20"/>
                <w:color w:val="auto"/>
              </w:rPr>
            </w:pPr>
            <w:r>
              <w:rPr>
                <w:rFonts w:ascii="Arial" w:cs="Arial" w:eastAsia="Arial" w:hAnsi="Arial"/>
                <w:sz w:val="18"/>
                <w:szCs w:val="18"/>
                <w:color w:val="auto"/>
              </w:rPr>
              <w:t>Non-Contravention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A-17</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5.6</w:t>
            </w:r>
          </w:p>
        </w:tc>
        <w:tc>
          <w:tcPr>
            <w:tcW w:w="6380" w:type="dxa"/>
            <w:vAlign w:val="bottom"/>
          </w:tcPr>
          <w:p>
            <w:pPr>
              <w:ind w:left="160"/>
              <w:spacing w:after="0"/>
              <w:rPr>
                <w:sz w:val="20"/>
                <w:szCs w:val="20"/>
                <w:color w:val="auto"/>
              </w:rPr>
            </w:pPr>
            <w:r>
              <w:rPr>
                <w:rFonts w:ascii="Arial" w:cs="Arial" w:eastAsia="Arial" w:hAnsi="Arial"/>
                <w:sz w:val="18"/>
                <w:szCs w:val="18"/>
                <w:color w:val="auto"/>
              </w:rPr>
              <w:t>Corporate Records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A-17</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A-18</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5.8</w:t>
            </w:r>
          </w:p>
        </w:tc>
        <w:tc>
          <w:tcPr>
            <w:tcW w:w="6380" w:type="dxa"/>
            <w:vAlign w:val="bottom"/>
          </w:tcPr>
          <w:p>
            <w:pPr>
              <w:ind w:left="160"/>
              <w:spacing w:after="0"/>
              <w:rPr>
                <w:sz w:val="20"/>
                <w:szCs w:val="20"/>
                <w:color w:val="auto"/>
              </w:rPr>
            </w:pPr>
            <w:r>
              <w:rPr>
                <w:rFonts w:ascii="Arial" w:cs="Arial" w:eastAsia="Arial" w:hAnsi="Arial"/>
                <w:sz w:val="18"/>
                <w:szCs w:val="18"/>
                <w:color w:val="auto"/>
              </w:rPr>
              <w:t>Consents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A-18</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5.10</w:t>
            </w:r>
          </w:p>
        </w:tc>
        <w:tc>
          <w:tcPr>
            <w:tcW w:w="638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Internal Accounting Controls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A-18</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5.12</w:t>
            </w:r>
          </w:p>
        </w:tc>
        <w:tc>
          <w:tcPr>
            <w:tcW w:w="6380" w:type="dxa"/>
            <w:vAlign w:val="bottom"/>
          </w:tcPr>
          <w:p>
            <w:pPr>
              <w:ind w:left="160"/>
              <w:spacing w:after="0"/>
              <w:rPr>
                <w:sz w:val="20"/>
                <w:szCs w:val="20"/>
                <w:color w:val="auto"/>
              </w:rPr>
            </w:pPr>
            <w:r>
              <w:rPr>
                <w:rFonts w:ascii="Arial" w:cs="Arial" w:eastAsia="Arial" w:hAnsi="Arial"/>
                <w:sz w:val="18"/>
                <w:szCs w:val="18"/>
                <w:color w:val="auto"/>
              </w:rPr>
              <w:t>Absence of Certain Changes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5.13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Properties; Title to the Company’s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A-19</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5.14</w:t>
            </w:r>
          </w:p>
        </w:tc>
        <w:tc>
          <w:tcPr>
            <w:tcW w:w="638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A-19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5.15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Contracts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A-19</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5.16</w:t>
            </w:r>
          </w:p>
        </w:tc>
        <w:tc>
          <w:tcPr>
            <w:tcW w:w="6380" w:type="dxa"/>
            <w:vAlign w:val="bottom"/>
          </w:tcPr>
          <w:p>
            <w:pPr>
              <w:ind w:left="160"/>
              <w:spacing w:after="0"/>
              <w:rPr>
                <w:sz w:val="20"/>
                <w:szCs w:val="20"/>
                <w:color w:val="auto"/>
              </w:rPr>
            </w:pPr>
            <w:r>
              <w:rPr>
                <w:rFonts w:ascii="Arial" w:cs="Arial" w:eastAsia="Arial" w:hAnsi="Arial"/>
                <w:sz w:val="18"/>
                <w:szCs w:val="18"/>
                <w:color w:val="auto"/>
              </w:rPr>
              <w:t>Licenses and Permits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5.17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Compliance with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A-21</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5.18</w:t>
            </w:r>
          </w:p>
        </w:tc>
        <w:tc>
          <w:tcPr>
            <w:tcW w:w="63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5.19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FDA</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A-23</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5.20</w:t>
            </w:r>
          </w:p>
        </w:tc>
        <w:tc>
          <w:tcPr>
            <w:tcW w:w="6380" w:type="dxa"/>
            <w:vAlign w:val="bottom"/>
          </w:tcPr>
          <w:p>
            <w:pPr>
              <w:ind w:left="160"/>
              <w:spacing w:after="0"/>
              <w:rPr>
                <w:sz w:val="20"/>
                <w:szCs w:val="20"/>
                <w:color w:val="auto"/>
              </w:rPr>
            </w:pPr>
            <w:r>
              <w:rPr>
                <w:rFonts w:ascii="Arial" w:cs="Arial" w:eastAsia="Arial" w:hAnsi="Arial"/>
                <w:sz w:val="18"/>
                <w:szCs w:val="18"/>
                <w:color w:val="auto"/>
              </w:rPr>
              <w:t>Accounts Payable; Affiliate Loans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A-24</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5.21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Employees; Employment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A-24</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5.22</w:t>
            </w:r>
          </w:p>
        </w:tc>
        <w:tc>
          <w:tcPr>
            <w:tcW w:w="638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5.23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Employee Benefits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A-25</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5.24</w:t>
            </w:r>
          </w:p>
        </w:tc>
        <w:tc>
          <w:tcPr>
            <w:tcW w:w="638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00" cy="5715"/>
                    </a:xfrm>
                    <a:prstGeom prst="rect">
                      <a:avLst/>
                    </a:prstGeom>
                    <a:noFill/>
                  </pic:spPr>
                </pic:pic>
              </a:graphicData>
            </a:graphic>
          </wp:anchor>
        </w:drawing>
      </w:r>
    </w:p>
    <w:p>
      <w:pPr>
        <w:sectPr>
          <w:pgSz w:w="11900" w:h="16868" w:orient="portrait"/>
          <w:cols w:equalWidth="0" w:num="1">
            <w:col w:w="9019"/>
          </w:cols>
          <w:pgMar w:left="1440" w:top="274" w:right="1440" w:bottom="0" w:gutter="0" w:footer="0" w:header="0"/>
        </w:sectPr>
      </w:pPr>
    </w:p>
    <w:bookmarkStart w:id="277" w:name="page278"/>
    <w:bookmarkEnd w:id="27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Annex A</w:t>
            </w:r>
          </w:p>
        </w:tc>
      </w:tr>
      <w:tr>
        <w:trPr>
          <w:trHeight w:val="210"/>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7"/>
              </w:rPr>
              <w:t>Page No.</w:t>
            </w:r>
          </w:p>
        </w:tc>
      </w:tr>
      <w:tr>
        <w:trPr>
          <w:trHeight w:val="47"/>
        </w:trPr>
        <w:tc>
          <w:tcPr>
            <w:tcW w:w="900" w:type="dxa"/>
            <w:vAlign w:val="bottom"/>
            <w:tcBorders>
              <w:bottom w:val="single" w:sz="8" w:color="CCEEFF"/>
            </w:tcBorders>
          </w:tcPr>
          <w:p>
            <w:pPr>
              <w:spacing w:after="0"/>
              <w:rPr>
                <w:sz w:val="4"/>
                <w:szCs w:val="4"/>
                <w:color w:val="auto"/>
              </w:rPr>
            </w:pPr>
          </w:p>
        </w:tc>
        <w:tc>
          <w:tcPr>
            <w:tcW w:w="6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5.25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A-27</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5.26</w:t>
            </w:r>
          </w:p>
        </w:tc>
        <w:tc>
          <w:tcPr>
            <w:tcW w:w="6380" w:type="dxa"/>
            <w:vAlign w:val="bottom"/>
          </w:tcPr>
          <w:p>
            <w:pPr>
              <w:ind w:left="160"/>
              <w:spacing w:after="0"/>
              <w:rPr>
                <w:sz w:val="20"/>
                <w:szCs w:val="20"/>
                <w:color w:val="auto"/>
              </w:rPr>
            </w:pPr>
            <w:r>
              <w:rPr>
                <w:rFonts w:ascii="Arial" w:cs="Arial" w:eastAsia="Arial" w:hAnsi="Arial"/>
                <w:sz w:val="18"/>
                <w:szCs w:val="18"/>
                <w:color w:val="auto"/>
              </w:rPr>
              <w:t>Environmental Laws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5.27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Finders’ Fees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A-28</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5.28</w:t>
            </w:r>
          </w:p>
        </w:tc>
        <w:tc>
          <w:tcPr>
            <w:tcW w:w="6380" w:type="dxa"/>
            <w:vAlign w:val="bottom"/>
          </w:tcPr>
          <w:p>
            <w:pPr>
              <w:ind w:left="160"/>
              <w:spacing w:after="0"/>
              <w:rPr>
                <w:sz w:val="20"/>
                <w:szCs w:val="20"/>
                <w:color w:val="auto"/>
              </w:rPr>
            </w:pPr>
            <w:r>
              <w:rPr>
                <w:rFonts w:ascii="Arial" w:cs="Arial" w:eastAsia="Arial" w:hAnsi="Arial"/>
                <w:sz w:val="18"/>
                <w:szCs w:val="18"/>
                <w:color w:val="auto"/>
              </w:rPr>
              <w:t>Powers of Attorney and Suretyships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5.29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Directors and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A-28</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5.30</w:t>
            </w:r>
          </w:p>
        </w:tc>
        <w:tc>
          <w:tcPr>
            <w:tcW w:w="6380" w:type="dxa"/>
            <w:vAlign w:val="bottom"/>
          </w:tcPr>
          <w:p>
            <w:pPr>
              <w:ind w:left="160"/>
              <w:spacing w:after="0"/>
              <w:rPr>
                <w:sz w:val="20"/>
                <w:szCs w:val="20"/>
                <w:color w:val="auto"/>
              </w:rPr>
            </w:pPr>
            <w:r>
              <w:rPr>
                <w:rFonts w:ascii="Arial" w:cs="Arial" w:eastAsia="Arial" w:hAnsi="Arial"/>
                <w:sz w:val="18"/>
                <w:szCs w:val="18"/>
                <w:color w:val="auto"/>
              </w:rPr>
              <w:t>Anti-Money Laundering Laws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5.31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A-28</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5.32</w:t>
            </w:r>
          </w:p>
        </w:tc>
        <w:tc>
          <w:tcPr>
            <w:tcW w:w="6380" w:type="dxa"/>
            <w:vAlign w:val="bottom"/>
          </w:tcPr>
          <w:p>
            <w:pPr>
              <w:ind w:left="160"/>
              <w:spacing w:after="0"/>
              <w:rPr>
                <w:sz w:val="20"/>
                <w:szCs w:val="20"/>
                <w:color w:val="auto"/>
              </w:rPr>
            </w:pPr>
            <w:r>
              <w:rPr>
                <w:rFonts w:ascii="Arial" w:cs="Arial" w:eastAsia="Arial" w:hAnsi="Arial"/>
                <w:sz w:val="18"/>
                <w:szCs w:val="18"/>
                <w:color w:val="auto"/>
              </w:rPr>
              <w:t>Related Party Transactions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A-29</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 OF PARENT AND MERGER SUB</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6.1</w:t>
            </w:r>
          </w:p>
        </w:tc>
        <w:tc>
          <w:tcPr>
            <w:tcW w:w="6380" w:type="dxa"/>
            <w:vAlign w:val="bottom"/>
          </w:tcPr>
          <w:p>
            <w:pPr>
              <w:ind w:left="160"/>
              <w:spacing w:after="0"/>
              <w:rPr>
                <w:sz w:val="20"/>
                <w:szCs w:val="20"/>
                <w:color w:val="auto"/>
              </w:rPr>
            </w:pPr>
            <w:r>
              <w:rPr>
                <w:rFonts w:ascii="Arial" w:cs="Arial" w:eastAsia="Arial" w:hAnsi="Arial"/>
                <w:sz w:val="18"/>
                <w:szCs w:val="18"/>
                <w:color w:val="auto"/>
              </w:rPr>
              <w:t>Corporate Existence and Power</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A-29</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6.3</w:t>
            </w:r>
          </w:p>
        </w:tc>
        <w:tc>
          <w:tcPr>
            <w:tcW w:w="6380" w:type="dxa"/>
            <w:vAlign w:val="bottom"/>
          </w:tcPr>
          <w:p>
            <w:pPr>
              <w:ind w:left="160"/>
              <w:spacing w:after="0"/>
              <w:rPr>
                <w:sz w:val="20"/>
                <w:szCs w:val="20"/>
                <w:color w:val="auto"/>
              </w:rPr>
            </w:pPr>
            <w:r>
              <w:rPr>
                <w:rFonts w:ascii="Arial" w:cs="Arial" w:eastAsia="Arial" w:hAnsi="Arial"/>
                <w:sz w:val="18"/>
                <w:szCs w:val="18"/>
                <w:color w:val="auto"/>
              </w:rPr>
              <w:t>Governmental Authorization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Non-Contravention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A-29</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6.5</w:t>
            </w:r>
          </w:p>
        </w:tc>
        <w:tc>
          <w:tcPr>
            <w:tcW w:w="6380" w:type="dxa"/>
            <w:vAlign w:val="bottom"/>
          </w:tcPr>
          <w:p>
            <w:pPr>
              <w:ind w:left="160"/>
              <w:spacing w:after="0"/>
              <w:rPr>
                <w:sz w:val="20"/>
                <w:szCs w:val="20"/>
                <w:color w:val="auto"/>
              </w:rPr>
            </w:pPr>
            <w:r>
              <w:rPr>
                <w:rFonts w:ascii="Arial" w:cs="Arial" w:eastAsia="Arial" w:hAnsi="Arial"/>
                <w:sz w:val="18"/>
                <w:szCs w:val="18"/>
                <w:color w:val="auto"/>
              </w:rPr>
              <w:t>Finders’ Fees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A-30</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6.7</w:t>
            </w:r>
          </w:p>
        </w:tc>
        <w:tc>
          <w:tcPr>
            <w:tcW w:w="6380" w:type="dxa"/>
            <w:vAlign w:val="bottom"/>
          </w:tcPr>
          <w:p>
            <w:pPr>
              <w:ind w:left="160"/>
              <w:spacing w:after="0"/>
              <w:rPr>
                <w:sz w:val="20"/>
                <w:szCs w:val="20"/>
                <w:color w:val="auto"/>
              </w:rPr>
            </w:pPr>
            <w:r>
              <w:rPr>
                <w:rFonts w:ascii="Arial" w:cs="Arial" w:eastAsia="Arial" w:hAnsi="Arial"/>
                <w:sz w:val="18"/>
                <w:szCs w:val="18"/>
                <w:color w:val="auto"/>
              </w:rPr>
              <w:t>Capitalization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Information Supplied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A-30</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6.9</w:t>
            </w:r>
          </w:p>
        </w:tc>
        <w:tc>
          <w:tcPr>
            <w:tcW w:w="6380" w:type="dxa"/>
            <w:vAlign w:val="bottom"/>
          </w:tcPr>
          <w:p>
            <w:pPr>
              <w:ind w:left="160"/>
              <w:spacing w:after="0"/>
              <w:rPr>
                <w:sz w:val="20"/>
                <w:szCs w:val="20"/>
                <w:color w:val="auto"/>
              </w:rPr>
            </w:pPr>
            <w:r>
              <w:rPr>
                <w:rFonts w:ascii="Arial" w:cs="Arial" w:eastAsia="Arial" w:hAnsi="Arial"/>
                <w:sz w:val="18"/>
                <w:szCs w:val="18"/>
                <w:color w:val="auto"/>
              </w:rPr>
              <w:t>Trust Fund</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A-31</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6.11</w:t>
            </w:r>
          </w:p>
        </w:tc>
        <w:tc>
          <w:tcPr>
            <w:tcW w:w="6380" w:type="dxa"/>
            <w:vAlign w:val="bottom"/>
          </w:tcPr>
          <w:p>
            <w:pPr>
              <w:ind w:left="160"/>
              <w:spacing w:after="0"/>
              <w:rPr>
                <w:sz w:val="20"/>
                <w:szCs w:val="20"/>
                <w:color w:val="auto"/>
              </w:rPr>
            </w:pPr>
            <w:r>
              <w:rPr>
                <w:rFonts w:ascii="Arial" w:cs="Arial" w:eastAsia="Arial" w:hAnsi="Arial"/>
                <w:sz w:val="18"/>
                <w:szCs w:val="18"/>
                <w:color w:val="auto"/>
              </w:rPr>
              <w:t>Board Approval</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6.12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Parent SEC Documents and 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A-31</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6.13</w:t>
            </w:r>
          </w:p>
        </w:tc>
        <w:tc>
          <w:tcPr>
            <w:tcW w:w="6380" w:type="dxa"/>
            <w:vAlign w:val="bottom"/>
          </w:tcPr>
          <w:p>
            <w:pPr>
              <w:ind w:left="160"/>
              <w:spacing w:after="0"/>
              <w:rPr>
                <w:sz w:val="20"/>
                <w:szCs w:val="20"/>
                <w:color w:val="auto"/>
              </w:rPr>
            </w:pPr>
            <w:r>
              <w:rPr>
                <w:rFonts w:ascii="Arial" w:cs="Arial" w:eastAsia="Arial" w:hAnsi="Arial"/>
                <w:sz w:val="18"/>
                <w:szCs w:val="18"/>
                <w:color w:val="auto"/>
              </w:rPr>
              <w:t>Certain Business Practices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6.14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Anti-Money Laundering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A-32</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6.15</w:t>
            </w:r>
          </w:p>
        </w:tc>
        <w:tc>
          <w:tcPr>
            <w:tcW w:w="6380" w:type="dxa"/>
            <w:vAlign w:val="bottom"/>
          </w:tcPr>
          <w:p>
            <w:pPr>
              <w:ind w:left="160"/>
              <w:spacing w:after="0"/>
              <w:rPr>
                <w:sz w:val="20"/>
                <w:szCs w:val="20"/>
                <w:color w:val="auto"/>
              </w:rPr>
            </w:pPr>
            <w:r>
              <w:rPr>
                <w:rFonts w:ascii="Arial" w:cs="Arial" w:eastAsia="Arial" w:hAnsi="Arial"/>
                <w:sz w:val="18"/>
                <w:szCs w:val="18"/>
                <w:color w:val="auto"/>
              </w:rPr>
              <w:t>Affiliate Transactions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6.16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Litigation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A-32</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6.17</w:t>
            </w:r>
          </w:p>
        </w:tc>
        <w:tc>
          <w:tcPr>
            <w:tcW w:w="6380" w:type="dxa"/>
            <w:vAlign w:val="bottom"/>
          </w:tcPr>
          <w:p>
            <w:pPr>
              <w:ind w:left="160"/>
              <w:spacing w:after="0"/>
              <w:rPr>
                <w:sz w:val="20"/>
                <w:szCs w:val="20"/>
                <w:color w:val="auto"/>
              </w:rPr>
            </w:pPr>
            <w:r>
              <w:rPr>
                <w:rFonts w:ascii="Arial" w:cs="Arial" w:eastAsia="Arial" w:hAnsi="Arial"/>
                <w:sz w:val="18"/>
                <w:szCs w:val="18"/>
                <w:color w:val="auto"/>
              </w:rPr>
              <w:t>Expenses, Indebtedness and Other Liabilities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6.18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A-32</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VII COVENANTS OF THE PARTIES PENDING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A-33</w:t>
            </w:r>
          </w:p>
        </w:tc>
      </w:tr>
      <w:tr>
        <w:trPr>
          <w:trHeight w:val="284"/>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7.1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Conduct of the Business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A-33</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7.2</w:t>
            </w:r>
          </w:p>
        </w:tc>
        <w:tc>
          <w:tcPr>
            <w:tcW w:w="6380" w:type="dxa"/>
            <w:vAlign w:val="bottom"/>
          </w:tcPr>
          <w:p>
            <w:pPr>
              <w:ind w:left="160"/>
              <w:spacing w:after="0"/>
              <w:rPr>
                <w:sz w:val="20"/>
                <w:szCs w:val="20"/>
                <w:color w:val="auto"/>
              </w:rPr>
            </w:pPr>
            <w:r>
              <w:rPr>
                <w:rFonts w:ascii="Arial" w:cs="Arial" w:eastAsia="Arial" w:hAnsi="Arial"/>
                <w:sz w:val="18"/>
                <w:szCs w:val="18"/>
                <w:color w:val="auto"/>
              </w:rPr>
              <w:t>Exclusivity</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7.3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Access to Information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A-35</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7.4</w:t>
            </w:r>
          </w:p>
        </w:tc>
        <w:tc>
          <w:tcPr>
            <w:tcW w:w="6380" w:type="dxa"/>
            <w:vAlign w:val="bottom"/>
          </w:tcPr>
          <w:p>
            <w:pPr>
              <w:ind w:left="160"/>
              <w:spacing w:after="0"/>
              <w:rPr>
                <w:sz w:val="20"/>
                <w:szCs w:val="20"/>
                <w:color w:val="auto"/>
              </w:rPr>
            </w:pPr>
            <w:r>
              <w:rPr>
                <w:rFonts w:ascii="Arial" w:cs="Arial" w:eastAsia="Arial" w:hAnsi="Arial"/>
                <w:sz w:val="18"/>
                <w:szCs w:val="18"/>
                <w:color w:val="auto"/>
              </w:rPr>
              <w:t>Notices of Certain Events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7.5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Cooperation with Form S-4/Proxy Statement; Other Filings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A-36</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7.6</w:t>
            </w:r>
          </w:p>
        </w:tc>
        <w:tc>
          <w:tcPr>
            <w:tcW w:w="6380" w:type="dxa"/>
            <w:vAlign w:val="bottom"/>
          </w:tcPr>
          <w:p>
            <w:pPr>
              <w:ind w:left="160"/>
              <w:spacing w:after="0"/>
              <w:rPr>
                <w:sz w:val="20"/>
                <w:szCs w:val="20"/>
                <w:color w:val="auto"/>
              </w:rPr>
            </w:pPr>
            <w:r>
              <w:rPr>
                <w:rFonts w:ascii="Arial" w:cs="Arial" w:eastAsia="Arial" w:hAnsi="Arial"/>
                <w:sz w:val="18"/>
                <w:szCs w:val="18"/>
                <w:color w:val="auto"/>
              </w:rPr>
              <w:t>Trust Account</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7.7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Obligations of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A-38</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7.8</w:t>
            </w:r>
          </w:p>
        </w:tc>
        <w:tc>
          <w:tcPr>
            <w:tcW w:w="6380" w:type="dxa"/>
            <w:vAlign w:val="bottom"/>
          </w:tcPr>
          <w:p>
            <w:pPr>
              <w:ind w:left="160"/>
              <w:spacing w:after="0"/>
              <w:rPr>
                <w:sz w:val="20"/>
                <w:szCs w:val="20"/>
                <w:color w:val="auto"/>
              </w:rPr>
            </w:pPr>
            <w:r>
              <w:rPr>
                <w:rFonts w:ascii="Arial" w:cs="Arial" w:eastAsia="Arial" w:hAnsi="Arial"/>
                <w:sz w:val="18"/>
                <w:szCs w:val="18"/>
                <w:color w:val="auto"/>
              </w:rPr>
              <w:t>Private Placement, Parent Support Agreements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A-38</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VIII COVENANTS OF THE COMPANY</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8.1</w:t>
            </w:r>
          </w:p>
        </w:tc>
        <w:tc>
          <w:tcPr>
            <w:tcW w:w="6380" w:type="dxa"/>
            <w:vAlign w:val="bottom"/>
          </w:tcPr>
          <w:p>
            <w:pPr>
              <w:ind w:left="160"/>
              <w:spacing w:after="0"/>
              <w:rPr>
                <w:sz w:val="20"/>
                <w:szCs w:val="20"/>
                <w:color w:val="auto"/>
              </w:rPr>
            </w:pPr>
            <w:r>
              <w:rPr>
                <w:rFonts w:ascii="Arial" w:cs="Arial" w:eastAsia="Arial" w:hAnsi="Arial"/>
                <w:sz w:val="18"/>
                <w:szCs w:val="18"/>
                <w:color w:val="auto"/>
              </w:rPr>
              <w:t>Reporting; Compliance with Laws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8.2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Commercially Reasonable Efforts to Obtain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A-38</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8.3</w:t>
            </w:r>
          </w:p>
        </w:tc>
        <w:tc>
          <w:tcPr>
            <w:tcW w:w="6380" w:type="dxa"/>
            <w:vAlign w:val="bottom"/>
          </w:tcPr>
          <w:p>
            <w:pPr>
              <w:ind w:left="160"/>
              <w:spacing w:after="0"/>
              <w:rPr>
                <w:sz w:val="20"/>
                <w:szCs w:val="20"/>
                <w:color w:val="auto"/>
              </w:rPr>
            </w:pPr>
            <w:r>
              <w:rPr>
                <w:rFonts w:ascii="Arial" w:cs="Arial" w:eastAsia="Arial" w:hAnsi="Arial"/>
                <w:sz w:val="18"/>
                <w:szCs w:val="18"/>
                <w:color w:val="auto"/>
              </w:rPr>
              <w:t>Company’s Stockholders Approval</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8.4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Section 280G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A-39</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IX COVENANTS OF ALL PARTIES HERETO</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A-39</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9.1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Commercially Reasonable Efforts; Further Assurances; Governmental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A-39</w:t>
            </w:r>
          </w:p>
        </w:tc>
      </w:tr>
      <w:tr>
        <w:trPr>
          <w:trHeight w:val="243"/>
        </w:trPr>
        <w:tc>
          <w:tcPr>
            <w:tcW w:w="900" w:type="dxa"/>
            <w:vAlign w:val="bottom"/>
          </w:tcPr>
          <w:p>
            <w:pPr>
              <w:ind w:left="420"/>
              <w:spacing w:after="0"/>
              <w:rPr>
                <w:sz w:val="20"/>
                <w:szCs w:val="20"/>
                <w:color w:val="auto"/>
              </w:rPr>
            </w:pPr>
            <w:r>
              <w:rPr>
                <w:rFonts w:ascii="Arial" w:cs="Arial" w:eastAsia="Arial" w:hAnsi="Arial"/>
                <w:sz w:val="18"/>
                <w:szCs w:val="18"/>
                <w:color w:val="auto"/>
              </w:rPr>
              <w:t>9.2</w:t>
            </w:r>
          </w:p>
        </w:tc>
        <w:tc>
          <w:tcPr>
            <w:tcW w:w="638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9.3</w:t>
            </w: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Directors’ and Officers’ Indemnification and Liability Insurance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A-40</w:t>
            </w:r>
          </w:p>
        </w:tc>
      </w:tr>
      <w:tr>
        <w:trPr>
          <w:trHeight w:val="40"/>
        </w:trPr>
        <w:tc>
          <w:tcPr>
            <w:tcW w:w="900" w:type="dxa"/>
            <w:vAlign w:val="bottom"/>
            <w:shd w:val="clear" w:color="auto" w:fill="CCEEFF"/>
          </w:tcPr>
          <w:p>
            <w:pPr>
              <w:spacing w:after="0"/>
              <w:rPr>
                <w:sz w:val="3"/>
                <w:szCs w:val="3"/>
                <w:color w:val="auto"/>
              </w:rPr>
            </w:pPr>
          </w:p>
        </w:tc>
        <w:tc>
          <w:tcPr>
            <w:tcW w:w="6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bookmarkStart w:id="278" w:name="page279"/>
    <w:bookmarkEnd w:id="27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Annex A</w:t>
            </w:r>
          </w:p>
        </w:tc>
      </w:tr>
      <w:tr>
        <w:trPr>
          <w:trHeight w:val="210"/>
        </w:trPr>
        <w:tc>
          <w:tcPr>
            <w:tcW w:w="9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7"/>
              </w:rPr>
              <w:t>Page No.</w:t>
            </w:r>
          </w:p>
        </w:tc>
      </w:tr>
      <w:tr>
        <w:trPr>
          <w:trHeight w:val="47"/>
        </w:trPr>
        <w:tc>
          <w:tcPr>
            <w:tcW w:w="940" w:type="dxa"/>
            <w:vAlign w:val="bottom"/>
            <w:tcBorders>
              <w:bottom w:val="single" w:sz="8" w:color="CCEEFF"/>
            </w:tcBorders>
          </w:tcPr>
          <w:p>
            <w:pPr>
              <w:spacing w:after="0"/>
              <w:rPr>
                <w:sz w:val="4"/>
                <w:szCs w:val="4"/>
                <w:color w:val="auto"/>
              </w:rPr>
            </w:pPr>
          </w:p>
        </w:tc>
        <w:tc>
          <w:tcPr>
            <w:tcW w:w="63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9.4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Nasdaq 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A-41</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9.5</w:t>
            </w:r>
          </w:p>
        </w:tc>
        <w:tc>
          <w:tcPr>
            <w:tcW w:w="6340" w:type="dxa"/>
            <w:vAlign w:val="bottom"/>
          </w:tcPr>
          <w:p>
            <w:pPr>
              <w:ind w:left="120"/>
              <w:spacing w:after="0"/>
              <w:rPr>
                <w:sz w:val="20"/>
                <w:szCs w:val="20"/>
                <w:color w:val="auto"/>
              </w:rPr>
            </w:pPr>
            <w:r>
              <w:rPr>
                <w:rFonts w:ascii="Arial" w:cs="Arial" w:eastAsia="Arial" w:hAnsi="Arial"/>
                <w:sz w:val="18"/>
                <w:szCs w:val="18"/>
                <w:color w:val="auto"/>
              </w:rPr>
              <w:t>Certain Tax Matters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9.6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Equity Incentive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A-41</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X CONDITIONS TO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A-41</w:t>
            </w:r>
          </w:p>
        </w:tc>
      </w:tr>
      <w:tr>
        <w:trPr>
          <w:trHeight w:val="283"/>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10.1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Condition to the Obligations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A-41</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10.2</w:t>
            </w:r>
          </w:p>
        </w:tc>
        <w:tc>
          <w:tcPr>
            <w:tcW w:w="6340" w:type="dxa"/>
            <w:vAlign w:val="bottom"/>
          </w:tcPr>
          <w:p>
            <w:pPr>
              <w:ind w:left="120"/>
              <w:spacing w:after="0"/>
              <w:rPr>
                <w:sz w:val="20"/>
                <w:szCs w:val="20"/>
                <w:color w:val="auto"/>
              </w:rPr>
            </w:pPr>
            <w:r>
              <w:rPr>
                <w:rFonts w:ascii="Arial" w:cs="Arial" w:eastAsia="Arial" w:hAnsi="Arial"/>
                <w:sz w:val="18"/>
                <w:szCs w:val="18"/>
                <w:color w:val="auto"/>
              </w:rPr>
              <w:t>Conditions to Obligations of Parent and Merger Sub</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A-42</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10.3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Conditions to Obligations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XI INDEMNIFICATION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A-44</w:t>
            </w:r>
          </w:p>
        </w:tc>
      </w:tr>
      <w:tr>
        <w:trPr>
          <w:trHeight w:val="283"/>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11.1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Indemnification of Parent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A-44</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11.2</w:t>
            </w:r>
          </w:p>
        </w:tc>
        <w:tc>
          <w:tcPr>
            <w:tcW w:w="6340" w:type="dxa"/>
            <w:vAlign w:val="bottom"/>
          </w:tcPr>
          <w:p>
            <w:pPr>
              <w:ind w:left="120"/>
              <w:spacing w:after="0"/>
              <w:rPr>
                <w:sz w:val="20"/>
                <w:szCs w:val="20"/>
                <w:color w:val="auto"/>
              </w:rPr>
            </w:pPr>
            <w:r>
              <w:rPr>
                <w:rFonts w:ascii="Arial" w:cs="Arial" w:eastAsia="Arial" w:hAnsi="Arial"/>
                <w:sz w:val="18"/>
                <w:szCs w:val="18"/>
                <w:color w:val="auto"/>
              </w:rPr>
              <w:t>Procedure</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A-44</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11.3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Escrow of Escrow Shares by Escrow Participants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A-45</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11.4</w:t>
            </w:r>
          </w:p>
        </w:tc>
        <w:tc>
          <w:tcPr>
            <w:tcW w:w="6340" w:type="dxa"/>
            <w:vAlign w:val="bottom"/>
          </w:tcPr>
          <w:p>
            <w:pPr>
              <w:ind w:left="120"/>
              <w:spacing w:after="0"/>
              <w:rPr>
                <w:sz w:val="20"/>
                <w:szCs w:val="20"/>
                <w:color w:val="auto"/>
              </w:rPr>
            </w:pPr>
            <w:r>
              <w:rPr>
                <w:rFonts w:ascii="Arial" w:cs="Arial" w:eastAsia="Arial" w:hAnsi="Arial"/>
                <w:sz w:val="18"/>
                <w:szCs w:val="18"/>
                <w:color w:val="auto"/>
              </w:rPr>
              <w:t>Payment of Indemnification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A-46</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11.5</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A-46</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11.6</w:t>
            </w:r>
          </w:p>
        </w:tc>
        <w:tc>
          <w:tcPr>
            <w:tcW w:w="6340" w:type="dxa"/>
            <w:vAlign w:val="bottom"/>
          </w:tcPr>
          <w:p>
            <w:pPr>
              <w:ind w:left="120"/>
              <w:spacing w:after="0"/>
              <w:rPr>
                <w:sz w:val="20"/>
                <w:szCs w:val="20"/>
                <w:color w:val="auto"/>
              </w:rPr>
            </w:pPr>
            <w:r>
              <w:rPr>
                <w:rFonts w:ascii="Arial" w:cs="Arial" w:eastAsia="Arial" w:hAnsi="Arial"/>
                <w:sz w:val="18"/>
                <w:szCs w:val="18"/>
                <w:color w:val="auto"/>
              </w:rPr>
              <w:t>Survival of Indemnification Rights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A-46</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11.7</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Sole and Exclusive Remedy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A-47</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XII DISPUTE RESOLUTION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A-47</w:t>
            </w:r>
          </w:p>
        </w:tc>
      </w:tr>
      <w:tr>
        <w:trPr>
          <w:trHeight w:val="283"/>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12.1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Arbitration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A-47</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12.2</w:t>
            </w:r>
          </w:p>
        </w:tc>
        <w:tc>
          <w:tcPr>
            <w:tcW w:w="6340" w:type="dxa"/>
            <w:vAlign w:val="bottom"/>
          </w:tcPr>
          <w:p>
            <w:pPr>
              <w:ind w:left="120"/>
              <w:spacing w:after="0"/>
              <w:rPr>
                <w:sz w:val="20"/>
                <w:szCs w:val="20"/>
                <w:color w:val="auto"/>
              </w:rPr>
            </w:pPr>
            <w:r>
              <w:rPr>
                <w:rFonts w:ascii="Arial" w:cs="Arial" w:eastAsia="Arial" w:hAnsi="Arial"/>
                <w:sz w:val="18"/>
                <w:szCs w:val="18"/>
                <w:color w:val="auto"/>
              </w:rPr>
              <w:t>Waiver of Jury Trial; Exemplary Damages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XIII TERMINATION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13.1</w:t>
            </w:r>
          </w:p>
        </w:tc>
        <w:tc>
          <w:tcPr>
            <w:tcW w:w="6340" w:type="dxa"/>
            <w:vAlign w:val="bottom"/>
          </w:tcPr>
          <w:p>
            <w:pPr>
              <w:ind w:left="120"/>
              <w:spacing w:after="0"/>
              <w:rPr>
                <w:sz w:val="20"/>
                <w:szCs w:val="20"/>
                <w:color w:val="auto"/>
              </w:rPr>
            </w:pPr>
            <w:r>
              <w:rPr>
                <w:rFonts w:ascii="Arial" w:cs="Arial" w:eastAsia="Arial" w:hAnsi="Arial"/>
                <w:sz w:val="18"/>
                <w:szCs w:val="18"/>
                <w:color w:val="auto"/>
              </w:rPr>
              <w:t>Termination Without Default</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13.2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Termination Upon Default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A-48</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13.3</w:t>
            </w:r>
          </w:p>
        </w:tc>
        <w:tc>
          <w:tcPr>
            <w:tcW w:w="634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A-49</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XIV MISCELLANEOUS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14.1</w:t>
            </w:r>
          </w:p>
        </w:tc>
        <w:tc>
          <w:tcPr>
            <w:tcW w:w="6340" w:type="dxa"/>
            <w:vAlign w:val="bottom"/>
          </w:tcPr>
          <w:p>
            <w:pPr>
              <w:ind w:left="120"/>
              <w:spacing w:after="0"/>
              <w:rPr>
                <w:sz w:val="20"/>
                <w:szCs w:val="20"/>
                <w:color w:val="auto"/>
              </w:rPr>
            </w:pPr>
            <w:r>
              <w:rPr>
                <w:rFonts w:ascii="Arial" w:cs="Arial" w:eastAsia="Arial" w:hAnsi="Arial"/>
                <w:sz w:val="18"/>
                <w:szCs w:val="18"/>
                <w:color w:val="auto"/>
              </w:rPr>
              <w:t>Notices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14.2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Amendments; No Waivers; Remedies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A-50</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14.3</w:t>
            </w:r>
          </w:p>
        </w:tc>
        <w:tc>
          <w:tcPr>
            <w:tcW w:w="6340" w:type="dxa"/>
            <w:vAlign w:val="bottom"/>
          </w:tcPr>
          <w:p>
            <w:pPr>
              <w:ind w:left="120"/>
              <w:spacing w:after="0"/>
              <w:rPr>
                <w:sz w:val="20"/>
                <w:szCs w:val="20"/>
                <w:color w:val="auto"/>
              </w:rPr>
            </w:pPr>
            <w:r>
              <w:rPr>
                <w:rFonts w:ascii="Arial" w:cs="Arial" w:eastAsia="Arial" w:hAnsi="Arial"/>
                <w:sz w:val="18"/>
                <w:szCs w:val="18"/>
                <w:color w:val="auto"/>
              </w:rPr>
              <w:t>Arm’s Length Bargaining; No Presumption Against Drafter</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A-50</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14.4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Publicity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A-50</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14.5</w:t>
            </w:r>
          </w:p>
        </w:tc>
        <w:tc>
          <w:tcPr>
            <w:tcW w:w="6340" w:type="dxa"/>
            <w:vAlign w:val="bottom"/>
          </w:tcPr>
          <w:p>
            <w:pPr>
              <w:ind w:left="120"/>
              <w:spacing w:after="0"/>
              <w:rPr>
                <w:sz w:val="20"/>
                <w:szCs w:val="20"/>
                <w:color w:val="auto"/>
              </w:rPr>
            </w:pPr>
            <w:r>
              <w:rPr>
                <w:rFonts w:ascii="Arial" w:cs="Arial" w:eastAsia="Arial" w:hAnsi="Arial"/>
                <w:sz w:val="18"/>
                <w:szCs w:val="18"/>
                <w:color w:val="auto"/>
              </w:rPr>
              <w:t>Expenses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14.6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 Assignment or Delegation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A-51</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14.7</w:t>
            </w:r>
          </w:p>
        </w:tc>
        <w:tc>
          <w:tcPr>
            <w:tcW w:w="63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14.8</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Counterparts; Facsimile Signatures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A-51</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14.9</w:t>
            </w:r>
          </w:p>
        </w:tc>
        <w:tc>
          <w:tcPr>
            <w:tcW w:w="634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14.10</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Severability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A-51</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14.11</w:t>
            </w:r>
          </w:p>
        </w:tc>
        <w:tc>
          <w:tcPr>
            <w:tcW w:w="634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14.12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Third Party Beneficiaries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A-51</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14.13</w:t>
            </w:r>
          </w:p>
        </w:tc>
        <w:tc>
          <w:tcPr>
            <w:tcW w:w="6340" w:type="dxa"/>
            <w:vAlign w:val="bottom"/>
          </w:tcPr>
          <w:p>
            <w:pPr>
              <w:ind w:left="120"/>
              <w:spacing w:after="0"/>
              <w:rPr>
                <w:sz w:val="20"/>
                <w:szCs w:val="20"/>
                <w:color w:val="auto"/>
              </w:rPr>
            </w:pPr>
            <w:r>
              <w:rPr>
                <w:rFonts w:ascii="Arial" w:cs="Arial" w:eastAsia="Arial" w:hAnsi="Arial"/>
                <w:sz w:val="18"/>
                <w:szCs w:val="18"/>
                <w:color w:val="auto"/>
              </w:rPr>
              <w:t>Waiver</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14.14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Stockholders’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A-51</w:t>
            </w:r>
          </w:p>
        </w:tc>
      </w:tr>
      <w:tr>
        <w:trPr>
          <w:trHeight w:val="243"/>
        </w:trPr>
        <w:tc>
          <w:tcPr>
            <w:tcW w:w="940" w:type="dxa"/>
            <w:vAlign w:val="bottom"/>
          </w:tcPr>
          <w:p>
            <w:pPr>
              <w:ind w:left="420"/>
              <w:spacing w:after="0"/>
              <w:rPr>
                <w:sz w:val="20"/>
                <w:szCs w:val="20"/>
                <w:color w:val="auto"/>
              </w:rPr>
            </w:pPr>
            <w:r>
              <w:rPr>
                <w:rFonts w:ascii="Arial" w:cs="Arial" w:eastAsia="Arial" w:hAnsi="Arial"/>
                <w:sz w:val="18"/>
                <w:szCs w:val="18"/>
                <w:color w:val="auto"/>
              </w:rPr>
              <w:t>14.15</w:t>
            </w:r>
          </w:p>
        </w:tc>
        <w:tc>
          <w:tcPr>
            <w:tcW w:w="6340" w:type="dxa"/>
            <w:vAlign w:val="bottom"/>
          </w:tcPr>
          <w:p>
            <w:pPr>
              <w:ind w:left="120"/>
              <w:spacing w:after="0"/>
              <w:rPr>
                <w:sz w:val="20"/>
                <w:szCs w:val="20"/>
                <w:color w:val="auto"/>
              </w:rPr>
            </w:pPr>
            <w:r>
              <w:rPr>
                <w:rFonts w:ascii="Arial" w:cs="Arial" w:eastAsia="Arial" w:hAnsi="Arial"/>
                <w:sz w:val="18"/>
                <w:szCs w:val="18"/>
                <w:color w:val="auto"/>
              </w:rPr>
              <w:t>Non-Recourse</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A-52</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14.16</w:t>
            </w:r>
          </w:p>
        </w:tc>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Other Representations; No Reliance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A-53</w:t>
            </w:r>
          </w:p>
        </w:tc>
      </w:tr>
      <w:tr>
        <w:trPr>
          <w:trHeight w:val="41"/>
        </w:trPr>
        <w:tc>
          <w:tcPr>
            <w:tcW w:w="940" w:type="dxa"/>
            <w:vAlign w:val="bottom"/>
            <w:shd w:val="clear" w:color="auto" w:fill="CCEEFF"/>
          </w:tcPr>
          <w:p>
            <w:pPr>
              <w:spacing w:after="0"/>
              <w:rPr>
                <w:sz w:val="3"/>
                <w:szCs w:val="3"/>
                <w:color w:val="auto"/>
              </w:rPr>
            </w:pPr>
          </w:p>
        </w:tc>
        <w:tc>
          <w:tcPr>
            <w:tcW w:w="6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89" w:gutter="0" w:footer="0" w:header="0"/>
        </w:sectPr>
      </w:pPr>
    </w:p>
    <w:bookmarkStart w:id="279" w:name="page280"/>
    <w:bookmarkEnd w:id="279"/>
    <w:p>
      <w:pPr>
        <w:ind w:left="46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Table of Contents</w:t>
        </w:r>
      </w:hyperlink>
    </w:p>
    <w:p>
      <w:pPr>
        <w:sectPr>
          <w:pgSz w:w="11900" w:h="16838" w:orient="portrait"/>
          <w:cols w:equalWidth="0" w:num="1">
            <w:col w:w="9019"/>
          </w:cols>
          <w:pgMar w:left="1440" w:top="274" w:right="1440" w:bottom="1440" w:gutter="0" w:footer="0" w:header="0"/>
        </w:sect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B</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C</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F</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G</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H</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I</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J</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M</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Company Support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Subscription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Parent Support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Voting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Escrow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 Agreement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Certificate of Incorporation of Parent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of Parent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Parent Equity Incentive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FIRPTA Certificate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Lockup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Tax representation Letters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Tax representation Letters</w:t>
      </w:r>
    </w:p>
    <w:p>
      <w:pPr>
        <w:spacing w:after="0" w:line="200" w:lineRule="exact"/>
        <w:rPr>
          <w:sz w:val="20"/>
          <w:szCs w:val="20"/>
          <w:color w:val="auto"/>
        </w:rPr>
      </w:pPr>
    </w:p>
    <w:p>
      <w:pPr>
        <w:sectPr>
          <w:pgSz w:w="11900" w:h="16838" w:orient="portrait"/>
          <w:cols w:equalWidth="0" w:num="2">
            <w:col w:w="1180" w:space="520"/>
            <w:col w:w="7319"/>
          </w:cols>
          <w:pgMar w:left="1440" w:top="274" w:right="1440"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Disclosure Schedules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Parent Disclosure Schedules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22225</wp:posOffset>
            </wp:positionV>
            <wp:extent cx="51435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0" w:name="page281"/>
    <w:bookmarkEnd w:id="28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AGREEMENT AND PLAN OF MERGER, dated as of October 15,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Gemini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Shareholder Representative Services LLC, a Colorado limited liability company solely in its capacity as the representative, agent and attorney-in-fact of the Company Securityholders (the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 FS Development Corp.,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WITNESETH:</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 The Company is in the business of therapeutic drug development and commercialization and related activities (the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8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 xml:space="preserve">C. The Company Securityholders are listed on </w:t>
      </w:r>
      <w:r>
        <w:rPr>
          <w:rFonts w:ascii="Arial" w:cs="Arial" w:eastAsia="Arial" w:hAnsi="Arial"/>
          <w:sz w:val="18"/>
          <w:szCs w:val="18"/>
          <w:u w:val="single" w:color="auto"/>
          <w:color w:val="auto"/>
        </w:rPr>
        <w:t>the Capitalization Schedule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5.5(a)</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and own 100% of the issued and outstanding Company Securities;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D.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after which the Company will be the surviving company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a wholly-owned subsidiary of Parent and Parent shall change its name to “Gemini Therapeutics, Inc.”;</w:t>
      </w:r>
    </w:p>
    <w:p>
      <w:pPr>
        <w:spacing w:after="0" w:line="11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E. Contemporaneously with the execution of, and as a condition and an inducement to Parent and the Company entering into this Agreement, Company Securityholders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w:t>
      </w:r>
      <w:r>
        <w:rPr>
          <w:rFonts w:ascii="Arial" w:cs="Arial" w:eastAsia="Arial" w:hAnsi="Arial"/>
          <w:sz w:val="17"/>
          <w:szCs w:val="17"/>
          <w:u w:val="single" w:color="auto"/>
          <w:color w:val="auto"/>
        </w:rPr>
        <w:t>Specified 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Securityholders</w:t>
      </w:r>
      <w:r>
        <w:rPr>
          <w:rFonts w:ascii="Arial" w:cs="Arial" w:eastAsia="Arial" w:hAnsi="Arial"/>
          <w:sz w:val="17"/>
          <w:szCs w:val="17"/>
          <w:color w:val="auto"/>
        </w:rPr>
        <w:t xml:space="preserve">”) are entering into and delivering Support Agreements,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Company Support Agreement</w:t>
      </w:r>
      <w:r>
        <w:rPr>
          <w:rFonts w:ascii="Arial" w:cs="Arial" w:eastAsia="Arial" w:hAnsi="Arial"/>
          <w:sz w:val="17"/>
          <w:szCs w:val="17"/>
          <w:color w:val="auto"/>
        </w:rPr>
        <w:t>”), pursuant to which each of the Specified Company Securityholders has agreed to vote in favor of this Agreement and the Merger;</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Arial" w:cs="Arial" w:eastAsia="Arial" w:hAnsi="Arial"/>
          <w:sz w:val="18"/>
          <w:szCs w:val="18"/>
          <w:u w:val="single" w:color="auto"/>
          <w:color w:val="auto"/>
        </w:rPr>
        <w:t>Private Placement</w:t>
      </w:r>
      <w:r>
        <w:rPr>
          <w:rFonts w:ascii="Arial" w:cs="Arial" w:eastAsia="Arial" w:hAnsi="Arial"/>
          <w:sz w:val="18"/>
          <w:szCs w:val="18"/>
          <w:color w:val="auto"/>
        </w:rPr>
        <w:t>”);</w:t>
      </w:r>
    </w:p>
    <w:p>
      <w:pPr>
        <w:spacing w:after="0" w:line="12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G. The Subscription Agreements entered into by the Specified Company Securityholders represent an aggregate portion of the Private Placement equal to $15,600,000;</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Parent Support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11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w:t>
      </w:r>
    </w:p>
    <w:p>
      <w:pPr>
        <w:spacing w:after="0" w:line="2" w:lineRule="exact"/>
        <w:rPr>
          <w:sz w:val="20"/>
          <w:szCs w:val="20"/>
          <w:color w:val="auto"/>
        </w:rPr>
      </w:pPr>
    </w:p>
    <w:p>
      <w:pPr>
        <w:jc w:val="both"/>
        <w:ind w:left="460" w:right="459" w:hanging="6"/>
        <w:spacing w:after="0" w:line="273" w:lineRule="auto"/>
        <w:tabs>
          <w:tab w:leader="none" w:pos="736" w:val="left"/>
        </w:tabs>
        <w:numPr>
          <w:ilvl w:val="0"/>
          <w:numId w:val="234"/>
        </w:numPr>
        <w:rPr>
          <w:rFonts w:ascii="Arial" w:cs="Arial" w:eastAsia="Arial" w:hAnsi="Arial"/>
          <w:sz w:val="17"/>
          <w:szCs w:val="17"/>
          <w:color w:val="auto"/>
        </w:rPr>
      </w:pPr>
      <w:r>
        <w:rPr>
          <w:rFonts w:ascii="Arial" w:cs="Arial" w:eastAsia="Arial" w:hAnsi="Arial"/>
          <w:sz w:val="17"/>
          <w:szCs w:val="17"/>
          <w:color w:val="auto"/>
        </w:rPr>
        <w:t>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Arial" w:cs="Arial" w:eastAsia="Arial" w:hAnsi="Arial"/>
          <w:sz w:val="17"/>
          <w:szCs w:val="17"/>
          <w:u w:val="single" w:color="auto"/>
          <w:color w:val="auto"/>
        </w:rPr>
        <w:t>Company Board Recommendation</w:t>
      </w:r>
      <w:r>
        <w:rPr>
          <w:rFonts w:ascii="Arial" w:cs="Arial" w:eastAsia="Arial" w:hAnsi="Arial"/>
          <w:sz w:val="17"/>
          <w:szCs w:val="17"/>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1" w:name="page282"/>
    <w:bookmarkEnd w:id="28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action, litigation, suit, claim, hearing or proceeding, including any audit, claim or assessment for Taxes or otherwise, by or before any Authority.</w:t>
      </w:r>
    </w:p>
    <w:p>
      <w:pPr>
        <w:spacing w:after="0" w:line="89" w:lineRule="exact"/>
        <w:rPr>
          <w:sz w:val="20"/>
          <w:szCs w:val="20"/>
          <w:color w:val="auto"/>
        </w:rPr>
      </w:pPr>
    </w:p>
    <w:p>
      <w:pPr>
        <w:jc w:val="both"/>
        <w:ind w:left="460" w:right="479" w:firstLine="8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Agreements</w:t>
      </w:r>
      <w:r>
        <w:rPr>
          <w:rFonts w:ascii="Arial" w:cs="Arial" w:eastAsia="Arial" w:hAnsi="Arial"/>
          <w:sz w:val="18"/>
          <w:szCs w:val="18"/>
          <w:color w:val="auto"/>
        </w:rPr>
        <w:t xml:space="preserve">” means the Voting Agreement,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the Registration Rights Agreement, the Escrow Agreement, the Company Support Agreements, the Subscription Agreements, the Parent Support Agreements, and the Lockup Agreement.</w:t>
      </w:r>
    </w:p>
    <w:p>
      <w:pPr>
        <w:spacing w:after="0" w:line="10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86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9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5.32</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6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Transaction Proceeds</w:t>
      </w:r>
      <w:r>
        <w:rPr>
          <w:rFonts w:ascii="Arial" w:cs="Arial" w:eastAsia="Arial" w:hAnsi="Arial"/>
          <w:sz w:val="16"/>
          <w:szCs w:val="16"/>
          <w:color w:val="auto"/>
        </w:rPr>
        <w:t xml:space="preserve">” means an amount equal to (a) the </w:t>
      </w:r>
      <w:r>
        <w:rPr>
          <w:rFonts w:ascii="Arial" w:cs="Arial" w:eastAsia="Arial" w:hAnsi="Arial"/>
          <w:sz w:val="16"/>
          <w:szCs w:val="16"/>
          <w:i w:val="1"/>
          <w:iCs w:val="1"/>
          <w:u w:val="single" w:color="auto"/>
          <w:color w:val="auto"/>
        </w:rPr>
        <w:t>sum</w:t>
      </w:r>
      <w:r>
        <w:rPr>
          <w:rFonts w:ascii="Arial" w:cs="Arial" w:eastAsia="Arial" w:hAnsi="Arial"/>
          <w:sz w:val="16"/>
          <w:szCs w:val="16"/>
          <w:color w:val="auto"/>
        </w:rPr>
        <w:t xml:space="preserve"> of (i) the aggregate cash proceeds available for release to Parent from the Trust Fund in connection with the transactions contemplated hereby (net of the Parent Redemption Amount);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 the aggregate cash proceeds actually received by Parent on the Closing Date in respect of the Private Placement,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the Unpaid Parent Liabilities.</w:t>
      </w:r>
    </w:p>
    <w:p>
      <w:pPr>
        <w:spacing w:after="0" w:line="7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Arbitrator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12.1(a)</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Authority</w:t>
      </w:r>
      <w:r>
        <w:rPr>
          <w:rFonts w:ascii="Arial" w:cs="Arial" w:eastAsia="Arial" w:hAnsi="Arial"/>
          <w:sz w:val="18"/>
          <w:szCs w:val="18"/>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Basket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0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has the meaning set forth in the recitals to this Agreement.</w:t>
      </w:r>
    </w:p>
    <w:p>
      <w:pPr>
        <w:spacing w:after="0" w:line="144" w:lineRule="exact"/>
        <w:rPr>
          <w:sz w:val="20"/>
          <w:szCs w:val="20"/>
          <w:color w:val="auto"/>
        </w:rPr>
      </w:pPr>
    </w:p>
    <w:p>
      <w:pPr>
        <w:jc w:val="both"/>
        <w:ind w:left="460" w:right="45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legal holiday on which commercial banking institutions in New York, New York are authorized to close for business.</w:t>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Schedule</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Schedule 4.1(j)</w:t>
      </w:r>
      <w:r>
        <w:rPr>
          <w:rFonts w:ascii="Arial" w:cs="Arial" w:eastAsia="Arial" w:hAnsi="Arial"/>
          <w:sz w:val="18"/>
          <w:szCs w:val="18"/>
          <w:color w:val="auto"/>
        </w:rPr>
        <w:t>, as updated as contemplated herein.</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2" w:name="page283"/>
    <w:bookmarkEnd w:id="28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Consideration Conversion Ratio</w:t>
      </w:r>
      <w:r>
        <w:rPr>
          <w:rFonts w:ascii="Arial" w:cs="Arial" w:eastAsia="Arial" w:hAnsi="Arial"/>
          <w:sz w:val="18"/>
          <w:szCs w:val="18"/>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6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Payment Shares</w:t>
      </w:r>
      <w:r>
        <w:rPr>
          <w:rFonts w:ascii="Arial" w:cs="Arial" w:eastAsia="Arial" w:hAnsi="Arial"/>
          <w:sz w:val="16"/>
          <w:szCs w:val="16"/>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85" w:lineRule="exact"/>
        <w:rPr>
          <w:sz w:val="20"/>
          <w:szCs w:val="20"/>
          <w:color w:val="auto"/>
        </w:rPr>
      </w:pPr>
    </w:p>
    <w:p>
      <w:pPr>
        <w:jc w:val="both"/>
        <w:ind w:left="460" w:right="45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collectively, the requirements of Sections 601 through 606 of ERISA and Section 4980B of the Code.</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144" w:lineRule="exact"/>
        <w:rPr>
          <w:sz w:val="20"/>
          <w:szCs w:val="20"/>
          <w:color w:val="auto"/>
        </w:rPr>
      </w:pPr>
    </w:p>
    <w:p>
      <w:pPr>
        <w:jc w:val="both"/>
        <w:ind w:left="460" w:right="45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means Company Common Stock, Company Series A Preferred Stock and Company Series B Preferred Stock.</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10.2(d)</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 of Incorporation</w:t>
      </w:r>
      <w:r>
        <w:rPr>
          <w:rFonts w:ascii="Arial" w:cs="Arial" w:eastAsia="Arial" w:hAnsi="Arial"/>
          <w:sz w:val="18"/>
          <w:szCs w:val="18"/>
          <w:color w:val="auto"/>
        </w:rPr>
        <w:t>” means the Third Amended and Restated Certificate of Incorporation of the Company, as filed on or about September 26, 2019 with the Secretary of State of the State of Delaware pursuant to the DGCL.</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means common stock of the Company, par value $0.001 per share.</w:t>
      </w:r>
    </w:p>
    <w:p>
      <w:pPr>
        <w:spacing w:after="0" w:line="16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w:t>
      </w:r>
      <w:r>
        <w:rPr>
          <w:rFonts w:ascii="Arial" w:cs="Arial" w:eastAsia="Arial" w:hAnsi="Arial"/>
          <w:sz w:val="18"/>
          <w:szCs w:val="18"/>
          <w:i w:val="1"/>
          <w:iCs w:val="1"/>
          <w:color w:val="auto"/>
        </w:rPr>
        <w:t>Authorization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5.27</w:t>
      </w:r>
      <w:r>
        <w:rPr>
          <w:rFonts w:ascii="Arial" w:cs="Arial" w:eastAsia="Arial" w:hAnsi="Arial"/>
          <w:sz w:val="18"/>
          <w:szCs w:val="18"/>
          <w:color w:val="auto"/>
        </w:rPr>
        <w:t xml:space="preserve"> (</w:t>
      </w:r>
      <w:r>
        <w:rPr>
          <w:rFonts w:ascii="Arial" w:cs="Arial" w:eastAsia="Arial" w:hAnsi="Arial"/>
          <w:sz w:val="18"/>
          <w:szCs w:val="18"/>
          <w:i w:val="1"/>
          <w:iCs w:val="1"/>
          <w:color w:val="auto"/>
        </w:rPr>
        <w:t>Finders’</w:t>
      </w:r>
      <w:r>
        <w:rPr>
          <w:rFonts w:ascii="Arial" w:cs="Arial" w:eastAsia="Arial" w:hAnsi="Arial"/>
          <w:sz w:val="18"/>
          <w:szCs w:val="18"/>
          <w:color w:val="auto"/>
        </w:rPr>
        <w:t xml:space="preserve">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16"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each option to purchase Company Common Stock granted, and that remains outstanding, under the Equity Incentive Plans.</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w:t>
      </w:r>
      <w:r>
        <w:rPr>
          <w:rFonts w:ascii="Arial" w:cs="Arial" w:eastAsia="Arial" w:hAnsi="Arial"/>
          <w:sz w:val="18"/>
          <w:szCs w:val="18"/>
          <w:color w:val="auto"/>
        </w:rPr>
        <w:t>” means any outstanding shares of Company Capital Stock that are unvested or subject to a risk of forfeiture or repurchase option in favor of the Company.</w:t>
      </w:r>
    </w:p>
    <w:p>
      <w:pPr>
        <w:spacing w:after="0" w:line="103" w:lineRule="exact"/>
        <w:rPr>
          <w:sz w:val="20"/>
          <w:szCs w:val="20"/>
          <w:color w:val="auto"/>
        </w:rPr>
      </w:pPr>
    </w:p>
    <w:p>
      <w:pPr>
        <w:jc w:val="both"/>
        <w:ind w:left="460" w:right="45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the Company Common Stock, the Company Preferred Stock, the Company Options and the Company Warrant.</w:t>
      </w:r>
    </w:p>
    <w:p>
      <w:pPr>
        <w:spacing w:after="0" w:line="89" w:lineRule="exact"/>
        <w:rPr>
          <w:sz w:val="20"/>
          <w:szCs w:val="20"/>
          <w:color w:val="auto"/>
        </w:rPr>
      </w:pPr>
    </w:p>
    <w:p>
      <w:pPr>
        <w:jc w:val="both"/>
        <w:ind w:left="460" w:right="479" w:firstLine="86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Securityholder</w:t>
      </w:r>
      <w:r>
        <w:rPr>
          <w:rFonts w:ascii="Arial" w:cs="Arial" w:eastAsia="Arial" w:hAnsi="Arial"/>
          <w:sz w:val="17"/>
          <w:szCs w:val="17"/>
          <w:color w:val="auto"/>
        </w:rPr>
        <w:t>” means each Person who holds Company Securities immediately prior to the Effective Time, each of which is listed on the Capitalization Schedule delivered prior to Closing.</w:t>
      </w:r>
    </w:p>
    <w:p>
      <w:pPr>
        <w:spacing w:after="0" w:line="79"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A Preferred Stock</w:t>
      </w:r>
      <w:r>
        <w:rPr>
          <w:rFonts w:ascii="Arial" w:cs="Arial" w:eastAsia="Arial" w:hAnsi="Arial"/>
          <w:sz w:val="18"/>
          <w:szCs w:val="18"/>
          <w:color w:val="auto"/>
        </w:rPr>
        <w:t>” means the series A preferred stock of the Company, par value $0.0001 per share.</w:t>
      </w:r>
    </w:p>
    <w:p>
      <w:pPr>
        <w:spacing w:after="0" w:line="103"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B Preferred Stock</w:t>
      </w:r>
      <w:r>
        <w:rPr>
          <w:rFonts w:ascii="Arial" w:cs="Arial" w:eastAsia="Arial" w:hAnsi="Arial"/>
          <w:sz w:val="18"/>
          <w:szCs w:val="18"/>
          <w:color w:val="auto"/>
        </w:rPr>
        <w:t>” means the series B preferred stock of the Company, par value $0.0001 per share.</w:t>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Stockholders</w:t>
      </w:r>
      <w:r>
        <w:rPr>
          <w:rFonts w:ascii="Arial" w:cs="Arial" w:eastAsia="Arial" w:hAnsi="Arial"/>
          <w:sz w:val="17"/>
          <w:szCs w:val="17"/>
          <w:color w:val="auto"/>
        </w:rPr>
        <w:t>” means, at any given time, the holders of Company Common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3" w:name="page284"/>
    <w:bookmarkEnd w:id="28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Written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Stockholder Written Consent Deadline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8.3(a)</w:t>
      </w:r>
      <w:r>
        <w:rPr>
          <w:rFonts w:ascii="Arial" w:cs="Arial" w:eastAsia="Arial" w:hAnsi="Arial"/>
          <w:sz w:val="17"/>
          <w:szCs w:val="17"/>
          <w:color w:val="auto"/>
        </w:rPr>
        <w:t>.</w:t>
      </w:r>
    </w:p>
    <w:p>
      <w:pPr>
        <w:spacing w:after="0" w:line="12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Support Agreement</w:t>
      </w:r>
      <w:r>
        <w:rPr>
          <w:rFonts w:ascii="Arial" w:cs="Arial" w:eastAsia="Arial" w:hAnsi="Arial"/>
          <w:sz w:val="18"/>
          <w:szCs w:val="18"/>
          <w:color w:val="auto"/>
        </w:rPr>
        <w:t>” has the meaning set forth in the recitals to this Agreement.</w:t>
      </w:r>
    </w:p>
    <w:p>
      <w:pPr>
        <w:spacing w:after="0" w:line="131" w:lineRule="exact"/>
        <w:rPr>
          <w:sz w:val="20"/>
          <w:szCs w:val="20"/>
          <w:color w:val="auto"/>
        </w:rPr>
      </w:pPr>
    </w:p>
    <w:p>
      <w:pPr>
        <w:jc w:val="both"/>
        <w:ind w:left="460" w:right="47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w:t>
      </w:r>
      <w:r>
        <w:rPr>
          <w:rFonts w:ascii="Arial" w:cs="Arial" w:eastAsia="Arial" w:hAnsi="Arial"/>
          <w:sz w:val="18"/>
          <w:szCs w:val="18"/>
          <w:color w:val="auto"/>
        </w:rPr>
        <w:t>” means the Warrant to Purchase Stock dated February 8, 2019, issued to Silicon Valley Bank, pursuant to which Silicon Valley Bank is entitled to purchase shares of Company Series A Preferred Stock.</w:t>
      </w:r>
    </w:p>
    <w:p>
      <w:pPr>
        <w:spacing w:after="0" w:line="89" w:lineRule="exact"/>
        <w:rPr>
          <w:sz w:val="20"/>
          <w:szCs w:val="20"/>
          <w:color w:val="auto"/>
        </w:rPr>
      </w:pPr>
    </w:p>
    <w:p>
      <w:pPr>
        <w:jc w:val="both"/>
        <w:ind w:left="460" w:right="459" w:firstLine="8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79" w:lineRule="exact"/>
        <w:rPr>
          <w:sz w:val="20"/>
          <w:szCs w:val="20"/>
          <w:color w:val="auto"/>
        </w:rPr>
      </w:pPr>
    </w:p>
    <w:p>
      <w:pPr>
        <w:jc w:val="both"/>
        <w:ind w:left="460" w:right="459" w:firstLine="86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Arial" w:cs="Arial" w:eastAsia="Arial" w:hAnsi="Arial"/>
          <w:sz w:val="18"/>
          <w:szCs w:val="18"/>
          <w:u w:val="single" w:color="auto"/>
          <w:color w:val="auto"/>
        </w:rPr>
        <w:t>Controlled Person</w:t>
      </w:r>
      <w:r>
        <w:rPr>
          <w:rFonts w:ascii="Arial" w:cs="Arial" w:eastAsia="Arial" w:hAnsi="Arial"/>
          <w:sz w:val="18"/>
          <w:szCs w:val="18"/>
          <w:color w:val="auto"/>
        </w:rPr>
        <w:t>”) shall be deemed Controlled by any other Person (the “</w:t>
      </w:r>
      <w:r>
        <w:rPr>
          <w:rFonts w:ascii="Arial" w:cs="Arial" w:eastAsia="Arial" w:hAnsi="Arial"/>
          <w:sz w:val="18"/>
          <w:szCs w:val="18"/>
          <w:u w:val="single" w:color="auto"/>
          <w:color w:val="auto"/>
        </w:rPr>
        <w:t>50% Owner</w:t>
      </w:r>
      <w:r>
        <w:rPr>
          <w:rFonts w:ascii="Arial" w:cs="Arial" w:eastAsia="Arial" w:hAnsi="Arial"/>
          <w:sz w:val="18"/>
          <w:szCs w:val="18"/>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9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Company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131" w:lineRule="exact"/>
        <w:rPr>
          <w:sz w:val="20"/>
          <w:szCs w:val="20"/>
          <w:color w:val="auto"/>
        </w:rPr>
      </w:pPr>
    </w:p>
    <w:p>
      <w:pPr>
        <w:jc w:val="both"/>
        <w:ind w:left="460" w:right="459" w:firstLine="8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w:t>
      </w:r>
      <w:r>
        <w:rPr>
          <w:rFonts w:ascii="Arial" w:cs="Arial" w:eastAsia="Arial" w:hAnsi="Arial"/>
          <w:sz w:val="18"/>
          <w:szCs w:val="18"/>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79" w:lineRule="exact"/>
        <w:rPr>
          <w:sz w:val="20"/>
          <w:szCs w:val="20"/>
          <w:color w:val="auto"/>
        </w:rPr>
      </w:pPr>
    </w:p>
    <w:p>
      <w:pPr>
        <w:jc w:val="both"/>
        <w:ind w:left="460" w:right="459" w:firstLine="86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Protection Laws</w:t>
      </w:r>
      <w:r>
        <w:rPr>
          <w:rFonts w:ascii="Arial" w:cs="Arial" w:eastAsia="Arial" w:hAnsi="Arial"/>
          <w:sz w:val="17"/>
          <w:szCs w:val="17"/>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7.5(c)</w:t>
      </w:r>
      <w:r>
        <w:rPr>
          <w:rFonts w:ascii="Arial" w:cs="Arial" w:eastAsia="Arial" w:hAnsi="Arial"/>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131" w:lineRule="exact"/>
        <w:rPr>
          <w:sz w:val="20"/>
          <w:szCs w:val="20"/>
          <w:color w:val="auto"/>
        </w:rPr>
      </w:pPr>
    </w:p>
    <w:p>
      <w:pPr>
        <w:jc w:val="both"/>
        <w:ind w:left="460" w:right="459" w:firstLine="86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80"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Plans</w:t>
      </w:r>
      <w:r>
        <w:rPr>
          <w:rFonts w:ascii="Arial" w:cs="Arial" w:eastAsia="Arial" w:hAnsi="Arial"/>
          <w:sz w:val="18"/>
          <w:szCs w:val="18"/>
          <w:color w:val="auto"/>
        </w:rPr>
        <w:t>” means the Company’s 2015 Employee, Director and Consultant Stock Option Plan and the Company’s 2017 Stock Option and Grant Plan.</w:t>
      </w:r>
    </w:p>
    <w:p>
      <w:pPr>
        <w:spacing w:after="0" w:line="76" w:lineRule="exact"/>
        <w:rPr>
          <w:sz w:val="20"/>
          <w:szCs w:val="20"/>
          <w:color w:val="auto"/>
        </w:rPr>
      </w:pPr>
    </w:p>
    <w:p>
      <w:pPr>
        <w:jc w:val="both"/>
        <w:ind w:left="460" w:right="459" w:firstLine="86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4" w:name="page285"/>
    <w:bookmarkEnd w:id="28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9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31" w:lineRule="exact"/>
        <w:rPr>
          <w:sz w:val="20"/>
          <w:szCs w:val="20"/>
          <w:color w:val="auto"/>
        </w:rPr>
      </w:pPr>
    </w:p>
    <w:p>
      <w:pPr>
        <w:jc w:val="both"/>
        <w:ind w:left="460" w:right="479" w:firstLine="8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each entity, trade or business that is, or was at the relevant time, a member of a group described in Section 414(b), (c), (m) or (o) of the Code or Section 4001(b)(1) of ERISA that includes or included the Company, or that is, or was at the relevant time, a member of the same “controlled group” as the Company pursuant to Section 4001(a)(14) of ERISA.</w:t>
      </w:r>
    </w:p>
    <w:p>
      <w:pPr>
        <w:spacing w:after="0" w:line="9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Continental Stock Transfer &amp; Trust Company.</w:t>
      </w:r>
    </w:p>
    <w:p>
      <w:pPr>
        <w:spacing w:after="0" w:line="144" w:lineRule="exact"/>
        <w:rPr>
          <w:sz w:val="20"/>
          <w:szCs w:val="20"/>
          <w:color w:val="auto"/>
        </w:rPr>
      </w:pPr>
    </w:p>
    <w:p>
      <w:pPr>
        <w:jc w:val="both"/>
        <w:ind w:left="460" w:right="45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means an agreement in substantially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between the Stockholders’ Representative, the Escrow Agent and Parent with respect to the Escrow Shares to reflect the terms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31"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Participant</w:t>
      </w:r>
      <w:r>
        <w:rPr>
          <w:rFonts w:ascii="Arial" w:cs="Arial" w:eastAsia="Arial" w:hAnsi="Arial"/>
          <w:sz w:val="18"/>
          <w:szCs w:val="18"/>
          <w:color w:val="auto"/>
        </w:rPr>
        <w:t>” means each Person who holds Company Common Stock or Company Preferred Stock, in each case, as of immediately prior to the Effective Time.</w:t>
      </w:r>
    </w:p>
    <w:p>
      <w:pPr>
        <w:spacing w:after="0" w:line="89" w:lineRule="exact"/>
        <w:rPr>
          <w:sz w:val="20"/>
          <w:szCs w:val="20"/>
          <w:color w:val="auto"/>
        </w:rPr>
      </w:pPr>
    </w:p>
    <w:p>
      <w:pPr>
        <w:jc w:val="both"/>
        <w:ind w:left="460" w:right="459" w:firstLine="86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Participant Company Securities</w:t>
      </w:r>
      <w:r>
        <w:rPr>
          <w:rFonts w:ascii="Arial" w:cs="Arial" w:eastAsia="Arial" w:hAnsi="Arial"/>
          <w:sz w:val="17"/>
          <w:szCs w:val="17"/>
          <w:color w:val="auto"/>
        </w:rPr>
        <w:t xml:space="preserve">” means the </w:t>
      </w:r>
      <w:r>
        <w:rPr>
          <w:rFonts w:ascii="Arial" w:cs="Arial" w:eastAsia="Arial" w:hAnsi="Arial"/>
          <w:sz w:val="17"/>
          <w:szCs w:val="17"/>
          <w:i w:val="1"/>
          <w:iCs w:val="1"/>
          <w:u w:val="single" w:color="auto"/>
          <w:color w:val="auto"/>
        </w:rPr>
        <w:t>sum</w:t>
      </w:r>
      <w:r>
        <w:rPr>
          <w:rFonts w:ascii="Arial" w:cs="Arial" w:eastAsia="Arial" w:hAnsi="Arial"/>
          <w:sz w:val="17"/>
          <w:szCs w:val="17"/>
          <w:color w:val="auto"/>
        </w:rPr>
        <w:t xml:space="preserve">, without duplication, of (a) shares of Company Common Stock that are issued and outstanding immediately prior to the Effective Time; </w:t>
      </w:r>
      <w:r>
        <w:rPr>
          <w:rFonts w:ascii="Arial" w:cs="Arial" w:eastAsia="Arial" w:hAnsi="Arial"/>
          <w:sz w:val="17"/>
          <w:szCs w:val="17"/>
          <w:i w:val="1"/>
          <w:iCs w:val="1"/>
          <w:u w:val="single" w:color="auto"/>
          <w:color w:val="auto"/>
        </w:rPr>
        <w:t>plus</w:t>
      </w:r>
    </w:p>
    <w:p>
      <w:pPr>
        <w:ind w:left="460" w:right="479" w:hanging="6"/>
        <w:spacing w:after="0" w:line="260" w:lineRule="auto"/>
        <w:tabs>
          <w:tab w:leader="none" w:pos="72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shares of Company Preferred Stock (on an as converted to Company Common Stock basis) that are issued and outstanding immediately prior to the Effective Time.</w:t>
      </w:r>
    </w:p>
    <w:p>
      <w:pPr>
        <w:spacing w:after="0" w:line="9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Share Value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 Shares</w:t>
      </w:r>
      <w:r>
        <w:rPr>
          <w:rFonts w:ascii="Arial" w:cs="Arial" w:eastAsia="Arial" w:hAnsi="Arial"/>
          <w:sz w:val="16"/>
          <w:szCs w:val="16"/>
          <w:color w:val="auto"/>
        </w:rPr>
        <w:t>” means 2,150,000 Parent Class A Shares to be held in escrow for indemnification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purposes.</w:t>
      </w:r>
    </w:p>
    <w:p>
      <w:pPr>
        <w:spacing w:after="0" w:line="13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14.14</w:t>
      </w:r>
      <w:r>
        <w:rPr>
          <w:rFonts w:ascii="Arial" w:cs="Arial" w:eastAsia="Arial" w:hAnsi="Arial"/>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or any successor agency thereto.</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131" w:lineRule="exact"/>
        <w:rPr>
          <w:sz w:val="20"/>
          <w:szCs w:val="20"/>
          <w:color w:val="auto"/>
        </w:rPr>
      </w:pPr>
    </w:p>
    <w:p>
      <w:pPr>
        <w:jc w:val="both"/>
        <w:ind w:left="460" w:right="459" w:firstLine="86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Fully Diluted Company Shares</w:t>
      </w:r>
      <w:r>
        <w:rPr>
          <w:rFonts w:ascii="Arial" w:cs="Arial" w:eastAsia="Arial" w:hAnsi="Arial"/>
          <w:sz w:val="17"/>
          <w:szCs w:val="17"/>
          <w:color w:val="auto"/>
        </w:rPr>
        <w:t xml:space="preserve">” means the </w:t>
      </w:r>
      <w:r>
        <w:rPr>
          <w:rFonts w:ascii="Arial" w:cs="Arial" w:eastAsia="Arial" w:hAnsi="Arial"/>
          <w:sz w:val="17"/>
          <w:szCs w:val="17"/>
          <w:i w:val="1"/>
          <w:iCs w:val="1"/>
          <w:u w:val="single" w:color="auto"/>
          <w:color w:val="auto"/>
        </w:rPr>
        <w:t>sum</w:t>
      </w:r>
      <w:r>
        <w:rPr>
          <w:rFonts w:ascii="Arial" w:cs="Arial" w:eastAsia="Arial" w:hAnsi="Arial"/>
          <w:sz w:val="17"/>
          <w:szCs w:val="17"/>
          <w:color w:val="auto"/>
        </w:rPr>
        <w:t xml:space="preserve">, without duplication, of (a) shares of Company Common Stock (including Company Restricted Stock)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(b) shares of Company Preferred Stock (on an as converted to Company Common Stock basis)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(c) the aggregate number of shares of Company Common Stock issuable upon exercise of the Company Warrant as of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(d) the aggregate number of shares of Company Common Stock issuable upon exercise of Vested Company Options as of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(e) the aggregate number of shares of Company Common Stock issuable upon exercise of Unvested Company Options as of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87" w:lineRule="exact"/>
        <w:rPr>
          <w:sz w:val="20"/>
          <w:szCs w:val="20"/>
          <w:color w:val="auto"/>
        </w:rPr>
      </w:pPr>
    </w:p>
    <w:p>
      <w:pPr>
        <w:jc w:val="both"/>
        <w:ind w:left="460" w:right="459" w:firstLine="86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w:t>
      </w:r>
      <w:r>
        <w:rPr>
          <w:rFonts w:ascii="Arial" w:cs="Arial" w:eastAsia="Arial" w:hAnsi="Arial"/>
          <w:sz w:val="17"/>
          <w:szCs w:val="17"/>
          <w:color w:val="auto"/>
        </w:rPr>
        <w:t>” shall mean any material, emission, chemical, substance or waste that has been designated by any Authority to be radioactive, toxic, hazardous, a pollutant or a contaminant.</w:t>
      </w:r>
    </w:p>
    <w:p>
      <w:pPr>
        <w:spacing w:after="0" w:line="65" w:lineRule="exact"/>
        <w:rPr>
          <w:sz w:val="20"/>
          <w:szCs w:val="20"/>
          <w:color w:val="auto"/>
        </w:rPr>
      </w:pPr>
    </w:p>
    <w:p>
      <w:pPr>
        <w:jc w:val="both"/>
        <w:ind w:left="460" w:right="459" w:firstLine="86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 Activity</w:t>
      </w:r>
      <w:r>
        <w:rPr>
          <w:rFonts w:ascii="Arial" w:cs="Arial" w:eastAsia="Arial" w:hAnsi="Arial"/>
          <w:sz w:val="16"/>
          <w:szCs w:val="16"/>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80" w:lineRule="exact"/>
        <w:rPr>
          <w:sz w:val="20"/>
          <w:szCs w:val="20"/>
          <w:color w:val="auto"/>
        </w:rPr>
      </w:pPr>
    </w:p>
    <w:p>
      <w:pPr>
        <w:jc w:val="both"/>
        <w:ind w:left="460" w:right="45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as amended by the Health Information Technology for Economic and Clinical Health 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5" w:name="page286"/>
    <w:bookmarkEnd w:id="28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5.19(a)</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IPO</w:t>
      </w:r>
      <w:r>
        <w:rPr>
          <w:rFonts w:ascii="Arial" w:cs="Arial" w:eastAsia="Arial" w:hAnsi="Arial"/>
          <w:sz w:val="16"/>
          <w:szCs w:val="16"/>
          <w:color w:val="auto"/>
        </w:rPr>
        <w:t>” means the initial public offering of Parent pursuant to a prospectus dated August 13, 2020.</w:t>
      </w:r>
    </w:p>
    <w:p>
      <w:pPr>
        <w:spacing w:after="0" w:line="181" w:lineRule="exact"/>
        <w:rPr>
          <w:sz w:val="20"/>
          <w:szCs w:val="20"/>
          <w:color w:val="auto"/>
        </w:rPr>
      </w:pPr>
    </w:p>
    <w:p>
      <w:pPr>
        <w:jc w:val="both"/>
        <w:ind w:left="460" w:right="459" w:firstLine="86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w:t>
      </w:r>
    </w:p>
    <w:p>
      <w:pPr>
        <w:spacing w:after="0" w:line="5" w:lineRule="exact"/>
        <w:rPr>
          <w:sz w:val="20"/>
          <w:szCs w:val="20"/>
          <w:color w:val="auto"/>
        </w:rPr>
      </w:pPr>
    </w:p>
    <w:p>
      <w:pPr>
        <w:ind w:left="680" w:hanging="226"/>
        <w:spacing w:after="0"/>
        <w:tabs>
          <w:tab w:leader="none" w:pos="6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all obligations of such Person under leases required to be accounted for as capital leases under U.S. GAAP,</w:t>
      </w:r>
    </w:p>
    <w:p>
      <w:pPr>
        <w:spacing w:after="0" w:line="32" w:lineRule="exact"/>
        <w:rPr>
          <w:rFonts w:ascii="Arial" w:cs="Arial" w:eastAsia="Arial" w:hAnsi="Arial"/>
          <w:sz w:val="16"/>
          <w:szCs w:val="16"/>
          <w:color w:val="auto"/>
        </w:rPr>
      </w:pPr>
    </w:p>
    <w:p>
      <w:pPr>
        <w:jc w:val="both"/>
        <w:ind w:left="460" w:right="459" w:hanging="6"/>
        <w:spacing w:after="0" w:line="270" w:lineRule="auto"/>
        <w:tabs>
          <w:tab w:leader="none" w:pos="74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9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Indemnifiable Loss Limit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6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or “</w:t>
      </w:r>
      <w:r>
        <w:rPr>
          <w:rFonts w:ascii="Arial" w:cs="Arial" w:eastAsia="Arial" w:hAnsi="Arial"/>
          <w:sz w:val="18"/>
          <w:szCs w:val="18"/>
          <w:u w:val="single" w:color="auto"/>
          <w:color w:val="auto"/>
        </w:rPr>
        <w:t>to the Company’s Knowledge</w:t>
      </w:r>
      <w:r>
        <w:rPr>
          <w:rFonts w:ascii="Arial" w:cs="Arial" w:eastAsia="Arial" w:hAnsi="Arial"/>
          <w:sz w:val="18"/>
          <w:szCs w:val="18"/>
          <w:color w:val="auto"/>
        </w:rPr>
        <w:t>” or similar terms (whether or not capitalized) means the actual knowledge of Jason Meyenburg and Gregg Beloff.</w:t>
      </w:r>
    </w:p>
    <w:p>
      <w:pPr>
        <w:spacing w:after="0" w:line="103"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Parent</w:t>
      </w:r>
      <w:r>
        <w:rPr>
          <w:rFonts w:ascii="Arial" w:cs="Arial" w:eastAsia="Arial" w:hAnsi="Arial"/>
          <w:sz w:val="18"/>
          <w:szCs w:val="18"/>
          <w:color w:val="auto"/>
        </w:rPr>
        <w:t>” or “</w:t>
      </w:r>
      <w:r>
        <w:rPr>
          <w:rFonts w:ascii="Arial" w:cs="Arial" w:eastAsia="Arial" w:hAnsi="Arial"/>
          <w:sz w:val="18"/>
          <w:szCs w:val="18"/>
          <w:u w:val="single" w:color="auto"/>
          <w:color w:val="auto"/>
        </w:rPr>
        <w:t>to Parent’s Knowledge</w:t>
      </w:r>
      <w:r>
        <w:rPr>
          <w:rFonts w:ascii="Arial" w:cs="Arial" w:eastAsia="Arial" w:hAnsi="Arial"/>
          <w:sz w:val="18"/>
          <w:szCs w:val="18"/>
          <w:color w:val="auto"/>
        </w:rPr>
        <w:t>” or “</w:t>
      </w:r>
      <w:r>
        <w:rPr>
          <w:rFonts w:ascii="Arial" w:cs="Arial" w:eastAsia="Arial" w:hAnsi="Arial"/>
          <w:sz w:val="18"/>
          <w:szCs w:val="18"/>
          <w:u w:val="single" w:color="auto"/>
          <w:color w:val="auto"/>
        </w:rPr>
        <w:t>Known by Parent</w:t>
      </w:r>
      <w:r>
        <w:rPr>
          <w:rFonts w:ascii="Arial" w:cs="Arial" w:eastAsia="Arial" w:hAnsi="Arial"/>
          <w:sz w:val="18"/>
          <w:szCs w:val="18"/>
          <w:color w:val="auto"/>
        </w:rPr>
        <w:t>” or similar terms (whether or not capitalized) means the actual knowledge of Jim Tananbaum and Dennis Ryan.</w:t>
      </w:r>
    </w:p>
    <w:p>
      <w:pPr>
        <w:spacing w:after="0" w:line="103"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domestic or foreign, federal, state, municipality or local law, statute, ordinance, code, rule, or regulation.</w:t>
      </w:r>
    </w:p>
    <w:p>
      <w:pPr>
        <w:spacing w:after="0" w:line="89"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means the lease described on </w:t>
      </w:r>
      <w:r>
        <w:rPr>
          <w:rFonts w:ascii="Arial" w:cs="Arial" w:eastAsia="Arial" w:hAnsi="Arial"/>
          <w:sz w:val="18"/>
          <w:szCs w:val="18"/>
          <w:u w:val="single" w:color="auto"/>
          <w:color w:val="auto"/>
        </w:rPr>
        <w:t>Schedule 1.1(c)</w:t>
      </w:r>
      <w:r>
        <w:rPr>
          <w:rFonts w:ascii="Arial" w:cs="Arial" w:eastAsia="Arial" w:hAnsi="Arial"/>
          <w:sz w:val="18"/>
          <w:szCs w:val="18"/>
          <w:color w:val="auto"/>
        </w:rPr>
        <w:t>, together with all fixtures and improvements erected on the premises leased thereby.</w:t>
      </w:r>
    </w:p>
    <w:p>
      <w:pPr>
        <w:spacing w:after="0" w:line="103" w:lineRule="exact"/>
        <w:rPr>
          <w:sz w:val="20"/>
          <w:szCs w:val="20"/>
          <w:color w:val="auto"/>
        </w:rPr>
      </w:pPr>
    </w:p>
    <w:p>
      <w:pPr>
        <w:jc w:val="both"/>
        <w:ind w:left="460" w:right="45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116" w:lineRule="exact"/>
        <w:rPr>
          <w:sz w:val="20"/>
          <w:szCs w:val="20"/>
          <w:color w:val="auto"/>
        </w:rPr>
      </w:pPr>
    </w:p>
    <w:p>
      <w:pPr>
        <w:jc w:val="both"/>
        <w:ind w:left="460" w:right="45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means the lockup agreements, in each case substantially in the form attached hereto as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6" w:name="page287"/>
    <w:bookmarkEnd w:id="28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subclause (g) shall not apply to any representation or warranty contained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5.8</w:t>
      </w:r>
      <w:r>
        <w:rPr>
          <w:rFonts w:ascii="Arial" w:cs="Arial" w:eastAsia="Arial" w:hAnsi="Arial"/>
          <w:sz w:val="16"/>
          <w:szCs w:val="16"/>
          <w:color w:val="auto"/>
        </w:rPr>
        <w:t xml:space="preserve"> or to the determination of whether any inaccuracy in such representations or warranties would reasonably be expected to have a Material Adverse Effect for purposes of </w:t>
      </w:r>
      <w:r>
        <w:rPr>
          <w:rFonts w:ascii="Arial" w:cs="Arial" w:eastAsia="Arial" w:hAnsi="Arial"/>
          <w:sz w:val="16"/>
          <w:szCs w:val="16"/>
          <w:u w:val="single" w:color="auto"/>
          <w:color w:val="auto"/>
        </w:rPr>
        <w:t>Sections 10.2(b)</w:t>
      </w:r>
      <w:r>
        <w:rPr>
          <w:rFonts w:ascii="Arial" w:cs="Arial" w:eastAsia="Arial" w:hAnsi="Arial"/>
          <w:sz w:val="16"/>
          <w:szCs w:val="16"/>
          <w:color w:val="auto"/>
        </w:rPr>
        <w:t>); (h) any natural or man-made disaster or acts of God or the COVID-19 pandemic; or (i) any failure by the Company to meet any internal or published projections, forecasts or revenue or earnings predictions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11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5.15(a)</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6.7(b)</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5.30</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7.5(f)</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means any decree, order, judgment, writ, award, injunction, rule or consent of or by an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Authority.</w:t>
      </w:r>
    </w:p>
    <w:p>
      <w:pPr>
        <w:spacing w:after="0" w:line="143" w:lineRule="exact"/>
        <w:rPr>
          <w:sz w:val="20"/>
          <w:szCs w:val="20"/>
          <w:color w:val="auto"/>
        </w:rPr>
      </w:pPr>
    </w:p>
    <w:p>
      <w:pPr>
        <w:jc w:val="both"/>
        <w:ind w:left="460" w:right="45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Filings</w:t>
      </w:r>
      <w:r>
        <w:rPr>
          <w:rFonts w:ascii="Arial" w:cs="Arial" w:eastAsia="Arial" w:hAnsi="Arial"/>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Parachute Payment Waiver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8.4(a)</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Certificate of Incorporation</w:t>
      </w:r>
      <w:r>
        <w:rPr>
          <w:rFonts w:ascii="Arial" w:cs="Arial" w:eastAsia="Arial" w:hAnsi="Arial"/>
          <w:sz w:val="18"/>
          <w:szCs w:val="18"/>
          <w:color w:val="auto"/>
        </w:rPr>
        <w:t>” means the Amended and Restated Certificate of Incorporation of the Company, as filed on August 11, 2020 with the Secretary of State of the State of Delaware pursuant to the DGCL.</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Class A Shares</w:t>
      </w:r>
      <w:r>
        <w:rPr>
          <w:rFonts w:ascii="Arial" w:cs="Arial" w:eastAsia="Arial" w:hAnsi="Arial"/>
          <w:sz w:val="18"/>
          <w:szCs w:val="18"/>
          <w:color w:val="auto"/>
        </w:rPr>
        <w:t>” means the Class A common stock, $0.0001 par value, of Parent.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Class B Shares</w:t>
      </w:r>
      <w:r>
        <w:rPr>
          <w:rFonts w:ascii="Arial" w:cs="Arial" w:eastAsia="Arial" w:hAnsi="Arial"/>
          <w:sz w:val="18"/>
          <w:szCs w:val="18"/>
          <w:color w:val="auto"/>
        </w:rPr>
        <w:t>” means the Class B common stock, $0.0001 par value, of Parent.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means Parent Class A Shares and Parent Class B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7" w:name="page288"/>
    <w:bookmarkEnd w:id="28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Fundamental Representations</w:t>
      </w:r>
      <w:r>
        <w:rPr>
          <w:rFonts w:ascii="Arial" w:cs="Arial" w:eastAsia="Arial" w:hAnsi="Arial"/>
          <w:sz w:val="16"/>
          <w:szCs w:val="16"/>
          <w:color w:val="auto"/>
        </w:rPr>
        <w:t xml:space="preserve">” means the representations and warranties of Parent set forth in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xml:space="preserve">),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Authorization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6.5</w:t>
      </w:r>
      <w:r>
        <w:rPr>
          <w:rFonts w:ascii="Arial" w:cs="Arial" w:eastAsia="Arial" w:hAnsi="Arial"/>
          <w:sz w:val="16"/>
          <w:szCs w:val="16"/>
          <w:color w:val="auto"/>
        </w:rPr>
        <w:t xml:space="preserve"> (</w:t>
      </w:r>
      <w:r>
        <w:rPr>
          <w:rFonts w:ascii="Arial" w:cs="Arial" w:eastAsia="Arial" w:hAnsi="Arial"/>
          <w:sz w:val="16"/>
          <w:szCs w:val="16"/>
          <w:i w:val="1"/>
          <w:iCs w:val="1"/>
          <w:color w:val="auto"/>
        </w:rPr>
        <w:t>Finders’ Fees</w:t>
      </w:r>
      <w:r>
        <w:rPr>
          <w:rFonts w:ascii="Arial" w:cs="Arial" w:eastAsia="Arial" w:hAnsi="Arial"/>
          <w:sz w:val="16"/>
          <w:szCs w:val="16"/>
          <w:color w:val="auto"/>
        </w:rPr>
        <w:t>).</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86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Liabilities</w:t>
      </w:r>
      <w:r>
        <w:rPr>
          <w:rFonts w:ascii="Arial" w:cs="Arial" w:eastAsia="Arial" w:hAnsi="Arial"/>
          <w:sz w:val="16"/>
          <w:szCs w:val="16"/>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6.7(a)</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7.5(e)</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Redemption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6.12(a)</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Support Agreement</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103" w:lineRule="exact"/>
        <w:rPr>
          <w:sz w:val="20"/>
          <w:szCs w:val="20"/>
          <w:color w:val="auto"/>
        </w:rPr>
      </w:pPr>
    </w:p>
    <w:p>
      <w:pPr>
        <w:jc w:val="both"/>
        <w:ind w:left="460" w:right="459" w:firstLine="86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Arial" w:cs="Arial" w:eastAsia="Arial" w:hAnsi="Arial"/>
          <w:sz w:val="17"/>
          <w:szCs w:val="17"/>
          <w:u w:val="single" w:color="auto"/>
          <w:color w:val="auto"/>
        </w:rPr>
        <w:t>Schedule 1.1(a)</w:t>
      </w:r>
      <w:r>
        <w:rPr>
          <w:rFonts w:ascii="Arial" w:cs="Arial" w:eastAsia="Arial" w:hAnsi="Arial"/>
          <w:sz w:val="17"/>
          <w:szCs w:val="17"/>
          <w:color w:val="auto"/>
        </w:rPr>
        <w:t>.</w:t>
      </w:r>
    </w:p>
    <w:p>
      <w:pPr>
        <w:spacing w:after="0" w:line="113" w:lineRule="exact"/>
        <w:rPr>
          <w:sz w:val="20"/>
          <w:szCs w:val="20"/>
          <w:color w:val="auto"/>
        </w:rPr>
      </w:pPr>
    </w:p>
    <w:p>
      <w:pPr>
        <w:jc w:val="both"/>
        <w:ind w:left="460" w:right="479" w:firstLine="8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19" w:lineRule="exact"/>
        <w:rPr>
          <w:sz w:val="20"/>
          <w:szCs w:val="20"/>
          <w:color w:val="auto"/>
        </w:rPr>
      </w:pPr>
    </w:p>
    <w:p>
      <w:pPr>
        <w:jc w:val="both"/>
        <w:ind w:left="460" w:right="459" w:firstLine="86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8" w:name="page289"/>
    <w:bookmarkEnd w:id="28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1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jc w:val="both"/>
        <w:ind w:left="460" w:right="459" w:firstLine="86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Portion</w:t>
      </w:r>
      <w:r>
        <w:rPr>
          <w:rFonts w:ascii="Arial" w:cs="Arial" w:eastAsia="Arial" w:hAnsi="Arial"/>
          <w:sz w:val="18"/>
          <w:szCs w:val="18"/>
          <w:color w:val="auto"/>
        </w:rPr>
        <w:t xml:space="preserve">” shall mean, with respect to each Escrow Participant, an amount equal to the quotient (expressed as a percentage) obtained by </w:t>
      </w:r>
      <w:r>
        <w:rPr>
          <w:rFonts w:ascii="Arial" w:cs="Arial" w:eastAsia="Arial" w:hAnsi="Arial"/>
          <w:sz w:val="18"/>
          <w:szCs w:val="18"/>
          <w:i w:val="1"/>
          <w:iCs w:val="1"/>
          <w:u w:val="single" w:color="auto"/>
          <w:color w:val="auto"/>
        </w:rPr>
        <w:t>dividing</w:t>
      </w:r>
      <w:r>
        <w:rPr>
          <w:rFonts w:ascii="Arial" w:cs="Arial" w:eastAsia="Arial" w:hAnsi="Arial"/>
          <w:sz w:val="18"/>
          <w:szCs w:val="18"/>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10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14.13</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86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Property</w:t>
      </w:r>
      <w:r>
        <w:rPr>
          <w:rFonts w:ascii="Arial" w:cs="Arial" w:eastAsia="Arial" w:hAnsi="Arial"/>
          <w:sz w:val="17"/>
          <w:szCs w:val="17"/>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90" w:lineRule="exact"/>
        <w:rPr>
          <w:sz w:val="20"/>
          <w:szCs w:val="20"/>
          <w:color w:val="auto"/>
        </w:rPr>
      </w:pPr>
    </w:p>
    <w:p>
      <w:pPr>
        <w:jc w:val="both"/>
        <w:ind w:left="460" w:right="45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in substantially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11.3(d)</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 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14.14</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44"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Statement</w:t>
      </w:r>
      <w:r>
        <w:rPr>
          <w:rFonts w:ascii="Arial" w:cs="Arial" w:eastAsia="Arial" w:hAnsi="Arial"/>
          <w:sz w:val="18"/>
          <w:szCs w:val="18"/>
          <w:color w:val="auto"/>
        </w:rPr>
        <w:t>” means the Form S-4, including the Proxy Statement, whether in preliminary or definitive form, and any amendments or supplements thereto.</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Company Securityholder</w:t>
      </w:r>
      <w:r>
        <w:rPr>
          <w:rFonts w:ascii="Arial" w:cs="Arial" w:eastAsia="Arial" w:hAnsi="Arial"/>
          <w:sz w:val="17"/>
          <w:szCs w:val="17"/>
          <w:color w:val="auto"/>
        </w:rPr>
        <w:t>” has the meaning set forth in the recitals to this Agreement.</w:t>
      </w:r>
    </w:p>
    <w:p>
      <w:pPr>
        <w:spacing w:after="0" w:line="15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FS Development Holdings, LLC, a Delaware limited liability company.</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5.15(a)(vi)</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each entity of which at least fifty percent (50%) of the capital stock or other equity or voting securities are Controlled or owned, directly or indirectly, by the Company.</w:t>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Survival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SVB</w:t>
      </w:r>
      <w:r>
        <w:rPr>
          <w:rFonts w:ascii="Arial" w:cs="Arial" w:eastAsia="Arial" w:hAnsi="Arial"/>
          <w:sz w:val="18"/>
          <w:szCs w:val="18"/>
          <w:color w:val="auto"/>
        </w:rPr>
        <w:t>” means Silicon Valley Bank.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9" w:name="page290"/>
    <w:bookmarkEnd w:id="28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SVB Loan</w:t>
      </w:r>
      <w:r>
        <w:rPr>
          <w:rFonts w:ascii="Arial" w:cs="Arial" w:eastAsia="Arial" w:hAnsi="Arial"/>
          <w:sz w:val="18"/>
          <w:szCs w:val="18"/>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116" w:lineRule="exact"/>
        <w:rPr>
          <w:sz w:val="20"/>
          <w:szCs w:val="20"/>
          <w:color w:val="auto"/>
        </w:rPr>
      </w:pPr>
    </w:p>
    <w:p>
      <w:pPr>
        <w:jc w:val="both"/>
        <w:ind w:left="460" w:right="479" w:firstLine="8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19" w:lineRule="exact"/>
        <w:rPr>
          <w:sz w:val="20"/>
          <w:szCs w:val="20"/>
          <w:color w:val="auto"/>
        </w:rPr>
      </w:pPr>
    </w:p>
    <w:p>
      <w:pPr>
        <w:jc w:val="both"/>
        <w:ind w:left="460" w:right="459" w:firstLine="86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04" w:lineRule="exact"/>
        <w:rPr>
          <w:sz w:val="20"/>
          <w:szCs w:val="20"/>
          <w:color w:val="auto"/>
        </w:rPr>
      </w:pPr>
    </w:p>
    <w:p>
      <w:pPr>
        <w:jc w:val="both"/>
        <w:ind w:left="460" w:right="479" w:firstLine="86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Taxing Authority</w:t>
      </w:r>
      <w:r>
        <w:rPr>
          <w:rFonts w:ascii="Arial" w:cs="Arial" w:eastAsia="Arial" w:hAnsi="Arial"/>
          <w:sz w:val="17"/>
          <w:szCs w:val="17"/>
          <w:color w:val="auto"/>
        </w:rPr>
        <w:t>” means the Internal Revenue Service and any other Authority responsible for the collection, assessment or imposition of any Tax or the administration of any Law relating to any Tax.</w:t>
      </w:r>
    </w:p>
    <w:p>
      <w:pPr>
        <w:spacing w:after="0" w:line="7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6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0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24"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this Agreement to occur at or immediately prior to the Closing, including the Merger.</w:t>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9.5(c)</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Parent Liabilities</w:t>
      </w:r>
      <w:r>
        <w:rPr>
          <w:rFonts w:ascii="Arial" w:cs="Arial" w:eastAsia="Arial" w:hAnsi="Arial"/>
          <w:sz w:val="18"/>
          <w:szCs w:val="18"/>
          <w:color w:val="auto"/>
        </w:rPr>
        <w:t>” means the Parent Liabilities that remain unpaid as of immediately prior to the Closing.</w:t>
      </w:r>
    </w:p>
    <w:p>
      <w:pPr>
        <w:spacing w:after="0" w:line="103"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Option</w:t>
      </w:r>
      <w:r>
        <w:rPr>
          <w:rFonts w:ascii="Arial" w:cs="Arial" w:eastAsia="Arial" w:hAnsi="Arial"/>
          <w:sz w:val="18"/>
          <w:szCs w:val="18"/>
          <w:color w:val="auto"/>
        </w:rPr>
        <w:t>” means each Company Option outstanding as of immediately prior to the Effective Time that is not a Vested Company Option.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0" w:name="page291"/>
    <w:bookmarkEnd w:id="29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GAAP</w:t>
      </w:r>
      <w:r>
        <w:rPr>
          <w:rFonts w:ascii="Arial" w:cs="Arial" w:eastAsia="Arial" w:hAnsi="Arial"/>
          <w:sz w:val="18"/>
          <w:szCs w:val="18"/>
          <w:color w:val="auto"/>
        </w:rPr>
        <w:t>” means U.S. generally accepted accounting principles, consistently applied.</w:t>
      </w:r>
    </w:p>
    <w:p>
      <w:pPr>
        <w:spacing w:after="0" w:line="158" w:lineRule="exact"/>
        <w:rPr>
          <w:sz w:val="20"/>
          <w:szCs w:val="20"/>
          <w:color w:val="auto"/>
        </w:rPr>
      </w:pPr>
    </w:p>
    <w:p>
      <w:pPr>
        <w:jc w:val="both"/>
        <w:ind w:left="460" w:right="459"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Company Option</w:t>
      </w:r>
      <w:r>
        <w:rPr>
          <w:rFonts w:ascii="Arial" w:cs="Arial" w:eastAsia="Arial" w:hAnsi="Arial"/>
          <w:sz w:val="18"/>
          <w:szCs w:val="18"/>
          <w:color w:val="auto"/>
        </w:rPr>
        <w:t>” means each Company Option outstanding as of immediately prior to the Effective Time that is vested as of immediately prior to the Effective Time or will vest solely as a result of the consummation of the Merger.</w:t>
      </w:r>
    </w:p>
    <w:p>
      <w:pPr>
        <w:spacing w:after="0" w:line="1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Agreement</w:t>
      </w:r>
      <w:r>
        <w:rPr>
          <w:rFonts w:ascii="Arial" w:cs="Arial" w:eastAsia="Arial" w:hAnsi="Arial"/>
          <w:sz w:val="18"/>
          <w:szCs w:val="18"/>
          <w:color w:val="auto"/>
        </w:rPr>
        <w:t>” has the meaning set forth in the definition of Additional Agreements.</w:t>
      </w:r>
    </w:p>
    <w:p>
      <w:pPr>
        <w:spacing w:after="0" w:line="144"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volume weighted average price of the Parent Class A Shares for the ten (10) Trading Days ending on the Trading Day immediately preceding the Closing Date.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63" w:lineRule="auto"/>
        <w:tabs>
          <w:tab w:leader="none" w:pos="156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102" w:lineRule="exact"/>
        <w:rPr>
          <w:rFonts w:ascii="Arial" w:cs="Arial" w:eastAsia="Arial" w:hAnsi="Arial"/>
          <w:sz w:val="18"/>
          <w:szCs w:val="18"/>
          <w:color w:val="auto"/>
        </w:rPr>
      </w:pPr>
    </w:p>
    <w:p>
      <w:pPr>
        <w:jc w:val="both"/>
        <w:ind w:left="460" w:right="479" w:firstLine="858"/>
        <w:spacing w:after="0" w:line="263" w:lineRule="auto"/>
        <w:tabs>
          <w:tab w:leader="none" w:pos="158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16" w:lineRule="exact"/>
        <w:rPr>
          <w:rFonts w:ascii="Arial" w:cs="Arial" w:eastAsia="Arial" w:hAnsi="Arial"/>
          <w:sz w:val="18"/>
          <w:szCs w:val="18"/>
          <w:color w:val="auto"/>
        </w:rPr>
      </w:pPr>
    </w:p>
    <w:p>
      <w:pPr>
        <w:jc w:val="both"/>
        <w:ind w:left="460" w:right="459" w:firstLine="858"/>
        <w:spacing w:after="0" w:line="275" w:lineRule="auto"/>
        <w:tabs>
          <w:tab w:leader="none" w:pos="159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08" w:lineRule="exact"/>
        <w:rPr>
          <w:rFonts w:ascii="Arial" w:cs="Arial" w:eastAsia="Arial" w:hAnsi="Arial"/>
          <w:sz w:val="17"/>
          <w:szCs w:val="17"/>
          <w:color w:val="auto"/>
        </w:rPr>
      </w:pPr>
    </w:p>
    <w:p>
      <w:pPr>
        <w:jc w:val="both"/>
        <w:ind w:left="460" w:right="459" w:firstLine="858"/>
        <w:spacing w:after="0" w:line="275" w:lineRule="auto"/>
        <w:tabs>
          <w:tab w:leader="none" w:pos="163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95" w:lineRule="exact"/>
        <w:rPr>
          <w:rFonts w:ascii="Arial" w:cs="Arial" w:eastAsia="Arial" w:hAnsi="Arial"/>
          <w:sz w:val="17"/>
          <w:szCs w:val="17"/>
          <w:color w:val="auto"/>
        </w:rPr>
      </w:pPr>
    </w:p>
    <w:p>
      <w:pPr>
        <w:jc w:val="both"/>
        <w:ind w:left="460" w:right="459" w:firstLine="858"/>
        <w:spacing w:after="0" w:line="288" w:lineRule="auto"/>
        <w:tabs>
          <w:tab w:leader="none" w:pos="1603"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00" w:lineRule="exact"/>
        <w:rPr>
          <w:rFonts w:ascii="Arial" w:cs="Arial" w:eastAsia="Arial" w:hAnsi="Arial"/>
          <w:sz w:val="16"/>
          <w:szCs w:val="16"/>
          <w:color w:val="auto"/>
        </w:rPr>
      </w:pPr>
    </w:p>
    <w:p>
      <w:pPr>
        <w:jc w:val="both"/>
        <w:ind w:left="460" w:right="459" w:firstLine="858"/>
        <w:spacing w:after="0" w:line="257" w:lineRule="auto"/>
        <w:tabs>
          <w:tab w:leader="none" w:pos="154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w:t>
      </w:r>
    </w:p>
    <w:p>
      <w:pPr>
        <w:spacing w:after="0" w:line="14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Merger</w:t>
      </w:r>
      <w:r>
        <w:rPr>
          <w:rFonts w:ascii="Arial" w:cs="Arial" w:eastAsia="Arial" w:hAnsi="Arial"/>
          <w:sz w:val="17"/>
          <w:szCs w:val="17"/>
          <w:color w:val="auto"/>
        </w:rPr>
        <w:t>. Upon the terms and subject to the conditions set forth in this Agreement, and in accordance with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xml:space="preserve">”),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 of,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1" w:name="page292"/>
    <w:bookmarkEnd w:id="29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Merger Effective Time</w:t>
      </w:r>
      <w:r>
        <w:rPr>
          <w:rFonts w:ascii="Arial" w:cs="Arial" w:eastAsia="Arial" w:hAnsi="Arial"/>
          <w:sz w:val="18"/>
          <w:szCs w:val="18"/>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25"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Effect of the Merger</w:t>
      </w:r>
      <w:r>
        <w:rPr>
          <w:rFonts w:ascii="Arial" w:cs="Arial" w:eastAsia="Arial" w:hAnsi="Arial"/>
          <w:sz w:val="16"/>
          <w:szCs w:val="16"/>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U.S. Tax Treatment</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86" w:lineRule="auto"/>
        <w:tabs>
          <w:tab w:leader="none" w:pos="159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Arial" w:cs="Arial" w:eastAsia="Arial" w:hAnsi="Arial"/>
          <w:sz w:val="16"/>
          <w:szCs w:val="16"/>
          <w:u w:val="single" w:color="auto"/>
          <w:color w:val="auto"/>
        </w:rPr>
        <w:t>Sections 5.25(d)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6.18(e)</w:t>
      </w:r>
      <w:r>
        <w:rPr>
          <w:rFonts w:ascii="Arial" w:cs="Arial" w:eastAsia="Arial" w:hAnsi="Arial"/>
          <w:sz w:val="16"/>
          <w:szCs w:val="16"/>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03" w:lineRule="exact"/>
        <w:rPr>
          <w:rFonts w:ascii="Arial" w:cs="Arial" w:eastAsia="Arial" w:hAnsi="Arial"/>
          <w:sz w:val="16"/>
          <w:szCs w:val="16"/>
          <w:color w:val="auto"/>
        </w:rPr>
      </w:pPr>
    </w:p>
    <w:p>
      <w:pPr>
        <w:jc w:val="both"/>
        <w:ind w:left="460" w:right="459" w:firstLine="858"/>
        <w:spacing w:after="0" w:line="286" w:lineRule="auto"/>
        <w:tabs>
          <w:tab w:leader="none" w:pos="159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If, in connection with the preparation and filing of the Parent SEC Documents, the Additional Parent SEC Documents, the SEC Statement or any Other Filing (each individually, a “</w:t>
      </w:r>
      <w:r>
        <w:rPr>
          <w:rFonts w:ascii="Arial" w:cs="Arial" w:eastAsia="Arial" w:hAnsi="Arial"/>
          <w:sz w:val="16"/>
          <w:szCs w:val="16"/>
          <w:u w:val="single" w:color="auto"/>
          <w:color w:val="auto"/>
        </w:rPr>
        <w:t>Securities Filing</w:t>
      </w:r>
      <w:r>
        <w:rPr>
          <w:rFonts w:ascii="Arial" w:cs="Arial" w:eastAsia="Arial" w:hAnsi="Arial"/>
          <w:sz w:val="16"/>
          <w:szCs w:val="16"/>
          <w:color w:val="auto"/>
        </w:rPr>
        <w:t>”) or the SEC’s review thereof, the SEC requests or requires that a tax opinion (or tax opinions) with respect to the U.S. federal income tax consequences of the Merger be prepared and submitted in such connection (each, a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Opinion</w:t>
      </w:r>
      <w:r>
        <w:rPr>
          <w:rFonts w:ascii="Arial" w:cs="Arial" w:eastAsia="Arial" w:hAnsi="Arial"/>
          <w:sz w:val="16"/>
          <w:szCs w:val="16"/>
          <w:color w:val="auto"/>
        </w:rPr>
        <w:t>”), (i) the Company shall use its reasonable best efforts to deliver to Goodwin Procter LLP (“</w:t>
      </w:r>
      <w:r>
        <w:rPr>
          <w:rFonts w:ascii="Arial" w:cs="Arial" w:eastAsia="Arial" w:hAnsi="Arial"/>
          <w:sz w:val="16"/>
          <w:szCs w:val="16"/>
          <w:u w:val="single" w:color="auto"/>
          <w:color w:val="auto"/>
        </w:rPr>
        <w:t>Goodwin</w:t>
      </w:r>
      <w:r>
        <w:rPr>
          <w:rFonts w:ascii="Arial" w:cs="Arial" w:eastAsia="Arial" w:hAnsi="Arial"/>
          <w:sz w:val="16"/>
          <w:szCs w:val="16"/>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107"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Closing; Effective Time</w:t>
      </w:r>
      <w:r>
        <w:rPr>
          <w:rFonts w:ascii="Arial" w:cs="Arial" w:eastAsia="Arial" w:hAnsi="Arial"/>
          <w:sz w:val="18"/>
          <w:szCs w:val="18"/>
          <w:color w:val="auto"/>
        </w:rPr>
        <w:t xml:space="preserve">. Unless this Agreement is earlier terminated in accordance with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XIII</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virtually at 10:00 a.m. local time, on the second (2</w:t>
      </w:r>
      <w:r>
        <w:rPr>
          <w:rFonts w:ascii="Arial" w:cs="Arial" w:eastAsia="Arial" w:hAnsi="Arial"/>
          <w:sz w:val="20"/>
          <w:szCs w:val="20"/>
          <w:color w:val="auto"/>
          <w:vertAlign w:val="superscript"/>
        </w:rPr>
        <w:t>nd</w:t>
      </w:r>
      <w:r>
        <w:rPr>
          <w:rFonts w:ascii="Arial" w:cs="Arial" w:eastAsia="Arial" w:hAnsi="Arial"/>
          <w:sz w:val="18"/>
          <w:szCs w:val="18"/>
          <w:color w:val="auto"/>
        </w:rPr>
        <w:t>) Business Day after the satisfaction or waiver (to the extent permitted by applicable law) of the conditions set forth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2" w:name="page293"/>
    <w:bookmarkEnd w:id="29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16"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Board of Directors of Parent</w:t>
      </w:r>
      <w:r>
        <w:rPr>
          <w:rFonts w:ascii="Arial" w:cs="Arial" w:eastAsia="Arial" w:hAnsi="Arial"/>
          <w:sz w:val="18"/>
          <w:szCs w:val="18"/>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2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Taking of Necessary Action; Further Action</w:t>
      </w:r>
      <w:r>
        <w:rPr>
          <w:rFonts w:ascii="Arial" w:cs="Arial" w:eastAsia="Arial" w:hAnsi="Arial"/>
          <w:sz w:val="16"/>
          <w:szCs w:val="16"/>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8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No Further Ownership Rights in Company Securities</w:t>
      </w:r>
      <w:r>
        <w:rPr>
          <w:rFonts w:ascii="Arial" w:cs="Arial" w:eastAsia="Arial" w:hAnsi="Arial"/>
          <w:sz w:val="17"/>
          <w:szCs w:val="17"/>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10"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Appraisal Rights</w:t>
      </w:r>
      <w:r>
        <w:rPr>
          <w:rFonts w:ascii="Arial" w:cs="Arial" w:eastAsia="Arial" w:hAnsi="Arial"/>
          <w:sz w:val="16"/>
          <w:szCs w:val="16"/>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Arial" w:cs="Arial" w:eastAsia="Arial" w:hAnsi="Arial"/>
          <w:sz w:val="16"/>
          <w:szCs w:val="16"/>
          <w:u w:val="single" w:color="auto"/>
          <w:color w:val="auto"/>
        </w:rPr>
        <w:t>Dissenting Shares</w:t>
      </w:r>
      <w:r>
        <w:rPr>
          <w:rFonts w:ascii="Arial" w:cs="Arial" w:eastAsia="Arial" w:hAnsi="Arial"/>
          <w:sz w:val="16"/>
          <w:szCs w:val="16"/>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3" w:name="page294"/>
    <w:bookmarkEnd w:id="29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CONSIDERATION</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Conversion of Company Securities; Convertible Notes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87" w:lineRule="auto"/>
        <w:tabs>
          <w:tab w:leader="none" w:pos="1568" w:val="left"/>
        </w:tabs>
        <w:numPr>
          <w:ilvl w:val="1"/>
          <w:numId w:val="239"/>
        </w:numPr>
        <w:rPr>
          <w:rFonts w:ascii="Arial" w:cs="Arial" w:eastAsia="Arial" w:hAnsi="Arial"/>
          <w:sz w:val="16"/>
          <w:szCs w:val="16"/>
          <w:color w:val="auto"/>
        </w:rPr>
      </w:pPr>
      <w:r>
        <w:rPr>
          <w:rFonts w:ascii="Arial" w:cs="Arial" w:eastAsia="Arial" w:hAnsi="Arial"/>
          <w:sz w:val="16"/>
          <w:szCs w:val="16"/>
          <w:i w:val="1"/>
          <w:iCs w:val="1"/>
          <w:color w:val="auto"/>
        </w:rPr>
        <w:t>Conversion of Company Capital Stock</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at the Effective Time, by virtue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Merger and without any action on the 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Arial" w:cs="Arial" w:eastAsia="Arial" w:hAnsi="Arial"/>
          <w:sz w:val="16"/>
          <w:szCs w:val="16"/>
          <w:u w:val="single" w:color="auto"/>
          <w:color w:val="auto"/>
        </w:rPr>
        <w:t>Section 4.1(i)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04" w:lineRule="exact"/>
        <w:rPr>
          <w:rFonts w:ascii="Arial" w:cs="Arial" w:eastAsia="Arial" w:hAnsi="Arial"/>
          <w:sz w:val="16"/>
          <w:szCs w:val="16"/>
          <w:color w:val="auto"/>
        </w:rPr>
      </w:pPr>
    </w:p>
    <w:p>
      <w:pPr>
        <w:jc w:val="both"/>
        <w:ind w:left="460" w:right="459" w:firstLine="858"/>
        <w:spacing w:after="0" w:line="283" w:lineRule="auto"/>
        <w:tabs>
          <w:tab w:leader="none" w:pos="1592" w:val="left"/>
        </w:tabs>
        <w:numPr>
          <w:ilvl w:val="1"/>
          <w:numId w:val="239"/>
        </w:numPr>
        <w:rPr>
          <w:rFonts w:ascii="Arial" w:cs="Arial" w:eastAsia="Arial" w:hAnsi="Arial"/>
          <w:sz w:val="16"/>
          <w:szCs w:val="16"/>
          <w:color w:val="auto"/>
        </w:rPr>
      </w:pPr>
      <w:r>
        <w:rPr>
          <w:rFonts w:ascii="Arial" w:cs="Arial" w:eastAsia="Arial" w:hAnsi="Arial"/>
          <w:sz w:val="16"/>
          <w:szCs w:val="16"/>
          <w:i w:val="1"/>
          <w:iCs w:val="1"/>
          <w:color w:val="auto"/>
        </w:rPr>
        <w:t xml:space="preserve">Treatment of Company Options. </w:t>
      </w:r>
      <w:r>
        <w:rPr>
          <w:rFonts w:ascii="Arial" w:cs="Arial" w:eastAsia="Arial" w:hAnsi="Arial"/>
          <w:sz w:val="16"/>
          <w:szCs w:val="16"/>
          <w:color w:val="auto"/>
        </w:rPr>
        <w:t>The Company shall terminate the Equity Incentive Plans at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prior to the Effective Time, contingent on the closing of the Merger. As of the Effective Time, all Company Options shall no longer be outstanding and each Person who previously held Company Options shall cease to have any rights with respect to such Company Options, except as set forth in this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Arial" w:cs="Arial" w:eastAsia="Arial" w:hAnsi="Arial"/>
          <w:sz w:val="16"/>
          <w:szCs w:val="16"/>
          <w:u w:val="single" w:color="auto"/>
          <w:color w:val="auto"/>
        </w:rPr>
        <w:t>Section 4.1(i)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Arial" w:cs="Arial" w:eastAsia="Arial" w:hAnsi="Arial"/>
          <w:sz w:val="16"/>
          <w:szCs w:val="16"/>
          <w:u w:val="single" w:color="auto"/>
          <w:color w:val="auto"/>
        </w:rPr>
        <w:t>Converted Company 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w:t>
      </w:r>
    </w:p>
    <w:p>
      <w:pPr>
        <w:jc w:val="both"/>
        <w:ind w:left="460" w:right="459" w:hanging="6"/>
        <w:spacing w:after="0" w:line="268" w:lineRule="auto"/>
        <w:tabs>
          <w:tab w:leader="none" w:pos="773"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Arial" w:cs="Arial" w:eastAsia="Arial" w:hAnsi="Arial"/>
          <w:sz w:val="17"/>
          <w:szCs w:val="17"/>
          <w:u w:val="single" w:color="auto"/>
          <w:color w:val="auto"/>
        </w:rPr>
        <w:t>further provided</w:t>
      </w:r>
      <w:r>
        <w:rPr>
          <w:rFonts w:ascii="Arial" w:cs="Arial" w:eastAsia="Arial" w:hAnsi="Arial"/>
          <w:sz w:val="17"/>
          <w:szCs w:val="17"/>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97" w:lineRule="exact"/>
        <w:rPr>
          <w:rFonts w:ascii="Arial" w:cs="Arial" w:eastAsia="Arial" w:hAnsi="Arial"/>
          <w:sz w:val="17"/>
          <w:szCs w:val="17"/>
          <w:color w:val="auto"/>
        </w:rPr>
      </w:pPr>
    </w:p>
    <w:p>
      <w:pPr>
        <w:ind w:left="460" w:right="459" w:firstLine="858"/>
        <w:spacing w:after="0" w:line="277" w:lineRule="auto"/>
        <w:tabs>
          <w:tab w:leader="none" w:pos="1568" w:val="left"/>
        </w:tabs>
        <w:numPr>
          <w:ilvl w:val="1"/>
          <w:numId w:val="240"/>
        </w:numPr>
        <w:rPr>
          <w:rFonts w:ascii="Arial" w:cs="Arial" w:eastAsia="Arial" w:hAnsi="Arial"/>
          <w:sz w:val="18"/>
          <w:szCs w:val="18"/>
          <w:color w:val="auto"/>
        </w:rPr>
      </w:pPr>
      <w:r>
        <w:rPr>
          <w:rFonts w:ascii="Arial" w:cs="Arial" w:eastAsia="Arial" w:hAnsi="Arial"/>
          <w:sz w:val="18"/>
          <w:szCs w:val="18"/>
          <w:i w:val="1"/>
          <w:iCs w:val="1"/>
          <w:color w:val="auto"/>
        </w:rPr>
        <w:t>Treatment of the Company Warrant</w:t>
      </w:r>
      <w:r>
        <w:rPr>
          <w:rFonts w:ascii="Arial" w:cs="Arial" w:eastAsia="Arial" w:hAnsi="Arial"/>
          <w:sz w:val="18"/>
          <w:szCs w:val="18"/>
          <w:color w:val="auto"/>
        </w:rPr>
        <w:t>. At the Effective Time, the Company Warrant will be treated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its terms.</w:t>
      </w:r>
    </w:p>
    <w:p>
      <w:pPr>
        <w:spacing w:after="0" w:line="102" w:lineRule="exact"/>
        <w:rPr>
          <w:rFonts w:ascii="Arial" w:cs="Arial" w:eastAsia="Arial" w:hAnsi="Arial"/>
          <w:sz w:val="18"/>
          <w:szCs w:val="18"/>
          <w:color w:val="auto"/>
        </w:rPr>
      </w:pPr>
    </w:p>
    <w:p>
      <w:pPr>
        <w:jc w:val="both"/>
        <w:ind w:left="460" w:right="459" w:firstLine="858"/>
        <w:spacing w:after="0" w:line="263" w:lineRule="auto"/>
        <w:tabs>
          <w:tab w:leader="none" w:pos="1592" w:val="left"/>
        </w:tabs>
        <w:numPr>
          <w:ilvl w:val="1"/>
          <w:numId w:val="240"/>
        </w:numPr>
        <w:rPr>
          <w:rFonts w:ascii="Arial" w:cs="Arial" w:eastAsia="Arial" w:hAnsi="Arial"/>
          <w:sz w:val="18"/>
          <w:szCs w:val="18"/>
          <w:color w:val="auto"/>
        </w:rPr>
      </w:pPr>
      <w:r>
        <w:rPr>
          <w:rFonts w:ascii="Arial" w:cs="Arial" w:eastAsia="Arial" w:hAnsi="Arial"/>
          <w:sz w:val="18"/>
          <w:szCs w:val="18"/>
          <w:i w:val="1"/>
          <w:iCs w:val="1"/>
          <w:color w:val="auto"/>
        </w:rPr>
        <w:t xml:space="preserve">Treatment of Convertible Notes. </w:t>
      </w:r>
      <w:r>
        <w:rPr>
          <w:rFonts w:ascii="Arial" w:cs="Arial" w:eastAsia="Arial" w:hAnsi="Arial"/>
          <w:sz w:val="18"/>
          <w:szCs w:val="18"/>
          <w:color w:val="auto"/>
        </w:rPr>
        <w:t>Prior to the Closing, each Convertible Note will be converted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Company Series B Preferred Stock in accordance with the terms thereof, in each case, as set forth on Capitalization Schedule delivered prior to Closing.</w:t>
      </w:r>
    </w:p>
    <w:p>
      <w:pPr>
        <w:spacing w:after="0" w:line="116" w:lineRule="exact"/>
        <w:rPr>
          <w:rFonts w:ascii="Arial" w:cs="Arial" w:eastAsia="Arial" w:hAnsi="Arial"/>
          <w:sz w:val="18"/>
          <w:szCs w:val="18"/>
          <w:color w:val="auto"/>
        </w:rPr>
      </w:pPr>
    </w:p>
    <w:p>
      <w:pPr>
        <w:jc w:val="both"/>
        <w:ind w:left="460" w:right="459" w:firstLine="858"/>
        <w:spacing w:after="0" w:line="272" w:lineRule="auto"/>
        <w:tabs>
          <w:tab w:leader="none" w:pos="1582" w:val="left"/>
        </w:tabs>
        <w:numPr>
          <w:ilvl w:val="1"/>
          <w:numId w:val="240"/>
        </w:numPr>
        <w:rPr>
          <w:rFonts w:ascii="Arial" w:cs="Arial" w:eastAsia="Arial" w:hAnsi="Arial"/>
          <w:sz w:val="17"/>
          <w:szCs w:val="17"/>
          <w:color w:val="auto"/>
        </w:rPr>
      </w:pPr>
      <w:r>
        <w:rPr>
          <w:rFonts w:ascii="Arial" w:cs="Arial" w:eastAsia="Arial" w:hAnsi="Arial"/>
          <w:sz w:val="17"/>
          <w:szCs w:val="17"/>
          <w:i w:val="1"/>
          <w:iCs w:val="1"/>
          <w:color w:val="auto"/>
        </w:rPr>
        <w:t>Conversion of Shares of Merger Sub</w:t>
      </w:r>
      <w:r>
        <w:rPr>
          <w:rFonts w:ascii="Arial" w:cs="Arial" w:eastAsia="Arial" w:hAnsi="Arial"/>
          <w:sz w:val="17"/>
          <w:szCs w:val="17"/>
          <w:color w:val="auto"/>
        </w:rPr>
        <w:t>. Each share of Merger Sub that is issued and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prior to the Effective Time will, 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4" w:name="page295"/>
    <w:bookmarkEnd w:id="29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86" w:lineRule="auto"/>
        <w:tabs>
          <w:tab w:leader="none" w:pos="1549" w:val="left"/>
        </w:tabs>
        <w:numPr>
          <w:ilvl w:val="0"/>
          <w:numId w:val="241"/>
        </w:numPr>
        <w:rPr>
          <w:rFonts w:ascii="Arial" w:cs="Arial" w:eastAsia="Arial" w:hAnsi="Arial"/>
          <w:sz w:val="17"/>
          <w:szCs w:val="17"/>
          <w:color w:val="auto"/>
        </w:rPr>
      </w:pPr>
      <w:r>
        <w:rPr>
          <w:rFonts w:ascii="Arial" w:cs="Arial" w:eastAsia="Arial" w:hAnsi="Arial"/>
          <w:sz w:val="17"/>
          <w:szCs w:val="17"/>
          <w:i w:val="1"/>
          <w:iCs w:val="1"/>
          <w:color w:val="auto"/>
        </w:rPr>
        <w:t>Treatment of Shares of Company Common Stock Owned by the Company</w:t>
      </w:r>
      <w:r>
        <w:rPr>
          <w:rFonts w:ascii="Arial" w:cs="Arial" w:eastAsia="Arial" w:hAnsi="Arial"/>
          <w:sz w:val="17"/>
          <w:szCs w:val="17"/>
          <w:color w:val="auto"/>
        </w:rPr>
        <w:t>. At the Effective Time,</w:t>
      </w:r>
      <w:r>
        <w:rPr>
          <w:rFonts w:ascii="Arial" w:cs="Arial" w:eastAsia="Arial" w:hAnsi="Arial"/>
          <w:sz w:val="17"/>
          <w:szCs w:val="17"/>
          <w:i w:val="1"/>
          <w:iCs w:val="1"/>
          <w:color w:val="auto"/>
        </w:rPr>
        <w:t xml:space="preserve"> </w:t>
      </w:r>
      <w:r>
        <w:rPr>
          <w:rFonts w:ascii="Arial" w:cs="Arial" w:eastAsia="Arial" w:hAnsi="Arial"/>
          <w:sz w:val="17"/>
          <w:szCs w:val="17"/>
          <w:color w:val="auto"/>
        </w:rPr>
        <w:t>all shares of Company Common Stock that are owned by the Company as treasury shares immediately prior to the Effective Time shall be canceled and extinguished without any conversion thereof.</w:t>
      </w:r>
    </w:p>
    <w:p>
      <w:pPr>
        <w:spacing w:after="0" w:line="97" w:lineRule="exact"/>
        <w:rPr>
          <w:rFonts w:ascii="Arial" w:cs="Arial" w:eastAsia="Arial" w:hAnsi="Arial"/>
          <w:sz w:val="17"/>
          <w:szCs w:val="17"/>
          <w:color w:val="auto"/>
        </w:rPr>
      </w:pPr>
    </w:p>
    <w:p>
      <w:pPr>
        <w:jc w:val="both"/>
        <w:ind w:left="460" w:right="479" w:firstLine="858"/>
        <w:spacing w:after="0" w:line="259" w:lineRule="auto"/>
        <w:tabs>
          <w:tab w:leader="none" w:pos="1646"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Surrender of Certificates</w:t>
      </w:r>
      <w:r>
        <w:rPr>
          <w:rFonts w:ascii="Arial" w:cs="Arial" w:eastAsia="Arial" w:hAnsi="Arial"/>
          <w:sz w:val="18"/>
          <w:szCs w:val="18"/>
          <w:color w:val="auto"/>
        </w:rPr>
        <w:t>. All Closing Payment Shares issued upon the surrender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cancellation of the Company Common Stock, in accordance with the terms hereof, shall be deemed to have been issued in full satisfaction of all rights pertaining to such securities, other than the additional obligations of Parent and the rights of the Stockholders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jc w:val="both"/>
        <w:ind w:left="460" w:right="459" w:firstLine="858"/>
        <w:spacing w:after="0" w:line="257" w:lineRule="auto"/>
        <w:tabs>
          <w:tab w:leader="none" w:pos="1606"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Lost or Destroyed Certificates</w:t>
      </w:r>
      <w:r>
        <w:rPr>
          <w:rFonts w:ascii="Arial" w:cs="Arial" w:eastAsia="Arial" w:hAnsi="Arial"/>
          <w:sz w:val="18"/>
          <w:szCs w:val="18"/>
          <w:color w:val="auto"/>
        </w:rPr>
        <w:t>. In the event any certificates representing shares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shall have been lost, stolen or 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jc w:val="both"/>
        <w:ind w:left="460" w:right="459" w:firstLine="858"/>
        <w:spacing w:after="0" w:line="255" w:lineRule="auto"/>
        <w:tabs>
          <w:tab w:leader="none" w:pos="1593"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Escrow Shares</w:t>
      </w:r>
      <w:r>
        <w:rPr>
          <w:rFonts w:ascii="Arial" w:cs="Arial" w:eastAsia="Arial" w:hAnsi="Arial"/>
          <w:sz w:val="18"/>
          <w:szCs w:val="18"/>
          <w:color w:val="auto"/>
        </w:rPr>
        <w:t>. Notwithstanding anything to the contrary in the other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Parent shall withhold from the Closing 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124" w:lineRule="exact"/>
        <w:rPr>
          <w:rFonts w:ascii="Arial" w:cs="Arial" w:eastAsia="Arial" w:hAnsi="Arial"/>
          <w:sz w:val="18"/>
          <w:szCs w:val="18"/>
          <w:color w:val="auto"/>
        </w:rPr>
      </w:pPr>
    </w:p>
    <w:p>
      <w:pPr>
        <w:jc w:val="both"/>
        <w:ind w:left="460" w:right="459" w:firstLine="858"/>
        <w:spacing w:after="0" w:line="267" w:lineRule="auto"/>
        <w:tabs>
          <w:tab w:leader="none" w:pos="1552" w:val="left"/>
        </w:tabs>
        <w:numPr>
          <w:ilvl w:val="0"/>
          <w:numId w:val="241"/>
        </w:numPr>
        <w:rPr>
          <w:rFonts w:ascii="Arial" w:cs="Arial" w:eastAsia="Arial" w:hAnsi="Arial"/>
          <w:sz w:val="17"/>
          <w:szCs w:val="17"/>
          <w:color w:val="auto"/>
        </w:rPr>
      </w:pPr>
      <w:r>
        <w:rPr>
          <w:rFonts w:ascii="Arial" w:cs="Arial" w:eastAsia="Arial" w:hAnsi="Arial"/>
          <w:sz w:val="17"/>
          <w:szCs w:val="17"/>
          <w:i w:val="1"/>
          <w:iCs w:val="1"/>
          <w:u w:val="single" w:color="auto"/>
          <w:color w:val="auto"/>
        </w:rPr>
        <w:t>Capitalization Schedule</w:t>
      </w:r>
      <w:r>
        <w:rPr>
          <w:rFonts w:ascii="Arial" w:cs="Arial" w:eastAsia="Arial" w:hAnsi="Arial"/>
          <w:sz w:val="17"/>
          <w:szCs w:val="17"/>
          <w:color w:val="auto"/>
        </w:rPr>
        <w:t>. No later than three (3) Business Days prior to the Closing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shall deliver to Parent a final and 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in respect of each share of Company Capital Stock held by such Company Securityholder; (v) the total number of Parent Class A Shares issuable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4.1(c)</w:t>
      </w:r>
      <w:r>
        <w:rPr>
          <w:rFonts w:ascii="Arial" w:cs="Arial" w:eastAsia="Arial" w:hAnsi="Arial"/>
          <w:sz w:val="17"/>
          <w:szCs w:val="17"/>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 (vi) the number of Escrow Shares deposited into the Escrow Fund on behalf of such Company Securityholder pursuant to </w:t>
      </w:r>
      <w:r>
        <w:rPr>
          <w:rFonts w:ascii="Arial" w:cs="Arial" w:eastAsia="Arial" w:hAnsi="Arial"/>
          <w:sz w:val="17"/>
          <w:szCs w:val="17"/>
          <w:u w:val="single" w:color="auto"/>
          <w:color w:val="auto"/>
        </w:rPr>
        <w:t>Section 4.1(i)</w:t>
      </w:r>
      <w:r>
        <w:rPr>
          <w:rFonts w:ascii="Arial" w:cs="Arial" w:eastAsia="Arial" w:hAnsi="Arial"/>
          <w:sz w:val="17"/>
          <w:szCs w:val="17"/>
          <w:color w:val="auto"/>
        </w:rPr>
        <w:t xml:space="preserve">; and (vii) such Company Securityholder’s Pro Rata Portion, if any. Nothing contained in this </w:t>
      </w:r>
      <w:r>
        <w:rPr>
          <w:rFonts w:ascii="Arial" w:cs="Arial" w:eastAsia="Arial" w:hAnsi="Arial"/>
          <w:sz w:val="17"/>
          <w:szCs w:val="17"/>
          <w:u w:val="single" w:color="auto"/>
          <w:color w:val="auto"/>
        </w:rPr>
        <w:t>Section 4.1(j)</w:t>
      </w:r>
      <w:r>
        <w:rPr>
          <w:rFonts w:ascii="Arial" w:cs="Arial" w:eastAsia="Arial" w:hAnsi="Arial"/>
          <w:sz w:val="17"/>
          <w:szCs w:val="17"/>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Arial" w:cs="Arial" w:eastAsia="Arial" w:hAnsi="Arial"/>
          <w:sz w:val="17"/>
          <w:szCs w:val="17"/>
          <w:u w:val="single" w:color="auto"/>
          <w:color w:val="auto"/>
        </w:rPr>
        <w:t>Section 7.1(a)(xvi)</w:t>
      </w:r>
      <w:r>
        <w:rPr>
          <w:rFonts w:ascii="Arial" w:cs="Arial" w:eastAsia="Arial" w:hAnsi="Arial"/>
          <w:sz w:val="17"/>
          <w:szCs w:val="17"/>
          <w:color w:val="auto"/>
        </w:rPr>
        <w:t>; or (y) alter or amend the total aggregate number of Closing Payment Shares issuable or reserved for issuance to the Company Securityholders; or (z) alter or amend the definition of Closing Consideration Conversion Ratio.</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Arial" w:cs="Arial" w:eastAsia="Arial" w:hAnsi="Arial"/>
          <w:sz w:val="18"/>
          <w:szCs w:val="18"/>
          <w:u w:val="single" w:color="auto"/>
          <w:color w:val="auto"/>
        </w:rPr>
        <w:t>Section 4.1(i)</w:t>
      </w:r>
      <w:r>
        <w:rPr>
          <w:rFonts w:ascii="Arial" w:cs="Arial" w:eastAsia="Arial" w:hAnsi="Arial"/>
          <w:sz w:val="18"/>
          <w:szCs w:val="18"/>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Withholding</w:t>
      </w:r>
      <w:r>
        <w:rPr>
          <w:rFonts w:ascii="Arial" w:cs="Arial" w:eastAsia="Arial" w:hAnsi="Arial"/>
          <w:sz w:val="18"/>
          <w:szCs w:val="18"/>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5" w:name="page296"/>
    <w:bookmarkEnd w:id="29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3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Corporate Existence and Power</w:t>
      </w:r>
      <w:r>
        <w:rPr>
          <w:rFonts w:ascii="Arial" w:cs="Arial" w:eastAsia="Arial" w:hAnsi="Arial"/>
          <w:sz w:val="17"/>
          <w:szCs w:val="17"/>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Arial" w:cs="Arial" w:eastAsia="Arial" w:hAnsi="Arial"/>
          <w:sz w:val="17"/>
          <w:szCs w:val="17"/>
          <w:u w:val="single" w:color="auto"/>
          <w:color w:val="auto"/>
        </w:rPr>
        <w:t>Schedule 5.1</w:t>
      </w:r>
      <w:r>
        <w:rPr>
          <w:rFonts w:ascii="Arial" w:cs="Arial" w:eastAsia="Arial" w:hAnsi="Arial"/>
          <w:sz w:val="17"/>
          <w:szCs w:val="17"/>
          <w:color w:val="auto"/>
        </w:rPr>
        <w:t>.</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7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w:t>
      </w:r>
    </w:p>
    <w:p>
      <w:pPr>
        <w:spacing w:after="0" w:line="128" w:lineRule="exact"/>
        <w:rPr>
          <w:rFonts w:ascii="Arial" w:cs="Arial" w:eastAsia="Arial" w:hAnsi="Arial"/>
          <w:sz w:val="18"/>
          <w:szCs w:val="18"/>
          <w:color w:val="auto"/>
        </w:rPr>
      </w:pPr>
    </w:p>
    <w:p>
      <w:pPr>
        <w:jc w:val="both"/>
        <w:ind w:left="460" w:right="459" w:firstLine="858"/>
        <w:spacing w:after="0" w:line="285" w:lineRule="auto"/>
        <w:tabs>
          <w:tab w:leader="none" w:pos="159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 (a) 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06"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8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Non-Contravention</w:t>
      </w:r>
      <w:r>
        <w:rPr>
          <w:rFonts w:ascii="Arial" w:cs="Arial" w:eastAsia="Arial" w:hAnsi="Arial"/>
          <w:sz w:val="17"/>
          <w:szCs w:val="17"/>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Arial" w:cs="Arial" w:eastAsia="Arial" w:hAnsi="Arial"/>
          <w:sz w:val="17"/>
          <w:szCs w:val="17"/>
          <w:u w:val="single" w:color="auto"/>
          <w:color w:val="auto"/>
        </w:rPr>
        <w:t>Schedule 5.8</w:t>
      </w:r>
      <w:r>
        <w:rPr>
          <w:rFonts w:ascii="Arial" w:cs="Arial" w:eastAsia="Arial" w:hAnsi="Arial"/>
          <w:sz w:val="17"/>
          <w:szCs w:val="17"/>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6" w:name="page297"/>
    <w:bookmarkEnd w:id="29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85" w:lineRule="auto"/>
        <w:tabs>
          <w:tab w:leader="none" w:pos="159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95,000,000 shares of the Company Common Stock, par value $0.001 per share, and 76,723,489 shares of preferred stock, par value $0.001 per share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Arial" w:cs="Arial" w:eastAsia="Arial" w:hAnsi="Arial"/>
          <w:sz w:val="16"/>
          <w:szCs w:val="16"/>
          <w:u w:val="single" w:color="auto"/>
          <w:color w:val="auto"/>
        </w:rPr>
        <w:t>Schedule 5.5(a)</w:t>
      </w:r>
      <w:r>
        <w:rPr>
          <w:rFonts w:ascii="Arial" w:cs="Arial" w:eastAsia="Arial" w:hAnsi="Arial"/>
          <w:sz w:val="16"/>
          <w:szCs w:val="16"/>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90" w:lineRule="exact"/>
        <w:rPr>
          <w:rFonts w:ascii="Arial" w:cs="Arial" w:eastAsia="Arial" w:hAnsi="Arial"/>
          <w:sz w:val="16"/>
          <w:szCs w:val="16"/>
          <w:color w:val="auto"/>
        </w:rPr>
      </w:pPr>
    </w:p>
    <w:p>
      <w:pPr>
        <w:jc w:val="both"/>
        <w:ind w:left="460" w:right="459" w:firstLine="858"/>
        <w:spacing w:after="0" w:line="286" w:lineRule="auto"/>
        <w:tabs>
          <w:tab w:leader="none" w:pos="160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Except for the Company Restricted Stock, Company Options, the Company Warrant and the Convertible Notes, there are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06" w:lineRule="exact"/>
        <w:rPr>
          <w:rFonts w:ascii="Arial" w:cs="Arial" w:eastAsia="Arial" w:hAnsi="Arial"/>
          <w:sz w:val="16"/>
          <w:szCs w:val="16"/>
          <w:color w:val="auto"/>
        </w:rPr>
      </w:pPr>
    </w:p>
    <w:p>
      <w:pPr>
        <w:jc w:val="both"/>
        <w:ind w:left="460" w:right="459" w:firstLine="858"/>
        <w:spacing w:after="0" w:line="255" w:lineRule="auto"/>
        <w:tabs>
          <w:tab w:leader="none" w:pos="160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24" w:lineRule="exact"/>
        <w:rPr>
          <w:rFonts w:ascii="Arial" w:cs="Arial" w:eastAsia="Arial" w:hAnsi="Arial"/>
          <w:sz w:val="18"/>
          <w:szCs w:val="18"/>
          <w:color w:val="auto"/>
        </w:rPr>
      </w:pPr>
    </w:p>
    <w:p>
      <w:pPr>
        <w:jc w:val="both"/>
        <w:ind w:left="460" w:right="459" w:firstLine="858"/>
        <w:spacing w:after="0" w:line="279" w:lineRule="auto"/>
        <w:tabs>
          <w:tab w:leader="none" w:pos="160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90"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Corporate Records</w:t>
      </w:r>
      <w:r>
        <w:rPr>
          <w:rFonts w:ascii="Arial" w:cs="Arial" w:eastAsia="Arial" w:hAnsi="Arial"/>
          <w:sz w:val="16"/>
          <w:szCs w:val="16"/>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7" w:name="page298"/>
    <w:bookmarkEnd w:id="29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directly or indirectly own, or hold any rights to acquire, any capital stock or any other securities or interests in any Person.</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The Contracts listed on </w:t>
      </w:r>
      <w:r>
        <w:rPr>
          <w:rFonts w:ascii="Arial" w:cs="Arial" w:eastAsia="Arial" w:hAnsi="Arial"/>
          <w:sz w:val="16"/>
          <w:szCs w:val="16"/>
          <w:u w:val="single" w:color="auto"/>
          <w:color w:val="auto"/>
        </w:rPr>
        <w:t>Schedule 5.8</w:t>
      </w:r>
      <w:r>
        <w:rPr>
          <w:rFonts w:ascii="Arial" w:cs="Arial" w:eastAsia="Arial" w:hAnsi="Arial"/>
          <w:sz w:val="16"/>
          <w:szCs w:val="16"/>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Arial" w:cs="Arial" w:eastAsia="Arial" w:hAnsi="Arial"/>
          <w:sz w:val="16"/>
          <w:szCs w:val="16"/>
          <w:u w:val="single" w:color="auto"/>
          <w:color w:val="auto"/>
        </w:rPr>
        <w:t>Company Consent</w:t>
      </w:r>
      <w:r>
        <w:rPr>
          <w:rFonts w:ascii="Arial" w:cs="Arial" w:eastAsia="Arial" w:hAnsi="Arial"/>
          <w:sz w:val="16"/>
          <w:szCs w:val="16"/>
          <w:color w:val="auto"/>
        </w:rPr>
        <w:t>”).</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85" w:lineRule="auto"/>
        <w:tabs>
          <w:tab w:leader="none" w:pos="1587"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and (b) the unaudited balance sheet of the Company as of June 30, 2020 (the “</w:t>
      </w:r>
      <w:r>
        <w:rPr>
          <w:rFonts w:ascii="Arial" w:cs="Arial" w:eastAsia="Arial" w:hAnsi="Arial"/>
          <w:sz w:val="16"/>
          <w:szCs w:val="16"/>
          <w:u w:val="single" w:color="auto"/>
          <w:color w:val="auto"/>
        </w:rPr>
        <w:t>Interim Balance Sheet</w:t>
      </w:r>
      <w:r>
        <w:rPr>
          <w:rFonts w:ascii="Arial" w:cs="Arial" w:eastAsia="Arial" w:hAnsi="Arial"/>
          <w:sz w:val="16"/>
          <w:szCs w:val="16"/>
          <w:color w:val="auto"/>
        </w:rPr>
        <w:t>”) and the related statements of operations and comprehensive loss, convertible preferred stock and stockholders’ equity (deficit) and cash flows for the six (6) months ended June 30, 2019 and June 30, 2020 (collectively, the “</w:t>
      </w:r>
      <w:r>
        <w:rPr>
          <w:rFonts w:ascii="Arial" w:cs="Arial" w:eastAsia="Arial" w:hAnsi="Arial"/>
          <w:sz w:val="16"/>
          <w:szCs w:val="16"/>
          <w:u w:val="single" w:color="auto"/>
          <w:color w:val="auto"/>
        </w:rPr>
        <w:t>Unaudited Financial Statements</w:t>
      </w:r>
      <w:r>
        <w:rPr>
          <w:rFonts w:ascii="Arial" w:cs="Arial" w:eastAsia="Arial" w:hAnsi="Arial"/>
          <w:sz w:val="16"/>
          <w:szCs w:val="16"/>
          <w:color w:val="auto"/>
        </w:rPr>
        <w:t>” and, together with the Annual Financial Statements,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Arial" w:cs="Arial" w:eastAsia="Arial" w:hAnsi="Arial"/>
          <w:sz w:val="16"/>
          <w:szCs w:val="16"/>
          <w:u w:val="single" w:color="auto"/>
          <w:color w:val="auto"/>
        </w:rPr>
        <w:t>Balance Sheet Date</w:t>
      </w:r>
      <w:r>
        <w:rPr>
          <w:rFonts w:ascii="Arial" w:cs="Arial" w:eastAsia="Arial" w:hAnsi="Arial"/>
          <w:sz w:val="16"/>
          <w:szCs w:val="16"/>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08" w:lineRule="exact"/>
        <w:rPr>
          <w:rFonts w:ascii="Arial" w:cs="Arial" w:eastAsia="Arial" w:hAnsi="Arial"/>
          <w:sz w:val="16"/>
          <w:szCs w:val="16"/>
          <w:color w:val="auto"/>
        </w:rPr>
      </w:pPr>
    </w:p>
    <w:p>
      <w:pPr>
        <w:ind w:left="1600" w:hanging="282"/>
        <w:spacing w:after="0"/>
        <w:tabs>
          <w:tab w:leader="none" w:pos="16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Except as: (i) specifically disclosed, reflected or fully reserved against on the Balance Sheet;</w:t>
      </w:r>
    </w:p>
    <w:p>
      <w:pPr>
        <w:spacing w:after="0" w:line="34" w:lineRule="exact"/>
        <w:rPr>
          <w:rFonts w:ascii="Arial" w:cs="Arial" w:eastAsia="Arial" w:hAnsi="Arial"/>
          <w:sz w:val="17"/>
          <w:szCs w:val="17"/>
          <w:color w:val="auto"/>
        </w:rPr>
      </w:pPr>
    </w:p>
    <w:p>
      <w:pPr>
        <w:ind w:left="740" w:hanging="286"/>
        <w:spacing w:after="0"/>
        <w:tabs>
          <w:tab w:leader="none" w:pos="7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liabilities and obligations incurred in the ordinary course of business since the date of the Balance Sheet;</w:t>
      </w:r>
    </w:p>
    <w:p>
      <w:pPr>
        <w:spacing w:after="0" w:line="32" w:lineRule="exact"/>
        <w:rPr>
          <w:rFonts w:ascii="Arial" w:cs="Arial" w:eastAsia="Arial" w:hAnsi="Arial"/>
          <w:sz w:val="16"/>
          <w:szCs w:val="16"/>
          <w:color w:val="auto"/>
        </w:rPr>
      </w:pPr>
    </w:p>
    <w:p>
      <w:pPr>
        <w:jc w:val="both"/>
        <w:ind w:left="460" w:right="459" w:hanging="6"/>
        <w:spacing w:after="0" w:line="268" w:lineRule="auto"/>
        <w:tabs>
          <w:tab w:leader="none" w:pos="78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Arial" w:cs="Arial" w:eastAsia="Arial" w:hAnsi="Arial"/>
          <w:sz w:val="17"/>
          <w:szCs w:val="17"/>
          <w:u w:val="single" w:color="auto"/>
          <w:color w:val="auto"/>
        </w:rPr>
        <w:t>Schedule 5.9(b)</w:t>
      </w:r>
      <w:r>
        <w:rPr>
          <w:rFonts w:ascii="Arial" w:cs="Arial" w:eastAsia="Arial" w:hAnsi="Arial"/>
          <w:sz w:val="17"/>
          <w:szCs w:val="17"/>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1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 (i) 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8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Internal Accounting Controls</w:t>
      </w:r>
      <w:r>
        <w:rPr>
          <w:rFonts w:ascii="Arial" w:cs="Arial" w:eastAsia="Arial" w:hAnsi="Arial"/>
          <w:sz w:val="17"/>
          <w:szCs w:val="17"/>
          <w:color w:val="auto"/>
        </w:rPr>
        <w:t>. The Company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8" w:name="page299"/>
    <w:bookmarkEnd w:id="29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Properties; Title to the Company’s Assets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301" w:lineRule="auto"/>
        <w:tabs>
          <w:tab w:leader="none" w:pos="158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76" w:lineRule="exact"/>
        <w:rPr>
          <w:rFonts w:ascii="Arial" w:cs="Arial" w:eastAsia="Arial" w:hAnsi="Arial"/>
          <w:sz w:val="16"/>
          <w:szCs w:val="16"/>
          <w:color w:val="auto"/>
        </w:rPr>
      </w:pPr>
    </w:p>
    <w:p>
      <w:pPr>
        <w:jc w:val="both"/>
        <w:ind w:left="460" w:right="459" w:firstLine="858"/>
        <w:spacing w:after="0" w:line="272" w:lineRule="auto"/>
        <w:tabs>
          <w:tab w:leader="none" w:pos="158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Arial" w:cs="Arial" w:eastAsia="Arial" w:hAnsi="Arial"/>
          <w:sz w:val="17"/>
          <w:szCs w:val="17"/>
          <w:u w:val="single" w:color="auto"/>
          <w:color w:val="auto"/>
        </w:rPr>
        <w:t>Schedule 5.13(b),</w:t>
      </w:r>
      <w:r>
        <w:rPr>
          <w:rFonts w:ascii="Arial" w:cs="Arial" w:eastAsia="Arial" w:hAnsi="Arial"/>
          <w:sz w:val="17"/>
          <w:szCs w:val="17"/>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11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858"/>
        <w:spacing w:after="0" w:line="286" w:lineRule="auto"/>
        <w:tabs>
          <w:tab w:leader="none" w:pos="1568"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Schedule 5.15(a)</w:t>
      </w:r>
      <w:r>
        <w:rPr>
          <w:rFonts w:ascii="Arial" w:cs="Arial" w:eastAsia="Arial" w:hAnsi="Arial"/>
          <w:sz w:val="17"/>
          <w:szCs w:val="17"/>
          <w:color w:val="auto"/>
        </w:rPr>
        <w:t xml:space="preserve"> lists all of the following Contracts (collectively, such Contracts that are listed or should be listed on </w:t>
      </w:r>
      <w:r>
        <w:rPr>
          <w:rFonts w:ascii="Arial" w:cs="Arial" w:eastAsia="Arial" w:hAnsi="Arial"/>
          <w:sz w:val="17"/>
          <w:szCs w:val="17"/>
          <w:u w:val="single" w:color="auto"/>
          <w:color w:val="auto"/>
        </w:rPr>
        <w:t>Schedule 5.15(a)</w:t>
      </w:r>
      <w:r>
        <w:rPr>
          <w:rFonts w:ascii="Arial" w:cs="Arial" w:eastAsia="Arial" w:hAnsi="Arial"/>
          <w:sz w:val="17"/>
          <w:szCs w:val="17"/>
          <w:color w:val="auto"/>
        </w:rPr>
        <w:t>, “</w:t>
      </w:r>
      <w:r>
        <w:rPr>
          <w:rFonts w:ascii="Arial" w:cs="Arial" w:eastAsia="Arial" w:hAnsi="Arial"/>
          <w:sz w:val="17"/>
          <w:szCs w:val="17"/>
          <w:u w:val="single" w:color="auto"/>
          <w:color w:val="auto"/>
        </w:rPr>
        <w:t>Material Contracts</w:t>
      </w:r>
      <w:r>
        <w:rPr>
          <w:rFonts w:ascii="Arial" w:cs="Arial" w:eastAsia="Arial" w:hAnsi="Arial"/>
          <w:sz w:val="17"/>
          <w:szCs w:val="17"/>
          <w:color w:val="auto"/>
        </w:rPr>
        <w:t>”) to which, as of the date of this Agreement, the Company is a party or by which any of its assets is bound and which are currently in effect:</w:t>
      </w:r>
    </w:p>
    <w:p>
      <w:pPr>
        <w:spacing w:after="0" w:line="97" w:lineRule="exact"/>
        <w:rPr>
          <w:rFonts w:ascii="Arial" w:cs="Arial" w:eastAsia="Arial" w:hAnsi="Arial"/>
          <w:sz w:val="17"/>
          <w:szCs w:val="17"/>
          <w:color w:val="auto"/>
        </w:rPr>
      </w:pPr>
    </w:p>
    <w:p>
      <w:pPr>
        <w:jc w:val="both"/>
        <w:ind w:left="880" w:right="459" w:firstLine="1086"/>
        <w:spacing w:after="0" w:line="263" w:lineRule="auto"/>
        <w:tabs>
          <w:tab w:leader="none" w:pos="2181"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116" w:lineRule="exact"/>
        <w:rPr>
          <w:rFonts w:ascii="Arial" w:cs="Arial" w:eastAsia="Arial" w:hAnsi="Arial"/>
          <w:sz w:val="18"/>
          <w:szCs w:val="18"/>
          <w:color w:val="auto"/>
        </w:rPr>
      </w:pPr>
    </w:p>
    <w:p>
      <w:pPr>
        <w:jc w:val="both"/>
        <w:ind w:left="880" w:right="459" w:firstLine="1086"/>
        <w:spacing w:after="0" w:line="263" w:lineRule="auto"/>
        <w:tabs>
          <w:tab w:leader="none" w:pos="227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102" w:lineRule="exact"/>
        <w:rPr>
          <w:rFonts w:ascii="Arial" w:cs="Arial" w:eastAsia="Arial" w:hAnsi="Arial"/>
          <w:sz w:val="18"/>
          <w:szCs w:val="18"/>
          <w:color w:val="auto"/>
        </w:rPr>
      </w:pPr>
    </w:p>
    <w:p>
      <w:pPr>
        <w:jc w:val="both"/>
        <w:ind w:left="880" w:right="459" w:firstLine="1086"/>
        <w:spacing w:after="0" w:line="254" w:lineRule="auto"/>
        <w:tabs>
          <w:tab w:leader="none" w:pos="232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24" w:lineRule="exact"/>
        <w:rPr>
          <w:rFonts w:ascii="Arial" w:cs="Arial" w:eastAsia="Arial" w:hAnsi="Arial"/>
          <w:sz w:val="18"/>
          <w:szCs w:val="18"/>
          <w:color w:val="auto"/>
        </w:rPr>
      </w:pPr>
    </w:p>
    <w:p>
      <w:pPr>
        <w:ind w:left="880" w:right="479" w:firstLine="1086"/>
        <w:spacing w:after="0" w:line="277" w:lineRule="auto"/>
        <w:tabs>
          <w:tab w:leader="none" w:pos="2285"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Contracts creating a joint venture, strategic alliance, limited liability company or partnership arrangement to which the Company is a party;</w:t>
      </w:r>
    </w:p>
    <w:p>
      <w:pPr>
        <w:spacing w:after="0" w:line="102" w:lineRule="exact"/>
        <w:rPr>
          <w:rFonts w:ascii="Arial" w:cs="Arial" w:eastAsia="Arial" w:hAnsi="Arial"/>
          <w:sz w:val="18"/>
          <w:szCs w:val="18"/>
          <w:color w:val="auto"/>
        </w:rPr>
      </w:pPr>
    </w:p>
    <w:p>
      <w:pPr>
        <w:jc w:val="both"/>
        <w:ind w:left="880" w:right="479" w:firstLine="1086"/>
        <w:spacing w:after="0" w:line="263" w:lineRule="auto"/>
        <w:tabs>
          <w:tab w:leader="none" w:pos="2256"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Contracts relating to any acquisitions or dispositions of material assets by the Company (other than acquisitions or dispositions of inventory in the ordinary course of business consistent with past practice);</w:t>
      </w:r>
    </w:p>
    <w:p>
      <w:pPr>
        <w:spacing w:after="0" w:line="102" w:lineRule="exact"/>
        <w:rPr>
          <w:rFonts w:ascii="Arial" w:cs="Arial" w:eastAsia="Arial" w:hAnsi="Arial"/>
          <w:sz w:val="18"/>
          <w:szCs w:val="18"/>
          <w:color w:val="auto"/>
        </w:rPr>
      </w:pPr>
    </w:p>
    <w:p>
      <w:pPr>
        <w:jc w:val="both"/>
        <w:ind w:left="880" w:right="459" w:firstLine="1086"/>
        <w:spacing w:after="0" w:line="257" w:lineRule="auto"/>
        <w:tabs>
          <w:tab w:leader="none" w:pos="2265"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9" w:name="page300"/>
    <w:bookmarkEnd w:id="29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for generally commercially available software (including open source software) or hosted services,</w:t>
      </w:r>
    </w:p>
    <w:p>
      <w:pPr>
        <w:spacing w:after="0" w:line="35" w:lineRule="exact"/>
        <w:rPr>
          <w:sz w:val="20"/>
          <w:szCs w:val="20"/>
          <w:color w:val="auto"/>
        </w:rPr>
      </w:pPr>
    </w:p>
    <w:p>
      <w:pPr>
        <w:jc w:val="both"/>
        <w:ind w:left="880" w:right="459" w:firstLine="6"/>
        <w:spacing w:after="0" w:line="255" w:lineRule="auto"/>
        <w:tabs>
          <w:tab w:leader="none" w:pos="1168" w:val="left"/>
        </w:tabs>
        <w:numPr>
          <w:ilvl w:val="1"/>
          <w:numId w:val="248"/>
        </w:numPr>
        <w:rPr>
          <w:rFonts w:ascii="Arial" w:cs="Arial" w:eastAsia="Arial" w:hAnsi="Arial"/>
          <w:sz w:val="18"/>
          <w:szCs w:val="18"/>
          <w:color w:val="auto"/>
        </w:rPr>
      </w:pPr>
      <w:r>
        <w:rPr>
          <w:rFonts w:ascii="Arial" w:cs="Arial" w:eastAsia="Arial" w:hAnsi="Arial"/>
          <w:sz w:val="18"/>
          <w:szCs w:val="18"/>
          <w:color w:val="auto"/>
        </w:rPr>
        <w:t>customer or channel partner Contracts substantially on Company’s standard forms, (C) Contracts with the Company’s employees or contractors substantially on Company’s standard forms, and (D) non-disclosure agreements (the “</w:t>
      </w:r>
      <w:r>
        <w:rPr>
          <w:rFonts w:ascii="Arial" w:cs="Arial" w:eastAsia="Arial" w:hAnsi="Arial"/>
          <w:sz w:val="18"/>
          <w:szCs w:val="18"/>
          <w:u w:val="single" w:color="auto"/>
          <w:color w:val="auto"/>
        </w:rPr>
        <w:t>Standard Contracts</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880" w:right="459" w:firstLine="1086"/>
        <w:spacing w:after="0" w:line="277" w:lineRule="auto"/>
        <w:tabs>
          <w:tab w:leader="none" w:pos="2321" w:val="left"/>
        </w:tabs>
        <w:numPr>
          <w:ilvl w:val="3"/>
          <w:numId w:val="248"/>
        </w:numPr>
        <w:rPr>
          <w:rFonts w:ascii="Arial" w:cs="Arial" w:eastAsia="Arial" w:hAnsi="Arial"/>
          <w:sz w:val="18"/>
          <w:szCs w:val="18"/>
          <w:color w:val="auto"/>
        </w:rPr>
      </w:pPr>
      <w:r>
        <w:rPr>
          <w:rFonts w:ascii="Arial" w:cs="Arial" w:eastAsia="Arial" w:hAnsi="Arial"/>
          <w:sz w:val="18"/>
          <w:szCs w:val="18"/>
          <w:color w:val="auto"/>
        </w:rPr>
        <w:t>all Contracts limiting the freedom of the Company to compete in any line of business or industry, with any Person or in any geographic area;</w:t>
      </w:r>
    </w:p>
    <w:p>
      <w:pPr>
        <w:spacing w:after="0" w:line="102" w:lineRule="exact"/>
        <w:rPr>
          <w:rFonts w:ascii="Arial" w:cs="Arial" w:eastAsia="Arial" w:hAnsi="Arial"/>
          <w:sz w:val="18"/>
          <w:szCs w:val="18"/>
          <w:color w:val="auto"/>
        </w:rPr>
      </w:pPr>
    </w:p>
    <w:p>
      <w:pPr>
        <w:jc w:val="both"/>
        <w:ind w:left="880" w:right="459" w:firstLine="1086"/>
        <w:spacing w:after="0" w:line="311" w:lineRule="auto"/>
        <w:tabs>
          <w:tab w:leader="none" w:pos="2400" w:val="left"/>
        </w:tabs>
        <w:numPr>
          <w:ilvl w:val="3"/>
          <w:numId w:val="248"/>
        </w:numPr>
        <w:rPr>
          <w:rFonts w:ascii="Arial" w:cs="Arial" w:eastAsia="Arial" w:hAnsi="Arial"/>
          <w:sz w:val="16"/>
          <w:szCs w:val="16"/>
          <w:color w:val="auto"/>
        </w:rPr>
      </w:pPr>
      <w:r>
        <w:rPr>
          <w:rFonts w:ascii="Arial" w:cs="Arial" w:eastAsia="Arial" w:hAnsi="Arial"/>
          <w:sz w:val="16"/>
          <w:szCs w:val="16"/>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67" w:lineRule="exact"/>
        <w:rPr>
          <w:rFonts w:ascii="Arial" w:cs="Arial" w:eastAsia="Arial" w:hAnsi="Arial"/>
          <w:sz w:val="16"/>
          <w:szCs w:val="16"/>
          <w:color w:val="auto"/>
        </w:rPr>
      </w:pPr>
    </w:p>
    <w:p>
      <w:pPr>
        <w:jc w:val="both"/>
        <w:ind w:left="880" w:right="479" w:firstLine="1086"/>
        <w:spacing w:after="0" w:line="311" w:lineRule="auto"/>
        <w:tabs>
          <w:tab w:leader="none" w:pos="2286" w:val="left"/>
        </w:tabs>
        <w:numPr>
          <w:ilvl w:val="3"/>
          <w:numId w:val="248"/>
        </w:numPr>
        <w:rPr>
          <w:rFonts w:ascii="Arial" w:cs="Arial" w:eastAsia="Arial" w:hAnsi="Arial"/>
          <w:sz w:val="16"/>
          <w:szCs w:val="16"/>
          <w:color w:val="auto"/>
        </w:rPr>
      </w:pPr>
      <w:r>
        <w:rPr>
          <w:rFonts w:ascii="Arial" w:cs="Arial" w:eastAsia="Arial" w:hAnsi="Arial"/>
          <w:sz w:val="16"/>
          <w:szCs w:val="16"/>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81" w:lineRule="exact"/>
        <w:rPr>
          <w:rFonts w:ascii="Arial" w:cs="Arial" w:eastAsia="Arial" w:hAnsi="Arial"/>
          <w:sz w:val="16"/>
          <w:szCs w:val="16"/>
          <w:color w:val="auto"/>
        </w:rPr>
      </w:pPr>
    </w:p>
    <w:p>
      <w:pPr>
        <w:ind w:left="880" w:right="479" w:firstLine="1086"/>
        <w:spacing w:after="0" w:line="342" w:lineRule="auto"/>
        <w:tabs>
          <w:tab w:leader="none" w:pos="2218" w:val="left"/>
        </w:tabs>
        <w:numPr>
          <w:ilvl w:val="3"/>
          <w:numId w:val="248"/>
        </w:numPr>
        <w:rPr>
          <w:rFonts w:ascii="Arial" w:cs="Arial" w:eastAsia="Arial" w:hAnsi="Arial"/>
          <w:sz w:val="16"/>
          <w:szCs w:val="16"/>
          <w:color w:val="auto"/>
        </w:rPr>
      </w:pPr>
      <w:r>
        <w:rPr>
          <w:rFonts w:ascii="Arial" w:cs="Arial" w:eastAsia="Arial" w:hAnsi="Arial"/>
          <w:sz w:val="16"/>
          <w:szCs w:val="16"/>
          <w:color w:val="auto"/>
        </w:rPr>
        <w:t>all Contracts with or pertaining to the Company to which any Affiliate of the Company is a party, other than any Contracts relating to such Affiliate’s status as a Company Securityholder;</w:t>
      </w:r>
    </w:p>
    <w:p>
      <w:pPr>
        <w:spacing w:after="0" w:line="56" w:lineRule="exact"/>
        <w:rPr>
          <w:rFonts w:ascii="Arial" w:cs="Arial" w:eastAsia="Arial" w:hAnsi="Arial"/>
          <w:sz w:val="16"/>
          <w:szCs w:val="16"/>
          <w:color w:val="auto"/>
        </w:rPr>
      </w:pPr>
    </w:p>
    <w:p>
      <w:pPr>
        <w:jc w:val="both"/>
        <w:ind w:left="880" w:right="479" w:firstLine="1086"/>
        <w:spacing w:after="0" w:line="263" w:lineRule="auto"/>
        <w:tabs>
          <w:tab w:leader="none" w:pos="2307" w:val="left"/>
        </w:tabs>
        <w:numPr>
          <w:ilvl w:val="3"/>
          <w:numId w:val="248"/>
        </w:numPr>
        <w:rPr>
          <w:rFonts w:ascii="Arial" w:cs="Arial" w:eastAsia="Arial" w:hAnsi="Arial"/>
          <w:sz w:val="18"/>
          <w:szCs w:val="18"/>
          <w:color w:val="auto"/>
        </w:rPr>
      </w:pPr>
      <w:r>
        <w:rPr>
          <w:rFonts w:ascii="Arial" w:cs="Arial" w:eastAsia="Arial" w:hAnsi="Arial"/>
          <w:sz w:val="18"/>
          <w:szCs w:val="18"/>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102" w:lineRule="exact"/>
        <w:rPr>
          <w:rFonts w:ascii="Arial" w:cs="Arial" w:eastAsia="Arial" w:hAnsi="Arial"/>
          <w:sz w:val="18"/>
          <w:szCs w:val="18"/>
          <w:color w:val="auto"/>
        </w:rPr>
      </w:pPr>
    </w:p>
    <w:p>
      <w:pPr>
        <w:ind w:left="880" w:right="479" w:firstLine="1086"/>
        <w:spacing w:after="0" w:line="277" w:lineRule="auto"/>
        <w:tabs>
          <w:tab w:leader="none" w:pos="2339" w:val="left"/>
        </w:tabs>
        <w:numPr>
          <w:ilvl w:val="3"/>
          <w:numId w:val="248"/>
        </w:numPr>
        <w:rPr>
          <w:rFonts w:ascii="Arial" w:cs="Arial" w:eastAsia="Arial" w:hAnsi="Arial"/>
          <w:sz w:val="18"/>
          <w:szCs w:val="18"/>
          <w:color w:val="auto"/>
        </w:rPr>
      </w:pPr>
      <w:r>
        <w:rPr>
          <w:rFonts w:ascii="Arial" w:cs="Arial" w:eastAsia="Arial" w:hAnsi="Arial"/>
          <w:sz w:val="18"/>
          <w:szCs w:val="18"/>
          <w:color w:val="auto"/>
        </w:rPr>
        <w:t>all Contracts creating or otherwise relating to outstanding Indebtedness (other than intercompany Indebtedness);</w:t>
      </w:r>
    </w:p>
    <w:p>
      <w:pPr>
        <w:spacing w:after="0" w:line="102" w:lineRule="exact"/>
        <w:rPr>
          <w:rFonts w:ascii="Arial" w:cs="Arial" w:eastAsia="Arial" w:hAnsi="Arial"/>
          <w:sz w:val="18"/>
          <w:szCs w:val="18"/>
          <w:color w:val="auto"/>
        </w:rPr>
      </w:pPr>
    </w:p>
    <w:p>
      <w:pPr>
        <w:ind w:left="880" w:right="479" w:firstLine="1086"/>
        <w:spacing w:after="0" w:line="342" w:lineRule="auto"/>
        <w:tabs>
          <w:tab w:leader="none" w:pos="2376" w:val="left"/>
        </w:tabs>
        <w:numPr>
          <w:ilvl w:val="3"/>
          <w:numId w:val="248"/>
        </w:numPr>
        <w:rPr>
          <w:rFonts w:ascii="Arial" w:cs="Arial" w:eastAsia="Arial" w:hAnsi="Arial"/>
          <w:sz w:val="16"/>
          <w:szCs w:val="16"/>
          <w:color w:val="auto"/>
        </w:rPr>
      </w:pPr>
      <w:r>
        <w:rPr>
          <w:rFonts w:ascii="Arial" w:cs="Arial" w:eastAsia="Arial" w:hAnsi="Arial"/>
          <w:sz w:val="16"/>
          <w:szCs w:val="16"/>
          <w:color w:val="auto"/>
        </w:rPr>
        <w:t>all Contracts relating to the voting or control of the equity interests of the Company or the election of directors of the Company (other than the organizational documents of the Company);</w:t>
      </w:r>
    </w:p>
    <w:p>
      <w:pPr>
        <w:spacing w:after="0" w:line="56" w:lineRule="exact"/>
        <w:rPr>
          <w:rFonts w:ascii="Arial" w:cs="Arial" w:eastAsia="Arial" w:hAnsi="Arial"/>
          <w:sz w:val="16"/>
          <w:szCs w:val="16"/>
          <w:color w:val="auto"/>
        </w:rPr>
      </w:pPr>
    </w:p>
    <w:p>
      <w:pPr>
        <w:jc w:val="both"/>
        <w:ind w:left="880" w:right="459" w:firstLine="1086"/>
        <w:spacing w:after="0" w:line="263" w:lineRule="auto"/>
        <w:tabs>
          <w:tab w:leader="none" w:pos="2382" w:val="left"/>
        </w:tabs>
        <w:numPr>
          <w:ilvl w:val="3"/>
          <w:numId w:val="248"/>
        </w:numPr>
        <w:rPr>
          <w:rFonts w:ascii="Arial" w:cs="Arial" w:eastAsia="Arial" w:hAnsi="Arial"/>
          <w:sz w:val="18"/>
          <w:szCs w:val="18"/>
          <w:color w:val="auto"/>
        </w:rPr>
      </w:pPr>
      <w:r>
        <w:rPr>
          <w:rFonts w:ascii="Arial" w:cs="Arial" w:eastAsia="Arial" w:hAnsi="Arial"/>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102" w:lineRule="exact"/>
        <w:rPr>
          <w:rFonts w:ascii="Arial" w:cs="Arial" w:eastAsia="Arial" w:hAnsi="Arial"/>
          <w:sz w:val="18"/>
          <w:szCs w:val="18"/>
          <w:color w:val="auto"/>
        </w:rPr>
      </w:pPr>
    </w:p>
    <w:p>
      <w:pPr>
        <w:jc w:val="both"/>
        <w:ind w:left="880" w:right="459" w:firstLine="1086"/>
        <w:spacing w:after="0" w:line="263" w:lineRule="auto"/>
        <w:tabs>
          <w:tab w:leader="none" w:pos="2316" w:val="left"/>
        </w:tabs>
        <w:numPr>
          <w:ilvl w:val="3"/>
          <w:numId w:val="248"/>
        </w:numPr>
        <w:rPr>
          <w:rFonts w:ascii="Arial" w:cs="Arial" w:eastAsia="Arial" w:hAnsi="Arial"/>
          <w:sz w:val="18"/>
          <w:szCs w:val="18"/>
          <w:color w:val="auto"/>
        </w:rPr>
      </w:pPr>
      <w:r>
        <w:rPr>
          <w:rFonts w:ascii="Arial" w:cs="Arial" w:eastAsia="Arial" w:hAnsi="Arial"/>
          <w:sz w:val="18"/>
          <w:szCs w:val="18"/>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116" w:lineRule="exact"/>
        <w:rPr>
          <w:rFonts w:ascii="Arial" w:cs="Arial" w:eastAsia="Arial" w:hAnsi="Arial"/>
          <w:sz w:val="18"/>
          <w:szCs w:val="18"/>
          <w:color w:val="auto"/>
        </w:rPr>
      </w:pPr>
    </w:p>
    <w:p>
      <w:pPr>
        <w:jc w:val="both"/>
        <w:ind w:left="880" w:right="459" w:firstLine="1086"/>
        <w:spacing w:after="0" w:line="259" w:lineRule="auto"/>
        <w:tabs>
          <w:tab w:leader="none" w:pos="2387" w:val="left"/>
        </w:tabs>
        <w:numPr>
          <w:ilvl w:val="3"/>
          <w:numId w:val="248"/>
        </w:numPr>
        <w:rPr>
          <w:rFonts w:ascii="Arial" w:cs="Arial" w:eastAsia="Arial" w:hAnsi="Arial"/>
          <w:sz w:val="18"/>
          <w:szCs w:val="18"/>
          <w:color w:val="auto"/>
        </w:rPr>
      </w:pPr>
      <w:r>
        <w:rPr>
          <w:rFonts w:ascii="Arial" w:cs="Arial" w:eastAsia="Arial" w:hAnsi="Arial"/>
          <w:sz w:val="18"/>
          <w:szCs w:val="18"/>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19" w:lineRule="exact"/>
        <w:rPr>
          <w:rFonts w:ascii="Arial" w:cs="Arial" w:eastAsia="Arial" w:hAnsi="Arial"/>
          <w:sz w:val="18"/>
          <w:szCs w:val="18"/>
          <w:color w:val="auto"/>
        </w:rPr>
      </w:pPr>
    </w:p>
    <w:p>
      <w:pPr>
        <w:ind w:left="2500" w:hanging="534"/>
        <w:spacing w:after="0"/>
        <w:tabs>
          <w:tab w:leader="none" w:pos="2500" w:val="left"/>
        </w:tabs>
        <w:numPr>
          <w:ilvl w:val="3"/>
          <w:numId w:val="248"/>
        </w:numPr>
        <w:rPr>
          <w:rFonts w:ascii="Arial" w:cs="Arial" w:eastAsia="Arial" w:hAnsi="Arial"/>
          <w:sz w:val="17"/>
          <w:szCs w:val="17"/>
          <w:color w:val="auto"/>
        </w:rPr>
      </w:pPr>
      <w:r>
        <w:rPr>
          <w:rFonts w:ascii="Arial" w:cs="Arial" w:eastAsia="Arial" w:hAnsi="Arial"/>
          <w:sz w:val="17"/>
          <w:szCs w:val="17"/>
          <w:color w:val="auto"/>
        </w:rPr>
        <w:t>all  collective  bargaining  or  other  agreements  with  a  labor  union  or  labor</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organization; and</w:t>
      </w:r>
    </w:p>
    <w:p>
      <w:pPr>
        <w:spacing w:after="0" w:line="129" w:lineRule="exact"/>
        <w:rPr>
          <w:rFonts w:ascii="Arial" w:cs="Arial" w:eastAsia="Arial" w:hAnsi="Arial"/>
          <w:sz w:val="17"/>
          <w:szCs w:val="17"/>
          <w:color w:val="auto"/>
        </w:rPr>
      </w:pPr>
    </w:p>
    <w:p>
      <w:pPr>
        <w:ind w:left="2460" w:hanging="494"/>
        <w:spacing w:after="0"/>
        <w:tabs>
          <w:tab w:leader="none" w:pos="2460" w:val="left"/>
        </w:tabs>
        <w:numPr>
          <w:ilvl w:val="3"/>
          <w:numId w:val="248"/>
        </w:numPr>
        <w:rPr>
          <w:rFonts w:ascii="Arial" w:cs="Arial" w:eastAsia="Arial" w:hAnsi="Arial"/>
          <w:sz w:val="16"/>
          <w:szCs w:val="16"/>
          <w:color w:val="auto"/>
        </w:rPr>
      </w:pPr>
      <w:r>
        <w:rPr>
          <w:rFonts w:ascii="Arial" w:cs="Arial" w:eastAsia="Arial" w:hAnsi="Arial"/>
          <w:sz w:val="16"/>
          <w:szCs w:val="16"/>
          <w:color w:val="auto"/>
        </w:rPr>
        <w:t>all Contracts that address the provisions for business associate contracts required by</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HIPAA.</w:t>
      </w:r>
    </w:p>
    <w:p>
      <w:pPr>
        <w:spacing w:after="0" w:line="143" w:lineRule="exact"/>
        <w:rPr>
          <w:rFonts w:ascii="Arial" w:cs="Arial" w:eastAsia="Arial" w:hAnsi="Arial"/>
          <w:sz w:val="16"/>
          <w:szCs w:val="16"/>
          <w:color w:val="auto"/>
        </w:rPr>
      </w:pPr>
    </w:p>
    <w:p>
      <w:pPr>
        <w:ind w:left="1600" w:hanging="282"/>
        <w:spacing w:after="0"/>
        <w:tabs>
          <w:tab w:leader="none" w:pos="1600" w:val="left"/>
        </w:tabs>
        <w:numPr>
          <w:ilvl w:val="2"/>
          <w:numId w:val="248"/>
        </w:numPr>
        <w:rPr>
          <w:rFonts w:ascii="Arial" w:cs="Arial" w:eastAsia="Arial" w:hAnsi="Arial"/>
          <w:sz w:val="17"/>
          <w:szCs w:val="17"/>
          <w:color w:val="auto"/>
        </w:rPr>
      </w:pPr>
      <w:r>
        <w:rPr>
          <w:rFonts w:ascii="Arial" w:cs="Arial" w:eastAsia="Arial" w:hAnsi="Arial"/>
          <w:sz w:val="17"/>
          <w:szCs w:val="17"/>
          <w:color w:val="auto"/>
        </w:rPr>
        <w:t>Each Material Contract is (i) a valid and binding agreement, (ii) in full force and effect and</w:t>
      </w:r>
    </w:p>
    <w:p>
      <w:pPr>
        <w:spacing w:after="0" w:line="34" w:lineRule="exact"/>
        <w:rPr>
          <w:rFonts w:ascii="Arial" w:cs="Arial" w:eastAsia="Arial" w:hAnsi="Arial"/>
          <w:sz w:val="17"/>
          <w:szCs w:val="17"/>
          <w:color w:val="auto"/>
        </w:rPr>
      </w:pPr>
    </w:p>
    <w:p>
      <w:pPr>
        <w:jc w:val="both"/>
        <w:ind w:left="460" w:right="459" w:hanging="6"/>
        <w:spacing w:after="0" w:line="270" w:lineRule="auto"/>
        <w:tabs>
          <w:tab w:leader="none" w:pos="782" w:val="left"/>
        </w:tabs>
        <w:numPr>
          <w:ilvl w:val="0"/>
          <w:numId w:val="249"/>
        </w:numPr>
        <w:rPr>
          <w:rFonts w:ascii="Arial" w:cs="Arial" w:eastAsia="Arial" w:hAnsi="Arial"/>
          <w:sz w:val="17"/>
          <w:szCs w:val="17"/>
          <w:color w:val="auto"/>
        </w:rPr>
      </w:pPr>
      <w:r>
        <w:rPr>
          <w:rFonts w:ascii="Arial" w:cs="Arial" w:eastAsia="Arial" w:hAnsi="Arial"/>
          <w:sz w:val="17"/>
          <w:szCs w:val="17"/>
          <w:color w:val="auto"/>
        </w:rPr>
        <w:t>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110" w:lineRule="exact"/>
        <w:rPr>
          <w:rFonts w:ascii="Arial" w:cs="Arial" w:eastAsia="Arial" w:hAnsi="Arial"/>
          <w:sz w:val="17"/>
          <w:szCs w:val="17"/>
          <w:color w:val="auto"/>
        </w:rPr>
      </w:pPr>
    </w:p>
    <w:p>
      <w:pPr>
        <w:ind w:left="460" w:right="459" w:firstLine="858"/>
        <w:spacing w:after="0" w:line="308" w:lineRule="auto"/>
        <w:tabs>
          <w:tab w:leader="none" w:pos="1570" w:val="left"/>
        </w:tabs>
        <w:numPr>
          <w:ilvl w:val="2"/>
          <w:numId w:val="249"/>
        </w:numPr>
        <w:rPr>
          <w:rFonts w:ascii="Arial" w:cs="Arial" w:eastAsia="Arial" w:hAnsi="Arial"/>
          <w:sz w:val="17"/>
          <w:szCs w:val="17"/>
          <w:color w:val="auto"/>
        </w:rPr>
      </w:pPr>
      <w:r>
        <w:rPr>
          <w:rFonts w:ascii="Arial" w:cs="Arial" w:eastAsia="Arial" w:hAnsi="Arial"/>
          <w:sz w:val="17"/>
          <w:szCs w:val="17"/>
          <w:color w:val="auto"/>
        </w:rPr>
        <w:t>The Company is in compliance with all covenants, including all financial covenants, in all notes, indentures, bonds and other instruments or Contracts establishing or evidencing any Indebtedness.</w:t>
      </w:r>
    </w:p>
    <w:p>
      <w:pPr>
        <w:spacing w:after="0" w:line="6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Licenses and Permits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Arial" w:cs="Arial" w:eastAsia="Arial" w:hAnsi="Arial"/>
          <w:sz w:val="18"/>
          <w:szCs w:val="18"/>
          <w:u w:val="single" w:color="auto"/>
          <w:color w:val="auto"/>
        </w:rPr>
        <w:t>Permits</w:t>
      </w:r>
      <w:r>
        <w:rPr>
          <w:rFonts w:ascii="Arial" w:cs="Arial" w:eastAsia="Arial" w:hAnsi="Arial"/>
          <w:sz w:val="18"/>
          <w:szCs w:val="18"/>
          <w:color w:val="auto"/>
        </w:rPr>
        <w:t>”). Such Permits are valid and in full force and effect, and none of the Permits will, assuming the related Company Consent has been obtained or waived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0" w:name="page301"/>
    <w:bookmarkEnd w:id="30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84" w:lineRule="auto"/>
        <w:tabs>
          <w:tab w:leader="none" w:pos="1573"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 (3) years has been, in material compliance with: (i) every Law applicable to the Company due to the specific nature of the Business, including Data Protection Laws and Laws applicable to lending activities;</w:t>
      </w:r>
    </w:p>
    <w:p>
      <w:pPr>
        <w:spacing w:after="0" w:line="4" w:lineRule="exact"/>
        <w:rPr>
          <w:rFonts w:ascii="Arial" w:cs="Arial" w:eastAsia="Arial" w:hAnsi="Arial"/>
          <w:sz w:val="16"/>
          <w:szCs w:val="16"/>
          <w:color w:val="auto"/>
        </w:rPr>
      </w:pPr>
    </w:p>
    <w:p>
      <w:pPr>
        <w:jc w:val="both"/>
        <w:ind w:left="460" w:right="459" w:hanging="6"/>
        <w:spacing w:after="0" w:line="268" w:lineRule="auto"/>
        <w:tabs>
          <w:tab w:leader="none" w:pos="74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Foreign Corrupt Practices Act of 1977 (the “</w:t>
      </w: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102" w:lineRule="exact"/>
        <w:rPr>
          <w:rFonts w:ascii="Arial" w:cs="Arial" w:eastAsia="Arial" w:hAnsi="Arial"/>
          <w:sz w:val="17"/>
          <w:szCs w:val="17"/>
          <w:color w:val="auto"/>
        </w:rPr>
      </w:pPr>
    </w:p>
    <w:p>
      <w:pPr>
        <w:jc w:val="both"/>
        <w:ind w:left="460" w:right="459" w:firstLine="858"/>
        <w:spacing w:after="0" w:line="286" w:lineRule="auto"/>
        <w:tabs>
          <w:tab w:leader="none" w:pos="1618" w:val="left"/>
        </w:tabs>
        <w:numPr>
          <w:ilvl w:val="1"/>
          <w:numId w:val="251"/>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84" w:lineRule="auto"/>
        <w:tabs>
          <w:tab w:leader="none" w:pos="1609"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Schedule 5.18(a)</w:t>
      </w:r>
      <w:r>
        <w:rPr>
          <w:rFonts w:ascii="Arial" w:cs="Arial" w:eastAsia="Arial" w:hAnsi="Arial"/>
          <w:sz w:val="16"/>
          <w:szCs w:val="16"/>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 (2) years, the Company has not abandoned any patents or non-provisional patent applications. The Company owns, has valid and enforceable licenses for or otherwise has adequate rights to use Intellectual Property Rights as set forth on </w:t>
      </w:r>
      <w:r>
        <w:rPr>
          <w:rFonts w:ascii="Arial" w:cs="Arial" w:eastAsia="Arial" w:hAnsi="Arial"/>
          <w:sz w:val="16"/>
          <w:szCs w:val="16"/>
          <w:u w:val="single" w:color="auto"/>
          <w:color w:val="auto"/>
        </w:rPr>
        <w:t>Schedule 5.18(a)</w:t>
      </w:r>
      <w:r>
        <w:rPr>
          <w:rFonts w:ascii="Arial" w:cs="Arial" w:eastAsia="Arial" w:hAnsi="Arial"/>
          <w:sz w:val="16"/>
          <w:szCs w:val="16"/>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Arial" w:cs="Arial" w:eastAsia="Arial" w:hAnsi="Arial"/>
          <w:sz w:val="16"/>
          <w:szCs w:val="16"/>
          <w:u w:val="single" w:color="auto"/>
          <w:color w:val="auto"/>
        </w:rPr>
        <w:t>Schedule 5.18(a)</w:t>
      </w:r>
      <w:r>
        <w:rPr>
          <w:rFonts w:ascii="Arial" w:cs="Arial" w:eastAsia="Arial" w:hAnsi="Arial"/>
          <w:sz w:val="16"/>
          <w:szCs w:val="16"/>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314" w:lineRule="exact"/>
        <w:rPr>
          <w:rFonts w:ascii="Arial" w:cs="Arial" w:eastAsia="Arial" w:hAnsi="Arial"/>
          <w:sz w:val="16"/>
          <w:szCs w:val="16"/>
          <w:color w:val="auto"/>
        </w:rPr>
      </w:pPr>
    </w:p>
    <w:p>
      <w:pPr>
        <w:jc w:val="both"/>
        <w:ind w:left="460" w:right="479" w:firstLine="858"/>
        <w:spacing w:after="0" w:line="257" w:lineRule="auto"/>
        <w:tabs>
          <w:tab w:leader="none" w:pos="161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Company is the sole and exclusive owner of each item of Intellectual Property Rights owned or purported to be owned by the Company, including the items of Intellectual Property Rights identified on </w:t>
      </w:r>
      <w:r>
        <w:rPr>
          <w:rFonts w:ascii="Arial" w:cs="Arial" w:eastAsia="Arial" w:hAnsi="Arial"/>
          <w:sz w:val="18"/>
          <w:szCs w:val="18"/>
          <w:u w:val="single" w:color="auto"/>
          <w:color w:val="auto"/>
        </w:rPr>
        <w:t>Schedule 5.18(a)</w:t>
      </w:r>
      <w:r>
        <w:rPr>
          <w:rFonts w:ascii="Arial" w:cs="Arial" w:eastAsia="Arial" w:hAnsi="Arial"/>
          <w:sz w:val="18"/>
          <w:szCs w:val="18"/>
          <w:color w:val="auto"/>
        </w:rPr>
        <w:t xml:space="preserve"> as being owned by the Company (other than any co-owners disclosed on </w:t>
      </w:r>
      <w:r>
        <w:rPr>
          <w:rFonts w:ascii="Arial" w:cs="Arial" w:eastAsia="Arial" w:hAnsi="Arial"/>
          <w:sz w:val="18"/>
          <w:szCs w:val="18"/>
          <w:u w:val="single" w:color="auto"/>
          <w:color w:val="auto"/>
        </w:rPr>
        <w:t>Schedule 5.18(a)</w:t>
      </w:r>
      <w:r>
        <w:rPr>
          <w:rFonts w:ascii="Arial" w:cs="Arial" w:eastAsia="Arial" w:hAnsi="Arial"/>
          <w:sz w:val="18"/>
          <w:szCs w:val="18"/>
          <w:color w:val="auto"/>
        </w:rPr>
        <w:t xml:space="preserve">). The Company has a valid right to use the Intellectual Property Rights set forth on </w:t>
      </w:r>
      <w:r>
        <w:rPr>
          <w:rFonts w:ascii="Arial" w:cs="Arial" w:eastAsia="Arial" w:hAnsi="Arial"/>
          <w:sz w:val="18"/>
          <w:szCs w:val="18"/>
          <w:u w:val="single" w:color="auto"/>
          <w:color w:val="auto"/>
        </w:rPr>
        <w:t>Schedule 5.18(a)</w:t>
      </w:r>
      <w:r>
        <w:rPr>
          <w:rFonts w:ascii="Arial" w:cs="Arial" w:eastAsia="Arial" w:hAnsi="Arial"/>
          <w:sz w:val="18"/>
          <w:szCs w:val="18"/>
          <w:color w:val="auto"/>
        </w:rPr>
        <w:t xml:space="preserve"> that are used (but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1" w:name="page302"/>
    <w:bookmarkEnd w:id="30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119" w:lineRule="exact"/>
        <w:rPr>
          <w:sz w:val="20"/>
          <w:szCs w:val="20"/>
          <w:color w:val="auto"/>
        </w:rPr>
      </w:pPr>
    </w:p>
    <w:p>
      <w:pPr>
        <w:jc w:val="both"/>
        <w:ind w:left="460" w:right="459" w:firstLine="858"/>
        <w:spacing w:after="0" w:line="268" w:lineRule="auto"/>
        <w:tabs>
          <w:tab w:leader="none" w:pos="162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To the Knowledge of the Company, all registered Intellectual Property Rights listed on </w:t>
      </w:r>
      <w:r>
        <w:rPr>
          <w:rFonts w:ascii="Arial" w:cs="Arial" w:eastAsia="Arial" w:hAnsi="Arial"/>
          <w:sz w:val="17"/>
          <w:szCs w:val="17"/>
          <w:u w:val="single" w:color="auto"/>
          <w:color w:val="auto"/>
        </w:rPr>
        <w:t>Schedule 5.18(a)</w:t>
      </w:r>
      <w:r>
        <w:rPr>
          <w:rFonts w:ascii="Arial" w:cs="Arial" w:eastAsia="Arial" w:hAnsi="Arial"/>
          <w:sz w:val="17"/>
          <w:szCs w:val="17"/>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Arial" w:cs="Arial" w:eastAsia="Arial" w:hAnsi="Arial"/>
          <w:sz w:val="17"/>
          <w:szCs w:val="17"/>
          <w:u w:val="single" w:color="auto"/>
          <w:color w:val="auto"/>
        </w:rPr>
        <w:t>Schedule 5.18(a)</w:t>
      </w:r>
      <w:r>
        <w:rPr>
          <w:rFonts w:ascii="Arial" w:cs="Arial" w:eastAsia="Arial" w:hAnsi="Arial"/>
          <w:sz w:val="17"/>
          <w:szCs w:val="17"/>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118" w:lineRule="exact"/>
        <w:rPr>
          <w:rFonts w:ascii="Arial" w:cs="Arial" w:eastAsia="Arial" w:hAnsi="Arial"/>
          <w:sz w:val="17"/>
          <w:szCs w:val="17"/>
          <w:color w:val="auto"/>
        </w:rPr>
      </w:pPr>
    </w:p>
    <w:p>
      <w:pPr>
        <w:jc w:val="both"/>
        <w:ind w:left="460" w:right="459" w:firstLine="858"/>
        <w:spacing w:after="0" w:line="268" w:lineRule="auto"/>
        <w:tabs>
          <w:tab w:leader="none" w:pos="157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5.18(d)</w:t>
      </w:r>
      <w:r>
        <w:rPr>
          <w:rFonts w:ascii="Arial" w:cs="Arial" w:eastAsia="Arial" w:hAnsi="Arial"/>
          <w:sz w:val="17"/>
          <w:szCs w:val="17"/>
          <w:color w:val="auto"/>
        </w:rPr>
        <w:t xml:space="preserve">,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 (iv) 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Arial" w:cs="Arial" w:eastAsia="Arial" w:hAnsi="Arial"/>
          <w:sz w:val="17"/>
          <w:szCs w:val="17"/>
          <w:u w:val="single" w:color="auto"/>
          <w:color w:val="auto"/>
        </w:rPr>
        <w:t>Schedule 5.18(a)</w:t>
      </w:r>
      <w:r>
        <w:rPr>
          <w:rFonts w:ascii="Arial" w:cs="Arial" w:eastAsia="Arial" w:hAnsi="Arial"/>
          <w:sz w:val="17"/>
          <w:szCs w:val="17"/>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98" w:lineRule="exact"/>
        <w:rPr>
          <w:rFonts w:ascii="Arial" w:cs="Arial" w:eastAsia="Arial" w:hAnsi="Arial"/>
          <w:sz w:val="17"/>
          <w:szCs w:val="17"/>
          <w:color w:val="auto"/>
        </w:rPr>
      </w:pPr>
    </w:p>
    <w:p>
      <w:pPr>
        <w:jc w:val="both"/>
        <w:ind w:left="460" w:right="479" w:firstLine="858"/>
        <w:spacing w:after="0" w:line="301" w:lineRule="auto"/>
        <w:tabs>
          <w:tab w:leader="none" w:pos="164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89" w:lineRule="exact"/>
        <w:rPr>
          <w:rFonts w:ascii="Arial" w:cs="Arial" w:eastAsia="Arial" w:hAnsi="Arial"/>
          <w:sz w:val="16"/>
          <w:szCs w:val="16"/>
          <w:color w:val="auto"/>
        </w:rPr>
      </w:pPr>
    </w:p>
    <w:p>
      <w:pPr>
        <w:jc w:val="both"/>
        <w:ind w:left="460" w:right="459" w:firstLine="858"/>
        <w:spacing w:after="0" w:line="288" w:lineRule="auto"/>
        <w:tabs>
          <w:tab w:leader="none" w:pos="154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00" w:lineRule="exact"/>
        <w:rPr>
          <w:rFonts w:ascii="Arial" w:cs="Arial" w:eastAsia="Arial" w:hAnsi="Arial"/>
          <w:sz w:val="16"/>
          <w:szCs w:val="16"/>
          <w:color w:val="auto"/>
        </w:rPr>
      </w:pPr>
    </w:p>
    <w:p>
      <w:pPr>
        <w:jc w:val="both"/>
        <w:ind w:left="460" w:right="479" w:firstLine="858"/>
        <w:spacing w:after="0" w:line="271" w:lineRule="auto"/>
        <w:tabs>
          <w:tab w:leader="none" w:pos="159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Except as disclosed on </w:t>
      </w:r>
      <w:r>
        <w:rPr>
          <w:rFonts w:ascii="Arial" w:cs="Arial" w:eastAsia="Arial" w:hAnsi="Arial"/>
          <w:sz w:val="17"/>
          <w:szCs w:val="17"/>
          <w:u w:val="single" w:color="auto"/>
          <w:color w:val="auto"/>
        </w:rPr>
        <w:t>Schedule 5.18(g</w:t>
      </w:r>
      <w:r>
        <w:rPr>
          <w:rFonts w:ascii="Arial" w:cs="Arial" w:eastAsia="Arial" w:hAnsi="Arial"/>
          <w:sz w:val="17"/>
          <w:szCs w:val="17"/>
          <w:color w:val="auto"/>
        </w:rPr>
        <w:t xml:space="preserve">), each employee, agent, consultant and contractor who has made material contributions to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Arial" w:cs="Arial" w:eastAsia="Arial" w:hAnsi="Arial"/>
          <w:sz w:val="17"/>
          <w:szCs w:val="17"/>
          <w:u w:val="single" w:color="auto"/>
          <w:color w:val="auto"/>
        </w:rPr>
        <w:t>Section 5.18(g)</w:t>
      </w:r>
      <w:r>
        <w:rPr>
          <w:rFonts w:ascii="Arial" w:cs="Arial" w:eastAsia="Arial" w:hAnsi="Arial"/>
          <w:sz w:val="17"/>
          <w:szCs w:val="17"/>
          <w:color w:val="auto"/>
        </w:rPr>
        <w:t>, has licensed to the Company rights to use such Intellectual Property Rights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2" w:name="page303"/>
    <w:bookmarkEnd w:id="30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86" w:lineRule="auto"/>
        <w:tabs>
          <w:tab w:leader="none" w:pos="162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97" w:lineRule="exact"/>
        <w:rPr>
          <w:rFonts w:ascii="Arial" w:cs="Arial" w:eastAsia="Arial" w:hAnsi="Arial"/>
          <w:sz w:val="17"/>
          <w:szCs w:val="17"/>
          <w:color w:val="auto"/>
        </w:rPr>
      </w:pPr>
    </w:p>
    <w:p>
      <w:pPr>
        <w:jc w:val="both"/>
        <w:ind w:left="460" w:right="459" w:firstLine="858"/>
        <w:spacing w:after="0" w:line="263" w:lineRule="auto"/>
        <w:tabs>
          <w:tab w:leader="none" w:pos="153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16" w:lineRule="exact"/>
        <w:rPr>
          <w:rFonts w:ascii="Arial" w:cs="Arial" w:eastAsia="Arial" w:hAnsi="Arial"/>
          <w:sz w:val="18"/>
          <w:szCs w:val="18"/>
          <w:color w:val="auto"/>
        </w:rPr>
      </w:pPr>
    </w:p>
    <w:p>
      <w:pPr>
        <w:jc w:val="both"/>
        <w:ind w:left="460" w:right="459" w:firstLine="858"/>
        <w:spacing w:after="0" w:line="271" w:lineRule="auto"/>
        <w:tabs>
          <w:tab w:leader="none" w:pos="154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97" w:lineRule="exact"/>
        <w:rPr>
          <w:rFonts w:ascii="Arial" w:cs="Arial" w:eastAsia="Arial" w:hAnsi="Arial"/>
          <w:sz w:val="17"/>
          <w:szCs w:val="17"/>
          <w:color w:val="auto"/>
        </w:rPr>
      </w:pPr>
    </w:p>
    <w:p>
      <w:pPr>
        <w:jc w:val="both"/>
        <w:ind w:left="460" w:right="459" w:firstLine="858"/>
        <w:spacing w:after="0" w:line="263" w:lineRule="auto"/>
        <w:tabs>
          <w:tab w:leader="none" w:pos="161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Except with respect to the agreements listed on </w:t>
      </w:r>
      <w:r>
        <w:rPr>
          <w:rFonts w:ascii="Arial" w:cs="Arial" w:eastAsia="Arial" w:hAnsi="Arial"/>
          <w:sz w:val="18"/>
          <w:szCs w:val="18"/>
          <w:u w:val="single" w:color="auto"/>
          <w:color w:val="auto"/>
        </w:rPr>
        <w:t>Schedule 5.15(a)(vi)</w:t>
      </w:r>
      <w:r>
        <w:rPr>
          <w:rFonts w:ascii="Arial" w:cs="Arial" w:eastAsia="Arial" w:hAnsi="Arial"/>
          <w:sz w:val="18"/>
          <w:szCs w:val="18"/>
          <w:color w:val="auto"/>
        </w:rPr>
        <w:t>, the Company is not obligated under any Contract to make any payments by way of royalties, fees, or otherwise to any owner or licensor of, or other claimant to, any Intellectual Property Rights.</w:t>
      </w:r>
    </w:p>
    <w:p>
      <w:pPr>
        <w:spacing w:after="0" w:line="116" w:lineRule="exact"/>
        <w:rPr>
          <w:rFonts w:ascii="Arial" w:cs="Arial" w:eastAsia="Arial" w:hAnsi="Arial"/>
          <w:sz w:val="18"/>
          <w:szCs w:val="18"/>
          <w:color w:val="auto"/>
        </w:rPr>
      </w:pPr>
    </w:p>
    <w:p>
      <w:pPr>
        <w:jc w:val="both"/>
        <w:ind w:left="460" w:right="459" w:firstLine="858"/>
        <w:spacing w:after="0" w:line="286" w:lineRule="auto"/>
        <w:tabs>
          <w:tab w:leader="none" w:pos="15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FDA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69" w:lineRule="auto"/>
        <w:tabs>
          <w:tab w:leader="none" w:pos="157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Company is, and has been since January 1, 2018, in compliance in all material respects with all applicable healthcare Laws, including (i) the Federal Food, Drug and Cosmetic Act (“</w:t>
      </w:r>
      <w:r>
        <w:rPr>
          <w:rFonts w:ascii="Arial" w:cs="Arial" w:eastAsia="Arial" w:hAnsi="Arial"/>
          <w:sz w:val="17"/>
          <w:szCs w:val="17"/>
          <w:u w:val="single" w:color="auto"/>
          <w:color w:val="auto"/>
        </w:rPr>
        <w:t>FDCA</w:t>
      </w:r>
      <w:r>
        <w:rPr>
          <w:rFonts w:ascii="Arial" w:cs="Arial" w:eastAsia="Arial" w:hAnsi="Arial"/>
          <w:sz w:val="17"/>
          <w:szCs w:val="17"/>
          <w:color w:val="auto"/>
        </w:rPr>
        <w:t>”); (ii) the Public Health Service Act (“</w:t>
      </w:r>
      <w:r>
        <w:rPr>
          <w:rFonts w:ascii="Arial" w:cs="Arial" w:eastAsia="Arial" w:hAnsi="Arial"/>
          <w:sz w:val="17"/>
          <w:szCs w:val="17"/>
          <w:u w:val="single" w:color="auto"/>
          <w:color w:val="auto"/>
        </w:rPr>
        <w:t>PHSA</w:t>
      </w:r>
      <w:r>
        <w:rPr>
          <w:rFonts w:ascii="Arial" w:cs="Arial" w:eastAsia="Arial" w:hAnsi="Arial"/>
          <w:sz w:val="17"/>
          <w:szCs w:val="17"/>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Arial" w:cs="Arial" w:eastAsia="Arial" w:hAnsi="Arial"/>
          <w:sz w:val="17"/>
          <w:szCs w:val="17"/>
          <w:u w:val="single" w:color="auto"/>
          <w:color w:val="auto"/>
        </w:rPr>
        <w:t>Healthcare Laws</w:t>
      </w:r>
      <w:r>
        <w:rPr>
          <w:rFonts w:ascii="Arial" w:cs="Arial" w:eastAsia="Arial" w:hAnsi="Arial"/>
          <w:sz w:val="17"/>
          <w:szCs w:val="17"/>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14" w:lineRule="exact"/>
        <w:rPr>
          <w:rFonts w:ascii="Arial" w:cs="Arial" w:eastAsia="Arial" w:hAnsi="Arial"/>
          <w:sz w:val="17"/>
          <w:szCs w:val="17"/>
          <w:color w:val="auto"/>
        </w:rPr>
      </w:pPr>
    </w:p>
    <w:p>
      <w:pPr>
        <w:jc w:val="both"/>
        <w:ind w:left="460" w:right="459" w:firstLine="858"/>
        <w:spacing w:after="0" w:line="284" w:lineRule="auto"/>
        <w:tabs>
          <w:tab w:leader="none" w:pos="158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w:t>
      </w:r>
    </w:p>
    <w:p>
      <w:pPr>
        <w:ind w:left="460"/>
        <w:spacing w:after="0"/>
        <w:rPr>
          <w:rFonts w:ascii="Arial" w:cs="Arial" w:eastAsia="Arial" w:hAnsi="Arial"/>
          <w:sz w:val="16"/>
          <w:szCs w:val="16"/>
          <w:color w:val="auto"/>
        </w:rPr>
      </w:pPr>
      <w:r>
        <w:rPr>
          <w:rFonts w:ascii="Arial" w:cs="Arial" w:eastAsia="Arial" w:hAnsi="Arial"/>
          <w:sz w:val="18"/>
          <w:szCs w:val="18"/>
          <w:color w:val="auto"/>
        </w:rPr>
        <w:t>HIPAA.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3" w:name="page304"/>
    <w:bookmarkEnd w:id="30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85" w:lineRule="auto"/>
        <w:tabs>
          <w:tab w:leader="none" w:pos="1579" w:val="left"/>
        </w:tabs>
        <w:numPr>
          <w:ilvl w:val="1"/>
          <w:numId w:val="256"/>
        </w:numPr>
        <w:rPr>
          <w:rFonts w:ascii="Arial" w:cs="Arial" w:eastAsia="Arial" w:hAnsi="Arial"/>
          <w:sz w:val="16"/>
          <w:szCs w:val="16"/>
          <w:color w:val="auto"/>
        </w:rPr>
      </w:pPr>
      <w:r>
        <w:rPr>
          <w:rFonts w:ascii="Arial" w:cs="Arial" w:eastAsia="Arial" w:hAnsi="Arial"/>
          <w:sz w:val="16"/>
          <w:szCs w:val="16"/>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w:t>
      </w:r>
    </w:p>
    <w:p>
      <w:pPr>
        <w:spacing w:after="0" w:line="1" w:lineRule="exact"/>
        <w:rPr>
          <w:rFonts w:ascii="Arial" w:cs="Arial" w:eastAsia="Arial" w:hAnsi="Arial"/>
          <w:sz w:val="16"/>
          <w:szCs w:val="16"/>
          <w:color w:val="auto"/>
        </w:rPr>
      </w:pPr>
    </w:p>
    <w:p>
      <w:pPr>
        <w:jc w:val="both"/>
        <w:ind w:left="460" w:right="459" w:hanging="6"/>
        <w:spacing w:after="0" w:line="284" w:lineRule="auto"/>
        <w:tabs>
          <w:tab w:leader="none" w:pos="68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03" w:lineRule="exact"/>
        <w:rPr>
          <w:rFonts w:ascii="Arial" w:cs="Arial" w:eastAsia="Arial" w:hAnsi="Arial"/>
          <w:sz w:val="16"/>
          <w:szCs w:val="16"/>
          <w:color w:val="auto"/>
        </w:rPr>
      </w:pPr>
    </w:p>
    <w:p>
      <w:pPr>
        <w:jc w:val="both"/>
        <w:ind w:left="460" w:right="459" w:firstLine="858"/>
        <w:spacing w:after="0" w:line="259" w:lineRule="auto"/>
        <w:tabs>
          <w:tab w:leader="none" w:pos="157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19" w:lineRule="exact"/>
        <w:rPr>
          <w:rFonts w:ascii="Arial" w:cs="Arial" w:eastAsia="Arial" w:hAnsi="Arial"/>
          <w:sz w:val="18"/>
          <w:szCs w:val="18"/>
          <w:color w:val="auto"/>
        </w:rPr>
      </w:pPr>
    </w:p>
    <w:p>
      <w:pPr>
        <w:jc w:val="both"/>
        <w:ind w:left="460" w:right="479" w:firstLine="858"/>
        <w:spacing w:after="0" w:line="263" w:lineRule="auto"/>
        <w:tabs>
          <w:tab w:leader="none" w:pos="1572"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102" w:lineRule="exact"/>
        <w:rPr>
          <w:rFonts w:ascii="Arial" w:cs="Arial" w:eastAsia="Arial" w:hAnsi="Arial"/>
          <w:sz w:val="18"/>
          <w:szCs w:val="18"/>
          <w:color w:val="auto"/>
        </w:rPr>
      </w:pPr>
    </w:p>
    <w:p>
      <w:pPr>
        <w:ind w:left="1580" w:hanging="262"/>
        <w:spacing w:after="0"/>
        <w:tabs>
          <w:tab w:leader="none" w:pos="158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To the Company’s Knowledge, no product manufactured or distributed by the Company is</w:t>
      </w:r>
    </w:p>
    <w:p>
      <w:pPr>
        <w:spacing w:after="0" w:line="34" w:lineRule="exact"/>
        <w:rPr>
          <w:rFonts w:ascii="Arial" w:cs="Arial" w:eastAsia="Arial" w:hAnsi="Arial"/>
          <w:sz w:val="17"/>
          <w:szCs w:val="17"/>
          <w:color w:val="auto"/>
        </w:rPr>
      </w:pPr>
    </w:p>
    <w:p>
      <w:pPr>
        <w:jc w:val="both"/>
        <w:ind w:left="460" w:right="459" w:hanging="6"/>
        <w:spacing w:after="0" w:line="287" w:lineRule="auto"/>
        <w:tabs>
          <w:tab w:leader="none" w:pos="67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Accounts Payable; Affiliate Loans</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858"/>
        <w:spacing w:after="0" w:line="286" w:lineRule="auto"/>
        <w:tabs>
          <w:tab w:leader="none" w:pos="159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84" w:lineRule="exact"/>
        <w:rPr>
          <w:rFonts w:ascii="Arial" w:cs="Arial" w:eastAsia="Arial" w:hAnsi="Arial"/>
          <w:sz w:val="17"/>
          <w:szCs w:val="17"/>
          <w:color w:val="auto"/>
        </w:rPr>
      </w:pPr>
    </w:p>
    <w:p>
      <w:pPr>
        <w:jc w:val="both"/>
        <w:ind w:left="460" w:right="459" w:firstLine="858"/>
        <w:spacing w:after="0" w:line="259" w:lineRule="auto"/>
        <w:tabs>
          <w:tab w:leader="none" w:pos="162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The information set forth on </w:t>
      </w:r>
      <w:r>
        <w:rPr>
          <w:rFonts w:ascii="Arial" w:cs="Arial" w:eastAsia="Arial" w:hAnsi="Arial"/>
          <w:sz w:val="18"/>
          <w:szCs w:val="18"/>
          <w:u w:val="single" w:color="auto"/>
          <w:color w:val="auto"/>
        </w:rPr>
        <w:t>Schedule 5.20(b)</w:t>
      </w:r>
      <w:r>
        <w:rPr>
          <w:rFonts w:ascii="Arial" w:cs="Arial" w:eastAsia="Arial" w:hAnsi="Arial"/>
          <w:sz w:val="18"/>
          <w:szCs w:val="18"/>
          <w:color w:val="auto"/>
        </w:rPr>
        <w:t xml:space="preserve"> separately identifies any and all accounts, receivables or notes of the Company which are owed by any Affiliate of the Company. Except as set forth on </w:t>
      </w:r>
      <w:r>
        <w:rPr>
          <w:rFonts w:ascii="Arial" w:cs="Arial" w:eastAsia="Arial" w:hAnsi="Arial"/>
          <w:sz w:val="18"/>
          <w:szCs w:val="18"/>
          <w:u w:val="single" w:color="auto"/>
          <w:color w:val="auto"/>
        </w:rPr>
        <w:t>Schedule 5.20(b)</w:t>
      </w:r>
      <w:r>
        <w:rPr>
          <w:rFonts w:ascii="Arial" w:cs="Arial" w:eastAsia="Arial" w:hAnsi="Arial"/>
          <w:sz w:val="18"/>
          <w:szCs w:val="18"/>
          <w:color w:val="auto"/>
        </w:rPr>
        <w:t>, the Company is not indebted to any of its Affiliates and no Affiliates are indebted to the Company.</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Employees; Employment Matters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79" w:lineRule="auto"/>
        <w:tabs>
          <w:tab w:leader="none" w:pos="1609"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Schedule 5.21(a)</w:t>
      </w:r>
      <w:r>
        <w:rPr>
          <w:rFonts w:ascii="Arial" w:cs="Arial" w:eastAsia="Arial" w:hAnsi="Arial"/>
          <w:sz w:val="17"/>
          <w:szCs w:val="17"/>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4" w:name="page305"/>
    <w:bookmarkEnd w:id="30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61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5.21(b</w:t>
      </w:r>
      <w:r>
        <w:rPr>
          <w:rFonts w:ascii="Arial" w:cs="Arial" w:eastAsia="Arial" w:hAnsi="Arial"/>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27" w:lineRule="exact"/>
        <w:rPr>
          <w:rFonts w:ascii="Arial" w:cs="Arial" w:eastAsia="Arial" w:hAnsi="Arial"/>
          <w:sz w:val="18"/>
          <w:szCs w:val="18"/>
          <w:color w:val="auto"/>
        </w:rPr>
      </w:pPr>
    </w:p>
    <w:p>
      <w:pPr>
        <w:jc w:val="both"/>
        <w:ind w:left="460" w:right="459" w:firstLine="858"/>
        <w:spacing w:after="0" w:line="279" w:lineRule="auto"/>
        <w:tabs>
          <w:tab w:leader="none" w:pos="158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03" w:lineRule="exact"/>
        <w:rPr>
          <w:rFonts w:ascii="Arial" w:cs="Arial" w:eastAsia="Arial" w:hAnsi="Arial"/>
          <w:sz w:val="17"/>
          <w:szCs w:val="17"/>
          <w:color w:val="auto"/>
        </w:rPr>
      </w:pPr>
    </w:p>
    <w:p>
      <w:pPr>
        <w:jc w:val="both"/>
        <w:ind w:left="460" w:right="459" w:firstLine="858"/>
        <w:spacing w:after="0" w:line="291" w:lineRule="auto"/>
        <w:tabs>
          <w:tab w:leader="none" w:pos="1596"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85" w:lineRule="exact"/>
        <w:rPr>
          <w:rFonts w:ascii="Arial" w:cs="Arial" w:eastAsia="Arial" w:hAnsi="Arial"/>
          <w:sz w:val="16"/>
          <w:szCs w:val="16"/>
          <w:color w:val="auto"/>
        </w:rPr>
      </w:pPr>
    </w:p>
    <w:p>
      <w:pPr>
        <w:jc w:val="both"/>
        <w:ind w:left="460" w:right="459" w:firstLine="858"/>
        <w:spacing w:after="0" w:line="259" w:lineRule="auto"/>
        <w:tabs>
          <w:tab w:leader="none" w:pos="157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19" w:lineRule="exact"/>
        <w:rPr>
          <w:rFonts w:ascii="Arial" w:cs="Arial" w:eastAsia="Arial" w:hAnsi="Arial"/>
          <w:sz w:val="18"/>
          <w:szCs w:val="18"/>
          <w:color w:val="auto"/>
        </w:rPr>
      </w:pPr>
    </w:p>
    <w:p>
      <w:pPr>
        <w:jc w:val="both"/>
        <w:ind w:left="460" w:right="459" w:firstLine="858"/>
        <w:spacing w:after="0" w:line="263" w:lineRule="auto"/>
        <w:tabs>
          <w:tab w:leader="none" w:pos="157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116" w:lineRule="exact"/>
        <w:rPr>
          <w:rFonts w:ascii="Arial" w:cs="Arial" w:eastAsia="Arial" w:hAnsi="Arial"/>
          <w:sz w:val="18"/>
          <w:szCs w:val="18"/>
          <w:color w:val="auto"/>
        </w:rPr>
      </w:pPr>
    </w:p>
    <w:p>
      <w:pPr>
        <w:ind w:left="460" w:right="459" w:firstLine="858"/>
        <w:spacing w:after="0" w:line="308" w:lineRule="auto"/>
        <w:tabs>
          <w:tab w:leader="none" w:pos="157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5.21(g)</w:t>
      </w:r>
      <w:r>
        <w:rPr>
          <w:rFonts w:ascii="Arial" w:cs="Arial" w:eastAsia="Arial" w:hAnsi="Arial"/>
          <w:sz w:val="17"/>
          <w:szCs w:val="17"/>
          <w:color w:val="auto"/>
        </w:rPr>
        <w:t>, the Company has not paid or promised to pay any bonus to any employee in connection with the consummation of the transactions contemplated hereby.</w:t>
      </w:r>
    </w:p>
    <w:p>
      <w:pPr>
        <w:spacing w:after="0" w:line="6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5.22,</w:t>
      </w:r>
      <w:r>
        <w:rPr>
          <w:rFonts w:ascii="Arial" w:cs="Arial" w:eastAsia="Arial" w:hAnsi="Arial"/>
          <w:sz w:val="17"/>
          <w:szCs w:val="17"/>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Arial" w:cs="Arial" w:eastAsia="Arial" w:hAnsi="Arial"/>
          <w:sz w:val="17"/>
          <w:szCs w:val="17"/>
          <w:u w:val="single" w:color="auto"/>
          <w:color w:val="auto"/>
        </w:rPr>
        <w:t>Schedule 5.22</w:t>
      </w:r>
      <w:r>
        <w:rPr>
          <w:rFonts w:ascii="Arial" w:cs="Arial" w:eastAsia="Arial" w:hAnsi="Arial"/>
          <w:sz w:val="17"/>
          <w:szCs w:val="17"/>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70" w:lineRule="auto"/>
        <w:tabs>
          <w:tab w:leader="none" w:pos="1568" w:val="left"/>
        </w:tabs>
        <w:numPr>
          <w:ilvl w:val="1"/>
          <w:numId w:val="262"/>
        </w:numPr>
        <w:rPr>
          <w:rFonts w:ascii="Arial" w:cs="Arial" w:eastAsia="Arial" w:hAnsi="Arial"/>
          <w:sz w:val="17"/>
          <w:szCs w:val="17"/>
          <w:color w:val="auto"/>
        </w:rPr>
      </w:pPr>
      <w:r>
        <w:rPr>
          <w:rFonts w:ascii="Arial" w:cs="Arial" w:eastAsia="Arial" w:hAnsi="Arial"/>
          <w:sz w:val="17"/>
          <w:szCs w:val="17"/>
          <w:u w:val="single" w:color="auto"/>
          <w:color w:val="auto"/>
        </w:rPr>
        <w:t>Schedule 5.23(a)</w:t>
      </w:r>
      <w:r>
        <w:rPr>
          <w:rFonts w:ascii="Arial" w:cs="Arial" w:eastAsia="Arial" w:hAnsi="Arial"/>
          <w:sz w:val="17"/>
          <w:szCs w:val="17"/>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99" w:lineRule="exact"/>
        <w:rPr>
          <w:rFonts w:ascii="Arial" w:cs="Arial" w:eastAsia="Arial" w:hAnsi="Arial"/>
          <w:sz w:val="17"/>
          <w:szCs w:val="17"/>
          <w:color w:val="auto"/>
        </w:rPr>
      </w:pPr>
    </w:p>
    <w:p>
      <w:pPr>
        <w:ind w:left="1580" w:hanging="262"/>
        <w:spacing w:after="0"/>
        <w:tabs>
          <w:tab w:leader="none" w:pos="158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No Plan is (i) subject to Title IV or Section 302 of ERISA or Section 412 or 4971 of the Code,</w:t>
      </w:r>
    </w:p>
    <w:p>
      <w:pPr>
        <w:spacing w:after="0" w:line="34" w:lineRule="exact"/>
        <w:rPr>
          <w:rFonts w:ascii="Arial" w:cs="Arial" w:eastAsia="Arial" w:hAnsi="Arial"/>
          <w:sz w:val="17"/>
          <w:szCs w:val="17"/>
          <w:color w:val="auto"/>
        </w:rPr>
      </w:pPr>
    </w:p>
    <w:p>
      <w:pPr>
        <w:jc w:val="both"/>
        <w:ind w:left="460" w:right="459" w:hanging="6"/>
        <w:spacing w:after="0" w:line="252" w:lineRule="auto"/>
        <w:tabs>
          <w:tab w:leader="none" w:pos="76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5" w:name="page306"/>
    <w:bookmarkEnd w:id="30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69"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24" w:lineRule="exact"/>
        <w:rPr>
          <w:rFonts w:ascii="Arial" w:cs="Arial" w:eastAsia="Arial" w:hAnsi="Arial"/>
          <w:sz w:val="18"/>
          <w:szCs w:val="18"/>
          <w:color w:val="auto"/>
        </w:rPr>
      </w:pPr>
    </w:p>
    <w:p>
      <w:pPr>
        <w:jc w:val="both"/>
        <w:ind w:left="460" w:right="479" w:firstLine="858"/>
        <w:spacing w:after="0" w:line="259" w:lineRule="auto"/>
        <w:tabs>
          <w:tab w:leader="none" w:pos="161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19" w:lineRule="exact"/>
        <w:rPr>
          <w:rFonts w:ascii="Arial" w:cs="Arial" w:eastAsia="Arial" w:hAnsi="Arial"/>
          <w:sz w:val="18"/>
          <w:szCs w:val="18"/>
          <w:color w:val="auto"/>
        </w:rPr>
      </w:pPr>
    </w:p>
    <w:p>
      <w:pPr>
        <w:jc w:val="both"/>
        <w:ind w:left="460" w:right="459" w:firstLine="858"/>
        <w:spacing w:after="0" w:line="291" w:lineRule="auto"/>
        <w:tabs>
          <w:tab w:leader="none" w:pos="1596" w:val="left"/>
        </w:tabs>
        <w:numPr>
          <w:ilvl w:val="1"/>
          <w:numId w:val="264"/>
        </w:numPr>
        <w:rPr>
          <w:rFonts w:ascii="Arial" w:cs="Arial" w:eastAsia="Arial" w:hAnsi="Arial"/>
          <w:sz w:val="16"/>
          <w:szCs w:val="16"/>
          <w:color w:val="auto"/>
        </w:rPr>
      </w:pPr>
      <w:r>
        <w:rPr>
          <w:rFonts w:ascii="Arial" w:cs="Arial" w:eastAsia="Arial" w:hAnsi="Arial"/>
          <w:sz w:val="16"/>
          <w:szCs w:val="16"/>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85" w:lineRule="exact"/>
        <w:rPr>
          <w:rFonts w:ascii="Arial" w:cs="Arial" w:eastAsia="Arial" w:hAnsi="Arial"/>
          <w:sz w:val="16"/>
          <w:szCs w:val="16"/>
          <w:color w:val="auto"/>
        </w:rPr>
      </w:pPr>
    </w:p>
    <w:p>
      <w:pPr>
        <w:ind w:left="460" w:right="459" w:firstLine="858"/>
        <w:spacing w:after="0" w:line="277" w:lineRule="auto"/>
        <w:tabs>
          <w:tab w:leader="none" w:pos="155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None of the Plans provide retiree health or life insurance benefits, except as may be required by Section 4980B of the Code, Section 601 of ERISA or any other applicable Law.</w:t>
      </w:r>
    </w:p>
    <w:p>
      <w:pPr>
        <w:spacing w:after="0" w:line="102" w:lineRule="exact"/>
        <w:rPr>
          <w:rFonts w:ascii="Arial" w:cs="Arial" w:eastAsia="Arial" w:hAnsi="Arial"/>
          <w:sz w:val="18"/>
          <w:szCs w:val="18"/>
          <w:color w:val="auto"/>
        </w:rPr>
      </w:pPr>
    </w:p>
    <w:p>
      <w:pPr>
        <w:jc w:val="both"/>
        <w:ind w:left="460" w:right="479" w:firstLine="858"/>
        <w:spacing w:after="0" w:line="286" w:lineRule="auto"/>
        <w:tabs>
          <w:tab w:leader="none" w:pos="1587" w:val="left"/>
        </w:tabs>
        <w:numPr>
          <w:ilvl w:val="1"/>
          <w:numId w:val="264"/>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w:t>
      </w:r>
    </w:p>
    <w:p>
      <w:pPr>
        <w:spacing w:after="0" w:line="1" w:lineRule="exact"/>
        <w:rPr>
          <w:rFonts w:ascii="Arial" w:cs="Arial" w:eastAsia="Arial" w:hAnsi="Arial"/>
          <w:sz w:val="16"/>
          <w:szCs w:val="16"/>
          <w:color w:val="auto"/>
        </w:rPr>
      </w:pPr>
    </w:p>
    <w:p>
      <w:pPr>
        <w:jc w:val="both"/>
        <w:ind w:left="460" w:right="479" w:hanging="6"/>
        <w:spacing w:after="0" w:line="253" w:lineRule="auto"/>
        <w:tabs>
          <w:tab w:leader="none" w:pos="77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25" w:lineRule="exact"/>
        <w:rPr>
          <w:rFonts w:ascii="Arial" w:cs="Arial" w:eastAsia="Arial" w:hAnsi="Arial"/>
          <w:sz w:val="18"/>
          <w:szCs w:val="18"/>
          <w:color w:val="auto"/>
        </w:rPr>
      </w:pPr>
    </w:p>
    <w:p>
      <w:pPr>
        <w:jc w:val="both"/>
        <w:ind w:left="460" w:right="459" w:firstLine="858"/>
        <w:spacing w:after="0" w:line="259" w:lineRule="auto"/>
        <w:tabs>
          <w:tab w:leader="none" w:pos="158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05" w:lineRule="exact"/>
        <w:rPr>
          <w:rFonts w:ascii="Arial" w:cs="Arial" w:eastAsia="Arial" w:hAnsi="Arial"/>
          <w:sz w:val="18"/>
          <w:szCs w:val="18"/>
          <w:color w:val="auto"/>
        </w:rPr>
      </w:pPr>
    </w:p>
    <w:p>
      <w:pPr>
        <w:jc w:val="both"/>
        <w:ind w:left="460" w:right="459" w:firstLine="858"/>
        <w:spacing w:after="0" w:line="263" w:lineRule="auto"/>
        <w:tabs>
          <w:tab w:leader="none" w:pos="154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91" w:lineRule="auto"/>
        <w:tabs>
          <w:tab w:leader="none" w:pos="157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5.24</w:t>
      </w:r>
      <w:r>
        <w:rPr>
          <w:rFonts w:ascii="Arial" w:cs="Arial" w:eastAsia="Arial" w:hAnsi="Arial"/>
          <w:sz w:val="16"/>
          <w:szCs w:val="16"/>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Arial" w:cs="Arial" w:eastAsia="Arial" w:hAnsi="Arial"/>
          <w:sz w:val="16"/>
          <w:szCs w:val="16"/>
          <w:u w:val="single" w:color="auto"/>
          <w:color w:val="auto"/>
        </w:rPr>
        <w:t>Schedule 5.24</w:t>
      </w:r>
      <w:r>
        <w:rPr>
          <w:rFonts w:ascii="Arial" w:cs="Arial" w:eastAsia="Arial" w:hAnsi="Arial"/>
          <w:sz w:val="16"/>
          <w:szCs w:val="16"/>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85" w:lineRule="exact"/>
        <w:rPr>
          <w:rFonts w:ascii="Arial" w:cs="Arial" w:eastAsia="Arial" w:hAnsi="Arial"/>
          <w:sz w:val="16"/>
          <w:szCs w:val="16"/>
          <w:color w:val="auto"/>
        </w:rPr>
      </w:pPr>
    </w:p>
    <w:p>
      <w:pPr>
        <w:jc w:val="both"/>
        <w:ind w:left="460" w:right="459" w:firstLine="858"/>
        <w:spacing w:after="0" w:line="270" w:lineRule="auto"/>
        <w:tabs>
          <w:tab w:leader="none" w:pos="159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6" w:name="page307"/>
    <w:bookmarkEnd w:id="30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5.25</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87" w:lineRule="auto"/>
        <w:tabs>
          <w:tab w:leader="none" w:pos="1574"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w:t>
      </w:r>
    </w:p>
    <w:p>
      <w:pPr>
        <w:spacing w:after="0" w:line="2" w:lineRule="exact"/>
        <w:rPr>
          <w:rFonts w:ascii="Arial" w:cs="Arial" w:eastAsia="Arial" w:hAnsi="Arial"/>
          <w:sz w:val="16"/>
          <w:szCs w:val="16"/>
          <w:color w:val="auto"/>
        </w:rPr>
      </w:pPr>
    </w:p>
    <w:p>
      <w:pPr>
        <w:jc w:val="both"/>
        <w:ind w:left="460" w:right="459" w:hanging="6"/>
        <w:spacing w:after="0" w:line="283" w:lineRule="auto"/>
        <w:tabs>
          <w:tab w:leader="none" w:pos="78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305" w:lineRule="exact"/>
        <w:rPr>
          <w:rFonts w:ascii="Arial" w:cs="Arial" w:eastAsia="Arial" w:hAnsi="Arial"/>
          <w:sz w:val="16"/>
          <w:szCs w:val="16"/>
          <w:color w:val="auto"/>
        </w:rPr>
      </w:pPr>
    </w:p>
    <w:p>
      <w:pPr>
        <w:jc w:val="both"/>
        <w:ind w:left="460" w:right="459" w:firstLine="858"/>
        <w:spacing w:after="0" w:line="269" w:lineRule="auto"/>
        <w:tabs>
          <w:tab w:leader="none" w:pos="1616"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7" w:name="page308"/>
    <w:bookmarkEnd w:id="30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98" w:lineRule="exact"/>
        <w:rPr>
          <w:sz w:val="20"/>
          <w:szCs w:val="20"/>
          <w:color w:val="auto"/>
        </w:rPr>
      </w:pPr>
    </w:p>
    <w:p>
      <w:pPr>
        <w:jc w:val="both"/>
        <w:ind w:left="460" w:right="459" w:firstLine="858"/>
        <w:spacing w:after="0" w:line="275" w:lineRule="auto"/>
        <w:tabs>
          <w:tab w:leader="none" w:pos="157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08" w:lineRule="exact"/>
        <w:rPr>
          <w:rFonts w:ascii="Arial" w:cs="Arial" w:eastAsia="Arial" w:hAnsi="Arial"/>
          <w:sz w:val="17"/>
          <w:szCs w:val="17"/>
          <w:color w:val="auto"/>
        </w:rPr>
      </w:pPr>
    </w:p>
    <w:p>
      <w:pPr>
        <w:jc w:val="both"/>
        <w:ind w:left="460" w:right="459" w:firstLine="858"/>
        <w:spacing w:after="0" w:line="263" w:lineRule="auto"/>
        <w:tabs>
          <w:tab w:leader="none" w:pos="158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02" w:lineRule="exact"/>
        <w:rPr>
          <w:rFonts w:ascii="Arial" w:cs="Arial" w:eastAsia="Arial" w:hAnsi="Arial"/>
          <w:sz w:val="18"/>
          <w:szCs w:val="18"/>
          <w:color w:val="auto"/>
        </w:rPr>
      </w:pPr>
    </w:p>
    <w:p>
      <w:pPr>
        <w:jc w:val="both"/>
        <w:ind w:left="460" w:right="459" w:firstLine="858"/>
        <w:spacing w:after="0" w:line="259" w:lineRule="auto"/>
        <w:tabs>
          <w:tab w:leader="none" w:pos="156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19" w:lineRule="exact"/>
        <w:rPr>
          <w:rFonts w:ascii="Arial" w:cs="Arial" w:eastAsia="Arial" w:hAnsi="Arial"/>
          <w:sz w:val="18"/>
          <w:szCs w:val="18"/>
          <w:color w:val="auto"/>
        </w:rPr>
      </w:pPr>
    </w:p>
    <w:p>
      <w:pPr>
        <w:ind w:left="460" w:right="479" w:firstLine="858"/>
        <w:spacing w:after="0" w:line="308" w:lineRule="auto"/>
        <w:tabs>
          <w:tab w:leader="none" w:pos="156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Company is not a “United States real property holding corporation” within the meaning of Section 897(c)(2) of the Code at any time during the five-year period ending on the Closing Date.</w:t>
      </w:r>
    </w:p>
    <w:p>
      <w:pPr>
        <w:spacing w:after="0" w:line="78" w:lineRule="exact"/>
        <w:rPr>
          <w:rFonts w:ascii="Arial" w:cs="Arial" w:eastAsia="Arial" w:hAnsi="Arial"/>
          <w:sz w:val="17"/>
          <w:szCs w:val="17"/>
          <w:color w:val="auto"/>
        </w:rPr>
      </w:pPr>
    </w:p>
    <w:p>
      <w:pPr>
        <w:ind w:left="460" w:right="479" w:firstLine="858"/>
        <w:spacing w:after="0" w:line="277" w:lineRule="auto"/>
        <w:tabs>
          <w:tab w:leader="none" w:pos="158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has not engaged in a “reportable transaction” within the meaning of United States Treasury regulations Section 1.6011-4(b).</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5.26 </w:t>
      </w: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1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5.27 </w:t>
      </w:r>
      <w:r>
        <w:rPr>
          <w:rFonts w:ascii="Arial" w:cs="Arial" w:eastAsia="Arial" w:hAnsi="Arial"/>
          <w:sz w:val="17"/>
          <w:szCs w:val="17"/>
          <w:u w:val="single" w:color="auto"/>
          <w:color w:val="auto"/>
        </w:rPr>
        <w:t>Finders’ Fees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5.27</w:t>
      </w:r>
      <w:r>
        <w:rPr>
          <w:rFonts w:ascii="Arial" w:cs="Arial" w:eastAsia="Arial" w:hAnsi="Arial"/>
          <w:sz w:val="17"/>
          <w:szCs w:val="17"/>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0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u w:val="single" w:color="auto"/>
          <w:color w:val="auto"/>
        </w:rPr>
        <w:t>Powers of Attorney and Suretyships</w:t>
      </w:r>
      <w:r>
        <w:rPr>
          <w:rFonts w:ascii="Arial" w:cs="Arial" w:eastAsia="Arial" w:hAnsi="Arial"/>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0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5.29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5.29</w:t>
      </w:r>
      <w:r>
        <w:rPr>
          <w:rFonts w:ascii="Arial" w:cs="Arial" w:eastAsia="Arial" w:hAnsi="Arial"/>
          <w:sz w:val="18"/>
          <w:szCs w:val="18"/>
          <w:color w:val="auto"/>
        </w:rPr>
        <w:t xml:space="preserve"> sets forth a true, correct and complete list of all directors and officers of the Company.</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5.30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Arial" w:cs="Arial" w:eastAsia="Arial" w:hAnsi="Arial"/>
          <w:sz w:val="18"/>
          <w:szCs w:val="18"/>
          <w:u w:val="single" w:color="auto"/>
          <w:color w:val="auto"/>
        </w:rPr>
        <w:t>Money</w:t>
      </w:r>
      <w:r>
        <w:rPr>
          <w:rFonts w:ascii="Arial" w:cs="Arial" w:eastAsia="Arial" w:hAnsi="Arial"/>
          <w:sz w:val="18"/>
          <w:szCs w:val="18"/>
          <w:color w:val="auto"/>
        </w:rPr>
        <w:t xml:space="preserve"> </w:t>
      </w:r>
      <w:r>
        <w:rPr>
          <w:rFonts w:ascii="Arial" w:cs="Arial" w:eastAsia="Arial" w:hAnsi="Arial"/>
          <w:sz w:val="18"/>
          <w:szCs w:val="18"/>
          <w:u w:val="single" w:color="auto"/>
          <w:color w:val="auto"/>
        </w:rPr>
        <w:t>Laundering Laws</w:t>
      </w:r>
      <w:r>
        <w:rPr>
          <w:rFonts w:ascii="Arial" w:cs="Arial" w:eastAsia="Arial" w:hAnsi="Arial"/>
          <w:sz w:val="18"/>
          <w:szCs w:val="18"/>
          <w:color w:val="auto"/>
        </w:rPr>
        <w:t>”), and no Action involving the Company with respect to the Money Laundering Laws is pending or, to the Knowledge of the Company, threatened.</w:t>
      </w:r>
    </w:p>
    <w:p>
      <w:pPr>
        <w:spacing w:after="0" w:line="12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All forms of insurance owned or held by and insuring the Company are set forth on </w:t>
      </w:r>
      <w:r>
        <w:rPr>
          <w:rFonts w:ascii="Arial" w:cs="Arial" w:eastAsia="Arial" w:hAnsi="Arial"/>
          <w:sz w:val="18"/>
          <w:szCs w:val="18"/>
          <w:u w:val="single" w:color="auto"/>
          <w:color w:val="auto"/>
        </w:rPr>
        <w:t>Schedule 5.31</w:t>
      </w:r>
      <w:r>
        <w:rPr>
          <w:rFonts w:ascii="Arial" w:cs="Arial" w:eastAsia="Arial" w:hAnsi="Arial"/>
          <w:sz w:val="18"/>
          <w:szCs w:val="18"/>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8" w:name="page309"/>
    <w:bookmarkEnd w:id="30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11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5.32</w:t>
      </w:r>
      <w:r>
        <w:rPr>
          <w:rFonts w:ascii="Arial" w:cs="Arial" w:eastAsia="Arial" w:hAnsi="Arial"/>
          <w:sz w:val="17"/>
          <w:szCs w:val="17"/>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Arial" w:cs="Arial" w:eastAsia="Arial" w:hAnsi="Arial"/>
          <w:sz w:val="17"/>
          <w:szCs w:val="17"/>
          <w:u w:val="single" w:color="auto"/>
          <w:color w:val="auto"/>
        </w:rPr>
        <w:t>Affiliate Transaction</w:t>
      </w:r>
      <w:r>
        <w:rPr>
          <w:rFonts w:ascii="Arial" w:cs="Arial" w:eastAsia="Arial" w:hAnsi="Arial"/>
          <w:sz w:val="17"/>
          <w:szCs w:val="17"/>
          <w:color w:val="auto"/>
        </w:rPr>
        <w:t xml:space="preserve">”). None of the Contracts listed in </w:t>
      </w:r>
      <w:r>
        <w:rPr>
          <w:rFonts w:ascii="Arial" w:cs="Arial" w:eastAsia="Arial" w:hAnsi="Arial"/>
          <w:sz w:val="17"/>
          <w:szCs w:val="17"/>
          <w:u w:val="single" w:color="auto"/>
          <w:color w:val="auto"/>
        </w:rPr>
        <w:t>Schedule 5.32</w:t>
      </w:r>
      <w:r>
        <w:rPr>
          <w:rFonts w:ascii="Arial" w:cs="Arial" w:eastAsia="Arial" w:hAnsi="Arial"/>
          <w:sz w:val="17"/>
          <w:szCs w:val="17"/>
          <w:color w:val="auto"/>
        </w:rPr>
        <w:t xml:space="preserve"> was entered into on a basis other than on arm’s length.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4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Arial" w:cs="Arial" w:eastAsia="Arial" w:hAnsi="Arial"/>
          <w:sz w:val="18"/>
          <w:szCs w:val="18"/>
          <w:u w:val="single" w:color="auto"/>
          <w:color w:val="auto"/>
        </w:rPr>
        <w:t>Parent Parties</w:t>
      </w:r>
      <w:r>
        <w:rPr>
          <w:rFonts w:ascii="Arial" w:cs="Arial" w:eastAsia="Arial" w:hAnsi="Arial"/>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0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Arial" w:cs="Arial" w:eastAsia="Arial" w:hAnsi="Arial"/>
          <w:sz w:val="16"/>
          <w:szCs w:val="16"/>
          <w:u w:val="single" w:color="auto"/>
          <w:color w:val="auto"/>
        </w:rPr>
        <w:t>Parent Stockholder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Approval</w:t>
      </w:r>
      <w:r>
        <w:rPr>
          <w:rFonts w:ascii="Arial" w:cs="Arial" w:eastAsia="Arial" w:hAnsi="Arial"/>
          <w:sz w:val="16"/>
          <w:szCs w:val="16"/>
          <w:color w:val="auto"/>
        </w:rPr>
        <w:t>”), is the only vote of the holders of any of Parent’s capital stock necessary to adopt this Agreement and approve the Merger and the consummation of the other transactions contemplated hereby.</w:t>
      </w:r>
    </w:p>
    <w:p>
      <w:pPr>
        <w:spacing w:after="0" w:line="103"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xml:space="preserve">. Assuming the accuracy of the representations and warranties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7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9" w:name="page310"/>
    <w:bookmarkEnd w:id="30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Finders’ Fees</w:t>
      </w:r>
      <w:r>
        <w:rPr>
          <w:rFonts w:ascii="Arial" w:cs="Arial" w:eastAsia="Arial" w:hAnsi="Arial"/>
          <w:sz w:val="18"/>
          <w:szCs w:val="18"/>
          <w:color w:val="auto"/>
        </w:rPr>
        <w:t xml:space="preserve">. Except for the Persons identified on </w:t>
      </w:r>
      <w:r>
        <w:rPr>
          <w:rFonts w:ascii="Arial" w:cs="Arial" w:eastAsia="Arial" w:hAnsi="Arial"/>
          <w:sz w:val="18"/>
          <w:szCs w:val="18"/>
          <w:u w:val="single" w:color="auto"/>
          <w:color w:val="auto"/>
        </w:rPr>
        <w:t>Schedule 5.27</w:t>
      </w:r>
      <w:r>
        <w:rPr>
          <w:rFonts w:ascii="Arial" w:cs="Arial" w:eastAsia="Arial" w:hAnsi="Arial"/>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2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Issuance of Shares</w:t>
      </w:r>
      <w:r>
        <w:rPr>
          <w:rFonts w:ascii="Arial" w:cs="Arial" w:eastAsia="Arial" w:hAnsi="Arial"/>
          <w:sz w:val="18"/>
          <w:szCs w:val="18"/>
          <w:color w:val="auto"/>
        </w:rPr>
        <w:t>. The Closing Payment Shares, when issued in accordance with this Agreement, will be duly authorized and validly issued, and will be fully paid and nonassessable.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87" w:lineRule="auto"/>
        <w:tabs>
          <w:tab w:leader="none" w:pos="158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00" w:lineRule="exact"/>
        <w:rPr>
          <w:rFonts w:ascii="Arial" w:cs="Arial" w:eastAsia="Arial" w:hAnsi="Arial"/>
          <w:sz w:val="16"/>
          <w:szCs w:val="16"/>
          <w:color w:val="auto"/>
        </w:rPr>
      </w:pPr>
    </w:p>
    <w:p>
      <w:pPr>
        <w:jc w:val="both"/>
        <w:ind w:left="460" w:right="479" w:firstLine="858"/>
        <w:spacing w:after="0" w:line="269" w:lineRule="auto"/>
        <w:tabs>
          <w:tab w:leader="none" w:pos="1597"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Merger Sub is authorized to issue 100 shares, par value $0.0001 per share (“</w:t>
      </w:r>
      <w:r>
        <w:rPr>
          <w:rFonts w:ascii="Arial" w:cs="Arial" w:eastAsia="Arial" w:hAnsi="Arial"/>
          <w:sz w:val="17"/>
          <w:szCs w:val="17"/>
          <w:u w:val="single" w:color="auto"/>
          <w:color w:val="auto"/>
        </w:rPr>
        <w:t>Merger Sub</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0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Trust Fund</w:t>
      </w:r>
      <w:r>
        <w:rPr>
          <w:rFonts w:ascii="Arial" w:cs="Arial" w:eastAsia="Arial" w:hAnsi="Arial"/>
          <w:sz w:val="17"/>
          <w:szCs w:val="17"/>
          <w:color w:val="auto"/>
        </w:rPr>
        <w:t>. As of the date of this Agreement, Parent has at least $120,750,000 in the trust fund established by Parent for the benefit of its public stockholders (the “</w:t>
      </w:r>
      <w:r>
        <w:rPr>
          <w:rFonts w:ascii="Arial" w:cs="Arial" w:eastAsia="Arial" w:hAnsi="Arial"/>
          <w:sz w:val="17"/>
          <w:szCs w:val="17"/>
          <w:u w:val="single" w:color="auto"/>
          <w:color w:val="auto"/>
        </w:rPr>
        <w:t>Trust Fund</w:t>
      </w:r>
      <w:r>
        <w:rPr>
          <w:rFonts w:ascii="Arial" w:cs="Arial" w:eastAsia="Arial" w:hAnsi="Arial"/>
          <w:sz w:val="17"/>
          <w:szCs w:val="17"/>
          <w:color w:val="auto"/>
        </w:rPr>
        <w:t>”) in a trust account (the “</w:t>
      </w:r>
      <w:r>
        <w:rPr>
          <w:rFonts w:ascii="Arial" w:cs="Arial" w:eastAsia="Arial" w:hAnsi="Arial"/>
          <w:sz w:val="17"/>
          <w:szCs w:val="17"/>
          <w:u w:val="single" w:color="auto"/>
          <w:color w:val="auto"/>
        </w:rPr>
        <w:t>Trust</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w:t>
      </w:r>
      <w:r>
        <w:rPr>
          <w:rFonts w:ascii="Arial" w:cs="Arial" w:eastAsia="Arial" w:hAnsi="Arial"/>
          <w:sz w:val="17"/>
          <w:szCs w:val="17"/>
          <w:color w:val="auto"/>
        </w:rPr>
        <w:t>”) maintained by Continental Stock Transfer &amp; Trust Company (the “</w:t>
      </w:r>
      <w:r>
        <w:rPr>
          <w:rFonts w:ascii="Arial" w:cs="Arial" w:eastAsia="Arial" w:hAnsi="Arial"/>
          <w:sz w:val="17"/>
          <w:szCs w:val="17"/>
          <w:u w:val="single" w:color="auto"/>
          <w:color w:val="auto"/>
        </w:rPr>
        <w:t>Trustee</w:t>
      </w:r>
      <w:r>
        <w:rPr>
          <w:rFonts w:ascii="Arial" w:cs="Arial" w:eastAsia="Arial" w:hAnsi="Arial"/>
          <w:sz w:val="17"/>
          <w:szCs w:val="17"/>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0" w:name="page311"/>
    <w:bookmarkEnd w:id="31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Listing</w:t>
      </w:r>
      <w:r>
        <w:rPr>
          <w:rFonts w:ascii="Arial" w:cs="Arial" w:eastAsia="Arial" w:hAnsi="Arial"/>
          <w:sz w:val="18"/>
          <w:szCs w:val="18"/>
          <w:color w:val="auto"/>
        </w:rPr>
        <w:t>. The Parent Class A Shares are listed on Nasdaq, with trading ticker “FSDC.”</w:t>
      </w:r>
    </w:p>
    <w:p>
      <w:pPr>
        <w:spacing w:after="0" w:line="13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Board Approval</w:t>
      </w:r>
      <w:r>
        <w:rPr>
          <w:rFonts w:ascii="Arial" w:cs="Arial" w:eastAsia="Arial" w:hAnsi="Arial"/>
          <w:sz w:val="17"/>
          <w:szCs w:val="17"/>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Arial" w:cs="Arial" w:eastAsia="Arial" w:hAnsi="Arial"/>
          <w:sz w:val="17"/>
          <w:szCs w:val="17"/>
          <w:u w:val="single" w:color="auto"/>
          <w:color w:val="auto"/>
        </w:rPr>
        <w:t>Parent Board Recommendation</w:t>
      </w:r>
      <w:r>
        <w:rPr>
          <w:rFonts w:ascii="Arial" w:cs="Arial" w:eastAsia="Arial" w:hAnsi="Arial"/>
          <w:sz w:val="17"/>
          <w:szCs w:val="17"/>
          <w:color w:val="auto"/>
        </w:rPr>
        <w:t>”).</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Parent SEC Documents and Financial Statements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67" w:lineRule="auto"/>
        <w:tabs>
          <w:tab w:leader="none" w:pos="1569"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Arial" w:cs="Arial" w:eastAsia="Arial" w:hAnsi="Arial"/>
          <w:sz w:val="17"/>
          <w:szCs w:val="17"/>
          <w:u w:val="single" w:color="auto"/>
          <w:color w:val="auto"/>
        </w:rPr>
        <w:t>Additional Parent SEC</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Arial" w:cs="Arial" w:eastAsia="Arial" w:hAnsi="Arial"/>
          <w:sz w:val="17"/>
          <w:szCs w:val="17"/>
          <w:u w:val="single" w:color="auto"/>
          <w:color w:val="auto"/>
        </w:rPr>
        <w:t>Section 6.12</w:t>
      </w:r>
      <w:r>
        <w:rPr>
          <w:rFonts w:ascii="Arial" w:cs="Arial" w:eastAsia="Arial" w:hAnsi="Arial"/>
          <w:sz w:val="17"/>
          <w:szCs w:val="17"/>
          <w:color w:val="auto"/>
        </w:rPr>
        <w:t>) filed by Parent with the SEC since Parent’s formation (the forms, reports, registration statements and other documents referred to in clauses (i) through (iv) above, whether or not available through EDGAR,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 Documents</w:t>
      </w:r>
      <w:r>
        <w:rPr>
          <w:rFonts w:ascii="Arial" w:cs="Arial" w:eastAsia="Arial" w:hAnsi="Arial"/>
          <w:sz w:val="17"/>
          <w:szCs w:val="17"/>
          <w:color w:val="auto"/>
        </w:rPr>
        <w:t>”).</w:t>
      </w:r>
    </w:p>
    <w:p>
      <w:pPr>
        <w:spacing w:after="0" w:line="96" w:lineRule="exact"/>
        <w:rPr>
          <w:rFonts w:ascii="Arial" w:cs="Arial" w:eastAsia="Arial" w:hAnsi="Arial"/>
          <w:sz w:val="17"/>
          <w:szCs w:val="17"/>
          <w:color w:val="auto"/>
        </w:rPr>
      </w:pPr>
    </w:p>
    <w:p>
      <w:pPr>
        <w:jc w:val="both"/>
        <w:ind w:left="460" w:right="459" w:firstLine="858"/>
        <w:spacing w:after="0" w:line="287" w:lineRule="auto"/>
        <w:tabs>
          <w:tab w:leader="none" w:pos="1587"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does not apply to statements in or omissions in any information supplied or to be supplied by the Company expressly for inclusion or incorporation by reference in the SEC Statement or Other Filing.</w:t>
      </w:r>
    </w:p>
    <w:p>
      <w:pPr>
        <w:spacing w:after="0" w:line="77" w:lineRule="exact"/>
        <w:rPr>
          <w:rFonts w:ascii="Arial" w:cs="Arial" w:eastAsia="Arial" w:hAnsi="Arial"/>
          <w:sz w:val="16"/>
          <w:szCs w:val="16"/>
          <w:color w:val="auto"/>
        </w:rPr>
      </w:pPr>
    </w:p>
    <w:p>
      <w:pPr>
        <w:ind w:left="460" w:right="459" w:firstLine="858"/>
        <w:spacing w:after="0" w:line="308" w:lineRule="auto"/>
        <w:tabs>
          <w:tab w:leader="none" w:pos="157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As used in this </w:t>
      </w:r>
      <w:r>
        <w:rPr>
          <w:rFonts w:ascii="Arial" w:cs="Arial" w:eastAsia="Arial" w:hAnsi="Arial"/>
          <w:sz w:val="17"/>
          <w:szCs w:val="17"/>
          <w:u w:val="single" w:color="auto"/>
          <w:color w:val="auto"/>
        </w:rPr>
        <w:t>Section 6.12</w:t>
      </w:r>
      <w:r>
        <w:rPr>
          <w:rFonts w:ascii="Arial" w:cs="Arial" w:eastAsia="Arial" w:hAnsi="Arial"/>
          <w:sz w:val="17"/>
          <w:szCs w:val="17"/>
          <w:color w:val="auto"/>
        </w:rPr>
        <w:t>, the term “file” shall be broadly construed to include any manner in which a document or information is furnished, supplied or otherwise made available to the SEC.</w:t>
      </w:r>
    </w:p>
    <w:p>
      <w:pPr>
        <w:spacing w:after="0" w:line="65"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w:t>
      </w:r>
    </w:p>
    <w:p>
      <w:pPr>
        <w:spacing w:after="0" w:line="5" w:lineRule="exact"/>
        <w:rPr>
          <w:sz w:val="20"/>
          <w:szCs w:val="20"/>
          <w:color w:val="auto"/>
        </w:rPr>
      </w:pPr>
    </w:p>
    <w:p>
      <w:pPr>
        <w:ind w:left="460" w:right="479" w:hanging="6"/>
        <w:spacing w:after="0" w:line="260" w:lineRule="auto"/>
        <w:tabs>
          <w:tab w:leader="none" w:pos="67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adversely affect the business or prospects of Parent and (ii) subject Parent to suit or penalty in any private or governmental Action.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1" w:name="page312"/>
    <w:bookmarkEnd w:id="31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11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Expenses, Indebtedness and Other Liabilities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6.17</w:t>
      </w:r>
      <w:r>
        <w:rPr>
          <w:rFonts w:ascii="Arial" w:cs="Arial" w:eastAsia="Arial" w:hAnsi="Arial"/>
          <w:sz w:val="18"/>
          <w:szCs w:val="18"/>
          <w:color w:val="auto"/>
        </w:rPr>
        <w:t>, Parent does not have any Indebtedness or other liabilities.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6.18</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858"/>
        <w:spacing w:after="0" w:line="291" w:lineRule="auto"/>
        <w:tabs>
          <w:tab w:leader="none" w:pos="1569"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 Parent has duly and timely filed all income and other material Tax Returns which are required to be filed by or with respect to it, and has paid all income and other material Taxes which have become due;</w:t>
      </w:r>
    </w:p>
    <w:p>
      <w:pPr>
        <w:jc w:val="both"/>
        <w:ind w:left="460" w:right="459" w:hanging="6"/>
        <w:spacing w:after="0" w:line="281" w:lineRule="auto"/>
        <w:tabs>
          <w:tab w:leader="none" w:pos="74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w:t>
      </w:r>
    </w:p>
    <w:p>
      <w:pPr>
        <w:spacing w:after="0" w:line="7" w:lineRule="exact"/>
        <w:rPr>
          <w:rFonts w:ascii="Arial" w:cs="Arial" w:eastAsia="Arial" w:hAnsi="Arial"/>
          <w:sz w:val="16"/>
          <w:szCs w:val="16"/>
          <w:color w:val="auto"/>
        </w:rPr>
      </w:pPr>
    </w:p>
    <w:p>
      <w:pPr>
        <w:jc w:val="both"/>
        <w:ind w:left="460" w:right="459" w:hanging="6"/>
        <w:spacing w:after="0" w:line="284" w:lineRule="auto"/>
        <w:tabs>
          <w:tab w:leader="none" w:pos="87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 (x) 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91" w:lineRule="exact"/>
        <w:rPr>
          <w:rFonts w:ascii="Arial" w:cs="Arial" w:eastAsia="Arial" w:hAnsi="Arial"/>
          <w:sz w:val="16"/>
          <w:szCs w:val="16"/>
          <w:color w:val="auto"/>
        </w:rPr>
      </w:pPr>
    </w:p>
    <w:p>
      <w:pPr>
        <w:jc w:val="both"/>
        <w:ind w:left="460" w:right="459" w:firstLine="858"/>
        <w:spacing w:after="0" w:line="255" w:lineRule="auto"/>
        <w:tabs>
          <w:tab w:leader="none" w:pos="1585"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2" w:name="page313"/>
    <w:bookmarkEnd w:id="31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29" w:lineRule="exact"/>
        <w:rPr>
          <w:sz w:val="20"/>
          <w:szCs w:val="20"/>
          <w:color w:val="auto"/>
        </w:rPr>
      </w:pPr>
    </w:p>
    <w:p>
      <w:pPr>
        <w:jc w:val="both"/>
        <w:ind w:left="460" w:right="459" w:firstLine="858"/>
        <w:spacing w:after="0" w:line="287" w:lineRule="auto"/>
        <w:tabs>
          <w:tab w:leader="none" w:pos="1569"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w:t>
      </w:r>
    </w:p>
    <w:p>
      <w:pPr>
        <w:spacing w:after="0" w:line="2" w:lineRule="exact"/>
        <w:rPr>
          <w:rFonts w:ascii="Arial" w:cs="Arial" w:eastAsia="Arial" w:hAnsi="Arial"/>
          <w:sz w:val="16"/>
          <w:szCs w:val="16"/>
          <w:color w:val="auto"/>
        </w:rPr>
      </w:pPr>
    </w:p>
    <w:p>
      <w:pPr>
        <w:ind w:left="460" w:right="459" w:hanging="6"/>
        <w:spacing w:after="0" w:line="260" w:lineRule="auto"/>
        <w:tabs>
          <w:tab w:leader="none" w:pos="72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will not exceed that reserve as adjusted for the passage of time through the Closing Date in accordance with the past custom and practice of Parent in filing its Tax Return.</w:t>
      </w:r>
    </w:p>
    <w:p>
      <w:pPr>
        <w:spacing w:after="0" w:line="117" w:lineRule="exact"/>
        <w:rPr>
          <w:rFonts w:ascii="Arial" w:cs="Arial" w:eastAsia="Arial" w:hAnsi="Arial"/>
          <w:sz w:val="18"/>
          <w:szCs w:val="18"/>
          <w:color w:val="auto"/>
        </w:rPr>
      </w:pPr>
    </w:p>
    <w:p>
      <w:pPr>
        <w:jc w:val="both"/>
        <w:ind w:left="460" w:right="459" w:firstLine="858"/>
        <w:spacing w:after="0" w:line="259" w:lineRule="auto"/>
        <w:tabs>
          <w:tab w:leader="none" w:pos="1593"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105" w:lineRule="exact"/>
        <w:rPr>
          <w:rFonts w:ascii="Arial" w:cs="Arial" w:eastAsia="Arial" w:hAnsi="Arial"/>
          <w:sz w:val="18"/>
          <w:szCs w:val="18"/>
          <w:color w:val="auto"/>
        </w:rPr>
      </w:pPr>
    </w:p>
    <w:p>
      <w:pPr>
        <w:jc w:val="both"/>
        <w:ind w:left="460" w:right="479" w:firstLine="858"/>
        <w:spacing w:after="0" w:line="263" w:lineRule="auto"/>
        <w:tabs>
          <w:tab w:leader="none" w:pos="157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16" w:lineRule="exact"/>
        <w:rPr>
          <w:rFonts w:ascii="Arial" w:cs="Arial" w:eastAsia="Arial" w:hAnsi="Arial"/>
          <w:sz w:val="18"/>
          <w:szCs w:val="18"/>
          <w:color w:val="auto"/>
        </w:rPr>
      </w:pPr>
    </w:p>
    <w:p>
      <w:pPr>
        <w:ind w:left="460" w:right="479" w:firstLine="858"/>
        <w:spacing w:after="0" w:line="277" w:lineRule="auto"/>
        <w:tabs>
          <w:tab w:leader="none" w:pos="160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Parent is not a “United States real property holding corporation” within the meaning of Section 897(c)(2) of the Code at any time during the five-year period ending on the Closing Date.</w:t>
      </w:r>
    </w:p>
    <w:p>
      <w:pPr>
        <w:spacing w:after="0" w:line="102" w:lineRule="exact"/>
        <w:rPr>
          <w:rFonts w:ascii="Arial" w:cs="Arial" w:eastAsia="Arial" w:hAnsi="Arial"/>
          <w:sz w:val="18"/>
          <w:szCs w:val="18"/>
          <w:color w:val="auto"/>
        </w:rPr>
      </w:pPr>
    </w:p>
    <w:p>
      <w:pPr>
        <w:ind w:left="460" w:right="479" w:firstLine="858"/>
        <w:spacing w:after="0" w:line="277" w:lineRule="auto"/>
        <w:tabs>
          <w:tab w:leader="none" w:pos="1621"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Parent has not engaged in a “reportable transaction” within the meaning of United States Treasury regulations Section 1.6011-4(b).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PARTIES PENDING CLOSING</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Conduct of the Business</w:t>
      </w:r>
      <w:r>
        <w:rPr>
          <w:rFonts w:ascii="Arial" w:cs="Arial" w:eastAsia="Arial" w:hAnsi="Arial"/>
          <w:sz w:val="18"/>
          <w:szCs w:val="18"/>
          <w:color w:val="auto"/>
        </w:rPr>
        <w:t>. Each of the Company and Parent covenants and agrees that:</w:t>
      </w:r>
    </w:p>
    <w:p>
      <w:pPr>
        <w:spacing w:after="0" w:line="158" w:lineRule="exact"/>
        <w:rPr>
          <w:sz w:val="20"/>
          <w:szCs w:val="20"/>
          <w:color w:val="auto"/>
        </w:rPr>
      </w:pPr>
    </w:p>
    <w:p>
      <w:pPr>
        <w:jc w:val="both"/>
        <w:ind w:left="460" w:right="459" w:firstLine="858"/>
        <w:spacing w:after="0" w:line="270" w:lineRule="auto"/>
        <w:tabs>
          <w:tab w:leader="none" w:pos="158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13" w:lineRule="exact"/>
        <w:rPr>
          <w:rFonts w:ascii="Arial" w:cs="Arial" w:eastAsia="Arial" w:hAnsi="Arial"/>
          <w:sz w:val="17"/>
          <w:szCs w:val="17"/>
          <w:color w:val="auto"/>
        </w:rPr>
      </w:pPr>
    </w:p>
    <w:p>
      <w:pPr>
        <w:jc w:val="both"/>
        <w:ind w:left="880" w:right="479" w:firstLine="1086"/>
        <w:spacing w:after="0" w:line="263" w:lineRule="auto"/>
        <w:tabs>
          <w:tab w:leader="none" w:pos="223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amend, modify or supplement its certificate of incorporation or bylaws or other organizational or governing documents, or engage in any reorganization, reclassification, liquidation, dissolution or similar transaction;</w:t>
      </w:r>
    </w:p>
    <w:p>
      <w:pPr>
        <w:spacing w:after="0" w:line="102" w:lineRule="exact"/>
        <w:rPr>
          <w:rFonts w:ascii="Arial" w:cs="Arial" w:eastAsia="Arial" w:hAnsi="Arial"/>
          <w:sz w:val="18"/>
          <w:szCs w:val="18"/>
          <w:color w:val="auto"/>
        </w:rPr>
      </w:pPr>
    </w:p>
    <w:p>
      <w:pPr>
        <w:jc w:val="both"/>
        <w:ind w:left="880" w:right="459" w:firstLine="1086"/>
        <w:spacing w:after="0" w:line="263" w:lineRule="auto"/>
        <w:tabs>
          <w:tab w:leader="none" w:pos="2256"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116" w:lineRule="exact"/>
        <w:rPr>
          <w:rFonts w:ascii="Arial" w:cs="Arial" w:eastAsia="Arial" w:hAnsi="Arial"/>
          <w:sz w:val="18"/>
          <w:szCs w:val="18"/>
          <w:color w:val="auto"/>
        </w:rPr>
      </w:pPr>
    </w:p>
    <w:p>
      <w:pPr>
        <w:jc w:val="both"/>
        <w:ind w:left="880" w:right="479" w:firstLine="1086"/>
        <w:spacing w:after="0" w:line="259" w:lineRule="auto"/>
        <w:tabs>
          <w:tab w:leader="none" w:pos="233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19" w:lineRule="exact"/>
        <w:rPr>
          <w:rFonts w:ascii="Arial" w:cs="Arial" w:eastAsia="Arial" w:hAnsi="Arial"/>
          <w:sz w:val="18"/>
          <w:szCs w:val="18"/>
          <w:color w:val="auto"/>
        </w:rPr>
      </w:pPr>
    </w:p>
    <w:p>
      <w:pPr>
        <w:ind w:left="4060" w:right="479" w:hanging="2094"/>
        <w:spacing w:after="0" w:line="481" w:lineRule="auto"/>
        <w:tabs>
          <w:tab w:leader="none" w:pos="227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make any capital expenditures in excess of $200,000 (individually or in the aggregate); 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3" w:name="page314"/>
    <w:bookmarkEnd w:id="31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63" w:lineRule="auto"/>
        <w:tabs>
          <w:tab w:leader="none" w:pos="226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116" w:lineRule="exact"/>
        <w:rPr>
          <w:rFonts w:ascii="Arial" w:cs="Arial" w:eastAsia="Arial" w:hAnsi="Arial"/>
          <w:sz w:val="18"/>
          <w:szCs w:val="18"/>
          <w:color w:val="auto"/>
        </w:rPr>
      </w:pPr>
    </w:p>
    <w:p>
      <w:pPr>
        <w:jc w:val="both"/>
        <w:ind w:left="880" w:right="459" w:firstLine="1086"/>
        <w:spacing w:after="0" w:line="272" w:lineRule="auto"/>
        <w:tabs>
          <w:tab w:leader="none" w:pos="2272" w:val="left"/>
        </w:tabs>
        <w:numPr>
          <w:ilvl w:val="1"/>
          <w:numId w:val="279"/>
        </w:numPr>
        <w:rPr>
          <w:rFonts w:ascii="Arial" w:cs="Arial" w:eastAsia="Arial" w:hAnsi="Arial"/>
          <w:sz w:val="17"/>
          <w:szCs w:val="17"/>
          <w:color w:val="auto"/>
        </w:rPr>
      </w:pPr>
      <w:r>
        <w:rPr>
          <w:rFonts w:ascii="Arial" w:cs="Arial" w:eastAsia="Arial" w:hAnsi="Arial"/>
          <w:sz w:val="17"/>
          <w:szCs w:val="17"/>
          <w:color w:val="auto"/>
        </w:rPr>
        <w:t>(A) pay, declare or promise to pay any dividends or other distributions with respect to its capital stock or other equity securities; (B) 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09" w:lineRule="exact"/>
        <w:rPr>
          <w:rFonts w:ascii="Arial" w:cs="Arial" w:eastAsia="Arial" w:hAnsi="Arial"/>
          <w:sz w:val="17"/>
          <w:szCs w:val="17"/>
          <w:color w:val="auto"/>
        </w:rPr>
      </w:pPr>
    </w:p>
    <w:p>
      <w:pPr>
        <w:jc w:val="both"/>
        <w:ind w:left="880" w:right="459" w:firstLine="1086"/>
        <w:spacing w:after="0" w:line="271" w:lineRule="auto"/>
        <w:tabs>
          <w:tab w:leader="none" w:pos="234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w:t>
      </w:r>
    </w:p>
    <w:p>
      <w:pPr>
        <w:jc w:val="both"/>
        <w:ind w:left="880" w:right="479" w:firstLine="6"/>
        <w:spacing w:after="0" w:line="255" w:lineRule="auto"/>
        <w:tabs>
          <w:tab w:leader="none" w:pos="11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108" w:lineRule="exact"/>
        <w:rPr>
          <w:rFonts w:ascii="Arial" w:cs="Arial" w:eastAsia="Arial" w:hAnsi="Arial"/>
          <w:sz w:val="18"/>
          <w:szCs w:val="18"/>
          <w:color w:val="auto"/>
        </w:rPr>
      </w:pPr>
    </w:p>
    <w:p>
      <w:pPr>
        <w:ind w:left="2380" w:hanging="414"/>
        <w:spacing w:after="0"/>
        <w:tabs>
          <w:tab w:leader="none" w:pos="238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suffer or incur any Lien, except for Permitted Liens, on the Company’s or Parent’s, as</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applicable, assets;</w:t>
      </w:r>
    </w:p>
    <w:p>
      <w:pPr>
        <w:spacing w:after="0" w:line="143" w:lineRule="exact"/>
        <w:rPr>
          <w:rFonts w:ascii="Arial" w:cs="Arial" w:eastAsia="Arial" w:hAnsi="Arial"/>
          <w:sz w:val="16"/>
          <w:szCs w:val="16"/>
          <w:color w:val="auto"/>
        </w:rPr>
      </w:pPr>
    </w:p>
    <w:p>
      <w:pPr>
        <w:jc w:val="both"/>
        <w:ind w:left="880" w:right="459" w:firstLine="1086"/>
        <w:spacing w:after="0" w:line="263" w:lineRule="auto"/>
        <w:tabs>
          <w:tab w:leader="none" w:pos="226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116" w:lineRule="exact"/>
        <w:rPr>
          <w:rFonts w:ascii="Arial" w:cs="Arial" w:eastAsia="Arial" w:hAnsi="Arial"/>
          <w:sz w:val="18"/>
          <w:szCs w:val="18"/>
          <w:color w:val="auto"/>
        </w:rPr>
      </w:pPr>
    </w:p>
    <w:p>
      <w:pPr>
        <w:jc w:val="both"/>
        <w:ind w:left="880" w:right="479" w:firstLine="1086"/>
        <w:spacing w:after="0" w:line="263" w:lineRule="auto"/>
        <w:tabs>
          <w:tab w:leader="none" w:pos="222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102" w:lineRule="exact"/>
        <w:rPr>
          <w:rFonts w:ascii="Arial" w:cs="Arial" w:eastAsia="Arial" w:hAnsi="Arial"/>
          <w:sz w:val="18"/>
          <w:szCs w:val="18"/>
          <w:color w:val="auto"/>
        </w:rPr>
      </w:pPr>
    </w:p>
    <w:p>
      <w:pPr>
        <w:jc w:val="both"/>
        <w:ind w:left="880" w:right="459" w:firstLine="1086"/>
        <w:spacing w:after="0" w:line="275" w:lineRule="auto"/>
        <w:tabs>
          <w:tab w:leader="none" w:pos="2281" w:val="left"/>
        </w:tabs>
        <w:numPr>
          <w:ilvl w:val="1"/>
          <w:numId w:val="280"/>
        </w:numPr>
        <w:rPr>
          <w:rFonts w:ascii="Arial" w:cs="Arial" w:eastAsia="Arial" w:hAnsi="Arial"/>
          <w:sz w:val="17"/>
          <w:szCs w:val="17"/>
          <w:color w:val="auto"/>
        </w:rPr>
      </w:pPr>
      <w:r>
        <w:rPr>
          <w:rFonts w:ascii="Arial" w:cs="Arial" w:eastAsia="Arial" w:hAnsi="Arial"/>
          <w:sz w:val="17"/>
          <w:szCs w:val="17"/>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08" w:lineRule="exact"/>
        <w:rPr>
          <w:rFonts w:ascii="Arial" w:cs="Arial" w:eastAsia="Arial" w:hAnsi="Arial"/>
          <w:sz w:val="17"/>
          <w:szCs w:val="17"/>
          <w:color w:val="auto"/>
        </w:rPr>
      </w:pPr>
    </w:p>
    <w:p>
      <w:pPr>
        <w:ind w:left="880" w:right="479" w:firstLine="1086"/>
        <w:spacing w:after="0" w:line="277" w:lineRule="auto"/>
        <w:tabs>
          <w:tab w:leader="none" w:pos="234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adopt any severance, retention or other employee plan or fail to continue to make timely contributions to each benefit plan in accordance with the terms thereof;</w:t>
      </w:r>
    </w:p>
    <w:p>
      <w:pPr>
        <w:spacing w:after="0" w:line="102" w:lineRule="exact"/>
        <w:rPr>
          <w:rFonts w:ascii="Arial" w:cs="Arial" w:eastAsia="Arial" w:hAnsi="Arial"/>
          <w:sz w:val="18"/>
          <w:szCs w:val="18"/>
          <w:color w:val="auto"/>
        </w:rPr>
      </w:pPr>
    </w:p>
    <w:p>
      <w:pPr>
        <w:jc w:val="both"/>
        <w:ind w:left="880" w:right="459" w:firstLine="1086"/>
        <w:spacing w:after="0" w:line="263" w:lineRule="auto"/>
        <w:tabs>
          <w:tab w:leader="none" w:pos="2389"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102" w:lineRule="exact"/>
        <w:rPr>
          <w:rFonts w:ascii="Arial" w:cs="Arial" w:eastAsia="Arial" w:hAnsi="Arial"/>
          <w:sz w:val="18"/>
          <w:szCs w:val="18"/>
          <w:color w:val="auto"/>
        </w:rPr>
      </w:pPr>
    </w:p>
    <w:p>
      <w:pPr>
        <w:ind w:left="880" w:right="479" w:firstLine="1086"/>
        <w:spacing w:after="0" w:line="277" w:lineRule="auto"/>
        <w:tabs>
          <w:tab w:leader="none" w:pos="239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except as required by U.S. GAAP, make any material change in its accounting principles, methods or practices or write down the value of its assets;</w:t>
      </w:r>
    </w:p>
    <w:p>
      <w:pPr>
        <w:spacing w:after="0" w:line="102" w:lineRule="exact"/>
        <w:rPr>
          <w:rFonts w:ascii="Arial" w:cs="Arial" w:eastAsia="Arial" w:hAnsi="Arial"/>
          <w:sz w:val="18"/>
          <w:szCs w:val="18"/>
          <w:color w:val="auto"/>
        </w:rPr>
      </w:pPr>
    </w:p>
    <w:p>
      <w:pPr>
        <w:ind w:left="2320" w:hanging="354"/>
        <w:spacing w:after="0"/>
        <w:tabs>
          <w:tab w:leader="none" w:pos="23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change its principal place of business or jurisdiction of organization;</w:t>
      </w:r>
    </w:p>
    <w:p>
      <w:pPr>
        <w:spacing w:after="0" w:line="157" w:lineRule="exact"/>
        <w:rPr>
          <w:rFonts w:ascii="Arial" w:cs="Arial" w:eastAsia="Arial" w:hAnsi="Arial"/>
          <w:sz w:val="18"/>
          <w:szCs w:val="18"/>
          <w:color w:val="auto"/>
        </w:rPr>
      </w:pPr>
    </w:p>
    <w:p>
      <w:pPr>
        <w:jc w:val="both"/>
        <w:ind w:left="880" w:right="459" w:firstLine="1086"/>
        <w:spacing w:after="0" w:line="257" w:lineRule="auto"/>
        <w:tabs>
          <w:tab w:leader="none" w:pos="237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Arial" w:cs="Arial" w:eastAsia="Arial" w:hAnsi="Arial"/>
          <w:sz w:val="18"/>
          <w:szCs w:val="18"/>
          <w:u w:val="single" w:color="auto"/>
          <w:color w:val="auto"/>
        </w:rPr>
        <w:t>Section 7.6</w:t>
      </w:r>
      <w:r>
        <w:rPr>
          <w:rFonts w:ascii="Arial" w:cs="Arial" w:eastAsia="Arial" w:hAnsi="Arial"/>
          <w:sz w:val="18"/>
          <w:szCs w:val="18"/>
          <w:color w:val="auto"/>
        </w:rPr>
        <w:t>, or (C) with respect to Parent, as otherwise contemplated by this Agreement or any Additional Agreement);</w:t>
      </w:r>
    </w:p>
    <w:p>
      <w:pPr>
        <w:spacing w:after="0" w:line="106" w:lineRule="exact"/>
        <w:rPr>
          <w:rFonts w:ascii="Arial" w:cs="Arial" w:eastAsia="Arial" w:hAnsi="Arial"/>
          <w:sz w:val="18"/>
          <w:szCs w:val="18"/>
          <w:color w:val="auto"/>
        </w:rPr>
      </w:pPr>
    </w:p>
    <w:p>
      <w:pPr>
        <w:jc w:val="both"/>
        <w:ind w:left="880" w:right="459" w:firstLine="1086"/>
        <w:spacing w:after="0" w:line="257" w:lineRule="auto"/>
        <w:tabs>
          <w:tab w:leader="none" w:pos="242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20" w:lineRule="exact"/>
        <w:rPr>
          <w:rFonts w:ascii="Arial" w:cs="Arial" w:eastAsia="Arial" w:hAnsi="Arial"/>
          <w:sz w:val="18"/>
          <w:szCs w:val="18"/>
          <w:color w:val="auto"/>
        </w:rPr>
      </w:pPr>
    </w:p>
    <w:p>
      <w:pPr>
        <w:ind w:left="880" w:right="479" w:firstLine="1086"/>
        <w:spacing w:after="0" w:line="308" w:lineRule="auto"/>
        <w:tabs>
          <w:tab w:leader="none" w:pos="2457" w:val="left"/>
        </w:tabs>
        <w:numPr>
          <w:ilvl w:val="1"/>
          <w:numId w:val="280"/>
        </w:numPr>
        <w:rPr>
          <w:rFonts w:ascii="Arial" w:cs="Arial" w:eastAsia="Arial" w:hAnsi="Arial"/>
          <w:sz w:val="17"/>
          <w:szCs w:val="17"/>
          <w:color w:val="auto"/>
        </w:rPr>
      </w:pPr>
      <w:r>
        <w:rPr>
          <w:rFonts w:ascii="Arial" w:cs="Arial" w:eastAsia="Arial" w:hAnsi="Arial"/>
          <w:sz w:val="17"/>
          <w:szCs w:val="17"/>
          <w:color w:val="auto"/>
        </w:rPr>
        <w:t>enter into any transaction with or distribute or advance any assets or property to any of its Affiliates, other than the payment of salary and benefits in the ordinary course;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4" w:name="page315"/>
    <w:bookmarkEnd w:id="31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69" w:lineRule="auto"/>
        <w:tabs>
          <w:tab w:leader="none" w:pos="237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solely in the case of the Company, other than as required by a Plan, as set forth on </w:t>
      </w:r>
      <w:r>
        <w:rPr>
          <w:rFonts w:ascii="Arial" w:cs="Arial" w:eastAsia="Arial" w:hAnsi="Arial"/>
          <w:sz w:val="17"/>
          <w:szCs w:val="17"/>
          <w:u w:val="single" w:color="auto"/>
          <w:color w:val="auto"/>
        </w:rPr>
        <w:t>Schedule 7.1(a)(xix)</w:t>
      </w:r>
      <w:r>
        <w:rPr>
          <w:rFonts w:ascii="Arial" w:cs="Arial" w:eastAsia="Arial" w:hAnsi="Arial"/>
          <w:sz w:val="17"/>
          <w:szCs w:val="17"/>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111" w:lineRule="exact"/>
        <w:rPr>
          <w:rFonts w:ascii="Arial" w:cs="Arial" w:eastAsia="Arial" w:hAnsi="Arial"/>
          <w:sz w:val="17"/>
          <w:szCs w:val="17"/>
          <w:color w:val="auto"/>
        </w:rPr>
      </w:pPr>
    </w:p>
    <w:p>
      <w:pPr>
        <w:ind w:left="2320" w:hanging="354"/>
        <w:spacing w:after="0"/>
        <w:tabs>
          <w:tab w:leader="none" w:pos="23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solely in the case of the Company, enter into any Affiliate Transactions;</w:t>
      </w:r>
    </w:p>
    <w:p>
      <w:pPr>
        <w:spacing w:after="0" w:line="157" w:lineRule="exact"/>
        <w:rPr>
          <w:rFonts w:ascii="Arial" w:cs="Arial" w:eastAsia="Arial" w:hAnsi="Arial"/>
          <w:sz w:val="18"/>
          <w:szCs w:val="18"/>
          <w:color w:val="auto"/>
        </w:rPr>
      </w:pPr>
    </w:p>
    <w:p>
      <w:pPr>
        <w:ind w:left="880" w:right="479" w:firstLine="1086"/>
        <w:spacing w:after="0" w:line="277" w:lineRule="auto"/>
        <w:tabs>
          <w:tab w:leader="none" w:pos="239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fail to duly observe and conform in all material respects to all applicable Law, including the Exchange Act, and Orders; or</w:t>
      </w:r>
    </w:p>
    <w:p>
      <w:pPr>
        <w:spacing w:after="0" w:line="89" w:lineRule="exact"/>
        <w:rPr>
          <w:rFonts w:ascii="Arial" w:cs="Arial" w:eastAsia="Arial" w:hAnsi="Arial"/>
          <w:sz w:val="18"/>
          <w:szCs w:val="18"/>
          <w:color w:val="auto"/>
        </w:rPr>
      </w:pPr>
    </w:p>
    <w:p>
      <w:pPr>
        <w:ind w:left="2420" w:hanging="454"/>
        <w:spacing w:after="0"/>
        <w:tabs>
          <w:tab w:leader="none" w:pos="24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agree to do any of the foregoing.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84" w:lineRule="auto"/>
        <w:tabs>
          <w:tab w:leader="none" w:pos="159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Arial" w:cs="Arial" w:eastAsia="Arial" w:hAnsi="Arial"/>
          <w:sz w:val="16"/>
          <w:szCs w:val="16"/>
          <w:u w:val="single" w:color="auto"/>
          <w:color w:val="auto"/>
        </w:rPr>
        <w:t>Representatives</w:t>
      </w:r>
      <w:r>
        <w:rPr>
          <w:rFonts w:ascii="Arial" w:cs="Arial" w:eastAsia="Arial" w:hAnsi="Arial"/>
          <w:sz w:val="16"/>
          <w:szCs w:val="16"/>
          <w:color w:val="auto"/>
        </w:rPr>
        <w:t>”) not to,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316" w:lineRule="exact"/>
        <w:rPr>
          <w:rFonts w:ascii="Arial" w:cs="Arial" w:eastAsia="Arial" w:hAnsi="Arial"/>
          <w:sz w:val="16"/>
          <w:szCs w:val="16"/>
          <w:color w:val="auto"/>
        </w:rPr>
      </w:pPr>
    </w:p>
    <w:p>
      <w:pPr>
        <w:jc w:val="both"/>
        <w:ind w:left="460" w:right="459" w:firstLine="858"/>
        <w:spacing w:after="0" w:line="287" w:lineRule="auto"/>
        <w:tabs>
          <w:tab w:leader="none" w:pos="158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Arial" w:cs="Arial" w:eastAsia="Arial" w:hAnsi="Arial"/>
          <w:sz w:val="16"/>
          <w:szCs w:val="16"/>
          <w:u w:val="single" w:color="auto"/>
          <w:color w:val="auto"/>
        </w:rPr>
        <w:t>Alternative Proposal</w:t>
      </w:r>
      <w:r>
        <w:rPr>
          <w:rFonts w:ascii="Arial" w:cs="Arial" w:eastAsia="Arial" w:hAnsi="Arial"/>
          <w:sz w:val="16"/>
          <w:szCs w:val="16"/>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10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From the date hereof through and including the Closing Date, the Company and Parent shall each, to the best of its ability, (a) 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5" w:name="page316"/>
    <w:bookmarkEnd w:id="31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 xml:space="preserve">investigation of the Business (in the case of the Company) or the business of Parent (in the case of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investigation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(or any investigation made prior to the date hereof) shall affect any representation or warranty given by the Company or Parent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investigation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Notices of Certain Events</w:t>
      </w:r>
      <w:r>
        <w:rPr>
          <w:rFonts w:ascii="Arial" w:cs="Arial" w:eastAsia="Arial" w:hAnsi="Arial"/>
          <w:sz w:val="16"/>
          <w:szCs w:val="16"/>
          <w:color w:val="auto"/>
        </w:rPr>
        <w:t>. Each of Parent and the Company shall promptly notify the other party of:</w:t>
      </w:r>
    </w:p>
    <w:p>
      <w:pPr>
        <w:spacing w:after="0" w:line="181" w:lineRule="exact"/>
        <w:rPr>
          <w:sz w:val="20"/>
          <w:szCs w:val="20"/>
          <w:color w:val="auto"/>
        </w:rPr>
      </w:pPr>
    </w:p>
    <w:p>
      <w:pPr>
        <w:jc w:val="both"/>
        <w:ind w:left="460" w:right="459" w:firstLine="858"/>
        <w:spacing w:after="0" w:line="275" w:lineRule="auto"/>
        <w:tabs>
          <w:tab w:leader="none" w:pos="158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95" w:lineRule="exact"/>
        <w:rPr>
          <w:rFonts w:ascii="Arial" w:cs="Arial" w:eastAsia="Arial" w:hAnsi="Arial"/>
          <w:sz w:val="17"/>
          <w:szCs w:val="17"/>
          <w:color w:val="auto"/>
        </w:rPr>
      </w:pPr>
    </w:p>
    <w:p>
      <w:pPr>
        <w:ind w:left="460" w:right="479" w:firstLine="858"/>
        <w:spacing w:after="0" w:line="277" w:lineRule="auto"/>
        <w:tabs>
          <w:tab w:leader="none" w:pos="161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notice or other communication from any Authority in connection with the transactions contemplated by this Agreement or the Additional Agreements;</w:t>
      </w:r>
    </w:p>
    <w:p>
      <w:pPr>
        <w:spacing w:after="0" w:line="102" w:lineRule="exact"/>
        <w:rPr>
          <w:rFonts w:ascii="Arial" w:cs="Arial" w:eastAsia="Arial" w:hAnsi="Arial"/>
          <w:sz w:val="18"/>
          <w:szCs w:val="18"/>
          <w:color w:val="auto"/>
        </w:rPr>
      </w:pPr>
    </w:p>
    <w:p>
      <w:pPr>
        <w:jc w:val="both"/>
        <w:ind w:left="460" w:right="459" w:firstLine="858"/>
        <w:spacing w:after="0" w:line="263" w:lineRule="auto"/>
        <w:tabs>
          <w:tab w:leader="none" w:pos="159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116" w:lineRule="exact"/>
        <w:rPr>
          <w:rFonts w:ascii="Arial" w:cs="Arial" w:eastAsia="Arial" w:hAnsi="Arial"/>
          <w:sz w:val="18"/>
          <w:szCs w:val="18"/>
          <w:color w:val="auto"/>
        </w:rPr>
      </w:pPr>
    </w:p>
    <w:p>
      <w:pPr>
        <w:ind w:left="460" w:right="479" w:firstLine="858"/>
        <w:spacing w:after="0" w:line="277" w:lineRule="auto"/>
        <w:tabs>
          <w:tab w:leader="none" w:pos="158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occurrence of any fact or circumstance which constitutes or results, or would reasonably be expected to constitute or result in a Material Adverse Change; and</w:t>
      </w:r>
    </w:p>
    <w:p>
      <w:pPr>
        <w:spacing w:after="0" w:line="89" w:lineRule="exact"/>
        <w:rPr>
          <w:rFonts w:ascii="Arial" w:cs="Arial" w:eastAsia="Arial" w:hAnsi="Arial"/>
          <w:sz w:val="18"/>
          <w:szCs w:val="18"/>
          <w:color w:val="auto"/>
        </w:rPr>
      </w:pPr>
    </w:p>
    <w:p>
      <w:pPr>
        <w:jc w:val="both"/>
        <w:ind w:left="460" w:right="459" w:firstLine="858"/>
        <w:spacing w:after="0" w:line="259" w:lineRule="auto"/>
        <w:tabs>
          <w:tab w:leader="none" w:pos="158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X not to be satisfied.</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Cooperation with Form S-4/Proxy Statement; Other Filings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68" w:lineRule="auto"/>
        <w:tabs>
          <w:tab w:leader="none" w:pos="1581"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Arial" w:cs="Arial" w:eastAsia="Arial" w:hAnsi="Arial"/>
          <w:sz w:val="17"/>
          <w:szCs w:val="17"/>
          <w:u w:val="single" w:color="auto"/>
          <w:color w:val="auto"/>
        </w:rPr>
        <w:t>Parent Stockholder Meeting</w:t>
      </w:r>
      <w:r>
        <w:rPr>
          <w:rFonts w:ascii="Arial" w:cs="Arial" w:eastAsia="Arial" w:hAnsi="Arial"/>
          <w:sz w:val="17"/>
          <w:szCs w:val="17"/>
          <w:color w:val="auto"/>
        </w:rPr>
        <w:t>”). Such proxy materials shall be in the form of a proxy statement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which shall be included in a Registration Statement on Form S-4 (the “</w:t>
      </w:r>
      <w:r>
        <w:rPr>
          <w:rFonts w:ascii="Arial" w:cs="Arial" w:eastAsia="Arial" w:hAnsi="Arial"/>
          <w:sz w:val="17"/>
          <w:szCs w:val="17"/>
          <w:u w:val="single" w:color="auto"/>
          <w:color w:val="auto"/>
        </w:rPr>
        <w:t>Form S-4</w:t>
      </w:r>
      <w:r>
        <w:rPr>
          <w:rFonts w:ascii="Arial" w:cs="Arial" w:eastAsia="Arial" w:hAnsi="Arial"/>
          <w:sz w:val="17"/>
          <w:szCs w:val="17"/>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Arial" w:cs="Arial" w:eastAsia="Arial" w:hAnsi="Arial"/>
          <w:sz w:val="17"/>
          <w:szCs w:val="17"/>
          <w:u w:val="single" w:color="auto"/>
          <w:color w:val="auto"/>
        </w:rPr>
        <w:t>Offer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460" w:right="459" w:firstLine="858"/>
        <w:spacing w:after="0" w:line="291" w:lineRule="auto"/>
        <w:tabs>
          <w:tab w:leader="none" w:pos="1614" w:val="left"/>
        </w:tabs>
        <w:numPr>
          <w:ilvl w:val="1"/>
          <w:numId w:val="284"/>
        </w:numPr>
        <w:rPr>
          <w:rFonts w:ascii="Arial" w:cs="Arial" w:eastAsia="Arial" w:hAnsi="Arial"/>
          <w:sz w:val="16"/>
          <w:szCs w:val="16"/>
          <w:color w:val="auto"/>
        </w:rPr>
      </w:pPr>
      <w:r>
        <w:rPr>
          <w:rFonts w:ascii="Arial" w:cs="Arial" w:eastAsia="Arial" w:hAnsi="Arial"/>
          <w:sz w:val="16"/>
          <w:szCs w:val="16"/>
          <w:color w:val="auto"/>
        </w:rPr>
        <w:t>Parent shall (i) permit the Company and its counsel to review and comment on the Proxy Statement and Form S-4 and any exhibits, amendments or supplements thereto (or other related documents);</w:t>
      </w:r>
    </w:p>
    <w:p>
      <w:pPr>
        <w:jc w:val="both"/>
        <w:ind w:left="460" w:right="459" w:hanging="6"/>
        <w:spacing w:after="0" w:line="285" w:lineRule="auto"/>
        <w:tabs>
          <w:tab w:leader="none" w:pos="73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6" w:name="page317"/>
    <w:bookmarkEnd w:id="31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110" w:lineRule="exact"/>
        <w:rPr>
          <w:sz w:val="20"/>
          <w:szCs w:val="20"/>
          <w:color w:val="auto"/>
        </w:rPr>
      </w:pPr>
    </w:p>
    <w:p>
      <w:pPr>
        <w:jc w:val="both"/>
        <w:ind w:left="460" w:right="459" w:firstLine="858"/>
        <w:spacing w:after="0" w:line="291" w:lineRule="auto"/>
        <w:tabs>
          <w:tab w:leader="none" w:pos="1588"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As soon as practicable following the date on which the Form S-4 is declared effective by the SEC (such effective date,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Arial" w:cs="Arial" w:eastAsia="Arial" w:hAnsi="Arial"/>
          <w:sz w:val="16"/>
          <w:szCs w:val="16"/>
          <w:u w:val="single" w:color="auto"/>
          <w:color w:val="auto"/>
        </w:rPr>
        <w:t>Section 7.5(e)</w:t>
      </w:r>
      <w:r>
        <w:rPr>
          <w:rFonts w:ascii="Arial" w:cs="Arial" w:eastAsia="Arial" w:hAnsi="Arial"/>
          <w:sz w:val="16"/>
          <w:szCs w:val="16"/>
          <w:color w:val="auto"/>
        </w:rPr>
        <w:t>.</w:t>
      </w:r>
    </w:p>
    <w:p>
      <w:pPr>
        <w:spacing w:after="0" w:line="98" w:lineRule="exact"/>
        <w:rPr>
          <w:rFonts w:ascii="Arial" w:cs="Arial" w:eastAsia="Arial" w:hAnsi="Arial"/>
          <w:sz w:val="16"/>
          <w:szCs w:val="16"/>
          <w:color w:val="auto"/>
        </w:rPr>
      </w:pPr>
    </w:p>
    <w:p>
      <w:pPr>
        <w:jc w:val="both"/>
        <w:ind w:left="460" w:right="459" w:firstLine="858"/>
        <w:spacing w:after="0" w:line="284" w:lineRule="auto"/>
        <w:tabs>
          <w:tab w:leader="none" w:pos="1608" w:val="left"/>
        </w:tabs>
        <w:numPr>
          <w:ilvl w:val="1"/>
          <w:numId w:val="286"/>
        </w:numPr>
        <w:rPr>
          <w:rFonts w:ascii="Arial" w:cs="Arial" w:eastAsia="Arial" w:hAnsi="Arial"/>
          <w:sz w:val="16"/>
          <w:szCs w:val="16"/>
          <w:color w:val="auto"/>
        </w:rPr>
      </w:pPr>
      <w:r>
        <w:rPr>
          <w:rFonts w:ascii="Arial" w:cs="Arial" w:eastAsia="Arial" w:hAnsi="Arial"/>
          <w:sz w:val="16"/>
          <w:szCs w:val="16"/>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93" w:lineRule="exact"/>
        <w:rPr>
          <w:rFonts w:ascii="Arial" w:cs="Arial" w:eastAsia="Arial" w:hAnsi="Arial"/>
          <w:sz w:val="16"/>
          <w:szCs w:val="16"/>
          <w:color w:val="auto"/>
        </w:rPr>
      </w:pPr>
    </w:p>
    <w:p>
      <w:pPr>
        <w:jc w:val="both"/>
        <w:ind w:left="460" w:right="479" w:firstLine="858"/>
        <w:spacing w:after="0" w:line="287" w:lineRule="auto"/>
        <w:tabs>
          <w:tab w:leader="none" w:pos="159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w:t>
      </w:r>
    </w:p>
    <w:p>
      <w:pPr>
        <w:spacing w:after="0" w:line="2" w:lineRule="exact"/>
        <w:rPr>
          <w:rFonts w:ascii="Arial" w:cs="Arial" w:eastAsia="Arial" w:hAnsi="Arial"/>
          <w:sz w:val="16"/>
          <w:szCs w:val="16"/>
          <w:color w:val="auto"/>
        </w:rPr>
      </w:pPr>
    </w:p>
    <w:p>
      <w:pPr>
        <w:jc w:val="both"/>
        <w:ind w:left="460" w:right="459" w:hanging="6"/>
        <w:spacing w:after="0" w:line="268" w:lineRule="auto"/>
        <w:tabs>
          <w:tab w:leader="none" w:pos="70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the Parent Stockholder Approval; (ii) adoption and approval of the Amended and Restated Certificate of Incorporation of Parent,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including the change of the name of Parent to “Gemini Therapeutics, Inc.”; (iii) adoption and approval of the Amended and Restated Bylaws of Parent in the form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 (i) through (vii) collectively, the “</w:t>
      </w:r>
      <w:r>
        <w:rPr>
          <w:rFonts w:ascii="Arial" w:cs="Arial" w:eastAsia="Arial" w:hAnsi="Arial"/>
          <w:sz w:val="17"/>
          <w:szCs w:val="17"/>
          <w:u w:val="single" w:color="auto"/>
          <w:color w:val="auto"/>
        </w:rPr>
        <w:t>Parent Proposals</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jc w:val="both"/>
        <w:ind w:left="460" w:right="459" w:firstLine="858"/>
        <w:spacing w:after="0" w:line="254" w:lineRule="auto"/>
        <w:tabs>
          <w:tab w:leader="none" w:pos="1557" w:val="left"/>
        </w:tabs>
        <w:numPr>
          <w:ilvl w:val="1"/>
          <w:numId w:val="287"/>
        </w:numPr>
        <w:rPr>
          <w:rFonts w:ascii="Arial" w:cs="Arial" w:eastAsia="Arial" w:hAnsi="Arial"/>
          <w:sz w:val="18"/>
          <w:szCs w:val="18"/>
          <w:color w:val="auto"/>
        </w:rPr>
      </w:pPr>
      <w:r>
        <w:rPr>
          <w:rFonts w:ascii="Arial" w:cs="Arial" w:eastAsia="Arial" w:hAnsi="Arial"/>
          <w:sz w:val="18"/>
          <w:szCs w:val="18"/>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Arial" w:cs="Arial" w:eastAsia="Arial" w:hAnsi="Arial"/>
          <w:sz w:val="18"/>
          <w:szCs w:val="18"/>
          <w:u w:val="single" w:color="auto"/>
          <w:color w:val="auto"/>
        </w:rPr>
        <w:t>Offering Shares</w:t>
      </w:r>
      <w:r>
        <w:rPr>
          <w:rFonts w:ascii="Arial" w:cs="Arial" w:eastAsia="Arial" w:hAnsi="Arial"/>
          <w:sz w:val="18"/>
          <w:szCs w:val="18"/>
          <w:color w:val="auto"/>
        </w:rPr>
        <w:t>”), at a price per share determined in accordance with the Parent Certificate of Incorporation, all in accordance with applicable Law and any applicable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7" w:name="page318"/>
    <w:bookmarkEnd w:id="31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116" w:lineRule="exact"/>
        <w:rPr>
          <w:sz w:val="20"/>
          <w:szCs w:val="20"/>
          <w:color w:val="auto"/>
        </w:rPr>
      </w:pPr>
    </w:p>
    <w:p>
      <w:pPr>
        <w:ind w:left="460" w:right="479" w:firstLine="858"/>
        <w:spacing w:after="0" w:line="342" w:lineRule="auto"/>
        <w:tabs>
          <w:tab w:leader="none" w:pos="158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Notwithstanding anything else to the contrary in this Agreement or any Additional Agreements, Parent may make any public filing with respect to the Merger to the extent required by applicable Law.</w:t>
      </w:r>
    </w:p>
    <w:p>
      <w:pPr>
        <w:spacing w:after="0" w:line="56" w:lineRule="exact"/>
        <w:rPr>
          <w:rFonts w:ascii="Arial" w:cs="Arial" w:eastAsia="Arial" w:hAnsi="Arial"/>
          <w:sz w:val="16"/>
          <w:szCs w:val="16"/>
          <w:color w:val="auto"/>
        </w:rPr>
      </w:pPr>
    </w:p>
    <w:p>
      <w:pPr>
        <w:jc w:val="both"/>
        <w:ind w:left="460" w:right="459" w:firstLine="858"/>
        <w:spacing w:after="0" w:line="286" w:lineRule="auto"/>
        <w:tabs>
          <w:tab w:leader="none" w:pos="159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9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Trust Account</w:t>
      </w:r>
      <w:r>
        <w:rPr>
          <w:rFonts w:ascii="Arial" w:cs="Arial" w:eastAsia="Arial" w:hAnsi="Arial"/>
          <w:sz w:val="17"/>
          <w:szCs w:val="17"/>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Arial" w:cs="Arial" w:eastAsia="Arial" w:hAnsi="Arial"/>
          <w:sz w:val="17"/>
          <w:szCs w:val="17"/>
          <w:u w:val="single" w:color="auto"/>
          <w:color w:val="auto"/>
        </w:rPr>
        <w:t>Parent Redemption Amount</w:t>
      </w:r>
      <w:r>
        <w:rPr>
          <w:rFonts w:ascii="Arial" w:cs="Arial" w:eastAsia="Arial" w:hAnsi="Arial"/>
          <w:sz w:val="17"/>
          <w:szCs w:val="17"/>
          <w:color w:val="auto"/>
        </w:rPr>
        <w:t>”),</w:t>
      </w:r>
    </w:p>
    <w:p>
      <w:pPr>
        <w:spacing w:after="0" w:line="2" w:lineRule="exact"/>
        <w:rPr>
          <w:sz w:val="20"/>
          <w:szCs w:val="20"/>
          <w:color w:val="auto"/>
        </w:rPr>
      </w:pPr>
    </w:p>
    <w:p>
      <w:pPr>
        <w:ind w:left="460" w:right="479" w:hanging="6"/>
        <w:spacing w:after="0" w:line="260" w:lineRule="auto"/>
        <w:tabs>
          <w:tab w:leader="none" w:pos="73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deferred underwriting commissions and the expenses to third parties to which they are owed, and (c) the remaining monies in the Trust Account to Parent after the Closing.</w:t>
      </w:r>
    </w:p>
    <w:p>
      <w:pPr>
        <w:spacing w:after="0" w:line="11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Private Placement, Parent Support Agreements</w:t>
      </w:r>
      <w:r>
        <w:rPr>
          <w:rFonts w:ascii="Arial" w:cs="Arial" w:eastAsia="Arial" w:hAnsi="Arial"/>
          <w:sz w:val="18"/>
          <w:szCs w:val="18"/>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COMPANY</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Reporting; Compliance with Laws</w:t>
      </w:r>
      <w:r>
        <w:rPr>
          <w:rFonts w:ascii="Arial" w:cs="Arial" w:eastAsia="Arial" w:hAnsi="Arial"/>
          <w:sz w:val="18"/>
          <w:szCs w:val="18"/>
          <w:color w:val="auto"/>
        </w:rPr>
        <w:t>. From the date hereof through and including the Closing Date:</w:t>
      </w:r>
    </w:p>
    <w:p>
      <w:pPr>
        <w:spacing w:after="0" w:line="158" w:lineRule="exact"/>
        <w:rPr>
          <w:sz w:val="20"/>
          <w:szCs w:val="20"/>
          <w:color w:val="auto"/>
        </w:rPr>
      </w:pPr>
    </w:p>
    <w:p>
      <w:pPr>
        <w:jc w:val="both"/>
        <w:ind w:left="460" w:right="459" w:firstLine="858"/>
        <w:spacing w:after="0" w:line="254" w:lineRule="auto"/>
        <w:tabs>
          <w:tab w:leader="none" w:pos="158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27"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Commercially Reasonable Efforts to Obtain Consents</w:t>
      </w:r>
      <w:r>
        <w:rPr>
          <w:rFonts w:ascii="Arial" w:cs="Arial" w:eastAsia="Arial" w:hAnsi="Arial"/>
          <w:sz w:val="18"/>
          <w:szCs w:val="18"/>
          <w:color w:val="auto"/>
        </w:rPr>
        <w:t xml:space="preserve">. The Company shall use its commercially reasonable efforts to obtain each Company Consent set forth on </w:t>
      </w:r>
      <w:r>
        <w:rPr>
          <w:rFonts w:ascii="Arial" w:cs="Arial" w:eastAsia="Arial" w:hAnsi="Arial"/>
          <w:sz w:val="18"/>
          <w:szCs w:val="18"/>
          <w:u w:val="single" w:color="auto"/>
          <w:color w:val="auto"/>
        </w:rPr>
        <w:t>Schedule 8.2</w:t>
      </w:r>
      <w:r>
        <w:rPr>
          <w:rFonts w:ascii="Arial" w:cs="Arial" w:eastAsia="Arial" w:hAnsi="Arial"/>
          <w:sz w:val="18"/>
          <w:szCs w:val="18"/>
          <w:color w:val="auto"/>
        </w:rPr>
        <w:t>.</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Company’s Stockholders Approval</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57" w:lineRule="auto"/>
        <w:tabs>
          <w:tab w:leader="none" w:pos="157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As promptly as reasonably practicable, and in any event within two (2) Business Days following the Effective Date (the “</w:t>
      </w:r>
      <w:r>
        <w:rPr>
          <w:rFonts w:ascii="Arial" w:cs="Arial" w:eastAsia="Arial" w:hAnsi="Arial"/>
          <w:sz w:val="18"/>
          <w:szCs w:val="18"/>
          <w:u w:val="single" w:color="auto"/>
          <w:color w:val="auto"/>
        </w:rPr>
        <w:t>Company Stockholder Written Consent Deadline</w:t>
      </w:r>
      <w:r>
        <w:rPr>
          <w:rFonts w:ascii="Arial" w:cs="Arial" w:eastAsia="Arial" w:hAnsi="Arial"/>
          <w:sz w:val="18"/>
          <w:szCs w:val="18"/>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8" w:name="page319"/>
    <w:bookmarkEnd w:id="31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executed by the Company Stockholders that hold at least the requisite number and class of issued and outstanding shares of Company Capital Stock required to obtain the Company Stockholder Approval (the “</w:t>
      </w:r>
      <w:r>
        <w:rPr>
          <w:rFonts w:ascii="Arial" w:cs="Arial" w:eastAsia="Arial" w:hAnsi="Arial"/>
          <w:sz w:val="18"/>
          <w:szCs w:val="18"/>
          <w:u w:val="single" w:color="auto"/>
          <w:color w:val="auto"/>
        </w:rPr>
        <w:t>Company Stockholder Written Consent</w:t>
      </w:r>
      <w:r>
        <w:rPr>
          <w:rFonts w:ascii="Arial" w:cs="Arial" w:eastAsia="Arial" w:hAnsi="Arial"/>
          <w:sz w:val="18"/>
          <w:szCs w:val="18"/>
          <w:color w:val="auto"/>
        </w:rPr>
        <w:t>”).</w:t>
      </w:r>
    </w:p>
    <w:p>
      <w:pPr>
        <w:spacing w:after="0" w:line="116" w:lineRule="exact"/>
        <w:rPr>
          <w:sz w:val="20"/>
          <w:szCs w:val="20"/>
          <w:color w:val="auto"/>
        </w:rPr>
      </w:pPr>
    </w:p>
    <w:p>
      <w:pPr>
        <w:jc w:val="both"/>
        <w:ind w:left="460" w:right="459" w:firstLine="858"/>
        <w:spacing w:after="0" w:line="263" w:lineRule="auto"/>
        <w:tabs>
          <w:tab w:leader="none" w:pos="157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Section 280G</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88" w:lineRule="auto"/>
        <w:tabs>
          <w:tab w:leader="none" w:pos="1583"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The Company shall have obtained prior to the initiation of the requisite Company Stockholder approval procedure under </w:t>
      </w:r>
      <w:r>
        <w:rPr>
          <w:rFonts w:ascii="Arial" w:cs="Arial" w:eastAsia="Arial" w:hAnsi="Arial"/>
          <w:sz w:val="16"/>
          <w:szCs w:val="16"/>
          <w:u w:val="single" w:color="auto"/>
          <w:color w:val="auto"/>
        </w:rPr>
        <w:t>Section 8.4(b)</w:t>
      </w:r>
      <w:r>
        <w:rPr>
          <w:rFonts w:ascii="Arial" w:cs="Arial" w:eastAsia="Arial" w:hAnsi="Arial"/>
          <w:sz w:val="16"/>
          <w:szCs w:val="16"/>
          <w:color w:val="auto"/>
        </w:rPr>
        <w:t xml:space="preserve"> below, a waiver of the right to receive payments that could constitute “parachute payments” under Section 280G of the Code and regulations promulgated thereunder (a “</w:t>
      </w:r>
      <w:r>
        <w:rPr>
          <w:rFonts w:ascii="Arial" w:cs="Arial" w:eastAsia="Arial" w:hAnsi="Arial"/>
          <w:sz w:val="16"/>
          <w:szCs w:val="16"/>
          <w:u w:val="single" w:color="auto"/>
          <w:color w:val="auto"/>
        </w:rPr>
        <w:t>Parachute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 Waiver</w:t>
      </w:r>
      <w:r>
        <w:rPr>
          <w:rFonts w:ascii="Arial" w:cs="Arial" w:eastAsia="Arial" w:hAnsi="Arial"/>
          <w:sz w:val="16"/>
          <w:szCs w:val="16"/>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Arial" w:cs="Arial" w:eastAsia="Arial" w:hAnsi="Arial"/>
          <w:sz w:val="16"/>
          <w:szCs w:val="16"/>
          <w:u w:val="single" w:color="auto"/>
          <w:color w:val="auto"/>
        </w:rPr>
        <w:t>Section 8.4(b)</w:t>
      </w:r>
      <w:r>
        <w:rPr>
          <w:rFonts w:ascii="Arial" w:cs="Arial" w:eastAsia="Arial" w:hAnsi="Arial"/>
          <w:sz w:val="16"/>
          <w:szCs w:val="16"/>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00" w:lineRule="exact"/>
        <w:rPr>
          <w:rFonts w:ascii="Arial" w:cs="Arial" w:eastAsia="Arial" w:hAnsi="Arial"/>
          <w:sz w:val="16"/>
          <w:szCs w:val="16"/>
          <w:color w:val="auto"/>
        </w:rPr>
      </w:pPr>
    </w:p>
    <w:p>
      <w:pPr>
        <w:jc w:val="both"/>
        <w:ind w:left="460" w:right="459" w:firstLine="858"/>
        <w:spacing w:after="0" w:line="269" w:lineRule="auto"/>
        <w:tabs>
          <w:tab w:leader="none" w:pos="1603"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Arial" w:cs="Arial" w:eastAsia="Arial" w:hAnsi="Arial"/>
          <w:sz w:val="17"/>
          <w:szCs w:val="17"/>
          <w:u w:val="single" w:color="auto"/>
          <w:color w:val="auto"/>
        </w:rPr>
        <w:t>Section 8.4(a)</w:t>
      </w:r>
      <w:r>
        <w:rPr>
          <w:rFonts w:ascii="Arial" w:cs="Arial" w:eastAsia="Arial" w:hAnsi="Arial"/>
          <w:sz w:val="17"/>
          <w:szCs w:val="17"/>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ALL PARTIES HERETO</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Commercially Reasonable Efforts; Further Assurances; Governmental Consents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87" w:lineRule="auto"/>
        <w:tabs>
          <w:tab w:leader="none" w:pos="158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Except with respect to the matters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(which shall be subject to the terms and conditions of </w:t>
      </w:r>
      <w:r>
        <w:rPr>
          <w:rFonts w:ascii="Arial" w:cs="Arial" w:eastAsia="Arial" w:hAnsi="Arial"/>
          <w:sz w:val="16"/>
          <w:szCs w:val="16"/>
          <w:u w:val="single" w:color="auto"/>
          <w:color w:val="auto"/>
        </w:rPr>
        <w:t>Section 7.5</w:t>
      </w:r>
      <w:r>
        <w:rPr>
          <w:rFonts w:ascii="Arial" w:cs="Arial" w:eastAsia="Arial" w:hAnsi="Arial"/>
          <w:sz w:val="16"/>
          <w:szCs w:val="16"/>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00" w:lineRule="exact"/>
        <w:rPr>
          <w:rFonts w:ascii="Arial" w:cs="Arial" w:eastAsia="Arial" w:hAnsi="Arial"/>
          <w:sz w:val="16"/>
          <w:szCs w:val="16"/>
          <w:color w:val="auto"/>
        </w:rPr>
      </w:pPr>
    </w:p>
    <w:p>
      <w:pPr>
        <w:jc w:val="both"/>
        <w:ind w:left="460" w:right="459" w:firstLine="858"/>
        <w:spacing w:after="0" w:line="269" w:lineRule="auto"/>
        <w:tabs>
          <w:tab w:leader="none" w:pos="1592" w:val="left"/>
        </w:tabs>
        <w:numPr>
          <w:ilvl w:val="0"/>
          <w:numId w:val="294"/>
        </w:numPr>
        <w:rPr>
          <w:rFonts w:ascii="Arial" w:cs="Arial" w:eastAsia="Arial" w:hAnsi="Arial"/>
          <w:sz w:val="17"/>
          <w:szCs w:val="17"/>
          <w:color w:val="auto"/>
        </w:rPr>
      </w:pPr>
      <w:r>
        <w:rPr>
          <w:rFonts w:ascii="Arial" w:cs="Arial" w:eastAsia="Arial" w:hAnsi="Arial"/>
          <w:sz w:val="17"/>
          <w:szCs w:val="17"/>
          <w:color w:val="auto"/>
        </w:rPr>
        <w:t xml:space="preserve">Except with respect to the matters set forth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(which shall be subject to the terms and conditions of </w:t>
      </w:r>
      <w:r>
        <w:rPr>
          <w:rFonts w:ascii="Arial" w:cs="Arial" w:eastAsia="Arial" w:hAnsi="Arial"/>
          <w:sz w:val="17"/>
          <w:szCs w:val="17"/>
          <w:u w:val="single" w:color="auto"/>
          <w:color w:val="auto"/>
        </w:rPr>
        <w:t>Section 7.5</w:t>
      </w:r>
      <w:r>
        <w:rPr>
          <w:rFonts w:ascii="Arial" w:cs="Arial" w:eastAsia="Arial" w:hAnsi="Arial"/>
          <w:sz w:val="17"/>
          <w:szCs w:val="17"/>
          <w:color w:val="auto"/>
        </w:rPr>
        <w:t>),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9" w:name="page320"/>
    <w:bookmarkEnd w:id="31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 xml:space="preserve">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of clauses (ii), (iii) and (iv) above, that materials may be redacted</w:t>
      </w:r>
    </w:p>
    <w:p>
      <w:pPr>
        <w:spacing w:after="0" w:line="2" w:lineRule="exact"/>
        <w:rPr>
          <w:sz w:val="20"/>
          <w:szCs w:val="20"/>
          <w:color w:val="auto"/>
        </w:rPr>
      </w:pPr>
    </w:p>
    <w:p>
      <w:pPr>
        <w:jc w:val="both"/>
        <w:ind w:left="460" w:right="479" w:hanging="6"/>
        <w:spacing w:after="0" w:line="255" w:lineRule="auto"/>
        <w:tabs>
          <w:tab w:leader="none" w:pos="76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2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Confidentiality</w:t>
      </w:r>
      <w:r>
        <w:rPr>
          <w:rFonts w:ascii="Arial" w:cs="Arial" w:eastAsia="Arial" w:hAnsi="Arial"/>
          <w:sz w:val="17"/>
          <w:szCs w:val="17"/>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Directors’ and Officers’ Indemnification and Liability Insurance</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59" w:lineRule="auto"/>
        <w:tabs>
          <w:tab w:leader="none" w:pos="160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19" w:lineRule="exact"/>
        <w:rPr>
          <w:rFonts w:ascii="Arial" w:cs="Arial" w:eastAsia="Arial" w:hAnsi="Arial"/>
          <w:sz w:val="18"/>
          <w:szCs w:val="18"/>
          <w:color w:val="auto"/>
        </w:rPr>
      </w:pPr>
    </w:p>
    <w:p>
      <w:pPr>
        <w:jc w:val="both"/>
        <w:ind w:left="460" w:right="459" w:firstLine="858"/>
        <w:spacing w:after="0" w:line="270" w:lineRule="auto"/>
        <w:tabs>
          <w:tab w:leader="none" w:pos="1609" w:val="left"/>
        </w:tabs>
        <w:numPr>
          <w:ilvl w:val="0"/>
          <w:numId w:val="296"/>
        </w:numPr>
        <w:rPr>
          <w:rFonts w:ascii="Arial" w:cs="Arial" w:eastAsia="Arial" w:hAnsi="Arial"/>
          <w:sz w:val="17"/>
          <w:szCs w:val="17"/>
          <w:color w:val="auto"/>
        </w:rPr>
      </w:pPr>
      <w:r>
        <w:rPr>
          <w:rFonts w:ascii="Arial" w:cs="Arial" w:eastAsia="Arial" w:hAnsi="Arial"/>
          <w:sz w:val="17"/>
          <w:szCs w:val="17"/>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113" w:lineRule="exact"/>
        <w:rPr>
          <w:rFonts w:ascii="Arial" w:cs="Arial" w:eastAsia="Arial" w:hAnsi="Arial"/>
          <w:sz w:val="17"/>
          <w:szCs w:val="17"/>
          <w:color w:val="auto"/>
        </w:rPr>
      </w:pPr>
    </w:p>
    <w:p>
      <w:pPr>
        <w:jc w:val="both"/>
        <w:ind w:left="460" w:right="459" w:firstLine="858"/>
        <w:spacing w:after="0" w:line="259" w:lineRule="auto"/>
        <w:tabs>
          <w:tab w:leader="none" w:pos="157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105" w:lineRule="exact"/>
        <w:rPr>
          <w:rFonts w:ascii="Arial" w:cs="Arial" w:eastAsia="Arial" w:hAnsi="Arial"/>
          <w:sz w:val="18"/>
          <w:szCs w:val="18"/>
          <w:color w:val="auto"/>
        </w:rPr>
      </w:pPr>
    </w:p>
    <w:p>
      <w:pPr>
        <w:jc w:val="both"/>
        <w:ind w:left="460" w:right="459" w:firstLine="858"/>
        <w:spacing w:after="0" w:line="272" w:lineRule="auto"/>
        <w:tabs>
          <w:tab w:leader="none" w:pos="158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Arial" w:cs="Arial" w:eastAsia="Arial" w:hAnsi="Arial"/>
          <w:sz w:val="17"/>
          <w:szCs w:val="17"/>
          <w:u w:val="single" w:color="auto"/>
          <w:color w:val="auto"/>
        </w:rPr>
        <w:t>Tail Policy</w:t>
      </w:r>
      <w:r>
        <w:rPr>
          <w:rFonts w:ascii="Arial" w:cs="Arial" w:eastAsia="Arial" w:hAnsi="Arial"/>
          <w:sz w:val="17"/>
          <w:szCs w:val="17"/>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0" w:name="page321"/>
    <w:bookmarkEnd w:id="32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Nasdaq Listing</w:t>
      </w:r>
      <w:r>
        <w:rPr>
          <w:rFonts w:ascii="Arial" w:cs="Arial" w:eastAsia="Arial" w:hAnsi="Arial"/>
          <w:sz w:val="18"/>
          <w:szCs w:val="18"/>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Certain Tax Matters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9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11" w:lineRule="exact"/>
        <w:rPr>
          <w:rFonts w:ascii="Arial" w:cs="Arial" w:eastAsia="Arial" w:hAnsi="Arial"/>
          <w:sz w:val="18"/>
          <w:szCs w:val="18"/>
          <w:color w:val="auto"/>
        </w:rPr>
      </w:pPr>
    </w:p>
    <w:p>
      <w:pPr>
        <w:jc w:val="both"/>
        <w:ind w:left="460" w:right="459" w:firstLine="858"/>
        <w:spacing w:after="0" w:line="259" w:lineRule="auto"/>
        <w:tabs>
          <w:tab w:leader="none" w:pos="162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19" w:lineRule="exact"/>
        <w:rPr>
          <w:rFonts w:ascii="Arial" w:cs="Arial" w:eastAsia="Arial" w:hAnsi="Arial"/>
          <w:sz w:val="18"/>
          <w:szCs w:val="18"/>
          <w:color w:val="auto"/>
        </w:rPr>
      </w:pPr>
    </w:p>
    <w:p>
      <w:pPr>
        <w:jc w:val="both"/>
        <w:ind w:left="460" w:right="459" w:firstLine="858"/>
        <w:spacing w:after="0" w:line="270" w:lineRule="auto"/>
        <w:tabs>
          <w:tab w:leader="none" w:pos="161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All transfer, documentary, sales, use, value added, goods and services, stamp, registration, notarial fees and other similar Taxes and fees (collectively, “</w:t>
      </w:r>
      <w:r>
        <w:rPr>
          <w:rFonts w:ascii="Arial" w:cs="Arial" w:eastAsia="Arial" w:hAnsi="Arial"/>
          <w:sz w:val="17"/>
          <w:szCs w:val="17"/>
          <w:u w:val="single" w:color="auto"/>
          <w:color w:val="auto"/>
        </w:rPr>
        <w:t>Transfer Taxes</w:t>
      </w:r>
      <w:r>
        <w:rPr>
          <w:rFonts w:ascii="Arial" w:cs="Arial" w:eastAsia="Arial" w:hAnsi="Arial"/>
          <w:sz w:val="17"/>
          <w:szCs w:val="17"/>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11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Equity Incentive Plan</w:t>
      </w:r>
      <w:r>
        <w:rPr>
          <w:rFonts w:ascii="Arial" w:cs="Arial" w:eastAsia="Arial" w:hAnsi="Arial"/>
          <w:sz w:val="16"/>
          <w:szCs w:val="16"/>
          <w:color w:val="auto"/>
        </w:rPr>
        <w:t xml:space="preserve">. Prior to the Effective Date, Parent shall adopt a new equity incentive plan in substantially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with such changes or modifications thereto as the Company and Parent may mutually agree (such agreement not to be unreasonably withheld, conditioned or delayed by either the Company or Parent, as applicable) (the “</w:t>
      </w:r>
      <w:r>
        <w:rPr>
          <w:rFonts w:ascii="Arial" w:cs="Arial" w:eastAsia="Arial" w:hAnsi="Arial"/>
          <w:sz w:val="16"/>
          <w:szCs w:val="16"/>
          <w:u w:val="single" w:color="auto"/>
          <w:color w:val="auto"/>
        </w:rPr>
        <w:t>Parent Equity Incentive Plan</w:t>
      </w:r>
      <w:r>
        <w:rPr>
          <w:rFonts w:ascii="Arial" w:cs="Arial" w:eastAsia="Arial" w:hAnsi="Arial"/>
          <w:sz w:val="16"/>
          <w:szCs w:val="16"/>
          <w:color w:val="auto"/>
        </w:rPr>
        <w:t xml:space="preserve">”), effective as of one day prior to the Closing Date. The Parent Equity Incentive Plan shall have such number of shares available for issuance as mutually determined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Condition to the Obligations of the Parties</w:t>
      </w:r>
      <w:r>
        <w:rPr>
          <w:rFonts w:ascii="Arial" w:cs="Arial" w:eastAsia="Arial" w:hAnsi="Arial"/>
          <w:sz w:val="16"/>
          <w:szCs w:val="16"/>
          <w:color w:val="auto"/>
        </w:rPr>
        <w:t>. The obligations of all of the parties to consummate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Merger are subject to the satisfaction of all the following conditions:</w:t>
      </w:r>
    </w:p>
    <w:p>
      <w:pPr>
        <w:spacing w:after="0" w:line="143" w:lineRule="exact"/>
        <w:rPr>
          <w:sz w:val="20"/>
          <w:szCs w:val="20"/>
          <w:color w:val="auto"/>
        </w:rPr>
      </w:pPr>
    </w:p>
    <w:p>
      <w:pPr>
        <w:ind w:left="460" w:right="479" w:firstLine="858"/>
        <w:spacing w:after="0" w:line="277" w:lineRule="auto"/>
        <w:tabs>
          <w:tab w:leader="none" w:pos="159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 provisions of any applicable Law and no Order shall restrain or prohibit or impose any condition on the consummation of the Transactions.</w:t>
      </w:r>
    </w:p>
    <w:p>
      <w:pPr>
        <w:spacing w:after="0" w:line="102" w:lineRule="exact"/>
        <w:rPr>
          <w:rFonts w:ascii="Arial" w:cs="Arial" w:eastAsia="Arial" w:hAnsi="Arial"/>
          <w:sz w:val="18"/>
          <w:szCs w:val="18"/>
          <w:color w:val="auto"/>
        </w:rPr>
      </w:pPr>
    </w:p>
    <w:p>
      <w:pPr>
        <w:ind w:left="460" w:right="459" w:firstLine="858"/>
        <w:spacing w:after="0" w:line="277" w:lineRule="auto"/>
        <w:tabs>
          <w:tab w:leader="none" w:pos="160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Each consent or approval required to be obtained from any Authority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10.1(b)</w:t>
      </w:r>
      <w:r>
        <w:rPr>
          <w:rFonts w:ascii="Arial" w:cs="Arial" w:eastAsia="Arial" w:hAnsi="Arial"/>
          <w:sz w:val="18"/>
          <w:szCs w:val="18"/>
          <w:color w:val="auto"/>
        </w:rPr>
        <w:t xml:space="preserve"> shall have been obtained.</w:t>
      </w:r>
    </w:p>
    <w:p>
      <w:pPr>
        <w:spacing w:after="0" w:line="89" w:lineRule="exact"/>
        <w:rPr>
          <w:rFonts w:ascii="Arial" w:cs="Arial" w:eastAsia="Arial" w:hAnsi="Arial"/>
          <w:sz w:val="18"/>
          <w:szCs w:val="18"/>
          <w:color w:val="auto"/>
        </w:rPr>
      </w:pPr>
    </w:p>
    <w:p>
      <w:pPr>
        <w:ind w:left="460" w:right="459" w:firstLine="858"/>
        <w:spacing w:after="0" w:line="277" w:lineRule="auto"/>
        <w:tabs>
          <w:tab w:leader="none" w:pos="159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There shall not be any Action brought by any governmental Authority to enjoin or otherwise restrict the consummation of the Transactions.</w:t>
      </w:r>
    </w:p>
    <w:p>
      <w:pPr>
        <w:spacing w:after="0" w:line="102" w:lineRule="exact"/>
        <w:rPr>
          <w:rFonts w:ascii="Arial" w:cs="Arial" w:eastAsia="Arial" w:hAnsi="Arial"/>
          <w:sz w:val="18"/>
          <w:szCs w:val="18"/>
          <w:color w:val="auto"/>
        </w:rPr>
      </w:pPr>
    </w:p>
    <w:p>
      <w:pPr>
        <w:ind w:left="460" w:right="459" w:firstLine="858"/>
        <w:spacing w:after="0" w:line="277" w:lineRule="auto"/>
        <w:tabs>
          <w:tab w:leader="none" w:pos="158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Parent shall not have redeemed the Parent Class A Shares in an amount that would cause Parent to have net tangible assets of less than $5,000,001 upon consummation of the Merger.</w:t>
      </w:r>
    </w:p>
    <w:p>
      <w:pPr>
        <w:spacing w:after="0" w:line="102" w:lineRule="exact"/>
        <w:rPr>
          <w:rFonts w:ascii="Arial" w:cs="Arial" w:eastAsia="Arial" w:hAnsi="Arial"/>
          <w:sz w:val="18"/>
          <w:szCs w:val="18"/>
          <w:color w:val="auto"/>
        </w:rPr>
      </w:pPr>
    </w:p>
    <w:p>
      <w:pPr>
        <w:ind w:left="1560" w:hanging="242"/>
        <w:spacing w:after="0"/>
        <w:tabs>
          <w:tab w:leader="none" w:pos="15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Each of the Parent Proposals shall have been duly approved at the Parent Stockholder Meeting;</w:t>
      </w:r>
    </w:p>
    <w:p>
      <w:pPr>
        <w:spacing w:after="0" w:line="167" w:lineRule="exact"/>
        <w:rPr>
          <w:rFonts w:ascii="Arial" w:cs="Arial" w:eastAsia="Arial" w:hAnsi="Arial"/>
          <w:sz w:val="16"/>
          <w:szCs w:val="16"/>
          <w:color w:val="auto"/>
        </w:rPr>
      </w:pPr>
    </w:p>
    <w:p>
      <w:pPr>
        <w:ind w:left="1540" w:hanging="222"/>
        <w:spacing w:after="0"/>
        <w:tabs>
          <w:tab w:leader="none" w:pos="15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1" w:name="page322"/>
    <w:bookmarkEnd w:id="32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obligation of Parent and Merger Sub to consummate the Merger is subject to the satisfaction, or the waiver in Parent’s sole and absolute discretion, of all the following further conditions:</w:t>
      </w:r>
    </w:p>
    <w:p>
      <w:pPr>
        <w:spacing w:after="0" w:line="116" w:lineRule="exact"/>
        <w:rPr>
          <w:sz w:val="20"/>
          <w:szCs w:val="20"/>
          <w:color w:val="auto"/>
        </w:rPr>
      </w:pPr>
    </w:p>
    <w:p>
      <w:pPr>
        <w:jc w:val="both"/>
        <w:ind w:left="460" w:right="479" w:firstLine="858"/>
        <w:spacing w:after="0" w:line="263" w:lineRule="auto"/>
        <w:tabs>
          <w:tab w:leader="none" w:pos="159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16" w:lineRule="exact"/>
        <w:rPr>
          <w:rFonts w:ascii="Arial" w:cs="Arial" w:eastAsia="Arial" w:hAnsi="Arial"/>
          <w:sz w:val="18"/>
          <w:szCs w:val="18"/>
          <w:color w:val="auto"/>
        </w:rPr>
      </w:pPr>
    </w:p>
    <w:p>
      <w:pPr>
        <w:jc w:val="both"/>
        <w:ind w:left="460" w:right="459" w:firstLine="858"/>
        <w:spacing w:after="0" w:line="270" w:lineRule="auto"/>
        <w:tabs>
          <w:tab w:leader="none" w:pos="1593"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99" w:lineRule="exact"/>
        <w:rPr>
          <w:rFonts w:ascii="Arial" w:cs="Arial" w:eastAsia="Arial" w:hAnsi="Arial"/>
          <w:sz w:val="17"/>
          <w:szCs w:val="17"/>
          <w:color w:val="auto"/>
        </w:rPr>
      </w:pPr>
    </w:p>
    <w:p>
      <w:pPr>
        <w:jc w:val="both"/>
        <w:ind w:left="460" w:right="459" w:firstLine="858"/>
        <w:spacing w:after="0" w:line="255" w:lineRule="auto"/>
        <w:tabs>
          <w:tab w:leader="none" w:pos="161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w:t>
      </w:r>
    </w:p>
    <w:p>
      <w:pPr>
        <w:spacing w:after="0" w:line="124" w:lineRule="exact"/>
        <w:rPr>
          <w:rFonts w:ascii="Arial" w:cs="Arial" w:eastAsia="Arial" w:hAnsi="Arial"/>
          <w:sz w:val="18"/>
          <w:szCs w:val="18"/>
          <w:color w:val="auto"/>
        </w:rPr>
      </w:pPr>
    </w:p>
    <w:p>
      <w:pPr>
        <w:jc w:val="both"/>
        <w:ind w:left="460" w:right="459" w:firstLine="858"/>
        <w:spacing w:after="0" w:line="263" w:lineRule="auto"/>
        <w:tabs>
          <w:tab w:leader="none" w:pos="161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Parent shall have received a certificate signed by the Chief Executive Officer or the Chief Financial Officer certifying the accuracy of the provisions of the foregoing clauses (a), (b) and (c)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Company Certificate</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460" w:right="459" w:firstLine="858"/>
        <w:spacing w:after="0" w:line="254" w:lineRule="auto"/>
        <w:tabs>
          <w:tab w:leader="none" w:pos="158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113" w:lineRule="exact"/>
        <w:rPr>
          <w:rFonts w:ascii="Arial" w:cs="Arial" w:eastAsia="Arial" w:hAnsi="Arial"/>
          <w:sz w:val="18"/>
          <w:szCs w:val="18"/>
          <w:color w:val="auto"/>
        </w:rPr>
      </w:pPr>
    </w:p>
    <w:p>
      <w:pPr>
        <w:ind w:left="460" w:right="459" w:firstLine="858"/>
        <w:spacing w:after="0" w:line="277" w:lineRule="auto"/>
        <w:tabs>
          <w:tab w:leader="none" w:pos="160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and the Specified Company Securityholders shall have duly executed and delivered to Parent a copy of the Registration Rights Agreement.</w:t>
      </w:r>
    </w:p>
    <w:p>
      <w:pPr>
        <w:spacing w:after="0" w:line="102" w:lineRule="exact"/>
        <w:rPr>
          <w:rFonts w:ascii="Arial" w:cs="Arial" w:eastAsia="Arial" w:hAnsi="Arial"/>
          <w:sz w:val="18"/>
          <w:szCs w:val="18"/>
          <w:color w:val="auto"/>
        </w:rPr>
      </w:pPr>
    </w:p>
    <w:p>
      <w:pPr>
        <w:ind w:left="460" w:right="479" w:firstLine="858"/>
        <w:spacing w:after="0" w:line="277" w:lineRule="auto"/>
        <w:tabs>
          <w:tab w:leader="none" w:pos="15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shall have delivered to Parent and Sponsor a copy of the Escrow Agreement, duly executed by the Company.</w:t>
      </w:r>
    </w:p>
    <w:p>
      <w:pPr>
        <w:spacing w:after="0" w:line="102" w:lineRule="exact"/>
        <w:rPr>
          <w:rFonts w:ascii="Arial" w:cs="Arial" w:eastAsia="Arial" w:hAnsi="Arial"/>
          <w:sz w:val="18"/>
          <w:szCs w:val="18"/>
          <w:color w:val="auto"/>
        </w:rPr>
      </w:pPr>
    </w:p>
    <w:p>
      <w:pPr>
        <w:ind w:left="460" w:right="479" w:firstLine="858"/>
        <w:spacing w:after="0" w:line="277" w:lineRule="auto"/>
        <w:tabs>
          <w:tab w:leader="none" w:pos="162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and the Specified Company Securityholders shall have duly executed and delivered to Parent a copy of the Voting Agreement.</w:t>
      </w:r>
    </w:p>
    <w:p>
      <w:pPr>
        <w:spacing w:after="0" w:line="89" w:lineRule="exact"/>
        <w:rPr>
          <w:rFonts w:ascii="Arial" w:cs="Arial" w:eastAsia="Arial" w:hAnsi="Arial"/>
          <w:sz w:val="18"/>
          <w:szCs w:val="18"/>
          <w:color w:val="auto"/>
        </w:rPr>
      </w:pPr>
    </w:p>
    <w:p>
      <w:pPr>
        <w:ind w:left="1540" w:hanging="222"/>
        <w:spacing w:after="0"/>
        <w:tabs>
          <w:tab w:leader="none" w:pos="15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There shall not have been a Material Adverse Effect since the date hereof that is continuing.</w:t>
      </w:r>
    </w:p>
    <w:p>
      <w:pPr>
        <w:spacing w:after="0" w:line="169" w:lineRule="exact"/>
        <w:rPr>
          <w:rFonts w:ascii="Arial" w:cs="Arial" w:eastAsia="Arial" w:hAnsi="Arial"/>
          <w:sz w:val="17"/>
          <w:szCs w:val="17"/>
          <w:color w:val="auto"/>
        </w:rPr>
      </w:pPr>
    </w:p>
    <w:p>
      <w:pPr>
        <w:jc w:val="both"/>
        <w:ind w:left="460" w:right="479" w:firstLine="858"/>
        <w:spacing w:after="0" w:line="263" w:lineRule="auto"/>
        <w:tabs>
          <w:tab w:leader="none" w:pos="155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Not more than three percent (3%) of the issued and outstanding shares of Company Common Stock (including shares of Company Common Stock issuable upon conversion of Company Preferred Stock) shall continue Dissenting Shares.</w:t>
      </w:r>
    </w:p>
    <w:p>
      <w:pPr>
        <w:spacing w:after="0" w:line="116" w:lineRule="exact"/>
        <w:rPr>
          <w:rFonts w:ascii="Arial" w:cs="Arial" w:eastAsia="Arial" w:hAnsi="Arial"/>
          <w:sz w:val="18"/>
          <w:szCs w:val="18"/>
          <w:color w:val="auto"/>
        </w:rPr>
      </w:pPr>
    </w:p>
    <w:p>
      <w:pPr>
        <w:jc w:val="both"/>
        <w:ind w:left="460" w:right="459" w:firstLine="858"/>
        <w:spacing w:after="0" w:line="257" w:lineRule="auto"/>
        <w:tabs>
          <w:tab w:leader="none" w:pos="161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jc w:val="both"/>
        <w:ind w:left="460" w:right="479" w:firstLine="858"/>
        <w:spacing w:after="0" w:line="259" w:lineRule="auto"/>
        <w:tabs>
          <w:tab w:leader="none" w:pos="158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Closing.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2" w:name="page323"/>
    <w:bookmarkEnd w:id="32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620" w:hanging="302"/>
        <w:spacing w:after="0"/>
        <w:tabs>
          <w:tab w:leader="none" w:pos="16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Company shall have obtained each Company Consent set forth on Schedule 10.2(m).</w:t>
      </w:r>
    </w:p>
    <w:p>
      <w:pPr>
        <w:spacing w:after="0" w:line="155" w:lineRule="exact"/>
        <w:rPr>
          <w:rFonts w:ascii="Arial" w:cs="Arial" w:eastAsia="Arial" w:hAnsi="Arial"/>
          <w:sz w:val="17"/>
          <w:szCs w:val="17"/>
          <w:color w:val="auto"/>
        </w:rPr>
      </w:pPr>
    </w:p>
    <w:p>
      <w:pPr>
        <w:ind w:left="460" w:right="479" w:firstLine="858"/>
        <w:spacing w:after="0" w:line="277" w:lineRule="auto"/>
        <w:tabs>
          <w:tab w:leader="none" w:pos="160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evidence of termination of the Equity Incentive Plans in accordance with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460" w:right="459" w:firstLine="858"/>
        <w:spacing w:after="0" w:line="259" w:lineRule="auto"/>
        <w:tabs>
          <w:tab w:leader="none" w:pos="159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105" w:lineRule="exact"/>
        <w:rPr>
          <w:rFonts w:ascii="Arial" w:cs="Arial" w:eastAsia="Arial" w:hAnsi="Arial"/>
          <w:sz w:val="18"/>
          <w:szCs w:val="18"/>
          <w:color w:val="auto"/>
        </w:rPr>
      </w:pPr>
    </w:p>
    <w:p>
      <w:pPr>
        <w:ind w:left="460" w:right="479" w:firstLine="858"/>
        <w:spacing w:after="0" w:line="277" w:lineRule="auto"/>
        <w:tabs>
          <w:tab w:leader="none" w:pos="158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Company shall have executed and delivered to Parent a copy of each Additional Agreement to which it or any of its stockholders is a party.</w:t>
      </w:r>
    </w:p>
    <w:p>
      <w:pPr>
        <w:spacing w:after="0" w:line="89" w:lineRule="exact"/>
        <w:rPr>
          <w:rFonts w:ascii="Arial" w:cs="Arial" w:eastAsia="Arial" w:hAnsi="Arial"/>
          <w:sz w:val="18"/>
          <w:szCs w:val="18"/>
          <w:color w:val="auto"/>
        </w:rPr>
      </w:pPr>
    </w:p>
    <w:p>
      <w:pPr>
        <w:ind w:left="460" w:right="459" w:firstLine="858"/>
        <w:spacing w:after="0" w:line="277" w:lineRule="auto"/>
        <w:tabs>
          <w:tab w:leader="none" w:pos="159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copies of the Lockup Agreements, duly executed by each of the Company Securityholders set forth on </w:t>
      </w:r>
      <w:r>
        <w:rPr>
          <w:rFonts w:ascii="Arial" w:cs="Arial" w:eastAsia="Arial" w:hAnsi="Arial"/>
          <w:sz w:val="18"/>
          <w:szCs w:val="18"/>
          <w:u w:val="single" w:color="auto"/>
          <w:color w:val="auto"/>
        </w:rPr>
        <w:t>Schedule 10.2(q)</w:t>
      </w:r>
      <w:r>
        <w:rPr>
          <w:rFonts w:ascii="Arial" w:cs="Arial" w:eastAsia="Arial" w:hAnsi="Arial"/>
          <w:sz w:val="18"/>
          <w:szCs w:val="18"/>
          <w:color w:val="auto"/>
        </w:rPr>
        <w:t>.</w:t>
      </w:r>
    </w:p>
    <w:p>
      <w:pPr>
        <w:spacing w:after="0" w:line="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Merger is subject to the satisfaction, or the waiver in the Company’s sole and absolute discretion, of all of the following further conditions:</w:t>
      </w:r>
    </w:p>
    <w:p>
      <w:pPr>
        <w:spacing w:after="0" w:line="103" w:lineRule="exact"/>
        <w:rPr>
          <w:sz w:val="20"/>
          <w:szCs w:val="20"/>
          <w:color w:val="auto"/>
        </w:rPr>
      </w:pPr>
    </w:p>
    <w:p>
      <w:pPr>
        <w:jc w:val="both"/>
        <w:ind w:left="460" w:right="459" w:firstLine="858"/>
        <w:spacing w:after="0" w:line="259" w:lineRule="auto"/>
        <w:tabs>
          <w:tab w:leader="none" w:pos="161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105" w:lineRule="exact"/>
        <w:rPr>
          <w:rFonts w:ascii="Arial" w:cs="Arial" w:eastAsia="Arial" w:hAnsi="Arial"/>
          <w:sz w:val="18"/>
          <w:szCs w:val="18"/>
          <w:color w:val="auto"/>
        </w:rPr>
      </w:pPr>
    </w:p>
    <w:p>
      <w:pPr>
        <w:jc w:val="both"/>
        <w:ind w:left="460" w:right="459" w:firstLine="858"/>
        <w:spacing w:after="0" w:line="290" w:lineRule="auto"/>
        <w:tabs>
          <w:tab w:leader="none" w:pos="1616"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84" w:lineRule="exact"/>
        <w:rPr>
          <w:rFonts w:ascii="Arial" w:cs="Arial" w:eastAsia="Arial" w:hAnsi="Arial"/>
          <w:sz w:val="16"/>
          <w:szCs w:val="16"/>
          <w:color w:val="auto"/>
        </w:rPr>
      </w:pPr>
    </w:p>
    <w:p>
      <w:pPr>
        <w:jc w:val="both"/>
        <w:ind w:left="460" w:right="459" w:firstLine="858"/>
        <w:spacing w:after="0" w:line="255" w:lineRule="auto"/>
        <w:tabs>
          <w:tab w:leader="none" w:pos="164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w:t>
      </w:r>
    </w:p>
    <w:p>
      <w:pPr>
        <w:spacing w:after="0" w:line="111" w:lineRule="exact"/>
        <w:rPr>
          <w:rFonts w:ascii="Arial" w:cs="Arial" w:eastAsia="Arial" w:hAnsi="Arial"/>
          <w:sz w:val="18"/>
          <w:szCs w:val="18"/>
          <w:color w:val="auto"/>
        </w:rPr>
      </w:pPr>
    </w:p>
    <w:p>
      <w:pPr>
        <w:ind w:left="460" w:right="459" w:firstLine="858"/>
        <w:spacing w:after="0" w:line="308" w:lineRule="auto"/>
        <w:tabs>
          <w:tab w:leader="none" w:pos="158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The Amended and Restated Certificate of Incorporation of Parent,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shall have been filed with, and declared effective by, the Delaware Secretary of State.</w:t>
      </w:r>
    </w:p>
    <w:p>
      <w:pPr>
        <w:spacing w:after="0" w:line="65" w:lineRule="exact"/>
        <w:rPr>
          <w:rFonts w:ascii="Arial" w:cs="Arial" w:eastAsia="Arial" w:hAnsi="Arial"/>
          <w:sz w:val="17"/>
          <w:szCs w:val="17"/>
          <w:color w:val="auto"/>
        </w:rPr>
      </w:pPr>
    </w:p>
    <w:p>
      <w:pPr>
        <w:ind w:left="460" w:right="459" w:firstLine="858"/>
        <w:spacing w:after="0" w:line="277" w:lineRule="auto"/>
        <w:tabs>
          <w:tab w:leader="none" w:pos="161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The Company shall have received a certificate signed by an authorized officer of Parent accuracy of the provisions of the foregoing clauses (a), (b) and (c) of this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560" w:hanging="242"/>
        <w:spacing w:after="0"/>
        <w:tabs>
          <w:tab w:leader="none" w:pos="156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Sponsor shall have executed and delivered to the Company a copy of the Registration Rights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29" w:lineRule="exact"/>
        <w:rPr>
          <w:rFonts w:ascii="Arial" w:cs="Arial" w:eastAsia="Arial" w:hAnsi="Arial"/>
          <w:sz w:val="16"/>
          <w:szCs w:val="16"/>
          <w:color w:val="auto"/>
        </w:rPr>
      </w:pPr>
    </w:p>
    <w:p>
      <w:pPr>
        <w:ind w:left="1580" w:hanging="262"/>
        <w:spacing w:after="0"/>
        <w:tabs>
          <w:tab w:leader="none" w:pos="158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Sponsor shall have executed and delivered to the Company a copy of the Escrow Agreement.</w:t>
      </w:r>
    </w:p>
    <w:p>
      <w:pPr>
        <w:spacing w:after="0" w:line="167" w:lineRule="exact"/>
        <w:rPr>
          <w:rFonts w:ascii="Arial" w:cs="Arial" w:eastAsia="Arial" w:hAnsi="Arial"/>
          <w:sz w:val="16"/>
          <w:szCs w:val="16"/>
          <w:color w:val="auto"/>
        </w:rPr>
      </w:pPr>
    </w:p>
    <w:p>
      <w:pPr>
        <w:ind w:left="1620" w:hanging="302"/>
        <w:spacing w:after="0"/>
        <w:tabs>
          <w:tab w:leader="none" w:pos="162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Parent and the Sponsor shall have executed and delivered to Parent a copy of the Voting</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29" w:lineRule="exact"/>
        <w:rPr>
          <w:rFonts w:ascii="Arial" w:cs="Arial" w:eastAsia="Arial" w:hAnsi="Arial"/>
          <w:sz w:val="17"/>
          <w:szCs w:val="17"/>
          <w:color w:val="auto"/>
        </w:rPr>
      </w:pPr>
    </w:p>
    <w:p>
      <w:pPr>
        <w:ind w:left="460" w:right="479" w:firstLine="858"/>
        <w:spacing w:after="0" w:line="277" w:lineRule="auto"/>
        <w:tabs>
          <w:tab w:leader="none" w:pos="154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Parent shall have executed and delivered to the Company a copy of each Additional Agreement to which it or any of its stockholders is a party.</w:t>
      </w:r>
    </w:p>
    <w:p>
      <w:pPr>
        <w:spacing w:after="0" w:line="89" w:lineRule="exact"/>
        <w:rPr>
          <w:rFonts w:ascii="Arial" w:cs="Arial" w:eastAsia="Arial" w:hAnsi="Arial"/>
          <w:sz w:val="18"/>
          <w:szCs w:val="18"/>
          <w:color w:val="auto"/>
        </w:rPr>
      </w:pPr>
    </w:p>
    <w:p>
      <w:pPr>
        <w:ind w:left="460" w:right="479" w:firstLine="858"/>
        <w:spacing w:after="0" w:line="277" w:lineRule="auto"/>
        <w:tabs>
          <w:tab w:leader="none" w:pos="158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The size and composition of the post-Closing Parent Board of Directors shall have been appointed as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580" w:hanging="262"/>
        <w:spacing w:after="0"/>
        <w:tabs>
          <w:tab w:leader="none" w:pos="15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Aggregate Transaction Proceeds shall be equal to or greater than $170,000,000.</w:t>
      </w:r>
    </w:p>
    <w:p>
      <w:pPr>
        <w:spacing w:after="0" w:line="144" w:lineRule="exact"/>
        <w:rPr>
          <w:rFonts w:ascii="Arial" w:cs="Arial" w:eastAsia="Arial" w:hAnsi="Arial"/>
          <w:sz w:val="18"/>
          <w:szCs w:val="18"/>
          <w:color w:val="auto"/>
        </w:rPr>
      </w:pPr>
    </w:p>
    <w:p>
      <w:pPr>
        <w:jc w:val="both"/>
        <w:ind w:left="460" w:right="479" w:firstLine="858"/>
        <w:spacing w:after="0" w:line="257" w:lineRule="auto"/>
        <w:tabs>
          <w:tab w:leader="none" w:pos="154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3" w:name="page324"/>
    <w:bookmarkEnd w:id="32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30"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of Parent</w:t>
      </w:r>
      <w:r>
        <w:rPr>
          <w:rFonts w:ascii="Arial" w:cs="Arial" w:eastAsia="Arial" w:hAnsi="Arial"/>
          <w:sz w:val="16"/>
          <w:szCs w:val="16"/>
          <w:color w:val="auto"/>
        </w:rPr>
        <w:t>. From and after the Closing, the Escrow Participants shall, severally and not jointly, indemnify and hold harmless Parent, its officers, directors and Affiliates and their respective successors and permitted assigns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incurred or sustained by Parent as a result of (a) any breach or inaccuracy of any of the representations or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otherwise in connection with the transactions contemplated by this Agreement, shall in no event exceed an amount equal to (i) the Escrow Share Value, </w:t>
      </w:r>
      <w:r>
        <w:rPr>
          <w:rFonts w:ascii="Arial" w:cs="Arial" w:eastAsia="Arial" w:hAnsi="Arial"/>
          <w:sz w:val="16"/>
          <w:szCs w:val="16"/>
          <w:i w:val="1"/>
          <w:iCs w:val="1"/>
          <w:u w:val="single" w:color="auto"/>
          <w:color w:val="auto"/>
        </w:rPr>
        <w:t>multiplied</w:t>
      </w:r>
      <w:r>
        <w:rPr>
          <w:rFonts w:ascii="Arial" w:cs="Arial" w:eastAsia="Arial" w:hAnsi="Arial"/>
          <w:sz w:val="16"/>
          <w:szCs w:val="16"/>
          <w:color w:val="auto"/>
        </w:rPr>
        <w:t xml:space="preserve"> by</w:t>
      </w:r>
    </w:p>
    <w:p>
      <w:pPr>
        <w:spacing w:after="0" w:line="2" w:lineRule="exact"/>
        <w:rPr>
          <w:sz w:val="20"/>
          <w:szCs w:val="20"/>
          <w:color w:val="auto"/>
        </w:rPr>
      </w:pPr>
    </w:p>
    <w:p>
      <w:pPr>
        <w:jc w:val="both"/>
        <w:ind w:left="460" w:right="459" w:hanging="6"/>
        <w:spacing w:after="0" w:line="252" w:lineRule="auto"/>
        <w:tabs>
          <w:tab w:leader="none" w:pos="72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Escrow Shares (the “</w:t>
      </w:r>
      <w:r>
        <w:rPr>
          <w:rFonts w:ascii="Arial" w:cs="Arial" w:eastAsia="Arial" w:hAnsi="Arial"/>
          <w:sz w:val="18"/>
          <w:szCs w:val="18"/>
          <w:u w:val="single" w:color="auto"/>
          <w:color w:val="auto"/>
        </w:rPr>
        <w:t>Indemnifiable Loss Limit</w:t>
      </w:r>
      <w:r>
        <w:rPr>
          <w:rFonts w:ascii="Arial" w:cs="Arial" w:eastAsia="Arial" w:hAnsi="Arial"/>
          <w:sz w:val="18"/>
          <w:szCs w:val="18"/>
          <w:color w:val="auto"/>
        </w:rPr>
        <w:t xml:space="preserve">”). Parent shall not be entitled to indemnification pursuant to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unless and until the aggregate amount of Losses incurred by Parent equals at least $1,612,500 (the “</w:t>
      </w:r>
      <w:r>
        <w:rPr>
          <w:rFonts w:ascii="Arial" w:cs="Arial" w:eastAsia="Arial" w:hAnsi="Arial"/>
          <w:sz w:val="18"/>
          <w:szCs w:val="18"/>
          <w:u w:val="single" w:color="auto"/>
          <w:color w:val="auto"/>
        </w:rPr>
        <w:t>Basket</w:t>
      </w:r>
      <w:r>
        <w:rPr>
          <w:rFonts w:ascii="Arial" w:cs="Arial" w:eastAsia="Arial" w:hAnsi="Arial"/>
          <w:sz w:val="18"/>
          <w:szCs w:val="18"/>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The following shall apply with respect to all claims by an Indemnified Party for indemnification pursuant to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103" w:lineRule="exact"/>
        <w:rPr>
          <w:sz w:val="20"/>
          <w:szCs w:val="20"/>
          <w:color w:val="auto"/>
        </w:rPr>
      </w:pPr>
    </w:p>
    <w:p>
      <w:pPr>
        <w:jc w:val="both"/>
        <w:ind w:left="460" w:right="459" w:firstLine="858"/>
        <w:spacing w:after="0" w:line="269" w:lineRule="auto"/>
        <w:tabs>
          <w:tab w:leader="none" w:pos="1653" w:val="left"/>
        </w:tabs>
        <w:numPr>
          <w:ilvl w:val="1"/>
          <w:numId w:val="303"/>
        </w:numPr>
        <w:rPr>
          <w:rFonts w:ascii="Arial" w:cs="Arial" w:eastAsia="Arial" w:hAnsi="Arial"/>
          <w:sz w:val="17"/>
          <w:szCs w:val="17"/>
          <w:color w:val="auto"/>
        </w:rPr>
      </w:pPr>
      <w:r>
        <w:rPr>
          <w:rFonts w:ascii="Arial" w:cs="Arial" w:eastAsia="Arial" w:hAnsi="Arial"/>
          <w:sz w:val="17"/>
          <w:szCs w:val="17"/>
          <w:color w:val="auto"/>
        </w:rPr>
        <w:t>An Indemnified Party shall give the Stockholders’ Representative prompt notice (an “</w:t>
      </w:r>
      <w:r>
        <w:rPr>
          <w:rFonts w:ascii="Arial" w:cs="Arial" w:eastAsia="Arial" w:hAnsi="Arial"/>
          <w:sz w:val="17"/>
          <w:szCs w:val="17"/>
          <w:u w:val="single" w:color="auto"/>
          <w:color w:val="auto"/>
        </w:rPr>
        <w:t>Indemnification Notice</w:t>
      </w:r>
      <w:r>
        <w:rPr>
          <w:rFonts w:ascii="Arial" w:cs="Arial" w:eastAsia="Arial" w:hAnsi="Arial"/>
          <w:sz w:val="17"/>
          <w:szCs w:val="17"/>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Arial" w:cs="Arial" w:eastAsia="Arial" w:hAnsi="Arial"/>
          <w:sz w:val="17"/>
          <w:szCs w:val="17"/>
          <w:u w:val="single" w:color="auto"/>
          <w:color w:val="auto"/>
        </w:rPr>
        <w:t>Third-Party Claim</w:t>
      </w:r>
      <w:r>
        <w:rPr>
          <w:rFonts w:ascii="Arial" w:cs="Arial" w:eastAsia="Arial" w:hAnsi="Arial"/>
          <w:sz w:val="17"/>
          <w:szCs w:val="17"/>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except to the extent such failure materially prejudices the ability of the Stockholders’ Representative, on behalf of the Escrow Participants (the “</w:t>
      </w:r>
      <w:r>
        <w:rPr>
          <w:rFonts w:ascii="Arial" w:cs="Arial" w:eastAsia="Arial" w:hAnsi="Arial"/>
          <w:sz w:val="17"/>
          <w:szCs w:val="17"/>
          <w:u w:val="single" w:color="auto"/>
          <w:color w:val="auto"/>
        </w:rPr>
        <w:t>Indemnifying Parties</w:t>
      </w:r>
      <w:r>
        <w:rPr>
          <w:rFonts w:ascii="Arial" w:cs="Arial" w:eastAsia="Arial" w:hAnsi="Arial"/>
          <w:sz w:val="17"/>
          <w:szCs w:val="17"/>
          <w:color w:val="auto"/>
        </w:rPr>
        <w:t>”), to defend such claim or increases the amount of such liability.</w:t>
      </w:r>
    </w:p>
    <w:p>
      <w:pPr>
        <w:spacing w:after="0" w:line="104" w:lineRule="exact"/>
        <w:rPr>
          <w:rFonts w:ascii="Arial" w:cs="Arial" w:eastAsia="Arial" w:hAnsi="Arial"/>
          <w:sz w:val="17"/>
          <w:szCs w:val="17"/>
          <w:color w:val="auto"/>
        </w:rPr>
      </w:pPr>
    </w:p>
    <w:p>
      <w:pPr>
        <w:jc w:val="both"/>
        <w:ind w:left="460" w:right="459" w:firstLine="858"/>
        <w:spacing w:after="0" w:line="284" w:lineRule="auto"/>
        <w:tabs>
          <w:tab w:leader="none" w:pos="1583" w:val="left"/>
        </w:tabs>
        <w:numPr>
          <w:ilvl w:val="1"/>
          <w:numId w:val="303"/>
        </w:numPr>
        <w:rPr>
          <w:rFonts w:ascii="Arial" w:cs="Arial" w:eastAsia="Arial" w:hAnsi="Arial"/>
          <w:sz w:val="16"/>
          <w:szCs w:val="16"/>
          <w:color w:val="auto"/>
        </w:rPr>
      </w:pPr>
      <w:r>
        <w:rPr>
          <w:rFonts w:ascii="Arial" w:cs="Arial" w:eastAsia="Arial" w:hAnsi="Arial"/>
          <w:sz w:val="16"/>
          <w:szCs w:val="16"/>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w:t>
      </w:r>
    </w:p>
    <w:p>
      <w:pPr>
        <w:spacing w:after="0" w:line="4" w:lineRule="exact"/>
        <w:rPr>
          <w:rFonts w:ascii="Arial" w:cs="Arial" w:eastAsia="Arial" w:hAnsi="Arial"/>
          <w:sz w:val="16"/>
          <w:szCs w:val="16"/>
          <w:color w:val="auto"/>
        </w:rPr>
      </w:pPr>
    </w:p>
    <w:p>
      <w:pPr>
        <w:ind w:left="460" w:right="479" w:hanging="6"/>
        <w:spacing w:after="0" w:line="260" w:lineRule="auto"/>
        <w:tabs>
          <w:tab w:leader="none" w:pos="72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retain legal counsel reasonably satisfactory to the Indemnified Party to conduct the defense of such Third-Party Claim.</w:t>
      </w:r>
    </w:p>
    <w:p>
      <w:pPr>
        <w:spacing w:after="0" w:line="117" w:lineRule="exact"/>
        <w:rPr>
          <w:rFonts w:ascii="Arial" w:cs="Arial" w:eastAsia="Arial" w:hAnsi="Arial"/>
          <w:sz w:val="18"/>
          <w:szCs w:val="18"/>
          <w:color w:val="auto"/>
        </w:rPr>
      </w:pPr>
    </w:p>
    <w:p>
      <w:pPr>
        <w:jc w:val="both"/>
        <w:ind w:left="460" w:right="459" w:firstLine="858"/>
        <w:spacing w:after="0" w:line="283" w:lineRule="auto"/>
        <w:tabs>
          <w:tab w:leader="none" w:pos="1577"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If the Stockholders’ Representative, on behalf of the Indemnifying Parties, assumes the defense of any such Third-Party Claim pursuant to </w:t>
      </w:r>
      <w:r>
        <w:rPr>
          <w:rFonts w:ascii="Arial" w:cs="Arial" w:eastAsia="Arial" w:hAnsi="Arial"/>
          <w:sz w:val="16"/>
          <w:szCs w:val="16"/>
          <w:u w:val="single" w:color="auto"/>
          <w:color w:val="auto"/>
        </w:rPr>
        <w:t>Section 11.2(b)</w:t>
      </w:r>
      <w:r>
        <w:rPr>
          <w:rFonts w:ascii="Arial" w:cs="Arial" w:eastAsia="Arial" w:hAnsi="Arial"/>
          <w:sz w:val="16"/>
          <w:szCs w:val="16"/>
          <w:color w:val="auto"/>
        </w:rPr>
        <w:t>,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w:t>
      </w:r>
    </w:p>
    <w:p>
      <w:pPr>
        <w:spacing w:after="0" w:line="5" w:lineRule="exact"/>
        <w:rPr>
          <w:rFonts w:ascii="Arial" w:cs="Arial" w:eastAsia="Arial" w:hAnsi="Arial"/>
          <w:sz w:val="16"/>
          <w:szCs w:val="16"/>
          <w:color w:val="auto"/>
        </w:rPr>
      </w:pPr>
    </w:p>
    <w:p>
      <w:pPr>
        <w:jc w:val="both"/>
        <w:ind w:left="460" w:right="459" w:hanging="6"/>
        <w:spacing w:after="0" w:line="292" w:lineRule="auto"/>
        <w:tabs>
          <w:tab w:leader="none" w:pos="69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4" w:name="page325"/>
    <w:bookmarkEnd w:id="32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 xml:space="preserve">fees and expenses of such separate counsel of the Indemnified Party shall be borne by the Indemnifying Parties, subject to the limitations set forth in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103" w:lineRule="exact"/>
        <w:rPr>
          <w:sz w:val="20"/>
          <w:szCs w:val="20"/>
          <w:color w:val="auto"/>
        </w:rPr>
      </w:pPr>
    </w:p>
    <w:p>
      <w:pPr>
        <w:jc w:val="both"/>
        <w:ind w:left="460" w:right="459" w:firstLine="858"/>
        <w:spacing w:after="0" w:line="267" w:lineRule="auto"/>
        <w:tabs>
          <w:tab w:leader="none" w:pos="1616"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If the Stockholders’ Representative elects to assume the defense of any Third-Party Claim pursuant to </w:t>
      </w:r>
      <w:r>
        <w:rPr>
          <w:rFonts w:ascii="Arial" w:cs="Arial" w:eastAsia="Arial" w:hAnsi="Arial"/>
          <w:sz w:val="17"/>
          <w:szCs w:val="17"/>
          <w:u w:val="single" w:color="auto"/>
          <w:color w:val="auto"/>
        </w:rPr>
        <w:t>Section 11.2(b)</w:t>
      </w:r>
      <w:r>
        <w:rPr>
          <w:rFonts w:ascii="Arial" w:cs="Arial" w:eastAsia="Arial" w:hAnsi="Arial"/>
          <w:sz w:val="17"/>
          <w:szCs w:val="17"/>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Arial" w:cs="Arial" w:eastAsia="Arial" w:hAnsi="Arial"/>
          <w:sz w:val="17"/>
          <w:szCs w:val="17"/>
          <w:u w:val="single" w:color="auto"/>
          <w:color w:val="auto"/>
        </w:rPr>
        <w:t>ARTICLE XI</w:t>
      </w:r>
      <w:r>
        <w:rPr>
          <w:rFonts w:ascii="Arial" w:cs="Arial" w:eastAsia="Arial" w:hAnsi="Arial"/>
          <w:sz w:val="17"/>
          <w:szCs w:val="17"/>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120" w:lineRule="exact"/>
        <w:rPr>
          <w:rFonts w:ascii="Arial" w:cs="Arial" w:eastAsia="Arial" w:hAnsi="Arial"/>
          <w:sz w:val="17"/>
          <w:szCs w:val="17"/>
          <w:color w:val="auto"/>
        </w:rPr>
      </w:pPr>
    </w:p>
    <w:p>
      <w:pPr>
        <w:jc w:val="both"/>
        <w:ind w:left="460" w:right="459" w:firstLine="858"/>
        <w:spacing w:after="0" w:line="286" w:lineRule="auto"/>
        <w:tabs>
          <w:tab w:leader="none" w:pos="1603"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If the Indemnified Party undertakes the defense of any such Third-Party Claim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86" w:lineRule="exact"/>
        <w:rPr>
          <w:rFonts w:ascii="Arial" w:cs="Arial" w:eastAsia="Arial" w:hAnsi="Arial"/>
          <w:sz w:val="16"/>
          <w:szCs w:val="16"/>
          <w:color w:val="auto"/>
        </w:rPr>
      </w:pPr>
    </w:p>
    <w:p>
      <w:pPr>
        <w:jc w:val="both"/>
        <w:ind w:left="460" w:right="459" w:firstLine="858"/>
        <w:spacing w:after="0" w:line="263" w:lineRule="auto"/>
        <w:tabs>
          <w:tab w:leader="none" w:pos="155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116"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Escrow of Escrow Shares by Escrow Participants</w:t>
      </w:r>
      <w:r>
        <w:rPr>
          <w:rFonts w:ascii="Arial" w:cs="Arial" w:eastAsia="Arial" w:hAnsi="Arial"/>
          <w:sz w:val="16"/>
          <w:szCs w:val="16"/>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Arial" w:cs="Arial" w:eastAsia="Arial" w:hAnsi="Arial"/>
          <w:sz w:val="16"/>
          <w:szCs w:val="16"/>
          <w:u w:val="single" w:color="auto"/>
          <w:color w:val="auto"/>
        </w:rPr>
        <w:t>Escrow Fund</w:t>
      </w:r>
      <w:r>
        <w:rPr>
          <w:rFonts w:ascii="Arial" w:cs="Arial" w:eastAsia="Arial" w:hAnsi="Arial"/>
          <w:sz w:val="16"/>
          <w:szCs w:val="16"/>
          <w:color w:val="auto"/>
        </w:rPr>
        <w:t xml:space="preserve">”) pursuant to the Escrow Agreement. For purposes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the Escrow Shares are valued at the greater of: (a) $10.00 per share and (b) the VWAP (the “</w:t>
      </w:r>
      <w:r>
        <w:rPr>
          <w:rFonts w:ascii="Arial" w:cs="Arial" w:eastAsia="Arial" w:hAnsi="Arial"/>
          <w:sz w:val="16"/>
          <w:szCs w:val="16"/>
          <w:u w:val="single" w:color="auto"/>
          <w:color w:val="auto"/>
        </w:rPr>
        <w:t>Escrow Share Value</w:t>
      </w:r>
      <w:r>
        <w:rPr>
          <w:rFonts w:ascii="Arial" w:cs="Arial" w:eastAsia="Arial" w:hAnsi="Arial"/>
          <w:sz w:val="16"/>
          <w:szCs w:val="16"/>
          <w:color w:val="auto"/>
        </w:rPr>
        <w:t>”).</w:t>
      </w:r>
    </w:p>
    <w:p>
      <w:pPr>
        <w:spacing w:after="0" w:line="94" w:lineRule="exact"/>
        <w:rPr>
          <w:sz w:val="20"/>
          <w:szCs w:val="20"/>
          <w:color w:val="auto"/>
        </w:rPr>
      </w:pPr>
    </w:p>
    <w:p>
      <w:pPr>
        <w:jc w:val="both"/>
        <w:ind w:left="460" w:right="479" w:firstLine="858"/>
        <w:spacing w:after="0" w:line="291" w:lineRule="auto"/>
        <w:tabs>
          <w:tab w:leader="none" w:pos="158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85" w:lineRule="exact"/>
        <w:rPr>
          <w:rFonts w:ascii="Arial" w:cs="Arial" w:eastAsia="Arial" w:hAnsi="Arial"/>
          <w:sz w:val="16"/>
          <w:szCs w:val="16"/>
          <w:color w:val="auto"/>
        </w:rPr>
      </w:pPr>
    </w:p>
    <w:p>
      <w:pPr>
        <w:jc w:val="both"/>
        <w:ind w:left="460" w:right="479" w:firstLine="858"/>
        <w:spacing w:after="0" w:line="259" w:lineRule="auto"/>
        <w:tabs>
          <w:tab w:leader="none" w:pos="160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At the times provided for in </w:t>
      </w:r>
      <w:r>
        <w:rPr>
          <w:rFonts w:ascii="Arial" w:cs="Arial" w:eastAsia="Arial" w:hAnsi="Arial"/>
          <w:sz w:val="18"/>
          <w:szCs w:val="18"/>
          <w:u w:val="single" w:color="auto"/>
          <w:color w:val="auto"/>
        </w:rPr>
        <w:t>Section 11.3(d)</w:t>
      </w:r>
      <w:r>
        <w:rPr>
          <w:rFonts w:ascii="Arial" w:cs="Arial" w:eastAsia="Arial" w:hAnsi="Arial"/>
          <w:sz w:val="18"/>
          <w:szCs w:val="18"/>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5" w:name="page326"/>
    <w:bookmarkEnd w:id="32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116" w:lineRule="exact"/>
        <w:rPr>
          <w:sz w:val="20"/>
          <w:szCs w:val="20"/>
          <w:color w:val="auto"/>
        </w:rPr>
      </w:pPr>
    </w:p>
    <w:p>
      <w:pPr>
        <w:jc w:val="both"/>
        <w:ind w:left="460" w:right="459" w:firstLine="858"/>
        <w:spacing w:after="0" w:line="279" w:lineRule="auto"/>
        <w:tabs>
          <w:tab w:leader="none" w:pos="1627" w:val="left"/>
        </w:tabs>
        <w:numPr>
          <w:ilvl w:val="0"/>
          <w:numId w:val="308"/>
        </w:numPr>
        <w:rPr>
          <w:rFonts w:ascii="Arial" w:cs="Arial" w:eastAsia="Arial" w:hAnsi="Arial"/>
          <w:sz w:val="17"/>
          <w:szCs w:val="17"/>
          <w:color w:val="auto"/>
        </w:rPr>
      </w:pPr>
      <w:r>
        <w:rPr>
          <w:rFonts w:ascii="Arial" w:cs="Arial" w:eastAsia="Arial" w:hAnsi="Arial"/>
          <w:sz w:val="17"/>
          <w:szCs w:val="17"/>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103" w:lineRule="exact"/>
        <w:rPr>
          <w:rFonts w:ascii="Arial" w:cs="Arial" w:eastAsia="Arial" w:hAnsi="Arial"/>
          <w:sz w:val="17"/>
          <w:szCs w:val="17"/>
          <w:color w:val="auto"/>
        </w:rPr>
      </w:pPr>
    </w:p>
    <w:p>
      <w:pPr>
        <w:jc w:val="both"/>
        <w:ind w:left="460" w:right="459" w:firstLine="858"/>
        <w:spacing w:after="0" w:line="285" w:lineRule="auto"/>
        <w:tabs>
          <w:tab w:leader="none" w:pos="158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five (5) Business Days, following expiration of the Survival Period (the “</w:t>
      </w:r>
      <w:r>
        <w:rPr>
          <w:rFonts w:ascii="Arial" w:cs="Arial" w:eastAsia="Arial" w:hAnsi="Arial"/>
          <w:sz w:val="16"/>
          <w:szCs w:val="16"/>
          <w:u w:val="single" w:color="auto"/>
          <w:color w:val="auto"/>
        </w:rPr>
        <w:t>Release Date</w:t>
      </w:r>
      <w:r>
        <w:rPr>
          <w:rFonts w:ascii="Arial" w:cs="Arial" w:eastAsia="Arial" w:hAnsi="Arial"/>
          <w:sz w:val="16"/>
          <w:szCs w:val="16"/>
          <w:color w:val="auto"/>
        </w:rPr>
        <w:t xml:space="preserve">”), the Escrow Shares,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Arial" w:cs="Arial" w:eastAsia="Arial" w:hAnsi="Arial"/>
          <w:sz w:val="16"/>
          <w:szCs w:val="16"/>
          <w:u w:val="single" w:color="auto"/>
          <w:color w:val="auto"/>
        </w:rPr>
        <w:t>Section 11.3(d)</w:t>
      </w:r>
      <w:r>
        <w:rPr>
          <w:rFonts w:ascii="Arial" w:cs="Arial" w:eastAsia="Arial" w:hAnsi="Arial"/>
          <w:sz w:val="16"/>
          <w:szCs w:val="16"/>
          <w:color w:val="auto"/>
        </w:rPr>
        <w:t xml:space="preserve">. Promptly, but in no event later than five (5) Business Days, following the resolution, in accordance with the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9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Payment of Indemnification</w:t>
      </w:r>
      <w:r>
        <w:rPr>
          <w:rFonts w:ascii="Arial" w:cs="Arial" w:eastAsia="Arial" w:hAnsi="Arial"/>
          <w:sz w:val="17"/>
          <w:szCs w:val="17"/>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(at an assumed value equal to the Escrow Share Value per Escrow Share), in each case, subject to the limitations set forth in this </w:t>
      </w:r>
      <w:r>
        <w:rPr>
          <w:rFonts w:ascii="Arial" w:cs="Arial" w:eastAsia="Arial" w:hAnsi="Arial"/>
          <w:sz w:val="17"/>
          <w:szCs w:val="17"/>
          <w:u w:val="single" w:color="auto"/>
          <w:color w:val="auto"/>
        </w:rPr>
        <w:t>ARTICLE XI</w:t>
      </w:r>
      <w:r>
        <w:rPr>
          <w:rFonts w:ascii="Arial" w:cs="Arial" w:eastAsia="Arial" w:hAnsi="Arial"/>
          <w:sz w:val="17"/>
          <w:szCs w:val="17"/>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1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Insurance</w:t>
      </w:r>
      <w:r>
        <w:rPr>
          <w:rFonts w:ascii="Arial" w:cs="Arial" w:eastAsia="Arial" w:hAnsi="Arial"/>
          <w:sz w:val="17"/>
          <w:szCs w:val="17"/>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9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Survival of Indemnification Rights</w:t>
      </w:r>
      <w:r>
        <w:rPr>
          <w:rFonts w:ascii="Arial" w:cs="Arial" w:eastAsia="Arial" w:hAnsi="Arial"/>
          <w:sz w:val="16"/>
          <w:szCs w:val="16"/>
          <w:color w:val="auto"/>
        </w:rPr>
        <w:t>. The representations and warranties of the Company shall survive until twelve (12) months (the “</w:t>
      </w:r>
      <w:r>
        <w:rPr>
          <w:rFonts w:ascii="Arial" w:cs="Arial" w:eastAsia="Arial" w:hAnsi="Arial"/>
          <w:sz w:val="16"/>
          <w:szCs w:val="16"/>
          <w:u w:val="single" w:color="auto"/>
          <w:color w:val="auto"/>
        </w:rPr>
        <w:t>Survival Period</w:t>
      </w:r>
      <w:r>
        <w:rPr>
          <w:rFonts w:ascii="Arial" w:cs="Arial" w:eastAsia="Arial" w:hAnsi="Arial"/>
          <w:sz w:val="16"/>
          <w:szCs w:val="16"/>
          <w:color w:val="auto"/>
        </w:rPr>
        <w:t xml:space="preserve">”) following the Closing. The covenants of the Company contained in this Agreement to be performed prior to Closing shall expire and be of no further force or effect as of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claim for breach or nonfulfillment may be asserted at any time prior to the expiration of the Survival Period as set forth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The indemnification to which any Indemnified Party is entitled from the Indemnifying Parties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6" w:name="page327"/>
    <w:bookmarkEnd w:id="32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Sole and Exclusive Remedy</w:t>
      </w:r>
      <w:r>
        <w:rPr>
          <w:rFonts w:ascii="Arial" w:cs="Arial" w:eastAsia="Arial" w:hAnsi="Arial"/>
          <w:sz w:val="18"/>
          <w:szCs w:val="18"/>
          <w:color w:val="auto"/>
        </w:rPr>
        <w:t xml:space="preserve">. The remedies provided in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91" w:lineRule="auto"/>
        <w:tabs>
          <w:tab w:leader="none" w:pos="157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Arial" w:cs="Arial" w:eastAsia="Arial" w:hAnsi="Arial"/>
          <w:sz w:val="16"/>
          <w:szCs w:val="16"/>
          <w:u w:val="single" w:color="auto"/>
          <w:color w:val="auto"/>
        </w:rPr>
        <w:t>Arbitrator</w:t>
      </w:r>
      <w:r>
        <w:rPr>
          <w:rFonts w:ascii="Arial" w:cs="Arial" w:eastAsia="Arial" w:hAnsi="Arial"/>
          <w:sz w:val="16"/>
          <w:szCs w:val="16"/>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85" w:lineRule="exact"/>
        <w:rPr>
          <w:rFonts w:ascii="Arial" w:cs="Arial" w:eastAsia="Arial" w:hAnsi="Arial"/>
          <w:sz w:val="16"/>
          <w:szCs w:val="16"/>
          <w:color w:val="auto"/>
        </w:rPr>
      </w:pPr>
    </w:p>
    <w:p>
      <w:pPr>
        <w:jc w:val="both"/>
        <w:ind w:left="460" w:right="479" w:firstLine="858"/>
        <w:spacing w:after="0" w:line="263" w:lineRule="auto"/>
        <w:tabs>
          <w:tab w:leader="none" w:pos="158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116" w:lineRule="exact"/>
        <w:rPr>
          <w:rFonts w:ascii="Arial" w:cs="Arial" w:eastAsia="Arial" w:hAnsi="Arial"/>
          <w:sz w:val="18"/>
          <w:szCs w:val="18"/>
          <w:color w:val="auto"/>
        </w:rPr>
      </w:pPr>
    </w:p>
    <w:p>
      <w:pPr>
        <w:jc w:val="both"/>
        <w:ind w:left="460" w:right="459" w:firstLine="858"/>
        <w:spacing w:after="0" w:line="255" w:lineRule="auto"/>
        <w:tabs>
          <w:tab w:leader="none" w:pos="158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24" w:lineRule="exact"/>
        <w:rPr>
          <w:rFonts w:ascii="Arial" w:cs="Arial" w:eastAsia="Arial" w:hAnsi="Arial"/>
          <w:sz w:val="18"/>
          <w:szCs w:val="18"/>
          <w:color w:val="auto"/>
        </w:rPr>
      </w:pPr>
    </w:p>
    <w:p>
      <w:pPr>
        <w:ind w:left="460" w:right="479" w:firstLine="858"/>
        <w:spacing w:after="0" w:line="308" w:lineRule="auto"/>
        <w:tabs>
          <w:tab w:leader="none" w:pos="159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arbitration shall be held in New York, New York in accordance with and under the then-current provisions of the rules of the American Arbitration Association, except as otherwise provided herein.</w:t>
      </w:r>
    </w:p>
    <w:p>
      <w:pPr>
        <w:spacing w:after="0" w:line="65" w:lineRule="exact"/>
        <w:rPr>
          <w:rFonts w:ascii="Arial" w:cs="Arial" w:eastAsia="Arial" w:hAnsi="Arial"/>
          <w:sz w:val="17"/>
          <w:szCs w:val="17"/>
          <w:color w:val="auto"/>
        </w:rPr>
      </w:pPr>
    </w:p>
    <w:p>
      <w:pPr>
        <w:jc w:val="both"/>
        <w:ind w:left="460" w:right="459" w:firstLine="858"/>
        <w:spacing w:after="0" w:line="301" w:lineRule="auto"/>
        <w:tabs>
          <w:tab w:leader="none" w:pos="158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Arbitrator shall limit any discovery or evidence such that his decision shall be rendered within the period referred to in </w:t>
      </w:r>
      <w:r>
        <w:rPr>
          <w:rFonts w:ascii="Arial" w:cs="Arial" w:eastAsia="Arial" w:hAnsi="Arial"/>
          <w:sz w:val="16"/>
          <w:szCs w:val="16"/>
          <w:u w:val="single" w:color="auto"/>
          <w:color w:val="auto"/>
        </w:rPr>
        <w:t>Section 12.1(c)</w:t>
      </w:r>
      <w:r>
        <w:rPr>
          <w:rFonts w:ascii="Arial" w:cs="Arial" w:eastAsia="Arial" w:hAnsi="Arial"/>
          <w:sz w:val="16"/>
          <w:szCs w:val="16"/>
          <w:color w:val="auto"/>
        </w:rPr>
        <w:t>.</w:t>
      </w:r>
    </w:p>
    <w:p>
      <w:pPr>
        <w:spacing w:after="0" w:line="89" w:lineRule="exact"/>
        <w:rPr>
          <w:rFonts w:ascii="Arial" w:cs="Arial" w:eastAsia="Arial" w:hAnsi="Arial"/>
          <w:sz w:val="16"/>
          <w:szCs w:val="16"/>
          <w:color w:val="auto"/>
        </w:rPr>
      </w:pPr>
    </w:p>
    <w:p>
      <w:pPr>
        <w:ind w:left="460" w:right="459" w:firstLine="858"/>
        <w:spacing w:after="0" w:line="277" w:lineRule="auto"/>
        <w:tabs>
          <w:tab w:leader="none" w:pos="155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Arbitrator may, at his discretion and at the expense of the party who will bear the cost of the arbitration, employ experts to assist him in his determinations.</w:t>
      </w:r>
    </w:p>
    <w:p>
      <w:pPr>
        <w:spacing w:after="0" w:line="102" w:lineRule="exact"/>
        <w:rPr>
          <w:rFonts w:ascii="Arial" w:cs="Arial" w:eastAsia="Arial" w:hAnsi="Arial"/>
          <w:sz w:val="18"/>
          <w:szCs w:val="18"/>
          <w:color w:val="auto"/>
        </w:rPr>
      </w:pPr>
    </w:p>
    <w:p>
      <w:pPr>
        <w:jc w:val="both"/>
        <w:ind w:left="460" w:right="459" w:firstLine="858"/>
        <w:spacing w:after="0" w:line="273" w:lineRule="auto"/>
        <w:tabs>
          <w:tab w:leader="none" w:pos="159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The costs of the arbitration proceeding and any proceeding in court to confirm any arbitration award or to obtain relief as provided in </w:t>
      </w:r>
      <w:r>
        <w:rPr>
          <w:rFonts w:ascii="Arial" w:cs="Arial" w:eastAsia="Arial" w:hAnsi="Arial"/>
          <w:sz w:val="17"/>
          <w:szCs w:val="17"/>
          <w:u w:val="single" w:color="auto"/>
          <w:color w:val="auto"/>
        </w:rPr>
        <w:t>Section 12.1(h)</w:t>
      </w:r>
      <w:r>
        <w:rPr>
          <w:rFonts w:ascii="Arial" w:cs="Arial" w:eastAsia="Arial" w:hAnsi="Arial"/>
          <w:sz w:val="17"/>
          <w:szCs w:val="17"/>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96" w:lineRule="exact"/>
        <w:rPr>
          <w:rFonts w:ascii="Arial" w:cs="Arial" w:eastAsia="Arial" w:hAnsi="Arial"/>
          <w:sz w:val="17"/>
          <w:szCs w:val="17"/>
          <w:color w:val="auto"/>
        </w:rPr>
      </w:pPr>
    </w:p>
    <w:p>
      <w:pPr>
        <w:jc w:val="both"/>
        <w:ind w:left="460" w:right="459" w:firstLine="858"/>
        <w:spacing w:after="0" w:line="270" w:lineRule="auto"/>
        <w:tabs>
          <w:tab w:leader="none" w:pos="1597"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13" w:lineRule="exact"/>
        <w:rPr>
          <w:rFonts w:ascii="Arial" w:cs="Arial" w:eastAsia="Arial" w:hAnsi="Arial"/>
          <w:sz w:val="17"/>
          <w:szCs w:val="17"/>
          <w:color w:val="auto"/>
        </w:rPr>
      </w:pPr>
    </w:p>
    <w:p>
      <w:pPr>
        <w:jc w:val="both"/>
        <w:ind w:left="460" w:right="479" w:firstLine="858"/>
        <w:spacing w:after="0" w:line="263" w:lineRule="auto"/>
        <w:tabs>
          <w:tab w:leader="none" w:pos="155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parties (in the case of the Stockholders’ Representative, solely on behalf of the Company Securityholders) shall indemnify the Arbitrator and any experts employed by the Arbitrator and hold them harmless from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7" w:name="page328"/>
    <w:bookmarkEnd w:id="32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and against any claim or demand arising out of any arbitration under this Agreement or any agreement contemplated hereby, unless resulting from the gross negligence or willful misconduct of the person indemnified.</w:t>
      </w:r>
    </w:p>
    <w:p>
      <w:pPr>
        <w:spacing w:after="0" w:line="116" w:lineRule="exact"/>
        <w:rPr>
          <w:sz w:val="20"/>
          <w:szCs w:val="20"/>
          <w:color w:val="auto"/>
        </w:rPr>
      </w:pPr>
    </w:p>
    <w:p>
      <w:pPr>
        <w:jc w:val="both"/>
        <w:ind w:left="460" w:right="459" w:firstLine="858"/>
        <w:spacing w:after="0" w:line="254" w:lineRule="auto"/>
        <w:tabs>
          <w:tab w:leader="none" w:pos="154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Waiver of Jury Trial; Exemplary Damages</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858"/>
        <w:spacing w:after="0" w:line="255" w:lineRule="auto"/>
        <w:tabs>
          <w:tab w:leader="none" w:pos="160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24" w:lineRule="exact"/>
        <w:rPr>
          <w:rFonts w:ascii="Arial" w:cs="Arial" w:eastAsia="Arial" w:hAnsi="Arial"/>
          <w:sz w:val="18"/>
          <w:szCs w:val="18"/>
          <w:color w:val="auto"/>
        </w:rPr>
      </w:pPr>
    </w:p>
    <w:p>
      <w:pPr>
        <w:jc w:val="both"/>
        <w:ind w:left="460" w:right="459" w:firstLine="858"/>
        <w:spacing w:after="0" w:line="255" w:lineRule="auto"/>
        <w:tabs>
          <w:tab w:leader="none" w:pos="159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TERMINATION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Termination Without Default</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71" w:lineRule="auto"/>
        <w:tabs>
          <w:tab w:leader="none" w:pos="1577" w:val="left"/>
        </w:tabs>
        <w:numPr>
          <w:ilvl w:val="0"/>
          <w:numId w:val="312"/>
        </w:numPr>
        <w:rPr>
          <w:rFonts w:ascii="Arial" w:cs="Arial" w:eastAsia="Arial" w:hAnsi="Arial"/>
          <w:sz w:val="17"/>
          <w:szCs w:val="17"/>
          <w:color w:val="auto"/>
        </w:rPr>
      </w:pPr>
      <w:r>
        <w:rPr>
          <w:rFonts w:ascii="Arial" w:cs="Arial" w:eastAsia="Arial" w:hAnsi="Arial"/>
          <w:sz w:val="17"/>
          <w:szCs w:val="17"/>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10" w:lineRule="exact"/>
        <w:rPr>
          <w:rFonts w:ascii="Arial" w:cs="Arial" w:eastAsia="Arial" w:hAnsi="Arial"/>
          <w:sz w:val="17"/>
          <w:szCs w:val="17"/>
          <w:color w:val="auto"/>
        </w:rPr>
      </w:pPr>
    </w:p>
    <w:p>
      <w:pPr>
        <w:jc w:val="both"/>
        <w:ind w:left="460" w:right="459" w:firstLine="858"/>
        <w:spacing w:after="0" w:line="279" w:lineRule="auto"/>
        <w:tabs>
          <w:tab w:leader="none" w:pos="161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Termination Upon Default</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58"/>
        <w:spacing w:after="0" w:line="288" w:lineRule="auto"/>
        <w:tabs>
          <w:tab w:leader="none" w:pos="1581"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Arial" w:cs="Arial" w:eastAsia="Arial" w:hAnsi="Arial"/>
          <w:sz w:val="16"/>
          <w:szCs w:val="16"/>
          <w:u w:val="single" w:color="auto"/>
          <w:color w:val="auto"/>
        </w:rPr>
        <w:t>Section 13.2(a)(ii)</w:t>
      </w:r>
      <w:r>
        <w:rPr>
          <w:rFonts w:ascii="Arial" w:cs="Arial" w:eastAsia="Arial" w:hAnsi="Arial"/>
          <w:sz w:val="16"/>
          <w:szCs w:val="16"/>
          <w:color w:val="auto"/>
        </w:rPr>
        <w:t xml:space="preserve"> at any time (A) prior to the Company Stockholder Written Consent Deadline or (B) after such evidence has been delivered to Parent).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8" w:name="page329"/>
    <w:bookmarkEnd w:id="32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93" w:lineRule="auto"/>
        <w:tabs>
          <w:tab w:leader="none" w:pos="158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97" w:lineRule="exact"/>
        <w:rPr>
          <w:sz w:val="20"/>
          <w:szCs w:val="20"/>
          <w:color w:val="auto"/>
        </w:rPr>
      </w:pPr>
    </w:p>
    <w:p>
      <w:pPr>
        <w:jc w:val="both"/>
        <w:ind w:left="460" w:right="479" w:firstLine="432"/>
        <w:spacing w:after="0" w:line="271"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If this Agreement is terminated pursuant to this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XII, this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shall survive any termination hereof pursuant to this </w:t>
      </w:r>
      <w:r>
        <w:rPr>
          <w:rFonts w:ascii="Arial" w:cs="Arial" w:eastAsia="Arial" w:hAnsi="Arial"/>
          <w:sz w:val="17"/>
          <w:szCs w:val="17"/>
          <w:u w:val="single" w:color="auto"/>
          <w:color w:val="auto"/>
        </w:rPr>
        <w:t>ARTICLE XIII</w:t>
      </w:r>
      <w:r>
        <w:rPr>
          <w:rFonts w:ascii="Arial" w:cs="Arial" w:eastAsia="Arial" w:hAnsi="Arial"/>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43" w:lineRule="exact"/>
        <w:rPr>
          <w:sz w:val="20"/>
          <w:szCs w:val="20"/>
          <w:color w:val="auto"/>
        </w:rPr>
      </w:pPr>
    </w:p>
    <w:p>
      <w:pPr>
        <w:jc w:val="both"/>
        <w:ind w:left="460" w:right="479" w:firstLine="432"/>
        <w:spacing w:after="0" w:line="287"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w:t>
      </w:r>
    </w:p>
    <w:p>
      <w:pPr>
        <w:spacing w:after="0" w:line="2" w:lineRule="exact"/>
        <w:rPr>
          <w:sz w:val="20"/>
          <w:szCs w:val="20"/>
          <w:color w:val="auto"/>
        </w:rPr>
      </w:pPr>
    </w:p>
    <w:p>
      <w:pPr>
        <w:jc w:val="both"/>
        <w:ind w:left="460" w:right="459" w:hanging="6"/>
        <w:spacing w:after="0" w:line="252" w:lineRule="auto"/>
        <w:tabs>
          <w:tab w:leader="none" w:pos="74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Company (or, following the Closing, the Surviving Corporation or Parent), to:</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Gemini Therapeutics, Inc.</w:t>
      </w:r>
    </w:p>
    <w:p>
      <w:pPr>
        <w:spacing w:after="0" w:line="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300 One Kendall Square, 3</w:t>
      </w:r>
      <w:r>
        <w:rPr>
          <w:rFonts w:ascii="Arial" w:cs="Arial" w:eastAsia="Arial" w:hAnsi="Arial"/>
          <w:sz w:val="20"/>
          <w:szCs w:val="20"/>
          <w:color w:val="auto"/>
          <w:vertAlign w:val="superscript"/>
        </w:rPr>
        <w:t>rd</w:t>
      </w:r>
      <w:r>
        <w:rPr>
          <w:rFonts w:ascii="Arial" w:cs="Arial" w:eastAsia="Arial" w:hAnsi="Arial"/>
          <w:sz w:val="18"/>
          <w:szCs w:val="18"/>
          <w:color w:val="auto"/>
        </w:rPr>
        <w:t xml:space="preserve"> Floor</w:t>
      </w:r>
    </w:p>
    <w:p>
      <w:pPr>
        <w:ind w:left="1320"/>
        <w:spacing w:after="0"/>
        <w:rPr>
          <w:sz w:val="20"/>
          <w:szCs w:val="20"/>
          <w:color w:val="auto"/>
        </w:rPr>
      </w:pPr>
      <w:r>
        <w:rPr>
          <w:rFonts w:ascii="Arial" w:cs="Arial" w:eastAsia="Arial" w:hAnsi="Arial"/>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Mitchell S. Bloom</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Laurie A. Burlingame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mbloom@goodwinlaw.com</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lburlingame@goodwinlaw.com</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despinoza@goodwinlaw.com</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Stockholders’ Representative, or to the Company Securityholders after Closing, to:</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Shareholder Representative Services LLC</w:t>
      </w:r>
    </w:p>
    <w:p>
      <w:pPr>
        <w:spacing w:after="0" w:line="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950 17</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Street, Suite 1400</w:t>
      </w:r>
    </w:p>
    <w:p>
      <w:pPr>
        <w:ind w:left="1320"/>
        <w:spacing w:after="0"/>
        <w:rPr>
          <w:sz w:val="20"/>
          <w:szCs w:val="20"/>
          <w:color w:val="auto"/>
        </w:rPr>
      </w:pPr>
      <w:r>
        <w:rPr>
          <w:rFonts w:ascii="Arial" w:cs="Arial" w:eastAsia="Arial" w:hAnsi="Arial"/>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Telephone: (303) 648-4085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9" w:name="page330"/>
    <w:bookmarkEnd w:id="32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Parent or Merger Sub:</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 Dennis Ryan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docs-Investments@foresitecapital.com</w:t>
      </w:r>
    </w:p>
    <w:p>
      <w:pPr>
        <w:spacing w:after="0" w:line="1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joel.rubinstein@whitecase.com</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Amendments; No Waivers; Remedies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58"/>
        <w:spacing w:after="0" w:line="259" w:lineRule="auto"/>
        <w:tabs>
          <w:tab w:leader="none" w:pos="158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05" w:lineRule="exact"/>
        <w:rPr>
          <w:rFonts w:ascii="Arial" w:cs="Arial" w:eastAsia="Arial" w:hAnsi="Arial"/>
          <w:sz w:val="18"/>
          <w:szCs w:val="18"/>
          <w:color w:val="auto"/>
        </w:rPr>
      </w:pPr>
    </w:p>
    <w:p>
      <w:pPr>
        <w:jc w:val="both"/>
        <w:ind w:left="460" w:right="459" w:firstLine="858"/>
        <w:spacing w:after="0" w:line="290" w:lineRule="auto"/>
        <w:tabs>
          <w:tab w:leader="none" w:pos="162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97" w:lineRule="exact"/>
        <w:rPr>
          <w:rFonts w:ascii="Arial" w:cs="Arial" w:eastAsia="Arial" w:hAnsi="Arial"/>
          <w:sz w:val="16"/>
          <w:szCs w:val="16"/>
          <w:color w:val="auto"/>
        </w:rPr>
      </w:pPr>
    </w:p>
    <w:p>
      <w:pPr>
        <w:ind w:left="460" w:right="479" w:firstLine="858"/>
        <w:spacing w:after="0" w:line="277" w:lineRule="auto"/>
        <w:tabs>
          <w:tab w:leader="none" w:pos="157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Except as otherwise expressly provided herein, no statement herein of any right or remedy shall impair any other right or remedy stated herein or that otherwise may be available.</w:t>
      </w:r>
    </w:p>
    <w:p>
      <w:pPr>
        <w:spacing w:after="0" w:line="102" w:lineRule="exact"/>
        <w:rPr>
          <w:rFonts w:ascii="Arial" w:cs="Arial" w:eastAsia="Arial" w:hAnsi="Arial"/>
          <w:sz w:val="18"/>
          <w:szCs w:val="18"/>
          <w:color w:val="auto"/>
        </w:rPr>
      </w:pPr>
    </w:p>
    <w:p>
      <w:pPr>
        <w:jc w:val="both"/>
        <w:ind w:left="460" w:right="459" w:firstLine="858"/>
        <w:spacing w:after="0" w:line="259" w:lineRule="auto"/>
        <w:tabs>
          <w:tab w:leader="none" w:pos="15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Arm’s Length Bargaining; No Presumption Against Drafter</w:t>
      </w:r>
      <w:r>
        <w:rPr>
          <w:rFonts w:ascii="Arial" w:cs="Arial" w:eastAsia="Arial" w:hAnsi="Arial"/>
          <w:sz w:val="18"/>
          <w:szCs w:val="18"/>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Publicity</w:t>
      </w:r>
      <w:r>
        <w:rPr>
          <w:rFonts w:ascii="Arial" w:cs="Arial" w:eastAsia="Arial" w:hAnsi="Arial"/>
          <w:sz w:val="17"/>
          <w:szCs w:val="17"/>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0" w:name="page331"/>
    <w:bookmarkEnd w:id="33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Arial" w:cs="Arial" w:eastAsia="Arial" w:hAnsi="Arial"/>
          <w:sz w:val="17"/>
          <w:szCs w:val="17"/>
          <w:u w:val="single" w:color="auto"/>
          <w:color w:val="auto"/>
        </w:rPr>
        <w:t>Schedule 14.5</w:t>
      </w:r>
      <w:r>
        <w:rPr>
          <w:rFonts w:ascii="Arial" w:cs="Arial" w:eastAsia="Arial" w:hAnsi="Arial"/>
          <w:sz w:val="17"/>
          <w:szCs w:val="17"/>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0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No Assignment or Delegation</w:t>
      </w:r>
      <w:r>
        <w:rPr>
          <w:rFonts w:ascii="Arial" w:cs="Arial" w:eastAsia="Arial" w:hAnsi="Arial"/>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laws of the State of Delaware, without giving effect to the conflict of laws principles thereof.</w:t>
      </w:r>
    </w:p>
    <w:p>
      <w:pPr>
        <w:spacing w:after="0" w:line="8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u w:val="single" w:color="auto"/>
          <w:color w:val="auto"/>
        </w:rPr>
        <w:t>Counterparts; Facsimile Signatures</w:t>
      </w:r>
      <w:r>
        <w:rPr>
          <w:rFonts w:ascii="Arial" w:cs="Arial" w:eastAsia="Arial" w:hAnsi="Arial"/>
          <w:sz w:val="17"/>
          <w:szCs w:val="17"/>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0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10"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Severability</w:t>
      </w:r>
      <w:r>
        <w:rPr>
          <w:rFonts w:ascii="Arial" w:cs="Arial" w:eastAsia="Arial" w:hAnsi="Arial"/>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0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14.15</w:t>
      </w:r>
      <w:r>
        <w:rPr>
          <w:rFonts w:ascii="Arial" w:cs="Arial" w:eastAsia="Arial" w:hAnsi="Arial"/>
          <w:sz w:val="18"/>
          <w:szCs w:val="18"/>
          <w:color w:val="auto"/>
        </w:rPr>
        <w:t>, neither this Agreement nor any provision hereof confers any benefit or right upon or may be enforced by any Person not a signatory hereto.</w:t>
      </w:r>
    </w:p>
    <w:p>
      <w:pPr>
        <w:spacing w:after="0" w:line="116"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Waiver</w:t>
      </w:r>
      <w:r>
        <w:rPr>
          <w:rFonts w:ascii="Arial" w:cs="Arial" w:eastAsia="Arial" w:hAnsi="Arial"/>
          <w:sz w:val="16"/>
          <w:szCs w:val="16"/>
          <w:color w:val="auto"/>
        </w:rPr>
        <w:t>. Reference is made to the final prospectus of Parent, dated August 13, 2020 (the “</w:t>
      </w:r>
      <w:r>
        <w:rPr>
          <w:rFonts w:ascii="Arial" w:cs="Arial" w:eastAsia="Arial" w:hAnsi="Arial"/>
          <w:sz w:val="16"/>
          <w:szCs w:val="16"/>
          <w:u w:val="single" w:color="auto"/>
          <w:color w:val="auto"/>
        </w:rPr>
        <w:t>Prospectus</w:t>
      </w:r>
      <w:r>
        <w:rPr>
          <w:rFonts w:ascii="Arial" w:cs="Arial" w:eastAsia="Arial" w:hAnsi="Arial"/>
          <w:sz w:val="16"/>
          <w:szCs w:val="16"/>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8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14.14 </w:t>
      </w:r>
      <w:r>
        <w:rPr>
          <w:rFonts w:ascii="Arial" w:cs="Arial" w:eastAsia="Arial" w:hAnsi="Arial"/>
          <w:sz w:val="17"/>
          <w:szCs w:val="17"/>
          <w:u w:val="single" w:color="auto"/>
          <w:color w:val="auto"/>
        </w:rPr>
        <w:t>Stockholders’ Representative</w:t>
      </w:r>
      <w:r>
        <w:rPr>
          <w:rFonts w:ascii="Arial" w:cs="Arial" w:eastAsia="Arial" w:hAnsi="Arial"/>
          <w:sz w:val="17"/>
          <w:szCs w:val="17"/>
          <w:color w:val="auto"/>
        </w:rPr>
        <w:t>.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1" w:name="page332"/>
    <w:bookmarkEnd w:id="33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6"/>
          <w:szCs w:val="16"/>
          <w:color w:val="auto"/>
        </w:rPr>
        <w:t xml:space="preserve">and compromises of and demand arbitration and comply with orders of courts and awards of arbitrators with respect to any indemnification claims (including Third-Party Claims) under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Arial" w:cs="Arial" w:eastAsia="Arial" w:hAnsi="Arial"/>
          <w:sz w:val="16"/>
          <w:szCs w:val="16"/>
          <w:u w:val="single" w:color="auto"/>
          <w:color w:val="auto"/>
        </w:rPr>
        <w:t>Representative Losses</w:t>
      </w:r>
      <w:r>
        <w:rPr>
          <w:rFonts w:ascii="Arial" w:cs="Arial" w:eastAsia="Arial" w:hAnsi="Arial"/>
          <w:sz w:val="16"/>
          <w:szCs w:val="16"/>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Arial" w:cs="Arial" w:eastAsia="Arial" w:hAnsi="Arial"/>
          <w:sz w:val="16"/>
          <w:szCs w:val="16"/>
          <w:u w:val="single" w:color="auto"/>
          <w:color w:val="auto"/>
        </w:rPr>
        <w:t>Section 14.14</w:t>
      </w:r>
      <w:r>
        <w:rPr>
          <w:rFonts w:ascii="Arial" w:cs="Arial" w:eastAsia="Arial" w:hAnsi="Arial"/>
          <w:sz w:val="16"/>
          <w:szCs w:val="16"/>
          <w:color w:val="auto"/>
        </w:rPr>
        <w:t>. The foregoing indemnities will survive the Closing, the resignation or removal of the Stockholders’ Representative or the termination of this Agreement. Upon the Closing, the Company will wire $150,000 (the “</w:t>
      </w:r>
      <w:r>
        <w:rPr>
          <w:rFonts w:ascii="Arial" w:cs="Arial" w:eastAsia="Arial" w:hAnsi="Arial"/>
          <w:sz w:val="16"/>
          <w:szCs w:val="16"/>
          <w:u w:val="single" w:color="auto"/>
          <w:color w:val="auto"/>
        </w:rPr>
        <w:t>Expense Fund</w:t>
      </w:r>
      <w:r>
        <w:rPr>
          <w:rFonts w:ascii="Arial" w:cs="Arial" w:eastAsia="Arial" w:hAnsi="Arial"/>
          <w:sz w:val="16"/>
          <w:szCs w:val="16"/>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200" w:lineRule="exact"/>
        <w:rPr>
          <w:sz w:val="20"/>
          <w:szCs w:val="20"/>
          <w:color w:val="auto"/>
        </w:rPr>
      </w:pPr>
    </w:p>
    <w:p>
      <w:pPr>
        <w:spacing w:after="0" w:line="37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u w:val="single" w:color="auto"/>
          <w:color w:val="auto"/>
        </w:rPr>
        <w:t>Non-Recourse</w:t>
      </w:r>
      <w:r>
        <w:rPr>
          <w:rFonts w:ascii="Arial" w:cs="Arial" w:eastAsia="Arial" w:hAnsi="Arial"/>
          <w:sz w:val="18"/>
          <w:szCs w:val="18"/>
          <w:color w:val="auto"/>
        </w:rPr>
        <w:t>.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2" w:name="page333"/>
    <w:bookmarkEnd w:id="33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 xml:space="preserve">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Arial" w:cs="Arial" w:eastAsia="Arial" w:hAnsi="Arial"/>
          <w:sz w:val="16"/>
          <w:szCs w:val="16"/>
          <w:u w:val="single" w:color="auto"/>
          <w:color w:val="auto"/>
        </w:rPr>
        <w:t>Section 14.15</w:t>
      </w:r>
      <w:r>
        <w:rPr>
          <w:rFonts w:ascii="Arial" w:cs="Arial" w:eastAsia="Arial" w:hAnsi="Arial"/>
          <w:sz w:val="16"/>
          <w:szCs w:val="16"/>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Arial" w:cs="Arial" w:eastAsia="Arial" w:hAnsi="Arial"/>
          <w:sz w:val="16"/>
          <w:szCs w:val="16"/>
          <w:u w:val="single" w:color="auto"/>
          <w:color w:val="auto"/>
        </w:rPr>
        <w:t>Section 14.15</w:t>
      </w:r>
      <w:r>
        <w:rPr>
          <w:rFonts w:ascii="Arial" w:cs="Arial" w:eastAsia="Arial" w:hAnsi="Arial"/>
          <w:sz w:val="16"/>
          <w:szCs w:val="16"/>
          <w:color w:val="auto"/>
        </w:rPr>
        <w:t xml:space="preserve"> shall not apply to </w:t>
      </w:r>
      <w:r>
        <w:rPr>
          <w:rFonts w:ascii="Arial" w:cs="Arial" w:eastAsia="Arial" w:hAnsi="Arial"/>
          <w:sz w:val="16"/>
          <w:szCs w:val="16"/>
          <w:u w:val="single" w:color="auto"/>
          <w:color w:val="auto"/>
        </w:rPr>
        <w:t>Section 14.14</w:t>
      </w:r>
      <w:r>
        <w:rPr>
          <w:rFonts w:ascii="Arial" w:cs="Arial" w:eastAsia="Arial" w:hAnsi="Arial"/>
          <w:sz w:val="16"/>
          <w:szCs w:val="16"/>
          <w:color w:val="auto"/>
        </w:rPr>
        <w:t>, which shall be enforceable by the Stockholders’ Representative in its entirety against the Company Securityholders.</w:t>
      </w:r>
    </w:p>
    <w:p>
      <w:pPr>
        <w:spacing w:after="0" w:line="99"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 xml:space="preserve">14.16 </w:t>
      </w:r>
      <w:r>
        <w:rPr>
          <w:rFonts w:ascii="Arial" w:cs="Arial" w:eastAsia="Arial" w:hAnsi="Arial"/>
          <w:sz w:val="16"/>
          <w:szCs w:val="16"/>
          <w:u w:val="single" w:color="auto"/>
          <w:color w:val="auto"/>
        </w:rPr>
        <w:t>No Other Representations; No Reliance</w:t>
      </w:r>
      <w:r>
        <w:rPr>
          <w:rFonts w:ascii="Arial" w:cs="Arial" w:eastAsia="Arial" w:hAnsi="Arial"/>
          <w:sz w:val="16"/>
          <w:szCs w:val="16"/>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to this Agreement. Except for the specific representations and warranties expressly made by the Company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intentionally left blank; signature pages to follow]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3" w:name="page334"/>
    <w:bookmarkEnd w:id="33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 written.</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Parent:</w:t>
      </w:r>
    </w:p>
    <w:p>
      <w:pPr>
        <w:spacing w:after="0" w:line="1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FS DEVELOPMENT CORP.</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48895</wp:posOffset>
            </wp:positionV>
            <wp:extent cx="239141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Merger Sub:</w:t>
      </w:r>
    </w:p>
    <w:p>
      <w:pPr>
        <w:spacing w:after="0" w:line="20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FSG MERGER SUB,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48895</wp:posOffset>
            </wp:positionV>
            <wp:extent cx="239141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Director</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Company:</w:t>
      </w:r>
    </w:p>
    <w:p>
      <w:pPr>
        <w:spacing w:after="0" w:line="20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GEMINI THERAPEUTICS,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48895</wp:posOffset>
            </wp:positionV>
            <wp:extent cx="239141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Jason Meyenburg</w:t>
      </w:r>
    </w:p>
    <w:p>
      <w:pPr>
        <w:spacing w:after="0" w:line="7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Stockholders’ Representative:</w:t>
      </w:r>
    </w:p>
    <w:p>
      <w:pPr>
        <w:spacing w:after="0" w:line="202"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SHAREHOLDER REPRESENTATIVE SERVICES LLC,</w:t>
      </w:r>
    </w:p>
    <w:p>
      <w:pPr>
        <w:spacing w:after="0" w:line="35"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solely in its capacity as the Stockholders’ Representative</w:t>
      </w:r>
    </w:p>
    <w:p>
      <w:pPr>
        <w:spacing w:after="0" w:line="207" w:lineRule="exact"/>
        <w:rPr>
          <w:sz w:val="20"/>
          <w:szCs w:val="20"/>
          <w:color w:val="auto"/>
        </w:rPr>
      </w:pPr>
    </w:p>
    <w:p>
      <w:pPr>
        <w:ind w:left="438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48895</wp:posOffset>
            </wp:positionV>
            <wp:extent cx="23914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Sam Riffe</w:t>
      </w:r>
    </w:p>
    <w:p>
      <w:pPr>
        <w:spacing w:after="0" w:line="7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Managing Director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4" w:name="page335"/>
    <w:bookmarkEnd w:id="33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SUPPORT AGREEMENT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COMPANY SUPPORT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October 15, 2020, by and among FS Development Corp.,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the persons set forth on Schedule I attached hereto (each, a “</w:t>
      </w:r>
      <w:r>
        <w:rPr>
          <w:rFonts w:ascii="Arial" w:cs="Arial" w:eastAsia="Arial" w:hAnsi="Arial"/>
          <w:sz w:val="18"/>
          <w:szCs w:val="18"/>
          <w:u w:val="single" w:color="auto"/>
          <w:color w:val="auto"/>
        </w:rPr>
        <w:t>Stockholder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Stockholders</w:t>
      </w:r>
      <w:r>
        <w:rPr>
          <w:rFonts w:ascii="Arial" w:cs="Arial" w:eastAsia="Arial" w:hAnsi="Arial"/>
          <w:sz w:val="18"/>
          <w:szCs w:val="18"/>
          <w:color w:val="auto"/>
        </w:rPr>
        <w:t>”). Each of Parent and each Stockholder are sometimes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meanings ascribed to them in the Merger Agreement (as defined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concurrently herewith, Parent, FSG Merger Sub, Inc., a Delaware corporation (“</w:t>
      </w:r>
      <w:r>
        <w:rPr>
          <w:rFonts w:ascii="Arial" w:cs="Arial" w:eastAsia="Arial" w:hAnsi="Arial"/>
          <w:sz w:val="17"/>
          <w:szCs w:val="17"/>
          <w:u w:val="single" w:color="auto"/>
          <w:color w:val="auto"/>
        </w:rPr>
        <w:t>Merger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w:t>
      </w:r>
      <w:r>
        <w:rPr>
          <w:rFonts w:ascii="Arial" w:cs="Arial" w:eastAsia="Arial" w:hAnsi="Arial"/>
          <w:sz w:val="17"/>
          <w:szCs w:val="17"/>
          <w:color w:val="auto"/>
        </w:rPr>
        <w:t>”), FS Development Holdings, LLC, a Delaware limited liability company, Shareholder Representative Services LLC, as the Stockholders’ Representative, and Gemini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are entering into that certain Agreement and Plan of Merger (as amended, supplemented or otherwise modified from time to time in accordance with its terms,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96" w:lineRule="exact"/>
        <w:rPr>
          <w:sz w:val="20"/>
          <w:szCs w:val="20"/>
          <w:color w:val="auto"/>
        </w:rPr>
      </w:pPr>
    </w:p>
    <w:p>
      <w:pPr>
        <w:jc w:val="both"/>
        <w:ind w:left="460" w:right="459" w:firstLine="432"/>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Stockholder is the record and beneficial owner of the number and type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Securities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(together with any other Company Securities or other eqiuty interest (including anything convertible into such equity interests) of the Company that each Stockholder acquires record or beneficial ownership after the date hereof, collectively, the “</w:t>
      </w:r>
      <w:r>
        <w:rPr>
          <w:rFonts w:ascii="Arial" w:cs="Arial" w:eastAsia="Arial" w:hAnsi="Arial"/>
          <w:sz w:val="17"/>
          <w:szCs w:val="17"/>
          <w:u w:val="single" w:color="auto"/>
          <w:color w:val="auto"/>
        </w:rPr>
        <w:t>Subject Company Shares</w:t>
      </w:r>
      <w:r>
        <w:rPr>
          <w:rFonts w:ascii="Arial" w:cs="Arial" w:eastAsia="Arial" w:hAnsi="Arial"/>
          <w:sz w:val="17"/>
          <w:szCs w:val="17"/>
          <w:color w:val="auto"/>
        </w:rPr>
        <w:t>”);</w:t>
      </w:r>
    </w:p>
    <w:p>
      <w:pPr>
        <w:spacing w:after="0" w:line="97" w:lineRule="exact"/>
        <w:rPr>
          <w:sz w:val="20"/>
          <w:szCs w:val="20"/>
          <w:color w:val="auto"/>
        </w:rPr>
      </w:pPr>
    </w:p>
    <w:p>
      <w:pPr>
        <w:jc w:val="both"/>
        <w:ind w:left="460" w:right="459" w:firstLine="432"/>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consideration for the benefits to be received by each Stockholder under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Merger Agreement and as a material 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83" w:lineRule="exact"/>
        <w:rPr>
          <w:sz w:val="20"/>
          <w:szCs w:val="20"/>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acknowledge and agree that Parent and the other Parent Parties would not have</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and agreed to consummate the transactions contemplated by the Merger Agreement without each Stockholder entering into this Agreement and agreeing to be bound by the agreements, covenants and obligations contained in this Agreement.</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promises set forth herein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good and valuable consideration, the receipt and sufficiency of which are hereby acknowledged, the Parties, each intending to be legally bound, hereby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62" w:lineRule="exact"/>
        <w:rPr>
          <w:sz w:val="20"/>
          <w:szCs w:val="20"/>
          <w:color w:val="auto"/>
        </w:rPr>
      </w:pPr>
    </w:p>
    <w:p>
      <w:pPr>
        <w:ind w:left="1060" w:hanging="174"/>
        <w:spacing w:after="0"/>
        <w:tabs>
          <w:tab w:leader="none" w:pos="106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Company Stockholder Consent and Related Matters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460" w:right="459" w:firstLine="858"/>
        <w:spacing w:after="0" w:line="269" w:lineRule="auto"/>
        <w:tabs>
          <w:tab w:leader="none" w:pos="1599"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Arial" w:cs="Arial" w:eastAsia="Arial" w:hAnsi="Arial"/>
          <w:sz w:val="17"/>
          <w:szCs w:val="17"/>
          <w:u w:val="single" w:color="auto"/>
          <w:color w:val="auto"/>
        </w:rPr>
        <w:t>Section 1(a)</w:t>
      </w:r>
      <w:r>
        <w:rPr>
          <w:rFonts w:ascii="Arial" w:cs="Arial" w:eastAsia="Arial" w:hAnsi="Arial"/>
          <w:sz w:val="17"/>
          <w:szCs w:val="17"/>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97" w:lineRule="exact"/>
        <w:rPr>
          <w:rFonts w:ascii="Arial" w:cs="Arial" w:eastAsia="Arial" w:hAnsi="Arial"/>
          <w:sz w:val="17"/>
          <w:szCs w:val="17"/>
          <w:color w:val="auto"/>
        </w:rPr>
      </w:pPr>
    </w:p>
    <w:p>
      <w:pPr>
        <w:ind w:left="1320" w:right="479" w:firstLine="646"/>
        <w:spacing w:after="0" w:line="277" w:lineRule="auto"/>
        <w:tabs>
          <w:tab w:leader="none" w:pos="2188" w:val="left"/>
        </w:tabs>
        <w:numPr>
          <w:ilvl w:val="2"/>
          <w:numId w:val="317"/>
        </w:numPr>
        <w:rPr>
          <w:rFonts w:ascii="Arial" w:cs="Arial" w:eastAsia="Arial" w:hAnsi="Arial"/>
          <w:sz w:val="18"/>
          <w:szCs w:val="18"/>
          <w:color w:val="auto"/>
        </w:rPr>
      </w:pPr>
      <w:r>
        <w:rPr>
          <w:rFonts w:ascii="Arial" w:cs="Arial" w:eastAsia="Arial" w:hAnsi="Arial"/>
          <w:sz w:val="18"/>
          <w:szCs w:val="18"/>
          <w:color w:val="auto"/>
        </w:rPr>
        <w:t>to approve and adopt the Merger Agreement and the transactions contemplated thereby, including the Merger;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5" w:name="page336"/>
    <w:bookmarkEnd w:id="33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firstLine="646"/>
        <w:spacing w:after="0" w:line="257" w:lineRule="auto"/>
        <w:tabs>
          <w:tab w:leader="none" w:pos="2249"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20" w:lineRule="exact"/>
        <w:rPr>
          <w:rFonts w:ascii="Arial" w:cs="Arial" w:eastAsia="Arial" w:hAnsi="Arial"/>
          <w:sz w:val="18"/>
          <w:szCs w:val="18"/>
          <w:color w:val="auto"/>
        </w:rPr>
      </w:pPr>
    </w:p>
    <w:p>
      <w:pPr>
        <w:jc w:val="both"/>
        <w:ind w:left="1320" w:right="479" w:firstLine="646"/>
        <w:spacing w:after="0" w:line="259" w:lineRule="auto"/>
        <w:tabs>
          <w:tab w:leader="none" w:pos="23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19" w:lineRule="exact"/>
        <w:rPr>
          <w:rFonts w:ascii="Arial" w:cs="Arial" w:eastAsia="Arial" w:hAnsi="Arial"/>
          <w:sz w:val="18"/>
          <w:szCs w:val="18"/>
          <w:color w:val="auto"/>
        </w:rPr>
      </w:pPr>
    </w:p>
    <w:p>
      <w:pPr>
        <w:jc w:val="both"/>
        <w:ind w:left="1320" w:right="459" w:firstLine="646"/>
        <w:spacing w:after="0" w:line="257" w:lineRule="auto"/>
        <w:tabs>
          <w:tab w:leader="none" w:pos="2279"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06" w:lineRule="exact"/>
        <w:rPr>
          <w:rFonts w:ascii="Arial" w:cs="Arial" w:eastAsia="Arial" w:hAnsi="Arial"/>
          <w:sz w:val="18"/>
          <w:szCs w:val="18"/>
          <w:color w:val="auto"/>
        </w:rPr>
      </w:pPr>
    </w:p>
    <w:p>
      <w:pPr>
        <w:jc w:val="both"/>
        <w:ind w:left="460" w:right="459" w:firstLine="858"/>
        <w:spacing w:after="0" w:line="287" w:lineRule="auto"/>
        <w:tabs>
          <w:tab w:leader="none" w:pos="160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Arial" w:cs="Arial" w:eastAsia="Arial" w:hAnsi="Arial"/>
          <w:sz w:val="16"/>
          <w:szCs w:val="16"/>
          <w:u w:val="single" w:color="auto"/>
          <w:color w:val="auto"/>
        </w:rPr>
        <w:t>Section 1(a)</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jc w:val="both"/>
        <w:ind w:left="460" w:right="459" w:firstLine="858"/>
        <w:spacing w:after="0" w:line="286" w:lineRule="auto"/>
        <w:tabs>
          <w:tab w:leader="none" w:pos="159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The proxy granted by each Stockholder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and with respect to the matters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The proxyholder may not exercise the proxy granted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on any matter except those provided in </w:t>
      </w:r>
      <w:r>
        <w:rPr>
          <w:rFonts w:ascii="Arial" w:cs="Arial" w:eastAsia="Arial" w:hAnsi="Arial"/>
          <w:sz w:val="16"/>
          <w:szCs w:val="16"/>
          <w:u w:val="single" w:color="auto"/>
          <w:color w:val="auto"/>
        </w:rPr>
        <w:t>Section 1(a)</w:t>
      </w:r>
      <w:r>
        <w:rPr>
          <w:rFonts w:ascii="Arial" w:cs="Arial" w:eastAsia="Arial" w:hAnsi="Arial"/>
          <w:sz w:val="16"/>
          <w:szCs w:val="16"/>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106" w:lineRule="exact"/>
        <w:rPr>
          <w:rFonts w:ascii="Arial" w:cs="Arial" w:eastAsia="Arial" w:hAnsi="Arial"/>
          <w:sz w:val="16"/>
          <w:szCs w:val="16"/>
          <w:color w:val="auto"/>
        </w:rPr>
      </w:pPr>
    </w:p>
    <w:p>
      <w:pPr>
        <w:jc w:val="both"/>
        <w:ind w:left="460" w:right="459" w:firstLine="858"/>
        <w:spacing w:after="0" w:line="269" w:lineRule="auto"/>
        <w:tabs>
          <w:tab w:leader="none" w:pos="160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00" w:lineRule="exact"/>
        <w:rPr>
          <w:rFonts w:ascii="Arial" w:cs="Arial" w:eastAsia="Arial" w:hAnsi="Arial"/>
          <w:sz w:val="17"/>
          <w:szCs w:val="17"/>
          <w:color w:val="auto"/>
        </w:rPr>
      </w:pPr>
    </w:p>
    <w:p>
      <w:pPr>
        <w:jc w:val="both"/>
        <w:ind w:left="460" w:right="459" w:firstLine="858"/>
        <w:spacing w:after="0" w:line="263" w:lineRule="auto"/>
        <w:tabs>
          <w:tab w:leader="none" w:pos="158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6" w:name="page337"/>
    <w:bookmarkEnd w:id="33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060" w:hanging="174"/>
        <w:spacing w:after="0"/>
        <w:tabs>
          <w:tab w:leader="none" w:pos="1060" w:val="left"/>
        </w:tabs>
        <w:numPr>
          <w:ilvl w:val="1"/>
          <w:numId w:val="320"/>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460" w:right="459" w:firstLine="858"/>
        <w:spacing w:after="0" w:line="269" w:lineRule="auto"/>
        <w:tabs>
          <w:tab w:leader="none" w:pos="1605" w:val="left"/>
        </w:tabs>
        <w:numPr>
          <w:ilvl w:val="2"/>
          <w:numId w:val="320"/>
        </w:numPr>
        <w:rPr>
          <w:rFonts w:ascii="Arial" w:cs="Arial" w:eastAsia="Arial" w:hAnsi="Arial"/>
          <w:sz w:val="17"/>
          <w:szCs w:val="17"/>
          <w:color w:val="auto"/>
        </w:rPr>
      </w:pPr>
      <w:r>
        <w:rPr>
          <w:rFonts w:ascii="Arial" w:cs="Arial" w:eastAsia="Arial" w:hAnsi="Arial"/>
          <w:sz w:val="17"/>
          <w:szCs w:val="17"/>
          <w:color w:val="auto"/>
        </w:rPr>
        <w:t xml:space="preserve">Each Stockholder hereby agrees that, notwithstanding anything to the contrary in any such agreement, (i) each of the agreements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indemnification provisions that are contemplated to survive the agreement marked with an asterisk (*)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14" w:lineRule="exact"/>
        <w:rPr>
          <w:rFonts w:ascii="Arial" w:cs="Arial" w:eastAsia="Arial" w:hAnsi="Arial"/>
          <w:sz w:val="17"/>
          <w:szCs w:val="17"/>
          <w:color w:val="auto"/>
        </w:rPr>
      </w:pPr>
    </w:p>
    <w:p>
      <w:pPr>
        <w:jc w:val="both"/>
        <w:ind w:left="460" w:right="459" w:firstLine="858"/>
        <w:spacing w:after="0" w:line="272" w:lineRule="auto"/>
        <w:tabs>
          <w:tab w:leader="none" w:pos="1585" w:val="left"/>
        </w:tabs>
        <w:numPr>
          <w:ilvl w:val="2"/>
          <w:numId w:val="320"/>
        </w:numPr>
        <w:rPr>
          <w:rFonts w:ascii="Arial" w:cs="Arial" w:eastAsia="Arial" w:hAnsi="Arial"/>
          <w:sz w:val="17"/>
          <w:szCs w:val="17"/>
          <w:color w:val="auto"/>
        </w:rPr>
      </w:pPr>
      <w:r>
        <w:rPr>
          <w:rFonts w:ascii="Arial" w:cs="Arial" w:eastAsia="Arial" w:hAnsi="Arial"/>
          <w:sz w:val="17"/>
          <w:szCs w:val="17"/>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96" w:lineRule="exact"/>
        <w:rPr>
          <w:rFonts w:ascii="Arial" w:cs="Arial" w:eastAsia="Arial" w:hAnsi="Arial"/>
          <w:sz w:val="17"/>
          <w:szCs w:val="17"/>
          <w:color w:val="auto"/>
        </w:rPr>
      </w:pPr>
    </w:p>
    <w:p>
      <w:pPr>
        <w:ind w:left="1600" w:hanging="282"/>
        <w:spacing w:after="0"/>
        <w:tabs>
          <w:tab w:leader="none" w:pos="1600" w:val="left"/>
        </w:tabs>
        <w:numPr>
          <w:ilvl w:val="2"/>
          <w:numId w:val="320"/>
        </w:numPr>
        <w:rPr>
          <w:rFonts w:ascii="Arial" w:cs="Arial" w:eastAsia="Arial" w:hAnsi="Arial"/>
          <w:sz w:val="17"/>
          <w:szCs w:val="17"/>
          <w:color w:val="auto"/>
        </w:rPr>
      </w:pPr>
      <w:r>
        <w:rPr>
          <w:rFonts w:ascii="Arial" w:cs="Arial" w:eastAsia="Arial" w:hAnsi="Arial"/>
          <w:sz w:val="17"/>
          <w:szCs w:val="17"/>
          <w:color w:val="auto"/>
        </w:rPr>
        <w:t>On the Closing Date, each Stockholder shall deliver to Parent a duly executed copy of that</w:t>
      </w:r>
    </w:p>
    <w:p>
      <w:pPr>
        <w:spacing w:after="0" w:line="34" w:lineRule="exact"/>
        <w:rPr>
          <w:rFonts w:ascii="Arial" w:cs="Arial" w:eastAsia="Arial" w:hAnsi="Arial"/>
          <w:sz w:val="17"/>
          <w:szCs w:val="17"/>
          <w:color w:val="auto"/>
        </w:rPr>
      </w:pPr>
    </w:p>
    <w:p>
      <w:pPr>
        <w:jc w:val="both"/>
        <w:ind w:left="460" w:right="459" w:hanging="6"/>
        <w:spacing w:after="0" w:line="265" w:lineRule="auto"/>
        <w:tabs>
          <w:tab w:leader="none" w:pos="704" w:val="left"/>
        </w:tabs>
        <w:numPr>
          <w:ilvl w:val="0"/>
          <w:numId w:val="321"/>
        </w:numPr>
        <w:rPr>
          <w:rFonts w:ascii="Arial" w:cs="Arial" w:eastAsia="Arial" w:hAnsi="Arial"/>
          <w:sz w:val="17"/>
          <w:szCs w:val="17"/>
          <w:color w:val="auto"/>
        </w:rPr>
      </w:pPr>
      <w:r>
        <w:rPr>
          <w:rFonts w:ascii="Arial" w:cs="Arial" w:eastAsia="Arial" w:hAnsi="Arial"/>
          <w:sz w:val="17"/>
          <w:szCs w:val="17"/>
          <w:color w:val="auto"/>
        </w:rPr>
        <w:t>certain Registration Rights Agreement, by and among Parent, the Company and the Specified Company Securityholders party thereto, in substantially the form attached as Exhibit F to the Merger Agreement and</w:t>
      </w:r>
    </w:p>
    <w:p>
      <w:pPr>
        <w:ind w:left="460" w:right="459" w:hanging="6"/>
        <w:spacing w:after="0" w:line="290" w:lineRule="auto"/>
        <w:tabs>
          <w:tab w:leader="none" w:pos="732" w:val="left"/>
        </w:tabs>
        <w:numPr>
          <w:ilvl w:val="0"/>
          <w:numId w:val="321"/>
        </w:numPr>
        <w:rPr>
          <w:rFonts w:ascii="Arial" w:cs="Arial" w:eastAsia="Arial" w:hAnsi="Arial"/>
          <w:sz w:val="17"/>
          <w:szCs w:val="17"/>
          <w:color w:val="auto"/>
        </w:rPr>
      </w:pPr>
      <w:r>
        <w:rPr>
          <w:rFonts w:ascii="Arial" w:cs="Arial" w:eastAsia="Arial" w:hAnsi="Arial"/>
          <w:sz w:val="17"/>
          <w:szCs w:val="17"/>
          <w:color w:val="auto"/>
        </w:rPr>
        <w:t>certain Voting Agreement, by and among Parent, the Company and the Specified Company Securityholders party thereto, in substantially the form attached as Exhibit D to the Merger Agreement.</w:t>
      </w:r>
    </w:p>
    <w:p>
      <w:pPr>
        <w:spacing w:after="0" w:line="93" w:lineRule="exact"/>
        <w:rPr>
          <w:rFonts w:ascii="Arial" w:cs="Arial" w:eastAsia="Arial" w:hAnsi="Arial"/>
          <w:sz w:val="17"/>
          <w:szCs w:val="17"/>
          <w:color w:val="auto"/>
        </w:rPr>
      </w:pPr>
    </w:p>
    <w:p>
      <w:pPr>
        <w:ind w:left="1080" w:hanging="194"/>
        <w:spacing w:after="0"/>
        <w:tabs>
          <w:tab w:leader="none" w:pos="1080"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Stockholder Representations and Warranties</w:t>
      </w:r>
      <w:r>
        <w:rPr>
          <w:rFonts w:ascii="Arial" w:cs="Arial" w:eastAsia="Arial" w:hAnsi="Arial"/>
          <w:sz w:val="16"/>
          <w:szCs w:val="16"/>
          <w:color w:val="auto"/>
        </w:rPr>
        <w:t>. Each Stockholder represents and warrants to Parent as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43" w:lineRule="exact"/>
        <w:rPr>
          <w:rFonts w:ascii="Arial" w:cs="Arial" w:eastAsia="Arial" w:hAnsi="Arial"/>
          <w:sz w:val="16"/>
          <w:szCs w:val="16"/>
          <w:color w:val="auto"/>
        </w:rPr>
      </w:pPr>
    </w:p>
    <w:p>
      <w:pPr>
        <w:jc w:val="both"/>
        <w:ind w:left="460" w:right="459" w:firstLine="858"/>
        <w:spacing w:after="0" w:line="257" w:lineRule="auto"/>
        <w:tabs>
          <w:tab w:leader="none" w:pos="1570" w:val="left"/>
        </w:tabs>
        <w:numPr>
          <w:ilvl w:val="2"/>
          <w:numId w:val="321"/>
        </w:numPr>
        <w:rPr>
          <w:rFonts w:ascii="Arial" w:cs="Arial" w:eastAsia="Arial" w:hAnsi="Arial"/>
          <w:sz w:val="18"/>
          <w:szCs w:val="18"/>
          <w:color w:val="auto"/>
        </w:rPr>
      </w:pPr>
      <w:r>
        <w:rPr>
          <w:rFonts w:ascii="Arial" w:cs="Arial" w:eastAsia="Arial" w:hAnsi="Arial"/>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06" w:lineRule="exact"/>
        <w:rPr>
          <w:rFonts w:ascii="Arial" w:cs="Arial" w:eastAsia="Arial" w:hAnsi="Arial"/>
          <w:sz w:val="18"/>
          <w:szCs w:val="18"/>
          <w:color w:val="auto"/>
        </w:rPr>
      </w:pPr>
    </w:p>
    <w:p>
      <w:pPr>
        <w:jc w:val="both"/>
        <w:ind w:left="460" w:right="459" w:firstLine="858"/>
        <w:spacing w:after="0" w:line="269" w:lineRule="auto"/>
        <w:tabs>
          <w:tab w:leader="none" w:pos="1589" w:val="left"/>
        </w:tabs>
        <w:numPr>
          <w:ilvl w:val="2"/>
          <w:numId w:val="321"/>
        </w:numPr>
        <w:rPr>
          <w:rFonts w:ascii="Arial" w:cs="Arial" w:eastAsia="Arial" w:hAnsi="Arial"/>
          <w:sz w:val="17"/>
          <w:szCs w:val="17"/>
          <w:color w:val="auto"/>
        </w:rPr>
      </w:pPr>
      <w:r>
        <w:rPr>
          <w:rFonts w:ascii="Arial" w:cs="Arial" w:eastAsia="Arial" w:hAnsi="Arial"/>
          <w:sz w:val="17"/>
          <w:szCs w:val="17"/>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14" w:lineRule="exact"/>
        <w:rPr>
          <w:rFonts w:ascii="Arial" w:cs="Arial" w:eastAsia="Arial" w:hAnsi="Arial"/>
          <w:sz w:val="17"/>
          <w:szCs w:val="17"/>
          <w:color w:val="auto"/>
        </w:rPr>
      </w:pPr>
    </w:p>
    <w:p>
      <w:pPr>
        <w:jc w:val="both"/>
        <w:ind w:left="460" w:right="459" w:firstLine="858"/>
        <w:spacing w:after="0" w:line="290" w:lineRule="auto"/>
        <w:tabs>
          <w:tab w:leader="none" w:pos="1624" w:val="left"/>
        </w:tabs>
        <w:numPr>
          <w:ilvl w:val="2"/>
          <w:numId w:val="321"/>
        </w:numPr>
        <w:rPr>
          <w:rFonts w:ascii="Arial" w:cs="Arial" w:eastAsia="Arial" w:hAnsi="Arial"/>
          <w:sz w:val="16"/>
          <w:szCs w:val="16"/>
          <w:color w:val="auto"/>
        </w:rPr>
      </w:pPr>
      <w:r>
        <w:rPr>
          <w:rFonts w:ascii="Arial" w:cs="Arial" w:eastAsia="Arial" w:hAnsi="Arial"/>
          <w:sz w:val="16"/>
          <w:szCs w:val="16"/>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97" w:lineRule="exact"/>
        <w:rPr>
          <w:rFonts w:ascii="Arial" w:cs="Arial" w:eastAsia="Arial" w:hAnsi="Arial"/>
          <w:sz w:val="16"/>
          <w:szCs w:val="16"/>
          <w:color w:val="auto"/>
        </w:rPr>
      </w:pPr>
    </w:p>
    <w:p>
      <w:pPr>
        <w:jc w:val="both"/>
        <w:ind w:left="460" w:right="459" w:firstLine="858"/>
        <w:spacing w:after="0" w:line="257" w:lineRule="auto"/>
        <w:tabs>
          <w:tab w:leader="none" w:pos="1593" w:val="left"/>
        </w:tabs>
        <w:numPr>
          <w:ilvl w:val="2"/>
          <w:numId w:val="321"/>
        </w:numPr>
        <w:rPr>
          <w:rFonts w:ascii="Arial" w:cs="Arial" w:eastAsia="Arial" w:hAnsi="Arial"/>
          <w:sz w:val="18"/>
          <w:szCs w:val="18"/>
          <w:color w:val="auto"/>
        </w:rPr>
      </w:pPr>
      <w:r>
        <w:rPr>
          <w:rFonts w:ascii="Arial" w:cs="Arial" w:eastAsia="Arial" w:hAnsi="Arial"/>
          <w:sz w:val="18"/>
          <w:szCs w:val="18"/>
          <w:color w:val="auto"/>
        </w:rPr>
        <w:t>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7" w:name="page338"/>
    <w:bookmarkEnd w:id="33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 xml:space="preserve">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directly above, as would not adversely affect the ability of such Stockholder to perform, or otherwise comply with, any of its covenants, agreements or obligations hereunder in any material respect.</w:t>
      </w:r>
    </w:p>
    <w:p>
      <w:pPr>
        <w:spacing w:after="0" w:line="129" w:lineRule="exact"/>
        <w:rPr>
          <w:sz w:val="20"/>
          <w:szCs w:val="20"/>
          <w:color w:val="auto"/>
        </w:rPr>
      </w:pPr>
    </w:p>
    <w:p>
      <w:pPr>
        <w:jc w:val="both"/>
        <w:ind w:left="460" w:right="459" w:firstLine="858"/>
        <w:spacing w:after="0" w:line="283" w:lineRule="auto"/>
        <w:tabs>
          <w:tab w:leader="none" w:pos="1590" w:val="left"/>
        </w:tabs>
        <w:numPr>
          <w:ilvl w:val="2"/>
          <w:numId w:val="322"/>
        </w:numPr>
        <w:rPr>
          <w:rFonts w:ascii="Arial" w:cs="Arial" w:eastAsia="Arial" w:hAnsi="Arial"/>
          <w:sz w:val="16"/>
          <w:szCs w:val="16"/>
          <w:color w:val="auto"/>
        </w:rPr>
      </w:pPr>
      <w:r>
        <w:rPr>
          <w:rFonts w:ascii="Arial" w:cs="Arial" w:eastAsia="Arial" w:hAnsi="Arial"/>
          <w:sz w:val="16"/>
          <w:szCs w:val="16"/>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w:t>
      </w:r>
    </w:p>
    <w:p>
      <w:pPr>
        <w:spacing w:after="0" w:line="3" w:lineRule="exact"/>
        <w:rPr>
          <w:rFonts w:ascii="Arial" w:cs="Arial" w:eastAsia="Arial" w:hAnsi="Arial"/>
          <w:sz w:val="16"/>
          <w:szCs w:val="16"/>
          <w:color w:val="auto"/>
        </w:rPr>
      </w:pPr>
    </w:p>
    <w:p>
      <w:pPr>
        <w:ind w:left="460" w:right="479" w:hanging="6"/>
        <w:spacing w:after="0" w:line="260" w:lineRule="auto"/>
        <w:tabs>
          <w:tab w:leader="none" w:pos="75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voting trust, proxy or other Contract with respect to the voting or Transfer of any of the Subject Company Shares.</w:t>
      </w:r>
    </w:p>
    <w:p>
      <w:pPr>
        <w:spacing w:after="0" w:line="117" w:lineRule="exact"/>
        <w:rPr>
          <w:rFonts w:ascii="Arial" w:cs="Arial" w:eastAsia="Arial" w:hAnsi="Arial"/>
          <w:sz w:val="18"/>
          <w:szCs w:val="18"/>
          <w:color w:val="auto"/>
        </w:rPr>
      </w:pPr>
    </w:p>
    <w:p>
      <w:pPr>
        <w:jc w:val="both"/>
        <w:ind w:left="460" w:right="459" w:firstLine="858"/>
        <w:spacing w:after="0" w:line="255" w:lineRule="auto"/>
        <w:tabs>
          <w:tab w:leader="none" w:pos="1579" w:val="left"/>
        </w:tabs>
        <w:numPr>
          <w:ilvl w:val="2"/>
          <w:numId w:val="323"/>
        </w:numPr>
        <w:rPr>
          <w:rFonts w:ascii="Arial" w:cs="Arial" w:eastAsia="Arial" w:hAnsi="Arial"/>
          <w:sz w:val="18"/>
          <w:szCs w:val="18"/>
          <w:color w:val="auto"/>
        </w:rPr>
      </w:pPr>
      <w:r>
        <w:rPr>
          <w:rFonts w:ascii="Arial" w:cs="Arial" w:eastAsia="Arial" w:hAnsi="Arial"/>
          <w:sz w:val="18"/>
          <w:szCs w:val="18"/>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11" w:lineRule="exact"/>
        <w:rPr>
          <w:rFonts w:ascii="Arial" w:cs="Arial" w:eastAsia="Arial" w:hAnsi="Arial"/>
          <w:sz w:val="18"/>
          <w:szCs w:val="18"/>
          <w:color w:val="auto"/>
        </w:rPr>
      </w:pPr>
    </w:p>
    <w:p>
      <w:pPr>
        <w:jc w:val="both"/>
        <w:ind w:left="460" w:right="459" w:firstLine="858"/>
        <w:spacing w:after="0" w:line="270" w:lineRule="auto"/>
        <w:tabs>
          <w:tab w:leader="none" w:pos="1593" w:val="left"/>
        </w:tabs>
        <w:numPr>
          <w:ilvl w:val="2"/>
          <w:numId w:val="323"/>
        </w:numPr>
        <w:rPr>
          <w:rFonts w:ascii="Arial" w:cs="Arial" w:eastAsia="Arial" w:hAnsi="Arial"/>
          <w:sz w:val="17"/>
          <w:szCs w:val="17"/>
          <w:color w:val="auto"/>
        </w:rPr>
      </w:pPr>
      <w:r>
        <w:rPr>
          <w:rFonts w:ascii="Arial" w:cs="Arial" w:eastAsia="Arial" w:hAnsi="Arial"/>
          <w:sz w:val="17"/>
          <w:szCs w:val="17"/>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13" w:lineRule="exact"/>
        <w:rPr>
          <w:rFonts w:ascii="Arial" w:cs="Arial" w:eastAsia="Arial" w:hAnsi="Arial"/>
          <w:sz w:val="17"/>
          <w:szCs w:val="17"/>
          <w:color w:val="auto"/>
        </w:rPr>
      </w:pPr>
    </w:p>
    <w:p>
      <w:pPr>
        <w:jc w:val="both"/>
        <w:ind w:left="460" w:right="459" w:firstLine="858"/>
        <w:spacing w:after="0" w:line="269" w:lineRule="auto"/>
        <w:tabs>
          <w:tab w:leader="none" w:pos="1584" w:val="left"/>
        </w:tabs>
        <w:numPr>
          <w:ilvl w:val="2"/>
          <w:numId w:val="323"/>
        </w:numPr>
        <w:rPr>
          <w:rFonts w:ascii="Arial" w:cs="Arial" w:eastAsia="Arial" w:hAnsi="Arial"/>
          <w:sz w:val="17"/>
          <w:szCs w:val="17"/>
          <w:color w:val="auto"/>
        </w:rPr>
      </w:pPr>
      <w:r>
        <w:rPr>
          <w:rFonts w:ascii="Arial" w:cs="Arial" w:eastAsia="Arial" w:hAnsi="Arial"/>
          <w:sz w:val="17"/>
          <w:szCs w:val="17"/>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11" w:lineRule="exact"/>
        <w:rPr>
          <w:rFonts w:ascii="Arial" w:cs="Arial" w:eastAsia="Arial" w:hAnsi="Arial"/>
          <w:sz w:val="17"/>
          <w:szCs w:val="17"/>
          <w:color w:val="auto"/>
        </w:rPr>
      </w:pPr>
    </w:p>
    <w:p>
      <w:pPr>
        <w:jc w:val="both"/>
        <w:ind w:left="460" w:right="459" w:firstLine="426"/>
        <w:spacing w:after="0" w:line="287" w:lineRule="auto"/>
        <w:tabs>
          <w:tab w:leader="none" w:pos="1072"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Transfer of Subject Securities</w:t>
      </w:r>
      <w:r>
        <w:rPr>
          <w:rFonts w:ascii="Arial" w:cs="Arial" w:eastAsia="Arial" w:hAnsi="Arial"/>
          <w:sz w:val="16"/>
          <w:szCs w:val="16"/>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w:t>
      </w:r>
    </w:p>
    <w:p>
      <w:pPr>
        <w:spacing w:after="0" w:line="2" w:lineRule="exact"/>
        <w:rPr>
          <w:rFonts w:ascii="Arial" w:cs="Arial" w:eastAsia="Arial" w:hAnsi="Arial"/>
          <w:sz w:val="16"/>
          <w:szCs w:val="16"/>
          <w:color w:val="auto"/>
        </w:rPr>
      </w:pPr>
    </w:p>
    <w:p>
      <w:pPr>
        <w:jc w:val="both"/>
        <w:ind w:left="460" w:right="459" w:hanging="6"/>
        <w:spacing w:after="0" w:line="252" w:lineRule="auto"/>
        <w:tabs>
          <w:tab w:leader="none" w:pos="68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option, warrant, purchase right, or other Contract that would (either alone or in connection with one or more events or developments (including the satisfaction or waiver of any conditions precedent)) require such Stockholder to Transfer the Subject Company Shares or (ii) 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8" w:name="page339"/>
    <w:bookmarkEnd w:id="33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Transfer</w:t>
      </w:r>
      <w:r>
        <w:rPr>
          <w:rFonts w:ascii="Arial" w:cs="Arial" w:eastAsia="Arial" w:hAnsi="Arial"/>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119" w:lineRule="exact"/>
        <w:rPr>
          <w:sz w:val="20"/>
          <w:szCs w:val="20"/>
          <w:color w:val="auto"/>
        </w:rPr>
      </w:pPr>
    </w:p>
    <w:p>
      <w:pPr>
        <w:jc w:val="both"/>
        <w:ind w:left="460" w:right="459" w:firstLine="426"/>
        <w:spacing w:after="0" w:line="275" w:lineRule="auto"/>
        <w:tabs>
          <w:tab w:leader="none" w:pos="1072"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automatically terminate, without any notice or other action by any Party, and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08" w:lineRule="exact"/>
        <w:rPr>
          <w:rFonts w:ascii="Arial" w:cs="Arial" w:eastAsia="Arial" w:hAnsi="Arial"/>
          <w:sz w:val="17"/>
          <w:szCs w:val="17"/>
          <w:color w:val="auto"/>
        </w:rPr>
      </w:pPr>
    </w:p>
    <w:p>
      <w:pPr>
        <w:jc w:val="both"/>
        <w:ind w:left="460" w:right="459" w:firstLine="426"/>
        <w:spacing w:after="0" w:line="272" w:lineRule="auto"/>
        <w:tabs>
          <w:tab w:leader="none" w:pos="1085"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Fiduciary Duties</w:t>
      </w:r>
      <w:r>
        <w:rPr>
          <w:rFonts w:ascii="Arial" w:cs="Arial" w:eastAsia="Arial" w:hAnsi="Arial"/>
          <w:sz w:val="17"/>
          <w:szCs w:val="17"/>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96" w:lineRule="exact"/>
        <w:rPr>
          <w:rFonts w:ascii="Arial" w:cs="Arial" w:eastAsia="Arial" w:hAnsi="Arial"/>
          <w:sz w:val="17"/>
          <w:szCs w:val="17"/>
          <w:color w:val="auto"/>
        </w:rPr>
      </w:pPr>
    </w:p>
    <w:p>
      <w:pPr>
        <w:jc w:val="both"/>
        <w:ind w:left="460" w:right="459" w:firstLine="426"/>
        <w:spacing w:after="0" w:line="254" w:lineRule="auto"/>
        <w:tabs>
          <w:tab w:leader="none" w:pos="1072"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Parent, to:</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 FS Development Corp.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Jim Tananbaum</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Jim@foresitecapital.com</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New York 10020-1095</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joel.rubinstein@whitecase.com</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a Stockholder, to the address specified by such Stockholder in writing.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Boston, MA 02210</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Attention:</w:t>
      </w: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Mitchell S. Bloom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mbloom@goodwinlaw.com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despinoza@goodwinlaw.com</w:t>
      </w:r>
    </w:p>
    <w:p>
      <w:pPr>
        <w:spacing w:after="0" w:line="153" w:lineRule="exact"/>
        <w:rPr>
          <w:sz w:val="20"/>
          <w:szCs w:val="20"/>
          <w:color w:val="auto"/>
        </w:rPr>
      </w:pPr>
    </w:p>
    <w:p>
      <w:pPr>
        <w:sectPr>
          <w:pgSz w:w="11900" w:h="16838" w:orient="portrait"/>
          <w:cols w:equalWidth="0" w:num="2">
            <w:col w:w="2040" w:space="300"/>
            <w:col w:w="6679"/>
          </w:cols>
          <w:pgMar w:left="1440" w:top="274" w:right="1440" w:bottom="1440" w:gutter="0" w:footer="0" w:header="0"/>
          <w:type w:val="continuous"/>
        </w:sectPr>
      </w:pPr>
    </w:p>
    <w:p>
      <w:pPr>
        <w:ind w:left="460" w:right="479"/>
        <w:spacing w:after="0" w:line="277" w:lineRule="auto"/>
        <w:rPr>
          <w:sz w:val="20"/>
          <w:szCs w:val="20"/>
          <w:color w:val="auto"/>
        </w:rPr>
      </w:pPr>
      <w:r>
        <w:rPr>
          <w:rFonts w:ascii="Arial" w:cs="Arial" w:eastAsia="Arial" w:hAnsi="Arial"/>
          <w:sz w:val="18"/>
          <w:szCs w:val="18"/>
          <w:color w:val="auto"/>
        </w:rPr>
        <w:t>or to such other address as the Party to whom notice is given may have previously furnished to the others in writing in the manner set forth above.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9" w:name="page340"/>
    <w:bookmarkEnd w:id="33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79" w:lineRule="auto"/>
        <w:tabs>
          <w:tab w:leader="none" w:pos="1099"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03" w:lineRule="exact"/>
        <w:rPr>
          <w:rFonts w:ascii="Arial" w:cs="Arial" w:eastAsia="Arial" w:hAnsi="Arial"/>
          <w:sz w:val="17"/>
          <w:szCs w:val="17"/>
          <w:color w:val="auto"/>
        </w:rPr>
      </w:pPr>
    </w:p>
    <w:p>
      <w:pPr>
        <w:jc w:val="both"/>
        <w:ind w:left="460" w:right="459" w:firstLine="426"/>
        <w:spacing w:after="0" w:line="254" w:lineRule="auto"/>
        <w:tabs>
          <w:tab w:leader="none" w:pos="1072"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Amendments and Waivers; Assignment</w:t>
      </w:r>
      <w:r>
        <w:rPr>
          <w:rFonts w:ascii="Arial" w:cs="Arial" w:eastAsia="Arial" w:hAnsi="Arial"/>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27" w:lineRule="exact"/>
        <w:rPr>
          <w:rFonts w:ascii="Arial" w:cs="Arial" w:eastAsia="Arial" w:hAnsi="Arial"/>
          <w:sz w:val="18"/>
          <w:szCs w:val="18"/>
          <w:color w:val="auto"/>
        </w:rPr>
      </w:pPr>
    </w:p>
    <w:p>
      <w:pPr>
        <w:jc w:val="both"/>
        <w:ind w:left="460" w:right="479" w:firstLine="426"/>
        <w:spacing w:after="0" w:line="259" w:lineRule="auto"/>
        <w:tabs>
          <w:tab w:leader="none" w:pos="1175"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105" w:lineRule="exact"/>
        <w:rPr>
          <w:rFonts w:ascii="Arial" w:cs="Arial" w:eastAsia="Arial" w:hAnsi="Arial"/>
          <w:sz w:val="18"/>
          <w:szCs w:val="18"/>
          <w:color w:val="auto"/>
        </w:rPr>
      </w:pPr>
    </w:p>
    <w:p>
      <w:pPr>
        <w:jc w:val="both"/>
        <w:ind w:left="460" w:right="459" w:firstLine="426"/>
        <w:spacing w:after="0" w:line="286" w:lineRule="auto"/>
        <w:tabs>
          <w:tab w:leader="none" w:pos="1155"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06" w:lineRule="exact"/>
        <w:rPr>
          <w:rFonts w:ascii="Arial" w:cs="Arial" w:eastAsia="Arial" w:hAnsi="Arial"/>
          <w:sz w:val="16"/>
          <w:szCs w:val="16"/>
          <w:color w:val="auto"/>
        </w:rPr>
      </w:pPr>
    </w:p>
    <w:p>
      <w:pPr>
        <w:jc w:val="both"/>
        <w:ind w:left="460" w:right="479" w:firstLine="426"/>
        <w:spacing w:after="0" w:line="275" w:lineRule="auto"/>
        <w:tabs>
          <w:tab w:leader="none" w:pos="1175"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08" w:lineRule="exact"/>
        <w:rPr>
          <w:rFonts w:ascii="Arial" w:cs="Arial" w:eastAsia="Arial" w:hAnsi="Arial"/>
          <w:sz w:val="17"/>
          <w:szCs w:val="17"/>
          <w:color w:val="auto"/>
        </w:rPr>
      </w:pPr>
    </w:p>
    <w:p>
      <w:pPr>
        <w:jc w:val="both"/>
        <w:ind w:left="460" w:right="479" w:firstLine="426"/>
        <w:spacing w:after="0" w:line="263" w:lineRule="auto"/>
        <w:tabs>
          <w:tab w:leader="none" w:pos="1189"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0" w:name="page341"/>
    <w:bookmarkEnd w:id="34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IN WITNESS WHEREOF, the Parties have executed and delivered this Company Support Agreement as of the date first above written.</w:t>
      </w:r>
    </w:p>
    <w:p>
      <w:pPr>
        <w:spacing w:after="0" w:line="16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FS DEVELOPMENT CORP.</w:t>
      </w:r>
    </w:p>
    <w:p>
      <w:pPr>
        <w:spacing w:after="0" w:line="18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48895</wp:posOffset>
            </wp:positionV>
            <wp:extent cx="23145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Company Support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1" w:name="page342"/>
    <w:bookmarkEnd w:id="34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2" w:name="page343"/>
    <w:bookmarkEnd w:id="34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ORBIMED PRIVATE INVESTMENTS VI, L.P.</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3" w:name="page344"/>
    <w:bookmarkEnd w:id="34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By: Atlas Venture Associates X, L.P.</w:t>
      </w:r>
    </w:p>
    <w:p>
      <w:pPr>
        <w:spacing w:after="0" w:line="10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By: Atlas Venture Associates X, LLC</w:t>
      </w:r>
    </w:p>
    <w:p>
      <w:pPr>
        <w:spacing w:after="0" w:line="10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4" w:name="page345"/>
    <w:bookmarkEnd w:id="34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5" w:name="page346"/>
    <w:bookmarkEnd w:id="34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Number of</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Series A</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Series B</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amount under</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Preferred</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Preferred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Convertible</w:t>
            </w:r>
          </w:p>
        </w:tc>
      </w:tr>
      <w:tr>
        <w:trPr>
          <w:trHeight w:val="210"/>
        </w:trPr>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Name of Stockholder</w:t>
            </w: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Stock</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Stock</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Note</w:t>
            </w:r>
          </w:p>
        </w:tc>
      </w:tr>
      <w:tr>
        <w:trPr>
          <w:trHeight w:val="46"/>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Lightstone Ventures,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11,653,137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976,931</w:t>
            </w: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Lightstone Ventures (A), L.P.</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1,587,559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133,112</w:t>
            </w:r>
          </w:p>
        </w:tc>
        <w:tc>
          <w:tcPr>
            <w:tcW w:w="1040" w:type="dxa"/>
            <w:vAlign w:val="bottom"/>
          </w:tcPr>
          <w:p>
            <w:pPr>
              <w:spacing w:after="0"/>
              <w:rPr>
                <w:sz w:val="21"/>
                <w:szCs w:val="21"/>
                <w:color w:val="auto"/>
              </w:rPr>
            </w:pPr>
          </w:p>
        </w:tc>
      </w:tr>
      <w:tr>
        <w:trPr>
          <w:trHeight w:val="40"/>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Lightstone Singapore L.P.</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3,700,139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OrbiMed Private Investments VI, L.P.</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13,240,696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7,400,280</w:t>
            </w:r>
          </w:p>
        </w:tc>
        <w:tc>
          <w:tcPr>
            <w:tcW w:w="1040" w:type="dxa"/>
            <w:vAlign w:val="bottom"/>
          </w:tcPr>
          <w:p>
            <w:pPr>
              <w:jc w:val="right"/>
              <w:spacing w:after="0"/>
              <w:rPr>
                <w:sz w:val="20"/>
                <w:szCs w:val="20"/>
                <w:color w:val="auto"/>
              </w:rPr>
            </w:pPr>
            <w:r>
              <w:rPr>
                <w:rFonts w:ascii="Arial" w:cs="Arial" w:eastAsia="Arial" w:hAnsi="Arial"/>
                <w:sz w:val="18"/>
                <w:szCs w:val="18"/>
                <w:color w:val="auto"/>
              </w:rPr>
              <w:t>4,887,000</w:t>
            </w:r>
          </w:p>
        </w:tc>
      </w:tr>
      <w:tr>
        <w:trPr>
          <w:trHeight w:val="40"/>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13,240,696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5,180,196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4,361,000</w:t>
            </w: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Wu Capital Investment LLC</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7,400,280</w:t>
            </w:r>
          </w:p>
        </w:tc>
        <w:tc>
          <w:tcPr>
            <w:tcW w:w="1040" w:type="dxa"/>
            <w:vAlign w:val="bottom"/>
          </w:tcPr>
          <w:p>
            <w:pPr>
              <w:jc w:val="right"/>
              <w:spacing w:after="0"/>
              <w:rPr>
                <w:sz w:val="20"/>
                <w:szCs w:val="20"/>
                <w:color w:val="auto"/>
              </w:rPr>
            </w:pPr>
            <w:r>
              <w:rPr>
                <w:rFonts w:ascii="Arial" w:cs="Arial" w:eastAsia="Arial" w:hAnsi="Arial"/>
                <w:sz w:val="18"/>
                <w:szCs w:val="18"/>
                <w:color w:val="auto"/>
              </w:rPr>
              <w:t>1,752,000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6" w:name="page347"/>
    <w:bookmarkEnd w:id="34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148" w:lineRule="exact"/>
        <w:rPr>
          <w:sz w:val="20"/>
          <w:szCs w:val="20"/>
          <w:color w:val="auto"/>
        </w:rPr>
      </w:pPr>
    </w:p>
    <w:p>
      <w:pPr>
        <w:jc w:val="both"/>
        <w:ind w:left="880" w:right="459" w:hanging="426"/>
        <w:spacing w:after="0" w:line="263" w:lineRule="auto"/>
        <w:tabs>
          <w:tab w:leader="none" w:pos="95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16" w:lineRule="exact"/>
        <w:rPr>
          <w:rFonts w:ascii="Arial" w:cs="Arial" w:eastAsia="Arial" w:hAnsi="Arial"/>
          <w:sz w:val="18"/>
          <w:szCs w:val="18"/>
          <w:color w:val="auto"/>
        </w:rPr>
      </w:pPr>
    </w:p>
    <w:p>
      <w:pPr>
        <w:ind w:left="880" w:right="479" w:hanging="426"/>
        <w:spacing w:after="0" w:line="342" w:lineRule="auto"/>
        <w:tabs>
          <w:tab w:leader="none" w:pos="849"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Amended and Restated Right of First Refusal and Co-Sale Agreement, dated as of September 26, 2019, by and among the Company, the Investors (as defined below) and the persons named on Schedule B thereto.</w:t>
      </w:r>
    </w:p>
    <w:p>
      <w:pPr>
        <w:spacing w:after="0" w:line="56" w:lineRule="exact"/>
        <w:rPr>
          <w:rFonts w:ascii="Arial" w:cs="Arial" w:eastAsia="Arial" w:hAnsi="Arial"/>
          <w:sz w:val="16"/>
          <w:szCs w:val="16"/>
          <w:color w:val="auto"/>
        </w:rPr>
      </w:pPr>
    </w:p>
    <w:p>
      <w:pPr>
        <w:ind w:left="880" w:right="479" w:hanging="426"/>
        <w:spacing w:after="0" w:line="277" w:lineRule="auto"/>
        <w:tabs>
          <w:tab w:leader="none" w:pos="89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Amended and Restated Investors’ Rights Agreement, dated as of September 26, 2019, by and among the Company and the Investors.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7" w:name="page348"/>
    <w:bookmarkEnd w:id="34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Francisco, California 94111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connection with the proposed business combination (the “</w:t>
      </w:r>
      <w:r>
        <w:rPr>
          <w:rFonts w:ascii="Arial" w:cs="Arial" w:eastAsia="Arial" w:hAnsi="Arial"/>
          <w:sz w:val="16"/>
          <w:szCs w:val="16"/>
          <w:u w:val="single" w:color="auto"/>
          <w:color w:val="auto"/>
        </w:rPr>
        <w:t>Transaction</w:t>
      </w:r>
      <w:r>
        <w:rPr>
          <w:rFonts w:ascii="Arial" w:cs="Arial" w:eastAsia="Arial" w:hAnsi="Arial"/>
          <w:sz w:val="16"/>
          <w:szCs w:val="16"/>
          <w:color w:val="auto"/>
        </w:rPr>
        <w:t>”) between FS Development Corp., a Delaware corporation (“</w:t>
      </w:r>
      <w:r>
        <w:rPr>
          <w:rFonts w:ascii="Arial" w:cs="Arial" w:eastAsia="Arial" w:hAnsi="Arial"/>
          <w:sz w:val="16"/>
          <w:szCs w:val="16"/>
          <w:u w:val="single" w:color="auto"/>
          <w:color w:val="auto"/>
        </w:rPr>
        <w:t>FSD</w:t>
      </w:r>
      <w:r>
        <w:rPr>
          <w:rFonts w:ascii="Arial" w:cs="Arial" w:eastAsia="Arial" w:hAnsi="Arial"/>
          <w:sz w:val="16"/>
          <w:szCs w:val="16"/>
          <w:color w:val="auto"/>
        </w:rPr>
        <w:t>”), and Gemini Therapeutics, Inc., a Delaware corporation (“</w:t>
      </w:r>
      <w:r>
        <w:rPr>
          <w:rFonts w:ascii="Arial" w:cs="Arial" w:eastAsia="Arial" w:hAnsi="Arial"/>
          <w:sz w:val="16"/>
          <w:szCs w:val="16"/>
          <w:u w:val="single" w:color="auto"/>
          <w:color w:val="auto"/>
        </w:rPr>
        <w:t>Target</w:t>
      </w:r>
      <w:r>
        <w:rPr>
          <w:rFonts w:ascii="Arial" w:cs="Arial" w:eastAsia="Arial" w:hAnsi="Arial"/>
          <w:sz w:val="16"/>
          <w:szCs w:val="16"/>
          <w:color w:val="auto"/>
        </w:rPr>
        <w:t>”), pursuant to a merger agreement to be entered into among FSD, Target, and the other parties thereto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FSD is seeking commitments from interested investors to purchase shares of Class A common stock, par value $0.0001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of FSD, for a purchase price of $10.00 per share (the “</w:t>
      </w:r>
      <w:r>
        <w:rPr>
          <w:rFonts w:ascii="Arial" w:cs="Arial" w:eastAsia="Arial" w:hAnsi="Arial"/>
          <w:sz w:val="16"/>
          <w:szCs w:val="16"/>
          <w:u w:val="single" w:color="auto"/>
          <w:color w:val="auto"/>
        </w:rPr>
        <w:t>Per Share Purchase Price</w:t>
      </w:r>
      <w:r>
        <w:rPr>
          <w:rFonts w:ascii="Arial" w:cs="Arial" w:eastAsia="Arial" w:hAnsi="Arial"/>
          <w:sz w:val="16"/>
          <w:szCs w:val="16"/>
          <w:color w:val="auto"/>
        </w:rPr>
        <w:t>”). The aggregate purchase price to be paid by the undersigned (the “</w:t>
      </w:r>
      <w:r>
        <w:rPr>
          <w:rFonts w:ascii="Arial" w:cs="Arial" w:eastAsia="Arial" w:hAnsi="Arial"/>
          <w:sz w:val="16"/>
          <w:szCs w:val="16"/>
          <w:u w:val="single" w:color="auto"/>
          <w:color w:val="auto"/>
        </w:rPr>
        <w:t>Investor</w:t>
      </w:r>
      <w:r>
        <w:rPr>
          <w:rFonts w:ascii="Arial" w:cs="Arial" w:eastAsia="Arial" w:hAnsi="Arial"/>
          <w:sz w:val="16"/>
          <w:szCs w:val="16"/>
          <w:color w:val="auto"/>
        </w:rPr>
        <w:t>”) for the subscribed Shares (as set forth on the signature page hereto) is referred to herein as the “</w:t>
      </w:r>
      <w:r>
        <w:rPr>
          <w:rFonts w:ascii="Arial" w:cs="Arial" w:eastAsia="Arial" w:hAnsi="Arial"/>
          <w:sz w:val="16"/>
          <w:szCs w:val="16"/>
          <w:u w:val="single" w:color="auto"/>
          <w:color w:val="auto"/>
        </w:rPr>
        <w:t>Subscription Amount</w:t>
      </w:r>
      <w:r>
        <w:rPr>
          <w:rFonts w:ascii="Arial" w:cs="Arial" w:eastAsia="Arial" w:hAnsi="Arial"/>
          <w:sz w:val="16"/>
          <w:szCs w:val="16"/>
          <w:color w:val="auto"/>
        </w:rPr>
        <w:t>.” On or about the date of this Subscription Agreement, FSD is entering into subscription agreements (the “</w:t>
      </w:r>
      <w:r>
        <w:rPr>
          <w:rFonts w:ascii="Arial" w:cs="Arial" w:eastAsia="Arial" w:hAnsi="Arial"/>
          <w:sz w:val="16"/>
          <w:szCs w:val="16"/>
          <w:u w:val="single" w:color="auto"/>
          <w:color w:val="auto"/>
        </w:rPr>
        <w:t>Other Subscription Agreements</w:t>
      </w:r>
      <w:r>
        <w:rPr>
          <w:rFonts w:ascii="Arial" w:cs="Arial" w:eastAsia="Arial" w:hAnsi="Arial"/>
          <w:sz w:val="16"/>
          <w:szCs w:val="16"/>
          <w:color w:val="auto"/>
        </w:rPr>
        <w:t>” and together with this Subscription Agreement,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with certain other investors (the “</w:t>
      </w:r>
      <w:r>
        <w:rPr>
          <w:rFonts w:ascii="Arial" w:cs="Arial" w:eastAsia="Arial" w:hAnsi="Arial"/>
          <w:sz w:val="16"/>
          <w:szCs w:val="16"/>
          <w:u w:val="single" w:color="auto"/>
          <w:color w:val="auto"/>
        </w:rPr>
        <w:t>Other Investors</w:t>
      </w:r>
      <w:r>
        <w:rPr>
          <w:rFonts w:ascii="Arial" w:cs="Arial" w:eastAsia="Arial" w:hAnsi="Arial"/>
          <w:sz w:val="16"/>
          <w:szCs w:val="16"/>
          <w:color w:val="auto"/>
        </w:rPr>
        <w:t>” and together with the Investor, the “</w:t>
      </w:r>
      <w:r>
        <w:rPr>
          <w:rFonts w:ascii="Arial" w:cs="Arial" w:eastAsia="Arial" w:hAnsi="Arial"/>
          <w:sz w:val="16"/>
          <w:szCs w:val="16"/>
          <w:u w:val="single" w:color="auto"/>
          <w:color w:val="auto"/>
        </w:rPr>
        <w:t>Investors</w:t>
      </w:r>
      <w:r>
        <w:rPr>
          <w:rFonts w:ascii="Arial" w:cs="Arial" w:eastAsia="Arial" w:hAnsi="Arial"/>
          <w:sz w:val="16"/>
          <w:szCs w:val="16"/>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0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16" w:lineRule="exact"/>
        <w:rPr>
          <w:sz w:val="20"/>
          <w:szCs w:val="20"/>
          <w:color w:val="auto"/>
        </w:rPr>
      </w:pPr>
    </w:p>
    <w:p>
      <w:pPr>
        <w:jc w:val="both"/>
        <w:ind w:left="460" w:right="459" w:firstLine="426"/>
        <w:spacing w:after="0" w:line="263" w:lineRule="auto"/>
        <w:tabs>
          <w:tab w:leader="none" w:pos="108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102" w:lineRule="exact"/>
        <w:rPr>
          <w:rFonts w:ascii="Arial" w:cs="Arial" w:eastAsia="Arial" w:hAnsi="Arial"/>
          <w:sz w:val="18"/>
          <w:szCs w:val="18"/>
          <w:color w:val="auto"/>
        </w:rPr>
      </w:pPr>
    </w:p>
    <w:p>
      <w:pPr>
        <w:jc w:val="both"/>
        <w:ind w:left="460" w:right="459" w:firstLine="426"/>
        <w:spacing w:after="0" w:line="284" w:lineRule="auto"/>
        <w:tabs>
          <w:tab w:leader="none" w:pos="1072"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sale of the Shares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Subscription Agreement and (ii) delivery of written notice from (or on behalf of) FSD to the Investor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12" w:lineRule="exact"/>
        <w:rPr>
          <w:rFonts w:ascii="Arial" w:cs="Arial" w:eastAsia="Arial" w:hAnsi="Arial"/>
          <w:sz w:val="16"/>
          <w:szCs w:val="16"/>
          <w:color w:val="auto"/>
        </w:rPr>
      </w:pPr>
    </w:p>
    <w:p>
      <w:pPr>
        <w:ind w:left="1060" w:hanging="17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479" w:firstLine="858"/>
        <w:spacing w:after="0" w:line="277" w:lineRule="auto"/>
        <w:tabs>
          <w:tab w:leader="none" w:pos="1574"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obligation of the parties hereto to consummate the purchase and sale of the Shares pursuant to this Subscription Agreement is subject to the following conditions:</w:t>
      </w:r>
    </w:p>
    <w:p>
      <w:pPr>
        <w:spacing w:after="0" w:line="89" w:lineRule="exact"/>
        <w:rPr>
          <w:rFonts w:ascii="Arial" w:cs="Arial" w:eastAsia="Arial" w:hAnsi="Arial"/>
          <w:sz w:val="18"/>
          <w:szCs w:val="18"/>
          <w:color w:val="auto"/>
        </w:rPr>
      </w:pPr>
    </w:p>
    <w:p>
      <w:pPr>
        <w:jc w:val="both"/>
        <w:ind w:left="1320" w:right="459" w:firstLine="1078"/>
        <w:spacing w:after="0" w:line="263" w:lineRule="auto"/>
        <w:tabs>
          <w:tab w:leader="none" w:pos="2648" w:val="left"/>
        </w:tabs>
        <w:numPr>
          <w:ilvl w:val="2"/>
          <w:numId w:val="328"/>
        </w:numPr>
        <w:rPr>
          <w:rFonts w:ascii="Arial" w:cs="Arial" w:eastAsia="Arial" w:hAnsi="Arial"/>
          <w:sz w:val="18"/>
          <w:szCs w:val="18"/>
          <w:color w:val="auto"/>
        </w:rPr>
      </w:pPr>
      <w:r>
        <w:rPr>
          <w:rFonts w:ascii="Arial" w:cs="Arial" w:eastAsia="Arial" w:hAnsi="Arial"/>
          <w:sz w:val="18"/>
          <w:szCs w:val="18"/>
          <w:color w:val="auto"/>
        </w:rPr>
        <w:t>no applicable governmental authority shall have enacted, issued, promulgated, enforced or entered any judgment, order, law, rule or regulation (whether temporary, preliminary or permanent)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8" w:name="page349"/>
    <w:bookmarkEnd w:id="34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spacing w:after="0" w:line="263" w:lineRule="auto"/>
        <w:rPr>
          <w:sz w:val="20"/>
          <w:szCs w:val="20"/>
          <w:color w:val="auto"/>
        </w:rPr>
      </w:pPr>
      <w:r>
        <w:rPr>
          <w:rFonts w:ascii="Arial" w:cs="Arial" w:eastAsia="Arial" w:hAnsi="Arial"/>
          <w:sz w:val="18"/>
          <w:szCs w:val="18"/>
          <w:color w:val="auto"/>
        </w:rPr>
        <w:t>which is then in effect and has the effect of making consummation of the transactions contemplated hereby illegal or otherwise restraining or prohibiting consummation of the transactions contemplated hereby;</w:t>
      </w:r>
    </w:p>
    <w:p>
      <w:pPr>
        <w:spacing w:after="0" w:line="116" w:lineRule="exact"/>
        <w:rPr>
          <w:sz w:val="20"/>
          <w:szCs w:val="20"/>
          <w:color w:val="auto"/>
        </w:rPr>
      </w:pPr>
    </w:p>
    <w:p>
      <w:pPr>
        <w:jc w:val="both"/>
        <w:ind w:left="1320" w:right="459" w:firstLine="1078"/>
        <w:spacing w:after="0" w:line="263" w:lineRule="auto"/>
        <w:tabs>
          <w:tab w:leader="none" w:pos="2669" w:val="left"/>
        </w:tabs>
        <w:numPr>
          <w:ilvl w:val="2"/>
          <w:numId w:val="329"/>
        </w:numPr>
        <w:rPr>
          <w:rFonts w:ascii="Arial" w:cs="Arial" w:eastAsia="Arial" w:hAnsi="Arial"/>
          <w:sz w:val="18"/>
          <w:szCs w:val="18"/>
          <w:color w:val="auto"/>
        </w:rPr>
      </w:pPr>
      <w:r>
        <w:rPr>
          <w:rFonts w:ascii="Arial" w:cs="Arial" w:eastAsia="Arial" w:hAnsi="Arial"/>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16" w:lineRule="exact"/>
        <w:rPr>
          <w:rFonts w:ascii="Arial" w:cs="Arial" w:eastAsia="Arial" w:hAnsi="Arial"/>
          <w:sz w:val="18"/>
          <w:szCs w:val="18"/>
          <w:color w:val="auto"/>
        </w:rPr>
      </w:pPr>
    </w:p>
    <w:p>
      <w:pPr>
        <w:jc w:val="both"/>
        <w:ind w:left="1320" w:right="459" w:firstLine="1078"/>
        <w:spacing w:after="0" w:line="286" w:lineRule="auto"/>
        <w:tabs>
          <w:tab w:leader="none" w:pos="2764" w:val="left"/>
        </w:tabs>
        <w:numPr>
          <w:ilvl w:val="2"/>
          <w:numId w:val="329"/>
        </w:numPr>
        <w:rPr>
          <w:rFonts w:ascii="Arial" w:cs="Arial" w:eastAsia="Arial" w:hAnsi="Arial"/>
          <w:sz w:val="17"/>
          <w:szCs w:val="17"/>
          <w:color w:val="auto"/>
        </w:rPr>
      </w:pPr>
      <w:r>
        <w:rPr>
          <w:rFonts w:ascii="Arial" w:cs="Arial" w:eastAsia="Arial" w:hAnsi="Arial"/>
          <w:sz w:val="17"/>
          <w:szCs w:val="17"/>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84" w:lineRule="exact"/>
        <w:rPr>
          <w:rFonts w:ascii="Arial" w:cs="Arial" w:eastAsia="Arial" w:hAnsi="Arial"/>
          <w:sz w:val="17"/>
          <w:szCs w:val="17"/>
          <w:color w:val="auto"/>
        </w:rPr>
      </w:pPr>
    </w:p>
    <w:p>
      <w:pPr>
        <w:ind w:left="2700" w:hanging="302"/>
        <w:spacing w:after="0"/>
        <w:tabs>
          <w:tab w:leader="none" w:pos="2700" w:val="left"/>
        </w:tabs>
        <w:numPr>
          <w:ilvl w:val="2"/>
          <w:numId w:val="329"/>
        </w:numPr>
        <w:rPr>
          <w:rFonts w:ascii="Arial" w:cs="Arial" w:eastAsia="Arial" w:hAnsi="Arial"/>
          <w:sz w:val="16"/>
          <w:szCs w:val="16"/>
          <w:color w:val="auto"/>
        </w:rPr>
      </w:pPr>
      <w:r>
        <w:rPr>
          <w:rFonts w:ascii="Arial" w:cs="Arial" w:eastAsia="Arial" w:hAnsi="Arial"/>
          <w:sz w:val="16"/>
          <w:szCs w:val="16"/>
          <w:color w:val="auto"/>
        </w:rPr>
        <w:t>the Shares shall have been approved for listing on the Nasdaq Capital Market.</w:t>
      </w:r>
    </w:p>
    <w:p>
      <w:pPr>
        <w:spacing w:after="0" w:line="180" w:lineRule="exact"/>
        <w:rPr>
          <w:rFonts w:ascii="Arial" w:cs="Arial" w:eastAsia="Arial" w:hAnsi="Arial"/>
          <w:sz w:val="16"/>
          <w:szCs w:val="16"/>
          <w:color w:val="auto"/>
        </w:rPr>
      </w:pPr>
    </w:p>
    <w:p>
      <w:pPr>
        <w:jc w:val="both"/>
        <w:ind w:left="460" w:right="459" w:firstLine="858"/>
        <w:spacing w:after="0" w:line="291" w:lineRule="auto"/>
        <w:tabs>
          <w:tab w:leader="none" w:pos="1612" w:val="left"/>
        </w:tabs>
        <w:numPr>
          <w:ilvl w:val="1"/>
          <w:numId w:val="330"/>
        </w:numPr>
        <w:rPr>
          <w:rFonts w:ascii="Arial" w:cs="Arial" w:eastAsia="Arial" w:hAnsi="Arial"/>
          <w:sz w:val="16"/>
          <w:szCs w:val="16"/>
          <w:color w:val="auto"/>
        </w:rPr>
      </w:pPr>
      <w:r>
        <w:rPr>
          <w:rFonts w:ascii="Arial" w:cs="Arial" w:eastAsia="Arial" w:hAnsi="Arial"/>
          <w:sz w:val="16"/>
          <w:szCs w:val="16"/>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98" w:lineRule="exact"/>
        <w:rPr>
          <w:rFonts w:ascii="Arial" w:cs="Arial" w:eastAsia="Arial" w:hAnsi="Arial"/>
          <w:sz w:val="16"/>
          <w:szCs w:val="16"/>
          <w:color w:val="auto"/>
        </w:rPr>
      </w:pPr>
    </w:p>
    <w:p>
      <w:pPr>
        <w:ind w:left="460" w:right="479" w:firstLine="858"/>
        <w:spacing w:after="0" w:line="277" w:lineRule="auto"/>
        <w:tabs>
          <w:tab w:leader="none" w:pos="1609"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obligation of the Investor to consummate the purchase of the Shares pursuant to this Subscription Agreement shall be subject to the following conditions:</w:t>
      </w:r>
    </w:p>
    <w:p>
      <w:pPr>
        <w:spacing w:after="0" w:line="89" w:lineRule="exact"/>
        <w:rPr>
          <w:rFonts w:ascii="Arial" w:cs="Arial" w:eastAsia="Arial" w:hAnsi="Arial"/>
          <w:sz w:val="18"/>
          <w:szCs w:val="18"/>
          <w:color w:val="auto"/>
        </w:rPr>
      </w:pPr>
    </w:p>
    <w:p>
      <w:pPr>
        <w:jc w:val="both"/>
        <w:ind w:left="1320" w:right="459" w:firstLine="1078"/>
        <w:spacing w:after="0" w:line="293" w:lineRule="auto"/>
        <w:tabs>
          <w:tab w:leader="none" w:pos="2690" w:val="left"/>
        </w:tabs>
        <w:numPr>
          <w:ilvl w:val="2"/>
          <w:numId w:val="330"/>
        </w:numPr>
        <w:rPr>
          <w:rFonts w:ascii="Arial" w:cs="Arial" w:eastAsia="Arial" w:hAnsi="Arial"/>
          <w:sz w:val="16"/>
          <w:szCs w:val="16"/>
          <w:color w:val="auto"/>
        </w:rPr>
      </w:pPr>
      <w:r>
        <w:rPr>
          <w:rFonts w:ascii="Arial" w:cs="Arial" w:eastAsia="Arial" w:hAnsi="Arial"/>
          <w:sz w:val="16"/>
          <w:szCs w:val="16"/>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96" w:lineRule="exact"/>
        <w:rPr>
          <w:rFonts w:ascii="Arial" w:cs="Arial" w:eastAsia="Arial" w:hAnsi="Arial"/>
          <w:sz w:val="16"/>
          <w:szCs w:val="16"/>
          <w:color w:val="auto"/>
        </w:rPr>
      </w:pPr>
    </w:p>
    <w:p>
      <w:pPr>
        <w:jc w:val="both"/>
        <w:ind w:left="1320" w:right="459" w:firstLine="1078"/>
        <w:spacing w:after="0" w:line="263" w:lineRule="auto"/>
        <w:tabs>
          <w:tab w:leader="none" w:pos="2667" w:val="left"/>
        </w:tabs>
        <w:numPr>
          <w:ilvl w:val="2"/>
          <w:numId w:val="330"/>
        </w:numPr>
        <w:rPr>
          <w:rFonts w:ascii="Arial" w:cs="Arial" w:eastAsia="Arial" w:hAnsi="Arial"/>
          <w:sz w:val="18"/>
          <w:szCs w:val="18"/>
          <w:color w:val="auto"/>
        </w:rPr>
      </w:pPr>
      <w:r>
        <w:rPr>
          <w:rFonts w:ascii="Arial" w:cs="Arial" w:eastAsia="Arial" w:hAnsi="Arial"/>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16" w:lineRule="exact"/>
        <w:rPr>
          <w:rFonts w:ascii="Arial" w:cs="Arial" w:eastAsia="Arial" w:hAnsi="Arial"/>
          <w:sz w:val="18"/>
          <w:szCs w:val="18"/>
          <w:color w:val="auto"/>
        </w:rPr>
      </w:pPr>
    </w:p>
    <w:p>
      <w:pPr>
        <w:jc w:val="both"/>
        <w:ind w:left="1320" w:right="459" w:firstLine="1078"/>
        <w:spacing w:after="0" w:line="311" w:lineRule="auto"/>
        <w:tabs>
          <w:tab w:leader="none" w:pos="2756" w:val="left"/>
        </w:tabs>
        <w:numPr>
          <w:ilvl w:val="2"/>
          <w:numId w:val="330"/>
        </w:numPr>
        <w:rPr>
          <w:rFonts w:ascii="Arial" w:cs="Arial" w:eastAsia="Arial" w:hAnsi="Arial"/>
          <w:sz w:val="16"/>
          <w:szCs w:val="16"/>
          <w:color w:val="auto"/>
        </w:rPr>
      </w:pPr>
      <w:r>
        <w:rPr>
          <w:rFonts w:ascii="Arial" w:cs="Arial" w:eastAsia="Arial" w:hAnsi="Arial"/>
          <w:sz w:val="16"/>
          <w:szCs w:val="16"/>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67" w:lineRule="exact"/>
        <w:rPr>
          <w:rFonts w:ascii="Arial" w:cs="Arial" w:eastAsia="Arial" w:hAnsi="Arial"/>
          <w:sz w:val="16"/>
          <w:szCs w:val="16"/>
          <w:color w:val="auto"/>
        </w:rPr>
      </w:pPr>
    </w:p>
    <w:p>
      <w:pPr>
        <w:jc w:val="both"/>
        <w:ind w:left="1320" w:right="479" w:firstLine="1078"/>
        <w:spacing w:after="0" w:line="263" w:lineRule="auto"/>
        <w:tabs>
          <w:tab w:leader="none" w:pos="2753" w:val="left"/>
        </w:tabs>
        <w:numPr>
          <w:ilvl w:val="2"/>
          <w:numId w:val="330"/>
        </w:numPr>
        <w:rPr>
          <w:rFonts w:ascii="Arial" w:cs="Arial" w:eastAsia="Arial" w:hAnsi="Arial"/>
          <w:sz w:val="18"/>
          <w:szCs w:val="18"/>
          <w:color w:val="auto"/>
        </w:rPr>
      </w:pPr>
      <w:r>
        <w:rPr>
          <w:rFonts w:ascii="Arial" w:cs="Arial" w:eastAsia="Arial" w:hAnsi="Arial"/>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16" w:lineRule="exact"/>
        <w:rPr>
          <w:rFonts w:ascii="Arial" w:cs="Arial" w:eastAsia="Arial" w:hAnsi="Arial"/>
          <w:sz w:val="18"/>
          <w:szCs w:val="18"/>
          <w:color w:val="auto"/>
        </w:rPr>
      </w:pPr>
    </w:p>
    <w:p>
      <w:pPr>
        <w:jc w:val="both"/>
        <w:ind w:left="460" w:right="459" w:firstLine="426"/>
        <w:spacing w:after="0" w:line="286" w:lineRule="auto"/>
        <w:tabs>
          <w:tab w:leader="none" w:pos="1112"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97" w:lineRule="exact"/>
        <w:rPr>
          <w:rFonts w:ascii="Arial" w:cs="Arial" w:eastAsia="Arial" w:hAnsi="Arial"/>
          <w:sz w:val="17"/>
          <w:szCs w:val="17"/>
          <w:color w:val="auto"/>
        </w:rPr>
      </w:pPr>
    </w:p>
    <w:p>
      <w:pPr>
        <w:ind w:left="460" w:right="479" w:firstLine="426"/>
        <w:spacing w:after="0" w:line="277" w:lineRule="auto"/>
        <w:tabs>
          <w:tab w:leader="none" w:pos="1072"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FSD Representations and Warranties</w:t>
      </w:r>
      <w:r>
        <w:rPr>
          <w:rFonts w:ascii="Arial" w:cs="Arial" w:eastAsia="Arial" w:hAnsi="Arial"/>
          <w:sz w:val="18"/>
          <w:szCs w:val="18"/>
          <w:color w:val="auto"/>
        </w:rPr>
        <w:t>. FSD represents and warrants to the Investor, as of the date hereof and as of the Closing Date that:</w:t>
      </w:r>
    </w:p>
    <w:p>
      <w:pPr>
        <w:spacing w:after="0" w:line="89" w:lineRule="exact"/>
        <w:rPr>
          <w:rFonts w:ascii="Arial" w:cs="Arial" w:eastAsia="Arial" w:hAnsi="Arial"/>
          <w:sz w:val="18"/>
          <w:szCs w:val="18"/>
          <w:color w:val="auto"/>
        </w:rPr>
      </w:pPr>
    </w:p>
    <w:p>
      <w:pPr>
        <w:jc w:val="both"/>
        <w:ind w:left="460" w:right="459" w:firstLine="858"/>
        <w:spacing w:after="0" w:line="259" w:lineRule="auto"/>
        <w:tabs>
          <w:tab w:leader="none" w:pos="1591" w:val="left"/>
        </w:tabs>
        <w:numPr>
          <w:ilvl w:val="1"/>
          <w:numId w:val="331"/>
        </w:numPr>
        <w:rPr>
          <w:rFonts w:ascii="Arial" w:cs="Arial" w:eastAsia="Arial" w:hAnsi="Arial"/>
          <w:sz w:val="18"/>
          <w:szCs w:val="18"/>
          <w:color w:val="auto"/>
        </w:rPr>
      </w:pPr>
      <w:r>
        <w:rPr>
          <w:rFonts w:ascii="Arial" w:cs="Arial" w:eastAsia="Arial" w:hAnsi="Arial"/>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19" w:lineRule="exact"/>
        <w:rPr>
          <w:rFonts w:ascii="Arial" w:cs="Arial" w:eastAsia="Arial" w:hAnsi="Arial"/>
          <w:sz w:val="18"/>
          <w:szCs w:val="18"/>
          <w:color w:val="auto"/>
        </w:rPr>
      </w:pPr>
    </w:p>
    <w:p>
      <w:pPr>
        <w:jc w:val="both"/>
        <w:ind w:left="460" w:right="459" w:firstLine="858"/>
        <w:spacing w:after="0" w:line="275" w:lineRule="auto"/>
        <w:tabs>
          <w:tab w:leader="none" w:pos="1581" w:val="left"/>
        </w:tabs>
        <w:numPr>
          <w:ilvl w:val="1"/>
          <w:numId w:val="331"/>
        </w:numPr>
        <w:rPr>
          <w:rFonts w:ascii="Arial" w:cs="Arial" w:eastAsia="Arial" w:hAnsi="Arial"/>
          <w:sz w:val="17"/>
          <w:szCs w:val="17"/>
          <w:color w:val="auto"/>
        </w:rPr>
      </w:pPr>
      <w:r>
        <w:rPr>
          <w:rFonts w:ascii="Arial" w:cs="Arial" w:eastAsia="Arial" w:hAnsi="Arial"/>
          <w:sz w:val="17"/>
          <w:szCs w:val="17"/>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9" w:name="page350"/>
    <w:bookmarkEnd w:id="34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5" w:lineRule="auto"/>
        <w:tabs>
          <w:tab w:leader="none" w:pos="159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24" w:lineRule="exact"/>
        <w:rPr>
          <w:rFonts w:ascii="Arial" w:cs="Arial" w:eastAsia="Arial" w:hAnsi="Arial"/>
          <w:sz w:val="18"/>
          <w:szCs w:val="18"/>
          <w:color w:val="auto"/>
        </w:rPr>
      </w:pPr>
    </w:p>
    <w:p>
      <w:pPr>
        <w:jc w:val="both"/>
        <w:ind w:left="460" w:right="459" w:firstLine="858"/>
        <w:spacing w:after="0" w:line="285" w:lineRule="auto"/>
        <w:tabs>
          <w:tab w:leader="none" w:pos="1588"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08" w:lineRule="exact"/>
        <w:rPr>
          <w:rFonts w:ascii="Arial" w:cs="Arial" w:eastAsia="Arial" w:hAnsi="Arial"/>
          <w:sz w:val="16"/>
          <w:szCs w:val="16"/>
          <w:color w:val="auto"/>
        </w:rPr>
      </w:pPr>
    </w:p>
    <w:p>
      <w:pPr>
        <w:jc w:val="both"/>
        <w:ind w:left="460" w:right="459" w:firstLine="858"/>
        <w:spacing w:after="0" w:line="285" w:lineRule="auto"/>
        <w:tabs>
          <w:tab w:leader="none" w:pos="1604" w:val="left"/>
        </w:tabs>
        <w:numPr>
          <w:ilvl w:val="0"/>
          <w:numId w:val="332"/>
        </w:numPr>
        <w:rPr>
          <w:rFonts w:ascii="Arial" w:cs="Arial" w:eastAsia="Arial" w:hAnsi="Arial"/>
          <w:sz w:val="16"/>
          <w:szCs w:val="16"/>
          <w:color w:val="auto"/>
        </w:rPr>
      </w:pPr>
      <w:r>
        <w:rPr>
          <w:rFonts w:ascii="Arial" w:cs="Arial" w:eastAsia="Arial" w:hAnsi="Arial"/>
          <w:sz w:val="16"/>
          <w:szCs w:val="16"/>
          <w:color w:val="auto"/>
        </w:rPr>
        <w:t>FSD has made all filings required to be filed by it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As of their respective dates, all reports, the Registration Statement of FSD filed on Form S-1 dated July 24, 2020 (as amended), and the prospectus of FSD dated August 11, 2020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required to be filed or actually filed by FSD with the SEC complied in all material respects with the applicable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95" w:lineRule="exact"/>
        <w:rPr>
          <w:rFonts w:ascii="Arial" w:cs="Arial" w:eastAsia="Arial" w:hAnsi="Arial"/>
          <w:sz w:val="16"/>
          <w:szCs w:val="16"/>
          <w:color w:val="auto"/>
        </w:rPr>
      </w:pPr>
    </w:p>
    <w:p>
      <w:pPr>
        <w:jc w:val="both"/>
        <w:ind w:left="460" w:right="479" w:firstLine="858"/>
        <w:spacing w:after="0" w:line="273" w:lineRule="auto"/>
        <w:tabs>
          <w:tab w:leader="none" w:pos="157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0" w:lineRule="exact"/>
        <w:rPr>
          <w:rFonts w:ascii="Arial" w:cs="Arial" w:eastAsia="Arial" w:hAnsi="Arial"/>
          <w:sz w:val="17"/>
          <w:szCs w:val="17"/>
          <w:color w:val="auto"/>
        </w:rPr>
      </w:pPr>
    </w:p>
    <w:p>
      <w:pPr>
        <w:jc w:val="both"/>
        <w:ind w:left="460" w:right="459" w:firstLine="858"/>
        <w:spacing w:after="0" w:line="270" w:lineRule="auto"/>
        <w:tabs>
          <w:tab w:leader="none" w:pos="1587" w:val="left"/>
        </w:tabs>
        <w:numPr>
          <w:ilvl w:val="0"/>
          <w:numId w:val="332"/>
        </w:numPr>
        <w:rPr>
          <w:rFonts w:ascii="Arial" w:cs="Arial" w:eastAsia="Arial" w:hAnsi="Arial"/>
          <w:sz w:val="17"/>
          <w:szCs w:val="17"/>
          <w:color w:val="auto"/>
        </w:rPr>
      </w:pPr>
      <w:r>
        <w:rPr>
          <w:rFonts w:ascii="Arial" w:cs="Arial" w:eastAsia="Arial" w:hAnsi="Arial"/>
          <w:sz w:val="17"/>
          <w:szCs w:val="17"/>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Arial" w:cs="Arial" w:eastAsia="Arial" w:hAnsi="Arial"/>
          <w:sz w:val="17"/>
          <w:szCs w:val="17"/>
          <w:u w:val="single" w:color="auto"/>
          <w:color w:val="auto"/>
        </w:rPr>
        <w:t>Stock Exchange</w:t>
      </w:r>
      <w:r>
        <w:rPr>
          <w:rFonts w:ascii="Arial" w:cs="Arial" w:eastAsia="Arial" w:hAnsi="Arial"/>
          <w:sz w:val="17"/>
          <w:szCs w:val="17"/>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13" w:lineRule="exact"/>
        <w:rPr>
          <w:rFonts w:ascii="Arial" w:cs="Arial" w:eastAsia="Arial" w:hAnsi="Arial"/>
          <w:sz w:val="17"/>
          <w:szCs w:val="17"/>
          <w:color w:val="auto"/>
        </w:rPr>
      </w:pPr>
    </w:p>
    <w:p>
      <w:pPr>
        <w:jc w:val="both"/>
        <w:ind w:left="460" w:right="459" w:firstLine="858"/>
        <w:spacing w:after="0" w:line="263" w:lineRule="auto"/>
        <w:tabs>
          <w:tab w:leader="none" w:pos="16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authorized capital stock of FSD consists of 100,000,000 Shares of which 12,516,500 are outstanding, 10,000,000 shares of Class B common stock, par value $0.0001 per share of which 3,018,750 are issued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0" w:name="page351"/>
    <w:bookmarkEnd w:id="35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19" w:lineRule="exact"/>
        <w:rPr>
          <w:sz w:val="20"/>
          <w:szCs w:val="20"/>
          <w:color w:val="auto"/>
        </w:rPr>
      </w:pPr>
    </w:p>
    <w:p>
      <w:pPr>
        <w:jc w:val="both"/>
        <w:ind w:left="460" w:right="459" w:firstLine="858"/>
        <w:spacing w:after="0" w:line="257" w:lineRule="auto"/>
        <w:tabs>
          <w:tab w:leader="none" w:pos="1544" w:val="left"/>
        </w:tabs>
        <w:numPr>
          <w:ilvl w:val="2"/>
          <w:numId w:val="333"/>
        </w:numPr>
        <w:rPr>
          <w:rFonts w:ascii="Arial" w:cs="Arial" w:eastAsia="Arial" w:hAnsi="Arial"/>
          <w:sz w:val="18"/>
          <w:szCs w:val="18"/>
          <w:color w:val="auto"/>
        </w:rPr>
      </w:pPr>
      <w:r>
        <w:rPr>
          <w:rFonts w:ascii="Arial" w:cs="Arial" w:eastAsia="Arial" w:hAnsi="Arial"/>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20" w:lineRule="exact"/>
        <w:rPr>
          <w:rFonts w:ascii="Arial" w:cs="Arial" w:eastAsia="Arial" w:hAnsi="Arial"/>
          <w:sz w:val="18"/>
          <w:szCs w:val="18"/>
          <w:color w:val="auto"/>
        </w:rPr>
      </w:pPr>
    </w:p>
    <w:p>
      <w:pPr>
        <w:jc w:val="both"/>
        <w:ind w:left="460" w:right="479" w:firstLine="858"/>
        <w:spacing w:after="0" w:line="257" w:lineRule="auto"/>
        <w:tabs>
          <w:tab w:leader="none" w:pos="1543" w:val="left"/>
        </w:tabs>
        <w:numPr>
          <w:ilvl w:val="2"/>
          <w:numId w:val="333"/>
        </w:numPr>
        <w:rPr>
          <w:rFonts w:ascii="Arial" w:cs="Arial" w:eastAsia="Arial" w:hAnsi="Arial"/>
          <w:sz w:val="18"/>
          <w:szCs w:val="18"/>
          <w:color w:val="auto"/>
        </w:rPr>
      </w:pPr>
      <w:r>
        <w:rPr>
          <w:rFonts w:ascii="Arial" w:cs="Arial" w:eastAsia="Arial" w:hAnsi="Arial"/>
          <w:sz w:val="18"/>
          <w:szCs w:val="18"/>
          <w:color w:val="auto"/>
        </w:rPr>
        <w:t xml:space="preserve">Assuming the accuracy of the Investor’s representations and warranties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6" w:lineRule="exact"/>
        <w:rPr>
          <w:rFonts w:ascii="Arial" w:cs="Arial" w:eastAsia="Arial" w:hAnsi="Arial"/>
          <w:sz w:val="18"/>
          <w:szCs w:val="18"/>
          <w:color w:val="auto"/>
        </w:rPr>
      </w:pPr>
    </w:p>
    <w:p>
      <w:pPr>
        <w:jc w:val="both"/>
        <w:ind w:left="460" w:right="459" w:firstLine="858"/>
        <w:spacing w:after="0" w:line="287" w:lineRule="auto"/>
        <w:tabs>
          <w:tab w:leader="none" w:pos="1580" w:val="left"/>
        </w:tabs>
        <w:numPr>
          <w:ilvl w:val="2"/>
          <w:numId w:val="333"/>
        </w:numPr>
        <w:rPr>
          <w:rFonts w:ascii="Arial" w:cs="Arial" w:eastAsia="Arial" w:hAnsi="Arial"/>
          <w:sz w:val="16"/>
          <w:szCs w:val="16"/>
          <w:color w:val="auto"/>
        </w:rPr>
      </w:pPr>
      <w:r>
        <w:rPr>
          <w:rFonts w:ascii="Arial" w:cs="Arial" w:eastAsia="Arial" w:hAnsi="Arial"/>
          <w:sz w:val="16"/>
          <w:szCs w:val="16"/>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w:t>
      </w:r>
    </w:p>
    <w:p>
      <w:pPr>
        <w:spacing w:after="0" w:line="2" w:lineRule="exact"/>
        <w:rPr>
          <w:rFonts w:ascii="Arial" w:cs="Arial" w:eastAsia="Arial" w:hAnsi="Arial"/>
          <w:sz w:val="16"/>
          <w:szCs w:val="16"/>
          <w:color w:val="auto"/>
        </w:rPr>
      </w:pPr>
    </w:p>
    <w:p>
      <w:pPr>
        <w:ind w:left="460" w:right="459" w:hanging="6"/>
        <w:spacing w:after="0" w:line="260" w:lineRule="auto"/>
        <w:tabs>
          <w:tab w:leader="none" w:pos="7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judgment, decree, injunction, ruling or order of any governmental entity or arbitrator outstanding against FSD.</w:t>
      </w:r>
    </w:p>
    <w:p>
      <w:pPr>
        <w:spacing w:after="0" w:line="117" w:lineRule="exact"/>
        <w:rPr>
          <w:rFonts w:ascii="Arial" w:cs="Arial" w:eastAsia="Arial" w:hAnsi="Arial"/>
          <w:sz w:val="18"/>
          <w:szCs w:val="18"/>
          <w:color w:val="auto"/>
        </w:rPr>
      </w:pPr>
    </w:p>
    <w:p>
      <w:pPr>
        <w:jc w:val="both"/>
        <w:ind w:left="460" w:right="459" w:firstLine="858"/>
        <w:spacing w:after="0" w:line="286" w:lineRule="auto"/>
        <w:tabs>
          <w:tab w:leader="none" w:pos="1541" w:val="left"/>
        </w:tabs>
        <w:numPr>
          <w:ilvl w:val="2"/>
          <w:numId w:val="334"/>
        </w:numPr>
        <w:rPr>
          <w:rFonts w:ascii="Arial" w:cs="Arial" w:eastAsia="Arial" w:hAnsi="Arial"/>
          <w:sz w:val="17"/>
          <w:szCs w:val="17"/>
          <w:color w:val="auto"/>
        </w:rPr>
      </w:pPr>
      <w:r>
        <w:rPr>
          <w:rFonts w:ascii="Arial" w:cs="Arial" w:eastAsia="Arial" w:hAnsi="Arial"/>
          <w:sz w:val="17"/>
          <w:szCs w:val="17"/>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97" w:lineRule="exact"/>
        <w:rPr>
          <w:rFonts w:ascii="Arial" w:cs="Arial" w:eastAsia="Arial" w:hAnsi="Arial"/>
          <w:sz w:val="17"/>
          <w:szCs w:val="17"/>
          <w:color w:val="auto"/>
        </w:rPr>
      </w:pPr>
    </w:p>
    <w:p>
      <w:pPr>
        <w:ind w:left="460" w:right="479" w:firstLine="858"/>
        <w:spacing w:after="0" w:line="277" w:lineRule="auto"/>
        <w:tabs>
          <w:tab w:leader="none" w:pos="1638" w:val="left"/>
        </w:tabs>
        <w:numPr>
          <w:ilvl w:val="2"/>
          <w:numId w:val="334"/>
        </w:numPr>
        <w:rPr>
          <w:rFonts w:ascii="Arial" w:cs="Arial" w:eastAsia="Arial" w:hAnsi="Arial"/>
          <w:sz w:val="18"/>
          <w:szCs w:val="18"/>
          <w:color w:val="auto"/>
        </w:rPr>
      </w:pPr>
      <w:r>
        <w:rPr>
          <w:rFonts w:ascii="Arial" w:cs="Arial" w:eastAsia="Arial" w:hAnsi="Arial"/>
          <w:sz w:val="18"/>
          <w:szCs w:val="18"/>
          <w:color w:val="auto"/>
        </w:rPr>
        <w:t>FSD is not under any obligation to pay any broker’s fee or commission in connection with the sale of the Shares hereunder other than to the Placement Agents (as defined herein).</w:t>
      </w:r>
    </w:p>
    <w:p>
      <w:pPr>
        <w:spacing w:after="0" w:line="89" w:lineRule="exact"/>
        <w:rPr>
          <w:rFonts w:ascii="Arial" w:cs="Arial" w:eastAsia="Arial" w:hAnsi="Arial"/>
          <w:sz w:val="18"/>
          <w:szCs w:val="18"/>
          <w:color w:val="auto"/>
        </w:rPr>
      </w:pPr>
    </w:p>
    <w:p>
      <w:pPr>
        <w:jc w:val="both"/>
        <w:ind w:left="460" w:right="459" w:firstLine="858"/>
        <w:spacing w:after="0" w:line="293" w:lineRule="auto"/>
        <w:tabs>
          <w:tab w:leader="none" w:pos="1588" w:val="left"/>
        </w:tabs>
        <w:numPr>
          <w:ilvl w:val="2"/>
          <w:numId w:val="334"/>
        </w:numPr>
        <w:rPr>
          <w:rFonts w:ascii="Arial" w:cs="Arial" w:eastAsia="Arial" w:hAnsi="Arial"/>
          <w:sz w:val="16"/>
          <w:szCs w:val="16"/>
          <w:color w:val="auto"/>
        </w:rPr>
      </w:pPr>
      <w:r>
        <w:rPr>
          <w:rFonts w:ascii="Arial" w:cs="Arial" w:eastAsia="Arial" w:hAnsi="Arial"/>
          <w:sz w:val="16"/>
          <w:szCs w:val="16"/>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96" w:lineRule="exact"/>
        <w:rPr>
          <w:rFonts w:ascii="Arial" w:cs="Arial" w:eastAsia="Arial" w:hAnsi="Arial"/>
          <w:sz w:val="16"/>
          <w:szCs w:val="16"/>
          <w:color w:val="auto"/>
        </w:rPr>
      </w:pPr>
    </w:p>
    <w:p>
      <w:pPr>
        <w:ind w:left="1060" w:hanging="174"/>
        <w:spacing w:after="0"/>
        <w:tabs>
          <w:tab w:leader="none" w:pos="1060"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Investor Representations and Warranties</w:t>
      </w:r>
      <w:r>
        <w:rPr>
          <w:rFonts w:ascii="Arial" w:cs="Arial" w:eastAsia="Arial" w:hAnsi="Arial"/>
          <w:sz w:val="18"/>
          <w:szCs w:val="18"/>
          <w:color w:val="auto"/>
        </w:rPr>
        <w:t>. The Investor represents and warrants to FSD that:</w:t>
      </w:r>
    </w:p>
    <w:p>
      <w:pPr>
        <w:spacing w:after="0" w:line="157" w:lineRule="exact"/>
        <w:rPr>
          <w:rFonts w:ascii="Arial" w:cs="Arial" w:eastAsia="Arial" w:hAnsi="Arial"/>
          <w:sz w:val="18"/>
          <w:szCs w:val="18"/>
          <w:color w:val="auto"/>
        </w:rPr>
      </w:pPr>
    </w:p>
    <w:p>
      <w:pPr>
        <w:jc w:val="both"/>
        <w:ind w:left="460" w:right="459" w:firstLine="858"/>
        <w:spacing w:after="0" w:line="252" w:lineRule="auto"/>
        <w:tabs>
          <w:tab w:leader="none" w:pos="1571" w:val="left"/>
        </w:tabs>
        <w:numPr>
          <w:ilvl w:val="2"/>
          <w:numId w:val="335"/>
        </w:numPr>
        <w:rPr>
          <w:rFonts w:ascii="Arial" w:cs="Arial" w:eastAsia="Arial" w:hAnsi="Arial"/>
          <w:sz w:val="18"/>
          <w:szCs w:val="18"/>
          <w:color w:val="auto"/>
        </w:rPr>
      </w:pPr>
      <w:r>
        <w:rPr>
          <w:rFonts w:ascii="Arial" w:cs="Arial" w:eastAsia="Arial" w:hAnsi="Arial"/>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Arial" w:cs="Arial" w:eastAsia="Arial" w:hAnsi="Arial"/>
          <w:sz w:val="18"/>
          <w:szCs w:val="18"/>
          <w:u w:val="single" w:color="auto"/>
          <w:color w:val="auto"/>
        </w:rPr>
        <w:t>Schedule A</w:t>
      </w:r>
      <w:r>
        <w:rPr>
          <w:rFonts w:ascii="Arial" w:cs="Arial" w:eastAsia="Arial" w:hAnsi="Arial"/>
          <w:sz w:val="18"/>
          <w:szCs w:val="18"/>
          <w:color w:val="auto"/>
        </w:rPr>
        <w:t>). The Investor is not an entity formed for the specific purpose of acquiring the Shares.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1" w:name="page352"/>
    <w:bookmarkEnd w:id="35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86" w:lineRule="auto"/>
        <w:tabs>
          <w:tab w:leader="none" w:pos="160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99" w:lineRule="exact"/>
        <w:rPr>
          <w:rFonts w:ascii="Arial" w:cs="Arial" w:eastAsia="Arial" w:hAnsi="Arial"/>
          <w:sz w:val="16"/>
          <w:szCs w:val="16"/>
          <w:color w:val="auto"/>
        </w:rPr>
      </w:pPr>
    </w:p>
    <w:p>
      <w:pPr>
        <w:jc w:val="both"/>
        <w:ind w:left="460" w:right="459" w:firstLine="858"/>
        <w:spacing w:after="0" w:line="301" w:lineRule="auto"/>
        <w:tabs>
          <w:tab w:leader="none" w:pos="1583"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89" w:lineRule="exact"/>
        <w:rPr>
          <w:rFonts w:ascii="Arial" w:cs="Arial" w:eastAsia="Arial" w:hAnsi="Arial"/>
          <w:sz w:val="16"/>
          <w:szCs w:val="16"/>
          <w:color w:val="auto"/>
        </w:rPr>
      </w:pPr>
    </w:p>
    <w:p>
      <w:pPr>
        <w:jc w:val="both"/>
        <w:ind w:left="460" w:right="479" w:firstLine="858"/>
        <w:spacing w:after="0" w:line="311" w:lineRule="auto"/>
        <w:tabs>
          <w:tab w:leader="none" w:pos="158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67" w:lineRule="exact"/>
        <w:rPr>
          <w:rFonts w:ascii="Arial" w:cs="Arial" w:eastAsia="Arial" w:hAnsi="Arial"/>
          <w:sz w:val="16"/>
          <w:szCs w:val="16"/>
          <w:color w:val="auto"/>
        </w:rPr>
      </w:pPr>
    </w:p>
    <w:p>
      <w:pPr>
        <w:jc w:val="both"/>
        <w:ind w:left="460" w:right="459" w:firstLine="858"/>
        <w:spacing w:after="0" w:line="270" w:lineRule="auto"/>
        <w:tabs>
          <w:tab w:leader="none" w:pos="1591"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13" w:lineRule="exact"/>
        <w:rPr>
          <w:rFonts w:ascii="Arial" w:cs="Arial" w:eastAsia="Arial" w:hAnsi="Arial"/>
          <w:sz w:val="17"/>
          <w:szCs w:val="17"/>
          <w:color w:val="auto"/>
        </w:rPr>
      </w:pPr>
    </w:p>
    <w:p>
      <w:pPr>
        <w:jc w:val="both"/>
        <w:ind w:left="460" w:right="459" w:firstLine="858"/>
        <w:spacing w:after="0" w:line="268" w:lineRule="auto"/>
        <w:tabs>
          <w:tab w:leader="none" w:pos="158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Arial" w:cs="Arial" w:eastAsia="Arial" w:hAnsi="Arial"/>
          <w:sz w:val="17"/>
          <w:szCs w:val="17"/>
          <w:u w:val="single" w:color="auto"/>
          <w:color w:val="auto"/>
        </w:rPr>
        <w:t>Placement Agent</w:t>
      </w:r>
      <w:r>
        <w:rPr>
          <w:rFonts w:ascii="Arial" w:cs="Arial" w:eastAsia="Arial" w:hAnsi="Arial"/>
          <w:sz w:val="17"/>
          <w:szCs w:val="17"/>
          <w:color w:val="auto"/>
        </w:rPr>
        <w:t>”, and together, the “</w:t>
      </w:r>
      <w:r>
        <w:rPr>
          <w:rFonts w:ascii="Arial" w:cs="Arial" w:eastAsia="Arial" w:hAnsi="Arial"/>
          <w:sz w:val="17"/>
          <w:szCs w:val="17"/>
          <w:u w:val="single" w:color="auto"/>
          <w:color w:val="auto"/>
        </w:rPr>
        <w:t>Placement Agents</w:t>
      </w:r>
      <w:r>
        <w:rPr>
          <w:rFonts w:ascii="Arial" w:cs="Arial" w:eastAsia="Arial" w:hAnsi="Arial"/>
          <w:sz w:val="17"/>
          <w:szCs w:val="17"/>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18" w:lineRule="exact"/>
        <w:rPr>
          <w:rFonts w:ascii="Arial" w:cs="Arial" w:eastAsia="Arial" w:hAnsi="Arial"/>
          <w:sz w:val="17"/>
          <w:szCs w:val="17"/>
          <w:color w:val="auto"/>
        </w:rPr>
      </w:pPr>
    </w:p>
    <w:p>
      <w:pPr>
        <w:jc w:val="both"/>
        <w:ind w:left="460" w:right="479" w:firstLine="858"/>
        <w:spacing w:after="0" w:line="275" w:lineRule="auto"/>
        <w:tabs>
          <w:tab w:leader="none" w:pos="1621"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95" w:lineRule="exact"/>
        <w:rPr>
          <w:rFonts w:ascii="Arial" w:cs="Arial" w:eastAsia="Arial" w:hAnsi="Arial"/>
          <w:sz w:val="17"/>
          <w:szCs w:val="17"/>
          <w:color w:val="auto"/>
        </w:rPr>
      </w:pPr>
    </w:p>
    <w:p>
      <w:pPr>
        <w:jc w:val="both"/>
        <w:ind w:left="460" w:right="459" w:firstLine="858"/>
        <w:spacing w:after="0" w:line="259" w:lineRule="auto"/>
        <w:tabs>
          <w:tab w:leader="none" w:pos="159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2" w:name="page353"/>
    <w:bookmarkEnd w:id="35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93" w:lineRule="auto"/>
        <w:tabs>
          <w:tab w:leader="none" w:pos="1557" w:val="left"/>
        </w:tabs>
        <w:numPr>
          <w:ilvl w:val="0"/>
          <w:numId w:val="337"/>
        </w:numPr>
        <w:rPr>
          <w:rFonts w:ascii="Arial" w:cs="Arial" w:eastAsia="Arial" w:hAnsi="Arial"/>
          <w:sz w:val="16"/>
          <w:szCs w:val="16"/>
          <w:color w:val="auto"/>
        </w:rPr>
      </w:pPr>
      <w:r>
        <w:rPr>
          <w:rFonts w:ascii="Arial" w:cs="Arial" w:eastAsia="Arial" w:hAnsi="Arial"/>
          <w:sz w:val="16"/>
          <w:szCs w:val="16"/>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96" w:lineRule="exact"/>
        <w:rPr>
          <w:rFonts w:ascii="Arial" w:cs="Arial" w:eastAsia="Arial" w:hAnsi="Arial"/>
          <w:sz w:val="16"/>
          <w:szCs w:val="16"/>
          <w:color w:val="auto"/>
        </w:rPr>
      </w:pPr>
    </w:p>
    <w:p>
      <w:pPr>
        <w:jc w:val="both"/>
        <w:ind w:left="460" w:right="459" w:firstLine="858"/>
        <w:spacing w:after="0" w:line="263" w:lineRule="auto"/>
        <w:tabs>
          <w:tab w:leader="none" w:pos="154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116" w:lineRule="exact"/>
        <w:rPr>
          <w:rFonts w:ascii="Arial" w:cs="Arial" w:eastAsia="Arial" w:hAnsi="Arial"/>
          <w:sz w:val="18"/>
          <w:szCs w:val="18"/>
          <w:color w:val="auto"/>
        </w:rPr>
      </w:pPr>
    </w:p>
    <w:p>
      <w:pPr>
        <w:jc w:val="both"/>
        <w:ind w:left="460" w:right="479" w:firstLine="858"/>
        <w:spacing w:after="0" w:line="263" w:lineRule="auto"/>
        <w:tabs>
          <w:tab w:leader="none" w:pos="160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02" w:lineRule="exact"/>
        <w:rPr>
          <w:rFonts w:ascii="Arial" w:cs="Arial" w:eastAsia="Arial" w:hAnsi="Arial"/>
          <w:sz w:val="18"/>
          <w:szCs w:val="18"/>
          <w:color w:val="auto"/>
        </w:rPr>
      </w:pPr>
    </w:p>
    <w:p>
      <w:pPr>
        <w:jc w:val="both"/>
        <w:ind w:left="460" w:right="459" w:firstLine="858"/>
        <w:spacing w:after="0" w:line="268" w:lineRule="auto"/>
        <w:tabs>
          <w:tab w:leader="none" w:pos="1545"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16" w:lineRule="exact"/>
        <w:rPr>
          <w:rFonts w:ascii="Arial" w:cs="Arial" w:eastAsia="Arial" w:hAnsi="Arial"/>
          <w:sz w:val="17"/>
          <w:szCs w:val="17"/>
          <w:color w:val="auto"/>
        </w:rPr>
      </w:pPr>
    </w:p>
    <w:p>
      <w:pPr>
        <w:jc w:val="both"/>
        <w:ind w:left="460" w:right="459" w:firstLine="858"/>
        <w:spacing w:after="0" w:line="268" w:lineRule="auto"/>
        <w:tabs>
          <w:tab w:leader="none" w:pos="167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undersigned is not (i) a person or entity named on the List of Specially Designated Nationals and Blocked Persons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or in any Executive Order issued by the President of the United States and administered by OFAC (“</w:t>
      </w:r>
      <w:r>
        <w:rPr>
          <w:rFonts w:ascii="Arial" w:cs="Arial" w:eastAsia="Arial" w:hAnsi="Arial"/>
          <w:sz w:val="17"/>
          <w:szCs w:val="17"/>
          <w:u w:val="single" w:color="auto"/>
          <w:color w:val="auto"/>
        </w:rPr>
        <w:t>OFAC List</w:t>
      </w:r>
      <w:r>
        <w:rPr>
          <w:rFonts w:ascii="Arial" w:cs="Arial" w:eastAsia="Arial" w:hAnsi="Arial"/>
          <w:sz w:val="17"/>
          <w:szCs w:val="17"/>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Arial" w:cs="Arial" w:eastAsia="Arial" w:hAnsi="Arial"/>
          <w:sz w:val="17"/>
          <w:szCs w:val="17"/>
          <w:u w:val="single" w:color="auto"/>
          <w:color w:val="auto"/>
        </w:rPr>
        <w:t>Prohibited Investor</w:t>
      </w:r>
      <w:r>
        <w:rPr>
          <w:rFonts w:ascii="Arial" w:cs="Arial" w:eastAsia="Arial" w:hAnsi="Arial"/>
          <w:sz w:val="17"/>
          <w:szCs w:val="17"/>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 Act</w:t>
      </w:r>
      <w:r>
        <w:rPr>
          <w:rFonts w:ascii="Arial" w:cs="Arial" w:eastAsia="Arial" w:hAnsi="Arial"/>
          <w:sz w:val="17"/>
          <w:szCs w:val="17"/>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12" w:lineRule="exact"/>
        <w:rPr>
          <w:rFonts w:ascii="Arial" w:cs="Arial" w:eastAsia="Arial" w:hAnsi="Arial"/>
          <w:sz w:val="17"/>
          <w:szCs w:val="17"/>
          <w:color w:val="auto"/>
        </w:rPr>
      </w:pPr>
    </w:p>
    <w:p>
      <w:pPr>
        <w:ind w:left="460" w:right="459" w:firstLine="858"/>
        <w:spacing w:after="0" w:line="277" w:lineRule="auto"/>
        <w:tabs>
          <w:tab w:leader="none" w:pos="158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 disclosure or offering document has been prepared by either of the Placement Agents or any of their respective affiliates in connection with the offer and sale of the Shares.</w:t>
      </w:r>
    </w:p>
    <w:p>
      <w:pPr>
        <w:spacing w:after="0" w:line="89" w:lineRule="exact"/>
        <w:rPr>
          <w:rFonts w:ascii="Arial" w:cs="Arial" w:eastAsia="Arial" w:hAnsi="Arial"/>
          <w:sz w:val="18"/>
          <w:szCs w:val="18"/>
          <w:color w:val="auto"/>
        </w:rPr>
      </w:pPr>
    </w:p>
    <w:p>
      <w:pPr>
        <w:jc w:val="both"/>
        <w:ind w:left="460" w:right="459" w:firstLine="858"/>
        <w:spacing w:after="0" w:line="286" w:lineRule="auto"/>
        <w:tabs>
          <w:tab w:leader="none" w:pos="1635" w:val="left"/>
        </w:tabs>
        <w:numPr>
          <w:ilvl w:val="0"/>
          <w:numId w:val="337"/>
        </w:numPr>
        <w:rPr>
          <w:rFonts w:ascii="Arial" w:cs="Arial" w:eastAsia="Arial" w:hAnsi="Arial"/>
          <w:sz w:val="17"/>
          <w:szCs w:val="17"/>
          <w:color w:val="auto"/>
        </w:rPr>
      </w:pPr>
      <w:r>
        <w:rPr>
          <w:rFonts w:ascii="Arial" w:cs="Arial" w:eastAsia="Arial" w:hAnsi="Arial"/>
          <w:sz w:val="17"/>
          <w:szCs w:val="17"/>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97" w:lineRule="exact"/>
        <w:rPr>
          <w:rFonts w:ascii="Arial" w:cs="Arial" w:eastAsia="Arial" w:hAnsi="Arial"/>
          <w:sz w:val="17"/>
          <w:szCs w:val="17"/>
          <w:color w:val="auto"/>
        </w:rPr>
      </w:pPr>
    </w:p>
    <w:p>
      <w:pPr>
        <w:ind w:left="460" w:right="479" w:firstLine="858"/>
        <w:spacing w:after="0" w:line="277" w:lineRule="auto"/>
        <w:tabs>
          <w:tab w:leader="none" w:pos="158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connection with the issue and purchase of the Shares, the Placement Agents have not acted as the Investor’s financial advisor or fiduciary.</w:t>
      </w:r>
    </w:p>
    <w:p>
      <w:pPr>
        <w:spacing w:after="0" w:line="102" w:lineRule="exact"/>
        <w:rPr>
          <w:rFonts w:ascii="Arial" w:cs="Arial" w:eastAsia="Arial" w:hAnsi="Arial"/>
          <w:sz w:val="18"/>
          <w:szCs w:val="18"/>
          <w:color w:val="auto"/>
        </w:rPr>
      </w:pPr>
    </w:p>
    <w:p>
      <w:pPr>
        <w:jc w:val="both"/>
        <w:ind w:left="460" w:right="479" w:firstLine="858"/>
        <w:spacing w:after="0" w:line="263" w:lineRule="auto"/>
        <w:tabs>
          <w:tab w:leader="none" w:pos="159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3" w:name="page354"/>
    <w:bookmarkEnd w:id="35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3" w:lineRule="auto"/>
        <w:tabs>
          <w:tab w:leader="none" w:pos="1586"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16" w:lineRule="exact"/>
        <w:rPr>
          <w:rFonts w:ascii="Arial" w:cs="Arial" w:eastAsia="Arial" w:hAnsi="Arial"/>
          <w:sz w:val="18"/>
          <w:szCs w:val="18"/>
          <w:color w:val="auto"/>
        </w:rPr>
      </w:pPr>
    </w:p>
    <w:p>
      <w:pPr>
        <w:ind w:left="1060" w:hanging="174"/>
        <w:spacing w:after="0"/>
        <w:tabs>
          <w:tab w:leader="none" w:pos="106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460" w:right="459" w:firstLine="858"/>
        <w:spacing w:after="0" w:line="282" w:lineRule="auto"/>
        <w:tabs>
          <w:tab w:leader="none" w:pos="1602" w:val="left"/>
        </w:tabs>
        <w:numPr>
          <w:ilvl w:val="1"/>
          <w:numId w:val="339"/>
        </w:numPr>
        <w:rPr>
          <w:rFonts w:ascii="Arial" w:cs="Arial" w:eastAsia="Arial" w:hAnsi="Arial"/>
          <w:sz w:val="16"/>
          <w:szCs w:val="16"/>
          <w:color w:val="auto"/>
        </w:rPr>
      </w:pPr>
      <w:r>
        <w:rPr>
          <w:rFonts w:ascii="Arial" w:cs="Arial" w:eastAsia="Arial" w:hAnsi="Arial"/>
          <w:sz w:val="16"/>
          <w:szCs w:val="16"/>
          <w:color w:val="auto"/>
        </w:rPr>
        <w:t>In the event that the Shares are not registered in connection with the consummation of the Transaction, FSD agrees that, within thirty (30) calendar days after the consummation of the Transaction (the “</w:t>
      </w:r>
      <w:r>
        <w:rPr>
          <w:rFonts w:ascii="Arial" w:cs="Arial" w:eastAsia="Arial" w:hAnsi="Arial"/>
          <w:sz w:val="16"/>
          <w:szCs w:val="16"/>
          <w:u w:val="single" w:color="auto"/>
          <w:color w:val="auto"/>
        </w:rPr>
        <w:t>Filing Deadline</w:t>
      </w:r>
      <w:r>
        <w:rPr>
          <w:rFonts w:ascii="Arial" w:cs="Arial" w:eastAsia="Arial" w:hAnsi="Arial"/>
          <w:sz w:val="16"/>
          <w:szCs w:val="16"/>
          <w:color w:val="auto"/>
        </w:rPr>
        <w:t>”), it will file with the SEC (at the its sole cost and expense) a registration statement registering the resale of such Shares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it shall use its commercially reasonable efforts to have the Registration Statement declared effective as soon as practicable after the filing thereof, but no later than the earlier of (1)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calendar day after the consummation of the Transaction (or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315" w:lineRule="exact"/>
        <w:rPr>
          <w:rFonts w:ascii="Arial" w:cs="Arial" w:eastAsia="Arial" w:hAnsi="Arial"/>
          <w:sz w:val="16"/>
          <w:szCs w:val="16"/>
          <w:color w:val="auto"/>
        </w:rPr>
      </w:pPr>
    </w:p>
    <w:p>
      <w:pPr>
        <w:jc w:val="both"/>
        <w:ind w:left="460" w:right="459" w:firstLine="858"/>
        <w:spacing w:after="0" w:line="254" w:lineRule="auto"/>
        <w:tabs>
          <w:tab w:leader="none" w:pos="1582" w:val="left"/>
        </w:tabs>
        <w:numPr>
          <w:ilvl w:val="1"/>
          <w:numId w:val="33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4" w:name="page355"/>
    <w:bookmarkEnd w:id="35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04" w:lineRule="exact"/>
        <w:rPr>
          <w:sz w:val="20"/>
          <w:szCs w:val="20"/>
          <w:color w:val="auto"/>
        </w:rPr>
      </w:pPr>
    </w:p>
    <w:p>
      <w:pPr>
        <w:jc w:val="both"/>
        <w:ind w:left="460" w:right="459" w:firstLine="858"/>
        <w:spacing w:after="0" w:line="283" w:lineRule="auto"/>
        <w:tabs>
          <w:tab w:leader="none" w:pos="1624" w:val="left"/>
        </w:tabs>
        <w:numPr>
          <w:ilvl w:val="0"/>
          <w:numId w:val="340"/>
        </w:numPr>
        <w:rPr>
          <w:rFonts w:ascii="Arial" w:cs="Arial" w:eastAsia="Arial" w:hAnsi="Arial"/>
          <w:sz w:val="16"/>
          <w:szCs w:val="16"/>
          <w:color w:val="auto"/>
        </w:rPr>
      </w:pPr>
      <w:r>
        <w:rPr>
          <w:rFonts w:ascii="Arial" w:cs="Arial" w:eastAsia="Arial" w:hAnsi="Arial"/>
          <w:sz w:val="16"/>
          <w:szCs w:val="16"/>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333" w:lineRule="exact"/>
        <w:rPr>
          <w:rFonts w:ascii="Arial" w:cs="Arial" w:eastAsia="Arial" w:hAnsi="Arial"/>
          <w:sz w:val="16"/>
          <w:szCs w:val="16"/>
          <w:color w:val="auto"/>
        </w:rPr>
      </w:pPr>
    </w:p>
    <w:p>
      <w:pPr>
        <w:jc w:val="both"/>
        <w:ind w:left="460" w:right="459" w:firstLine="858"/>
        <w:spacing w:after="0" w:line="275" w:lineRule="auto"/>
        <w:tabs>
          <w:tab w:leader="none" w:pos="158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95" w:lineRule="exact"/>
        <w:rPr>
          <w:rFonts w:ascii="Arial" w:cs="Arial" w:eastAsia="Arial" w:hAnsi="Arial"/>
          <w:sz w:val="17"/>
          <w:szCs w:val="17"/>
          <w:color w:val="auto"/>
        </w:rPr>
      </w:pPr>
    </w:p>
    <w:p>
      <w:pPr>
        <w:jc w:val="both"/>
        <w:ind w:left="460" w:right="459" w:firstLine="858"/>
        <w:spacing w:after="0" w:line="271" w:lineRule="auto"/>
        <w:tabs>
          <w:tab w:leader="none" w:pos="158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5" w:name="page356"/>
    <w:bookmarkEnd w:id="35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97" w:lineRule="exact"/>
        <w:rPr>
          <w:sz w:val="20"/>
          <w:szCs w:val="20"/>
          <w:color w:val="auto"/>
        </w:rPr>
      </w:pPr>
    </w:p>
    <w:p>
      <w:pPr>
        <w:jc w:val="both"/>
        <w:ind w:left="460" w:right="459" w:firstLine="858"/>
        <w:spacing w:after="0" w:line="286" w:lineRule="auto"/>
        <w:tabs>
          <w:tab w:leader="none" w:pos="1566" w:val="left"/>
        </w:tabs>
        <w:numPr>
          <w:ilvl w:val="1"/>
          <w:numId w:val="341"/>
        </w:numPr>
        <w:rPr>
          <w:rFonts w:ascii="Arial" w:cs="Arial" w:eastAsia="Arial" w:hAnsi="Arial"/>
          <w:sz w:val="16"/>
          <w:szCs w:val="16"/>
          <w:color w:val="auto"/>
        </w:rPr>
      </w:pPr>
      <w:r>
        <w:rPr>
          <w:rFonts w:ascii="Arial" w:cs="Arial" w:eastAsia="Arial" w:hAnsi="Arial"/>
          <w:sz w:val="16"/>
          <w:szCs w:val="16"/>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03" w:lineRule="exact"/>
        <w:rPr>
          <w:rFonts w:ascii="Arial" w:cs="Arial" w:eastAsia="Arial" w:hAnsi="Arial"/>
          <w:sz w:val="16"/>
          <w:szCs w:val="16"/>
          <w:color w:val="auto"/>
        </w:rPr>
      </w:pPr>
    </w:p>
    <w:p>
      <w:pPr>
        <w:jc w:val="both"/>
        <w:ind w:left="460" w:right="459" w:firstLine="858"/>
        <w:spacing w:after="0" w:line="285" w:lineRule="auto"/>
        <w:tabs>
          <w:tab w:leader="none" w:pos="1586" w:val="left"/>
        </w:tabs>
        <w:numPr>
          <w:ilvl w:val="1"/>
          <w:numId w:val="341"/>
        </w:numPr>
        <w:rPr>
          <w:rFonts w:ascii="Arial" w:cs="Arial" w:eastAsia="Arial" w:hAnsi="Arial"/>
          <w:sz w:val="16"/>
          <w:szCs w:val="16"/>
          <w:color w:val="auto"/>
        </w:rPr>
      </w:pPr>
      <w:r>
        <w:rPr>
          <w:rFonts w:ascii="Arial" w:cs="Arial" w:eastAsia="Arial" w:hAnsi="Arial"/>
          <w:sz w:val="16"/>
          <w:szCs w:val="16"/>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87" w:lineRule="exact"/>
        <w:rPr>
          <w:rFonts w:ascii="Arial" w:cs="Arial" w:eastAsia="Arial" w:hAnsi="Arial"/>
          <w:sz w:val="16"/>
          <w:szCs w:val="16"/>
          <w:color w:val="auto"/>
        </w:rPr>
      </w:pPr>
    </w:p>
    <w:p>
      <w:pPr>
        <w:jc w:val="both"/>
        <w:ind w:left="460" w:right="459" w:firstLine="426"/>
        <w:spacing w:after="0" w:line="287" w:lineRule="auto"/>
        <w:tabs>
          <w:tab w:leader="none" w:pos="110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Termination.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00" w:lineRule="exact"/>
        <w:rPr>
          <w:rFonts w:ascii="Arial" w:cs="Arial" w:eastAsia="Arial" w:hAnsi="Arial"/>
          <w:sz w:val="16"/>
          <w:szCs w:val="16"/>
          <w:color w:val="auto"/>
        </w:rPr>
      </w:pPr>
    </w:p>
    <w:p>
      <w:pPr>
        <w:jc w:val="both"/>
        <w:ind w:left="460" w:right="459" w:firstLine="426"/>
        <w:spacing w:after="0" w:line="257" w:lineRule="auto"/>
        <w:tabs>
          <w:tab w:leader="none" w:pos="107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Trust Account Waiver. The Investor hereby acknowledges that FSD has established a trust account (the “</w:t>
      </w:r>
      <w:r>
        <w:rPr>
          <w:rFonts w:ascii="Arial" w:cs="Arial" w:eastAsia="Arial" w:hAnsi="Arial"/>
          <w:sz w:val="18"/>
          <w:szCs w:val="18"/>
          <w:u w:val="single" w:color="auto"/>
          <w:color w:val="auto"/>
        </w:rPr>
        <w:t>Trust Account</w:t>
      </w:r>
      <w:r>
        <w:rPr>
          <w:rFonts w:ascii="Arial" w:cs="Arial" w:eastAsia="Arial" w:hAnsi="Arial"/>
          <w:sz w:val="18"/>
          <w:szCs w:val="18"/>
          <w:color w:val="auto"/>
        </w:rPr>
        <w:t>”) containing the proceeds of its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6" w:name="page357"/>
    <w:bookmarkEnd w:id="35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7"/>
          <w:szCs w:val="17"/>
          <w:u w:val="single" w:color="auto"/>
          <w:color w:val="auto"/>
        </w:rPr>
        <w:t>Released Claims</w:t>
      </w:r>
      <w:r>
        <w:rPr>
          <w:rFonts w:ascii="Arial" w:cs="Arial" w:eastAsia="Arial" w:hAnsi="Arial"/>
          <w:sz w:val="17"/>
          <w:szCs w:val="17"/>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4" w:lineRule="exact"/>
        <w:rPr>
          <w:sz w:val="20"/>
          <w:szCs w:val="20"/>
          <w:color w:val="auto"/>
        </w:rPr>
      </w:pPr>
    </w:p>
    <w:p>
      <w:pPr>
        <w:ind w:left="1160" w:hanging="274"/>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460" w:right="459" w:firstLine="858"/>
        <w:spacing w:after="0" w:line="311" w:lineRule="auto"/>
        <w:tabs>
          <w:tab w:leader="none" w:pos="1588" w:val="left"/>
        </w:tabs>
        <w:numPr>
          <w:ilvl w:val="1"/>
          <w:numId w:val="343"/>
        </w:numPr>
        <w:rPr>
          <w:rFonts w:ascii="Arial" w:cs="Arial" w:eastAsia="Arial" w:hAnsi="Arial"/>
          <w:sz w:val="16"/>
          <w:szCs w:val="16"/>
          <w:color w:val="auto"/>
        </w:rPr>
      </w:pPr>
      <w:r>
        <w:rPr>
          <w:rFonts w:ascii="Arial" w:cs="Arial" w:eastAsia="Arial" w:hAnsi="Arial"/>
          <w:sz w:val="16"/>
          <w:szCs w:val="16"/>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67" w:lineRule="exact"/>
        <w:rPr>
          <w:rFonts w:ascii="Arial" w:cs="Arial" w:eastAsia="Arial" w:hAnsi="Arial"/>
          <w:sz w:val="16"/>
          <w:szCs w:val="16"/>
          <w:color w:val="auto"/>
        </w:rPr>
      </w:pPr>
    </w:p>
    <w:p>
      <w:pPr>
        <w:jc w:val="both"/>
        <w:ind w:left="460" w:right="459" w:firstLine="858"/>
        <w:spacing w:after="0" w:line="293" w:lineRule="auto"/>
        <w:tabs>
          <w:tab w:leader="none" w:pos="1586" w:val="left"/>
        </w:tabs>
        <w:numPr>
          <w:ilvl w:val="1"/>
          <w:numId w:val="343"/>
        </w:numPr>
        <w:rPr>
          <w:rFonts w:ascii="Arial" w:cs="Arial" w:eastAsia="Arial" w:hAnsi="Arial"/>
          <w:sz w:val="16"/>
          <w:szCs w:val="16"/>
          <w:color w:val="auto"/>
        </w:rPr>
      </w:pPr>
      <w:r>
        <w:rPr>
          <w:rFonts w:ascii="Arial" w:cs="Arial" w:eastAsia="Arial" w:hAnsi="Arial"/>
          <w:sz w:val="16"/>
          <w:szCs w:val="16"/>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96" w:lineRule="exact"/>
        <w:rPr>
          <w:rFonts w:ascii="Arial" w:cs="Arial" w:eastAsia="Arial" w:hAnsi="Arial"/>
          <w:sz w:val="16"/>
          <w:szCs w:val="16"/>
          <w:color w:val="auto"/>
        </w:rPr>
      </w:pPr>
    </w:p>
    <w:p>
      <w:pPr>
        <w:jc w:val="both"/>
        <w:ind w:left="460" w:right="459" w:firstLine="858"/>
        <w:spacing w:after="0" w:line="272" w:lineRule="auto"/>
        <w:tabs>
          <w:tab w:leader="none" w:pos="1621" w:val="left"/>
        </w:tabs>
        <w:numPr>
          <w:ilvl w:val="1"/>
          <w:numId w:val="343"/>
        </w:numPr>
        <w:rPr>
          <w:rFonts w:ascii="Arial" w:cs="Arial" w:eastAsia="Arial" w:hAnsi="Arial"/>
          <w:sz w:val="17"/>
          <w:szCs w:val="17"/>
          <w:color w:val="auto"/>
        </w:rPr>
      </w:pPr>
      <w:r>
        <w:rPr>
          <w:rFonts w:ascii="Arial" w:cs="Arial" w:eastAsia="Arial" w:hAnsi="Arial"/>
          <w:sz w:val="17"/>
          <w:szCs w:val="17"/>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09" w:lineRule="exact"/>
        <w:rPr>
          <w:rFonts w:ascii="Arial" w:cs="Arial" w:eastAsia="Arial" w:hAnsi="Arial"/>
          <w:sz w:val="17"/>
          <w:szCs w:val="17"/>
          <w:color w:val="auto"/>
        </w:rPr>
      </w:pPr>
    </w:p>
    <w:p>
      <w:pPr>
        <w:jc w:val="both"/>
        <w:ind w:left="460" w:right="459" w:firstLine="858"/>
        <w:spacing w:after="0" w:line="259" w:lineRule="auto"/>
        <w:tabs>
          <w:tab w:leader="none" w:pos="160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05" w:lineRule="exact"/>
        <w:rPr>
          <w:rFonts w:ascii="Arial" w:cs="Arial" w:eastAsia="Arial" w:hAnsi="Arial"/>
          <w:sz w:val="18"/>
          <w:szCs w:val="18"/>
          <w:color w:val="auto"/>
        </w:rPr>
      </w:pPr>
    </w:p>
    <w:p>
      <w:pPr>
        <w:ind w:left="460" w:right="479" w:firstLine="858"/>
        <w:spacing w:after="0" w:line="277" w:lineRule="auto"/>
        <w:tabs>
          <w:tab w:leader="none" w:pos="16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All of the agreements, representations and warranties made by each party hereto in this Subscription Agreement shall survive the Closing.</w:t>
      </w:r>
    </w:p>
    <w:p>
      <w:pPr>
        <w:spacing w:after="0" w:line="102" w:lineRule="exact"/>
        <w:rPr>
          <w:rFonts w:ascii="Arial" w:cs="Arial" w:eastAsia="Arial" w:hAnsi="Arial"/>
          <w:sz w:val="18"/>
          <w:szCs w:val="18"/>
          <w:color w:val="auto"/>
        </w:rPr>
      </w:pPr>
    </w:p>
    <w:p>
      <w:pPr>
        <w:jc w:val="both"/>
        <w:ind w:left="460" w:right="459" w:firstLine="858"/>
        <w:spacing w:after="0" w:line="254" w:lineRule="auto"/>
        <w:tabs>
          <w:tab w:leader="none" w:pos="1608"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27" w:lineRule="exact"/>
        <w:rPr>
          <w:rFonts w:ascii="Arial" w:cs="Arial" w:eastAsia="Arial" w:hAnsi="Arial"/>
          <w:sz w:val="18"/>
          <w:szCs w:val="18"/>
          <w:color w:val="auto"/>
        </w:rPr>
      </w:pPr>
    </w:p>
    <w:p>
      <w:pPr>
        <w:jc w:val="both"/>
        <w:ind w:left="460" w:right="459" w:firstLine="858"/>
        <w:spacing w:after="0" w:line="272" w:lineRule="auto"/>
        <w:tabs>
          <w:tab w:leader="none" w:pos="1597" w:val="left"/>
        </w:tabs>
        <w:numPr>
          <w:ilvl w:val="1"/>
          <w:numId w:val="343"/>
        </w:numPr>
        <w:rPr>
          <w:rFonts w:ascii="Arial" w:cs="Arial" w:eastAsia="Arial" w:hAnsi="Arial"/>
          <w:sz w:val="17"/>
          <w:szCs w:val="17"/>
          <w:color w:val="auto"/>
        </w:rPr>
      </w:pPr>
      <w:r>
        <w:rPr>
          <w:rFonts w:ascii="Arial" w:cs="Arial" w:eastAsia="Arial" w:hAnsi="Arial"/>
          <w:sz w:val="17"/>
          <w:szCs w:val="17"/>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Arial" w:cs="Arial" w:eastAsia="Arial" w:hAnsi="Arial"/>
          <w:sz w:val="17"/>
          <w:szCs w:val="17"/>
          <w:u w:val="single" w:color="auto"/>
          <w:color w:val="auto"/>
        </w:rPr>
        <w:t>Sections 10(c)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10(d)</w:t>
      </w:r>
      <w:r>
        <w:rPr>
          <w:rFonts w:ascii="Arial" w:cs="Arial" w:eastAsia="Arial" w:hAnsi="Arial"/>
          <w:sz w:val="17"/>
          <w:szCs w:val="17"/>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7" w:name="page358"/>
    <w:bookmarkEnd w:id="35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75" w:lineRule="auto"/>
        <w:tabs>
          <w:tab w:leader="none" w:pos="1599" w:val="left"/>
        </w:tabs>
        <w:numPr>
          <w:ilvl w:val="0"/>
          <w:numId w:val="344"/>
        </w:numPr>
        <w:rPr>
          <w:rFonts w:ascii="Arial" w:cs="Arial" w:eastAsia="Arial" w:hAnsi="Arial"/>
          <w:sz w:val="17"/>
          <w:szCs w:val="17"/>
          <w:color w:val="auto"/>
        </w:rPr>
      </w:pPr>
      <w:r>
        <w:rPr>
          <w:rFonts w:ascii="Arial" w:cs="Arial" w:eastAsia="Arial" w:hAnsi="Arial"/>
          <w:sz w:val="17"/>
          <w:szCs w:val="17"/>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08" w:lineRule="exact"/>
        <w:rPr>
          <w:rFonts w:ascii="Arial" w:cs="Arial" w:eastAsia="Arial" w:hAnsi="Arial"/>
          <w:sz w:val="17"/>
          <w:szCs w:val="17"/>
          <w:color w:val="auto"/>
        </w:rPr>
      </w:pPr>
    </w:p>
    <w:p>
      <w:pPr>
        <w:jc w:val="both"/>
        <w:ind w:left="460" w:right="459" w:firstLine="858"/>
        <w:spacing w:after="0" w:line="259" w:lineRule="auto"/>
        <w:tabs>
          <w:tab w:leader="none" w:pos="156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19" w:lineRule="exact"/>
        <w:rPr>
          <w:rFonts w:ascii="Arial" w:cs="Arial" w:eastAsia="Arial" w:hAnsi="Arial"/>
          <w:sz w:val="18"/>
          <w:szCs w:val="18"/>
          <w:color w:val="auto"/>
        </w:rPr>
      </w:pPr>
    </w:p>
    <w:p>
      <w:pPr>
        <w:jc w:val="both"/>
        <w:ind w:left="460" w:right="459" w:firstLine="858"/>
        <w:spacing w:after="0" w:line="259" w:lineRule="auto"/>
        <w:tabs>
          <w:tab w:leader="none" w:pos="158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05" w:lineRule="exact"/>
        <w:rPr>
          <w:rFonts w:ascii="Arial" w:cs="Arial" w:eastAsia="Arial" w:hAnsi="Arial"/>
          <w:sz w:val="18"/>
          <w:szCs w:val="18"/>
          <w:color w:val="auto"/>
        </w:rPr>
      </w:pPr>
    </w:p>
    <w:p>
      <w:pPr>
        <w:jc w:val="both"/>
        <w:ind w:left="460" w:right="479" w:firstLine="858"/>
        <w:spacing w:after="0" w:line="293" w:lineRule="auto"/>
        <w:tabs>
          <w:tab w:leader="none" w:pos="161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96" w:lineRule="exact"/>
        <w:rPr>
          <w:rFonts w:ascii="Arial" w:cs="Arial" w:eastAsia="Arial" w:hAnsi="Arial"/>
          <w:sz w:val="16"/>
          <w:szCs w:val="16"/>
          <w:color w:val="auto"/>
        </w:rPr>
      </w:pPr>
    </w:p>
    <w:p>
      <w:pPr>
        <w:jc w:val="both"/>
        <w:ind w:left="460" w:right="459" w:firstLine="858"/>
        <w:spacing w:after="0" w:line="251" w:lineRule="auto"/>
        <w:tabs>
          <w:tab w:leader="none" w:pos="155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8"/>
          <w:szCs w:val="18"/>
          <w:u w:val="single" w:color="auto"/>
          <w:color w:val="auto"/>
        </w:rPr>
        <w:t>SECTION 10(m)</w:t>
      </w:r>
      <w:r>
        <w:rPr>
          <w:rFonts w:ascii="Arial" w:cs="Arial" w:eastAsia="Arial" w:hAnsi="Arial"/>
          <w:sz w:val="18"/>
          <w:szCs w:val="18"/>
          <w:color w:val="auto"/>
        </w:rPr>
        <w:t xml:space="preserve"> OF THIS SUBSCRIPTION AGREEMENT OR IN SUCH OTHER MANNER AS MAY BE PERMITTED BY LAW SHALL BE VALID AND SUFFICIENT SERVICE THEREOF.</w:t>
      </w:r>
    </w:p>
    <w:p>
      <w:pPr>
        <w:spacing w:after="0" w:line="13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7"/>
          <w:szCs w:val="17"/>
          <w:u w:val="single" w:color="auto"/>
          <w:color w:val="auto"/>
        </w:rPr>
        <w:t>SECTION 10(l)</w:t>
      </w:r>
      <w:r>
        <w:rPr>
          <w:rFonts w:ascii="Arial" w:cs="Arial" w:eastAsia="Arial" w:hAnsi="Arial"/>
          <w:sz w:val="17"/>
          <w:szCs w:val="17"/>
          <w:color w:val="auto"/>
        </w:rPr>
        <w:t>.</w:t>
      </w:r>
    </w:p>
    <w:p>
      <w:pPr>
        <w:spacing w:after="0" w:line="103" w:lineRule="exact"/>
        <w:rPr>
          <w:sz w:val="20"/>
          <w:szCs w:val="20"/>
          <w:color w:val="auto"/>
        </w:rPr>
      </w:pPr>
    </w:p>
    <w:p>
      <w:pPr>
        <w:jc w:val="both"/>
        <w:ind w:left="460" w:right="459" w:firstLine="858"/>
        <w:spacing w:after="0" w:line="259" w:lineRule="auto"/>
        <w:tabs>
          <w:tab w:leader="none" w:pos="163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8" w:name="page359"/>
    <w:bookmarkEnd w:id="35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notice, request, demand, claim or other communication is also sent to the recipient pursuant to clauses (i), (iii) or (iv) of this </w:t>
      </w:r>
      <w:r>
        <w:rPr>
          <w:rFonts w:ascii="Arial" w:cs="Arial" w:eastAsia="Arial" w:hAnsi="Arial"/>
          <w:sz w:val="17"/>
          <w:szCs w:val="17"/>
          <w:u w:val="single" w:color="auto"/>
          <w:color w:val="auto"/>
        </w:rPr>
        <w:t>Section 10(m)</w:t>
      </w:r>
      <w:r>
        <w:rPr>
          <w:rFonts w:ascii="Arial" w:cs="Arial" w:eastAsia="Arial" w:hAnsi="Arial"/>
          <w:sz w:val="17"/>
          <w:szCs w:val="17"/>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7"/>
          <w:szCs w:val="17"/>
          <w:u w:val="single" w:color="auto"/>
          <w:color w:val="auto"/>
        </w:rPr>
        <w:t>Section 10(m)</w:t>
      </w:r>
      <w:r>
        <w:rPr>
          <w:rFonts w:ascii="Arial" w:cs="Arial" w:eastAsia="Arial" w:hAnsi="Arial"/>
          <w:sz w:val="17"/>
          <w:szCs w:val="17"/>
          <w:color w:val="auto"/>
        </w:rPr>
        <w:t xml:space="preserve">.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w:t>
      </w:r>
      <w:r>
        <w:rPr>
          <w:rFonts w:ascii="Arial" w:cs="Arial" w:eastAsia="Arial" w:hAnsi="Arial"/>
          <w:sz w:val="17"/>
          <w:szCs w:val="17"/>
          <w:u w:val="single" w:color="auto"/>
          <w:color w:val="auto"/>
        </w:rPr>
        <w:t>joel.rubinstein@whitecase.com</w:t>
      </w:r>
      <w:r>
        <w:rPr>
          <w:rFonts w:ascii="Arial" w:cs="Arial" w:eastAsia="Arial" w:hAnsi="Arial"/>
          <w:sz w:val="17"/>
          <w:szCs w:val="17"/>
          <w:color w:val="auto"/>
        </w:rPr>
        <w:t>.</w:t>
      </w:r>
    </w:p>
    <w:p>
      <w:pPr>
        <w:spacing w:after="0" w:line="118" w:lineRule="exact"/>
        <w:rPr>
          <w:sz w:val="20"/>
          <w:szCs w:val="20"/>
          <w:color w:val="auto"/>
        </w:rPr>
      </w:pPr>
    </w:p>
    <w:p>
      <w:pPr>
        <w:jc w:val="both"/>
        <w:ind w:left="460" w:right="459" w:firstLine="426"/>
        <w:spacing w:after="0" w:line="286" w:lineRule="auto"/>
        <w:tabs>
          <w:tab w:leader="none" w:pos="1182"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99" w:lineRule="exact"/>
        <w:rPr>
          <w:rFonts w:ascii="Arial" w:cs="Arial" w:eastAsia="Arial" w:hAnsi="Arial"/>
          <w:sz w:val="16"/>
          <w:szCs w:val="16"/>
          <w:color w:val="auto"/>
        </w:rPr>
      </w:pPr>
    </w:p>
    <w:p>
      <w:pPr>
        <w:jc w:val="both"/>
        <w:ind w:left="460" w:right="459" w:firstLine="426"/>
        <w:spacing w:after="0" w:line="255" w:lineRule="auto"/>
        <w:tabs>
          <w:tab w:leader="none" w:pos="1216"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9" w:name="page360"/>
    <w:bookmarkEnd w:id="35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Investor has executed or caused this Subscription Agreement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its duly authorized representative as of the date set forth below.</w:t>
      </w:r>
    </w:p>
    <w:p>
      <w:pPr>
        <w:sectPr>
          <w:pgSz w:w="11900" w:h="16838" w:orient="portrait"/>
          <w:cols w:equalWidth="0" w:num="1">
            <w:col w:w="9019"/>
          </w:cols>
          <w:pgMar w:left="1440" w:top="274" w:right="1440" w:bottom="1440" w:gutter="0" w:footer="0" w:header="0"/>
        </w:sectPr>
      </w:pP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Investor: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________________________________</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Name: ______________________________</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Title: _______________________________</w:t>
      </w:r>
    </w:p>
    <w:p>
      <w:pPr>
        <w:spacing w:after="0" w:line="221"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Name in which Shares are to be registered (if different):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EIN:</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Business Address-Street: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 State, Zip:</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Attn: _______________________________</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No.:</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No.:</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subscribed for: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Subscription Amount: $</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State/Country of Formation or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________,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Address-Street (if different):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Attn: _______________________________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$10</w:t>
      </w:r>
    </w:p>
    <w:p>
      <w:pPr>
        <w:spacing w:after="0" w:line="200" w:lineRule="exact"/>
        <w:rPr>
          <w:sz w:val="20"/>
          <w:szCs w:val="20"/>
          <w:color w:val="auto"/>
        </w:rPr>
      </w:pPr>
    </w:p>
    <w:p>
      <w:pPr>
        <w:sectPr>
          <w:pgSz w:w="11900" w:h="16838" w:orient="portrait"/>
          <w:cols w:equalWidth="0" w:num="2">
            <w:col w:w="3780" w:space="720"/>
            <w:col w:w="4519"/>
          </w:cols>
          <w:pgMar w:left="1440" w:top="274" w:right="1440" w:bottom="1440" w:gutter="0" w:footer="0" w:header="0"/>
          <w:type w:val="continuous"/>
        </w:sectPr>
      </w:pPr>
    </w:p>
    <w:p>
      <w:pPr>
        <w:spacing w:after="0" w:line="3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You must pay the Subscription Amount by wire transfer of United States dollars in immediately available funds to the account specified by FSD in the Closing Notice.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0" w:name="page361"/>
    <w:bookmarkEnd w:id="36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IN WITNESS WHEREOF, FSD has accepted this Subscription Agreement as of the date set forth below.</w:t>
      </w: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7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1" w:name="page362"/>
    <w:bookmarkEnd w:id="36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REPRESENTATIONS OF THE INVESTOR</w:t>
      </w:r>
    </w:p>
    <w:p>
      <w:pPr>
        <w:spacing w:after="0" w:line="216" w:lineRule="exact"/>
        <w:rPr>
          <w:sz w:val="20"/>
          <w:szCs w:val="20"/>
          <w:color w:val="auto"/>
        </w:rPr>
      </w:pPr>
    </w:p>
    <w:p>
      <w:pPr>
        <w:ind w:left="880" w:right="4419" w:hanging="426"/>
        <w:spacing w:after="0" w:line="390" w:lineRule="auto"/>
        <w:tabs>
          <w:tab w:leader="none" w:pos="88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80" w:lineRule="exact"/>
        <w:rPr>
          <w:rFonts w:ascii="Arial" w:cs="Arial" w:eastAsia="Arial" w:hAnsi="Arial"/>
          <w:sz w:val="17"/>
          <w:szCs w:val="17"/>
          <w:color w:val="auto"/>
        </w:rPr>
      </w:pPr>
    </w:p>
    <w:p>
      <w:pPr>
        <w:ind w:left="1100" w:hanging="214"/>
        <w:spacing w:after="0"/>
        <w:tabs>
          <w:tab w:leader="none" w:pos="1100" w:val="left"/>
        </w:tabs>
        <w:numPr>
          <w:ilvl w:val="1"/>
          <w:numId w:val="347"/>
        </w:numPr>
        <w:rPr>
          <w:rFonts w:ascii="MS PGothic" w:cs="MS PGothic" w:eastAsia="MS PGothic" w:hAnsi="MS PGothic"/>
          <w:sz w:val="17"/>
          <w:szCs w:val="17"/>
          <w:color w:val="auto"/>
        </w:rPr>
      </w:pPr>
      <w:r>
        <w:rPr>
          <w:rFonts w:ascii="Arial" w:cs="Arial" w:eastAsia="Arial" w:hAnsi="Arial"/>
          <w:sz w:val="17"/>
          <w:szCs w:val="17"/>
          <w:color w:val="auto"/>
        </w:rPr>
        <w:t>We are a “qualified institutional buyer” (as defined in Rule 144A under the Securities Act (a “</w:t>
      </w:r>
      <w:r>
        <w:rPr>
          <w:rFonts w:ascii="Arial" w:cs="Arial" w:eastAsia="Arial" w:hAnsi="Arial"/>
          <w:sz w:val="17"/>
          <w:szCs w:val="17"/>
          <w:u w:val="single" w:color="auto"/>
          <w:color w:val="auto"/>
        </w:rPr>
        <w:t>QIB</w:t>
      </w:r>
      <w:r>
        <w:rPr>
          <w:rFonts w:ascii="Arial" w:cs="Arial" w:eastAsia="Arial" w:hAnsi="Arial"/>
          <w:sz w:val="17"/>
          <w:szCs w:val="17"/>
          <w:color w:val="auto"/>
        </w:rPr>
        <w:t>”)).</w:t>
      </w:r>
    </w:p>
    <w:p>
      <w:pPr>
        <w:spacing w:after="0" w:line="236" w:lineRule="exact"/>
        <w:rPr>
          <w:rFonts w:ascii="MS PGothic" w:cs="MS PGothic" w:eastAsia="MS PGothic" w:hAnsi="MS PGothic"/>
          <w:sz w:val="17"/>
          <w:szCs w:val="17"/>
          <w:color w:val="auto"/>
        </w:rPr>
      </w:pPr>
    </w:p>
    <w:p>
      <w:pPr>
        <w:ind w:left="880" w:right="3979" w:hanging="426"/>
        <w:spacing w:after="0" w:line="390" w:lineRule="auto"/>
        <w:tabs>
          <w:tab w:leader="none" w:pos="88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the applicable subparagraphs):</w:t>
      </w:r>
    </w:p>
    <w:p>
      <w:pPr>
        <w:spacing w:after="0" w:line="48" w:lineRule="exact"/>
        <w:rPr>
          <w:sz w:val="20"/>
          <w:szCs w:val="20"/>
          <w:color w:val="auto"/>
        </w:rPr>
      </w:pPr>
    </w:p>
    <w:p>
      <w:pPr>
        <w:jc w:val="both"/>
        <w:ind w:left="1320" w:right="459" w:hanging="434"/>
        <w:spacing w:after="0" w:line="228" w:lineRule="exact"/>
        <w:tabs>
          <w:tab w:leader="none" w:pos="1306" w:val="left"/>
        </w:tabs>
        <w:numPr>
          <w:ilvl w:val="0"/>
          <w:numId w:val="34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3" w:lineRule="exact"/>
        <w:rPr>
          <w:rFonts w:ascii="Arial" w:cs="Arial" w:eastAsia="Arial" w:hAnsi="Arial"/>
          <w:sz w:val="17"/>
          <w:szCs w:val="17"/>
          <w:color w:val="auto"/>
        </w:rPr>
      </w:pPr>
    </w:p>
    <w:p>
      <w:pPr>
        <w:ind w:left="1300" w:hanging="414"/>
        <w:spacing w:after="0" w:line="207" w:lineRule="exact"/>
        <w:tabs>
          <w:tab w:leader="none" w:pos="1300" w:val="left"/>
        </w:tabs>
        <w:numPr>
          <w:ilvl w:val="0"/>
          <w:numId w:val="3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17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20" w:lineRule="exact"/>
        <w:rPr>
          <w:sz w:val="20"/>
          <w:szCs w:val="20"/>
          <w:color w:val="auto"/>
        </w:rPr>
      </w:pPr>
    </w:p>
    <w:p>
      <w:pPr>
        <w:ind w:left="880" w:right="459" w:firstLine="6"/>
        <w:spacing w:after="0" w:line="277" w:lineRule="auto"/>
        <w:tabs>
          <w:tab w:leader="none" w:pos="1109" w:val="left"/>
        </w:tabs>
        <w:numPr>
          <w:ilvl w:val="1"/>
          <w:numId w:val="349"/>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102" w:lineRule="exact"/>
        <w:rPr>
          <w:rFonts w:ascii="MS PGothic" w:cs="MS PGothic" w:eastAsia="MS PGothic" w:hAnsi="MS PGothic"/>
          <w:sz w:val="18"/>
          <w:szCs w:val="18"/>
          <w:color w:val="auto"/>
        </w:rPr>
      </w:pPr>
    </w:p>
    <w:p>
      <w:pPr>
        <w:jc w:val="both"/>
        <w:ind w:left="880" w:right="459" w:firstLine="6"/>
        <w:spacing w:after="0" w:line="263" w:lineRule="auto"/>
        <w:tabs>
          <w:tab w:leader="none" w:pos="1150" w:val="left"/>
        </w:tabs>
        <w:numPr>
          <w:ilvl w:val="1"/>
          <w:numId w:val="349"/>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02" w:lineRule="exact"/>
        <w:rPr>
          <w:rFonts w:ascii="MS PGothic" w:cs="MS PGothic" w:eastAsia="MS PGothic" w:hAnsi="MS PGothic"/>
          <w:sz w:val="18"/>
          <w:szCs w:val="18"/>
          <w:color w:val="auto"/>
        </w:rPr>
      </w:pPr>
    </w:p>
    <w:p>
      <w:pPr>
        <w:jc w:val="both"/>
        <w:ind w:left="880" w:right="479" w:firstLine="6"/>
        <w:spacing w:after="0" w:line="263" w:lineRule="auto"/>
        <w:tabs>
          <w:tab w:leader="none" w:pos="1101" w:val="left"/>
        </w:tabs>
        <w:numPr>
          <w:ilvl w:val="1"/>
          <w:numId w:val="349"/>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16" w:lineRule="exact"/>
        <w:rPr>
          <w:rFonts w:ascii="MS PGothic" w:cs="MS PGothic" w:eastAsia="MS PGothic" w:hAnsi="MS PGothic"/>
          <w:sz w:val="18"/>
          <w:szCs w:val="18"/>
          <w:color w:val="auto"/>
        </w:rPr>
      </w:pPr>
    </w:p>
    <w:p>
      <w:pPr>
        <w:jc w:val="both"/>
        <w:ind w:left="880" w:right="459" w:firstLine="6"/>
        <w:spacing w:after="0" w:line="263" w:lineRule="auto"/>
        <w:tabs>
          <w:tab w:leader="none" w:pos="1110" w:val="left"/>
        </w:tabs>
        <w:numPr>
          <w:ilvl w:val="1"/>
          <w:numId w:val="349"/>
        </w:numPr>
        <w:rPr>
          <w:rFonts w:ascii="MS PGothic" w:cs="MS PGothic" w:eastAsia="MS PGothic" w:hAnsi="MS PGothic"/>
          <w:sz w:val="18"/>
          <w:szCs w:val="18"/>
          <w:color w:val="auto"/>
        </w:rPr>
      </w:pPr>
      <w:r>
        <w:rPr>
          <w:rFonts w:ascii="Arial" w:cs="Arial" w:eastAsia="Arial" w:hAnsi="Arial"/>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16" w:lineRule="exact"/>
        <w:rPr>
          <w:rFonts w:ascii="MS PGothic" w:cs="MS PGothic" w:eastAsia="MS PGothic" w:hAnsi="MS PGothic"/>
          <w:sz w:val="18"/>
          <w:szCs w:val="18"/>
          <w:color w:val="auto"/>
        </w:rPr>
      </w:pPr>
    </w:p>
    <w:p>
      <w:pPr>
        <w:ind w:left="880" w:right="479" w:firstLine="6"/>
        <w:spacing w:after="0" w:line="277" w:lineRule="auto"/>
        <w:tabs>
          <w:tab w:leader="none" w:pos="1116" w:val="left"/>
        </w:tabs>
        <w:numPr>
          <w:ilvl w:val="1"/>
          <w:numId w:val="349"/>
        </w:numPr>
        <w:rPr>
          <w:rFonts w:ascii="MS PGothic" w:cs="MS PGothic" w:eastAsia="MS PGothic" w:hAnsi="MS PGothic"/>
          <w:sz w:val="18"/>
          <w:szCs w:val="18"/>
          <w:color w:val="auto"/>
        </w:rPr>
      </w:pPr>
      <w:r>
        <w:rPr>
          <w:rFonts w:ascii="Arial" w:cs="Arial" w:eastAsia="Arial" w:hAnsi="Arial"/>
          <w:sz w:val="18"/>
          <w:szCs w:val="18"/>
          <w:color w:val="auto"/>
        </w:rPr>
        <w:t>Any trust with assets in excess of $5,000,000, not formed to acquire the securities offered, whose purchase is directed by a sophisticated person; or</w:t>
      </w:r>
    </w:p>
    <w:p>
      <w:pPr>
        <w:spacing w:after="0" w:line="89" w:lineRule="exact"/>
        <w:rPr>
          <w:rFonts w:ascii="MS PGothic" w:cs="MS PGothic" w:eastAsia="MS PGothic" w:hAnsi="MS PGothic"/>
          <w:sz w:val="18"/>
          <w:szCs w:val="18"/>
          <w:color w:val="auto"/>
        </w:rPr>
      </w:pPr>
    </w:p>
    <w:p>
      <w:pPr>
        <w:ind w:left="880" w:right="479" w:firstLine="6"/>
        <w:spacing w:after="0" w:line="277" w:lineRule="auto"/>
        <w:tabs>
          <w:tab w:leader="none" w:pos="1090" w:val="left"/>
        </w:tabs>
        <w:numPr>
          <w:ilvl w:val="1"/>
          <w:numId w:val="349"/>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102" w:lineRule="exact"/>
        <w:rPr>
          <w:rFonts w:ascii="MS PGothic" w:cs="MS PGothic" w:eastAsia="MS PGothic" w:hAnsi="MS PGothic"/>
          <w:sz w:val="18"/>
          <w:szCs w:val="18"/>
          <w:color w:val="auto"/>
        </w:rPr>
      </w:pPr>
    </w:p>
    <w:p>
      <w:pPr>
        <w:ind w:left="840" w:hanging="386"/>
        <w:spacing w:after="0"/>
        <w:tabs>
          <w:tab w:leader="none" w:pos="8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INSTITUTIONAL ACCOUNTS STATUS</w:t>
      </w:r>
    </w:p>
    <w:p>
      <w:pPr>
        <w:spacing w:after="0" w:line="157" w:lineRule="exact"/>
        <w:rPr>
          <w:rFonts w:ascii="Arial" w:cs="Arial" w:eastAsia="Arial" w:hAnsi="Arial"/>
          <w:sz w:val="18"/>
          <w:szCs w:val="18"/>
          <w:color w:val="auto"/>
        </w:rPr>
      </w:pPr>
    </w:p>
    <w:p>
      <w:pPr>
        <w:ind w:left="1100" w:hanging="214"/>
        <w:spacing w:after="0"/>
        <w:tabs>
          <w:tab w:leader="none" w:pos="1100" w:val="left"/>
        </w:tabs>
        <w:numPr>
          <w:ilvl w:val="1"/>
          <w:numId w:val="349"/>
        </w:numPr>
        <w:rPr>
          <w:rFonts w:ascii="MS PGothic" w:cs="MS PGothic" w:eastAsia="MS PGothic" w:hAnsi="MS PGothic"/>
          <w:sz w:val="18"/>
          <w:szCs w:val="18"/>
          <w:color w:val="auto"/>
        </w:rPr>
      </w:pPr>
      <w:r>
        <w:rPr>
          <w:rFonts w:ascii="Arial" w:cs="Arial" w:eastAsia="Arial" w:hAnsi="Arial"/>
          <w:sz w:val="18"/>
          <w:szCs w:val="18"/>
          <w:color w:val="auto"/>
        </w:rPr>
        <w:t>We are an “institutional account” (as defined in FINRA RULE 4512(c)).</w:t>
      </w:r>
    </w:p>
    <w:p>
      <w:pPr>
        <w:spacing w:after="0" w:line="144" w:lineRule="exact"/>
        <w:rPr>
          <w:rFonts w:ascii="MS PGothic" w:cs="MS PGothic" w:eastAsia="MS PGothic" w:hAnsi="MS PGothic"/>
          <w:sz w:val="18"/>
          <w:szCs w:val="18"/>
          <w:color w:val="auto"/>
        </w:rPr>
      </w:pPr>
    </w:p>
    <w:p>
      <w:pPr>
        <w:ind w:left="840" w:hanging="386"/>
        <w:spacing w:after="0"/>
        <w:tabs>
          <w:tab w:leader="none" w:pos="8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ACCREDITED INVESTOR STATUS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(Please check the applicable subparagraphs):</w:t>
      </w:r>
    </w:p>
    <w:p>
      <w:pPr>
        <w:spacing w:after="0" w:line="125" w:lineRule="exact"/>
        <w:rPr>
          <w:sz w:val="20"/>
          <w:szCs w:val="20"/>
          <w:color w:val="auto"/>
        </w:rPr>
      </w:pPr>
    </w:p>
    <w:p>
      <w:pPr>
        <w:jc w:val="both"/>
        <w:ind w:left="1320" w:right="459" w:hanging="434"/>
        <w:spacing w:after="0" w:line="228" w:lineRule="exact"/>
        <w:tabs>
          <w:tab w:leader="none" w:pos="1347" w:val="left"/>
        </w:tabs>
        <w:numPr>
          <w:ilvl w:val="0"/>
          <w:numId w:val="35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90" w:lineRule="exact"/>
        <w:rPr>
          <w:rFonts w:ascii="Arial" w:cs="Arial" w:eastAsia="Arial" w:hAnsi="Arial"/>
          <w:sz w:val="17"/>
          <w:szCs w:val="17"/>
          <w:color w:val="auto"/>
        </w:rPr>
      </w:pPr>
    </w:p>
    <w:p>
      <w:pPr>
        <w:ind w:left="1300" w:hanging="414"/>
        <w:spacing w:after="0" w:line="207" w:lineRule="exact"/>
        <w:tabs>
          <w:tab w:leader="none" w:pos="1300" w:val="left"/>
        </w:tabs>
        <w:numPr>
          <w:ilvl w:val="0"/>
          <w:numId w:val="3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am a natural person.</w:t>
      </w:r>
    </w:p>
    <w:p>
      <w:pPr>
        <w:spacing w:after="0" w:line="19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2" w:name="page363"/>
    <w:bookmarkEnd w:id="36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880" w:right="459" w:firstLine="6"/>
        <w:spacing w:after="0" w:line="277" w:lineRule="auto"/>
        <w:tabs>
          <w:tab w:leader="none" w:pos="1098" w:val="left"/>
        </w:tabs>
        <w:numPr>
          <w:ilvl w:val="0"/>
          <w:numId w:val="351"/>
        </w:numPr>
        <w:rPr>
          <w:rFonts w:ascii="MS PGothic" w:cs="MS PGothic" w:eastAsia="MS PGothic" w:hAnsi="MS PGothic"/>
          <w:sz w:val="18"/>
          <w:szCs w:val="18"/>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02" w:lineRule="exact"/>
        <w:rPr>
          <w:rFonts w:ascii="MS PGothic" w:cs="MS PGothic" w:eastAsia="MS PGothic" w:hAnsi="MS PGothic"/>
          <w:sz w:val="18"/>
          <w:szCs w:val="18"/>
          <w:color w:val="auto"/>
        </w:rPr>
      </w:pPr>
    </w:p>
    <w:p>
      <w:pPr>
        <w:jc w:val="both"/>
        <w:ind w:left="880" w:right="459" w:firstLine="6"/>
        <w:spacing w:after="0" w:line="270" w:lineRule="auto"/>
        <w:tabs>
          <w:tab w:leader="none" w:pos="1088" w:val="left"/>
        </w:tabs>
        <w:numPr>
          <w:ilvl w:val="0"/>
          <w:numId w:val="351"/>
        </w:numPr>
        <w:rPr>
          <w:rFonts w:ascii="MS PGothic" w:cs="MS PGothic" w:eastAsia="MS PGothic" w:hAnsi="MS PGothic"/>
          <w:sz w:val="17"/>
          <w:szCs w:val="17"/>
          <w:color w:val="auto"/>
        </w:rPr>
      </w:pPr>
      <w:r>
        <w:rPr>
          <w:rFonts w:ascii="Arial" w:cs="Arial" w:eastAsia="Arial" w:hAnsi="Arial"/>
          <w:sz w:val="17"/>
          <w:szCs w:val="17"/>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99" w:lineRule="exact"/>
        <w:rPr>
          <w:rFonts w:ascii="MS PGothic" w:cs="MS PGothic" w:eastAsia="MS PGothic" w:hAnsi="MS PGothic"/>
          <w:sz w:val="17"/>
          <w:szCs w:val="17"/>
          <w:color w:val="auto"/>
        </w:rPr>
      </w:pPr>
    </w:p>
    <w:p>
      <w:pPr>
        <w:jc w:val="both"/>
        <w:ind w:left="880" w:right="459" w:firstLine="6"/>
        <w:spacing w:after="0" w:line="286" w:lineRule="auto"/>
        <w:tabs>
          <w:tab w:leader="none" w:pos="1088" w:val="left"/>
        </w:tabs>
        <w:numPr>
          <w:ilvl w:val="0"/>
          <w:numId w:val="351"/>
        </w:numPr>
        <w:rPr>
          <w:rFonts w:ascii="MS PGothic" w:cs="MS PGothic" w:eastAsia="MS PGothic" w:hAnsi="MS PGothic"/>
          <w:sz w:val="17"/>
          <w:szCs w:val="17"/>
          <w:color w:val="auto"/>
        </w:rPr>
      </w:pPr>
      <w:r>
        <w:rPr>
          <w:rFonts w:ascii="Arial" w:cs="Arial" w:eastAsia="Arial" w:hAnsi="Arial"/>
          <w:sz w:val="17"/>
          <w:szCs w:val="17"/>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the Investor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3" w:name="page364"/>
    <w:bookmarkEnd w:id="36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SUPPORT AGREEMENT</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This PARENT SUPPORT AGREEMENT, dated as of October __, 2020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by and among FS Development Corp.,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Gemini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FS Development Holdings, LLC, a Delaware limited liability company (“</w:t>
      </w:r>
      <w:r>
        <w:rPr>
          <w:rFonts w:ascii="Arial" w:cs="Arial" w:eastAsia="Arial" w:hAnsi="Arial"/>
          <w:sz w:val="17"/>
          <w:szCs w:val="17"/>
          <w:u w:val="single" w:color="auto"/>
          <w:color w:val="auto"/>
        </w:rPr>
        <w:t>Sponsor</w:t>
      </w:r>
      <w:r>
        <w:rPr>
          <w:rFonts w:ascii="Arial" w:cs="Arial" w:eastAsia="Arial" w:hAnsi="Arial"/>
          <w:sz w:val="17"/>
          <w:szCs w:val="17"/>
          <w:color w:val="auto"/>
        </w:rPr>
        <w:t>”), and each of the stockholders of Parent whose names appear on the signature pages of this Agreement (each, a “</w:t>
      </w:r>
      <w:r>
        <w:rPr>
          <w:rFonts w:ascii="Arial" w:cs="Arial" w:eastAsia="Arial" w:hAnsi="Arial"/>
          <w:sz w:val="17"/>
          <w:szCs w:val="17"/>
          <w:u w:val="single" w:color="auto"/>
          <w:color w:val="auto"/>
        </w:rPr>
        <w:t>Founder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Founders</w:t>
      </w:r>
      <w:r>
        <w:rPr>
          <w:rFonts w:ascii="Arial" w:cs="Arial" w:eastAsia="Arial" w:hAnsi="Arial"/>
          <w:sz w:val="17"/>
          <w:szCs w:val="17"/>
          <w:color w:val="auto"/>
        </w:rPr>
        <w:t>”). Capitalized terms used herein and not otherwise defined will have the meaning given such terms in the Merger Agreement (as defined below).</w:t>
      </w:r>
    </w:p>
    <w:p>
      <w:pPr>
        <w:spacing w:after="0" w:line="11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WHEREAS, concurrently herewith, Parent, FSG Merger Sub, Inc., a Delaware corporation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w:t>
      </w:r>
      <w:r>
        <w:rPr>
          <w:rFonts w:ascii="Arial" w:cs="Arial" w:eastAsia="Arial" w:hAnsi="Arial"/>
          <w:sz w:val="16"/>
          <w:szCs w:val="16"/>
          <w:color w:val="auto"/>
        </w:rPr>
        <w:t>”), FS Development Holdings, LLC, a Delaware limited liability company (“</w:t>
      </w:r>
      <w:r>
        <w:rPr>
          <w:rFonts w:ascii="Arial" w:cs="Arial" w:eastAsia="Arial" w:hAnsi="Arial"/>
          <w:sz w:val="16"/>
          <w:szCs w:val="16"/>
          <w:u w:val="single" w:color="auto"/>
          <w:color w:val="auto"/>
        </w:rPr>
        <w:t>Sponsor</w:t>
      </w:r>
      <w:r>
        <w:rPr>
          <w:rFonts w:ascii="Arial" w:cs="Arial" w:eastAsia="Arial" w:hAnsi="Arial"/>
          <w:sz w:val="16"/>
          <w:szCs w:val="16"/>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85"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 xml:space="preserve">WHEREAS, as of the date hereof, each Founder owns of record the number of Parent Class A Shares and Parent Class B Shares as set forth opposite such Founder’s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Arial" w:cs="Arial" w:eastAsia="Arial" w:hAnsi="Arial"/>
          <w:sz w:val="18"/>
          <w:szCs w:val="18"/>
          <w:u w:val="single" w:color="auto"/>
          <w:color w:val="auto"/>
        </w:rPr>
        <w:t>Shares</w:t>
      </w:r>
      <w:r>
        <w:rPr>
          <w:rFonts w:ascii="Arial" w:cs="Arial" w:eastAsia="Arial" w:hAnsi="Arial"/>
          <w:sz w:val="18"/>
          <w:szCs w:val="18"/>
          <w:color w:val="auto"/>
        </w:rPr>
        <w:t>”); and</w:t>
      </w:r>
    </w:p>
    <w:p>
      <w:pPr>
        <w:spacing w:after="0" w:line="12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WHEREAS, in order to induce Parent and the Company to enter into the Merger Agreement, the Founders are executing and delivering this Agreement to Parent and the Company.</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103" w:lineRule="exact"/>
        <w:rPr>
          <w:sz w:val="20"/>
          <w:szCs w:val="20"/>
          <w:color w:val="auto"/>
        </w:rPr>
      </w:pPr>
    </w:p>
    <w:p>
      <w:pPr>
        <w:jc w:val="both"/>
        <w:ind w:left="460" w:right="459" w:firstLine="426"/>
        <w:spacing w:after="0" w:line="291" w:lineRule="auto"/>
        <w:tabs>
          <w:tab w:leader="none" w:pos="1072" w:val="left"/>
        </w:tabs>
        <w:numPr>
          <w:ilvl w:val="1"/>
          <w:numId w:val="352"/>
        </w:numPr>
        <w:rPr>
          <w:rFonts w:ascii="Arial" w:cs="Arial" w:eastAsia="Arial" w:hAnsi="Arial"/>
          <w:sz w:val="16"/>
          <w:szCs w:val="16"/>
          <w:color w:val="auto"/>
        </w:rPr>
      </w:pPr>
      <w:r>
        <w:rPr>
          <w:rFonts w:ascii="Arial" w:cs="Arial" w:eastAsia="Arial" w:hAnsi="Arial"/>
          <w:sz w:val="16"/>
          <w:szCs w:val="16"/>
          <w:u w:val="single" w:color="auto"/>
          <w:color w:val="auto"/>
        </w:rPr>
        <w:t>Agreement to Vote</w:t>
      </w:r>
      <w:r>
        <w:rPr>
          <w:rFonts w:ascii="Arial" w:cs="Arial" w:eastAsia="Arial" w:hAnsi="Arial"/>
          <w:sz w:val="16"/>
          <w:szCs w:val="16"/>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98" w:lineRule="exact"/>
        <w:rPr>
          <w:rFonts w:ascii="Arial" w:cs="Arial" w:eastAsia="Arial" w:hAnsi="Arial"/>
          <w:sz w:val="16"/>
          <w:szCs w:val="16"/>
          <w:color w:val="auto"/>
        </w:rPr>
      </w:pPr>
    </w:p>
    <w:p>
      <w:pPr>
        <w:jc w:val="both"/>
        <w:ind w:left="460" w:right="459" w:firstLine="426"/>
        <w:spacing w:after="0" w:line="287" w:lineRule="auto"/>
        <w:tabs>
          <w:tab w:leader="none" w:pos="1072" w:val="left"/>
        </w:tabs>
        <w:numPr>
          <w:ilvl w:val="1"/>
          <w:numId w:val="352"/>
        </w:numPr>
        <w:rPr>
          <w:rFonts w:ascii="Arial" w:cs="Arial" w:eastAsia="Arial" w:hAnsi="Arial"/>
          <w:sz w:val="16"/>
          <w:szCs w:val="16"/>
          <w:color w:val="auto"/>
        </w:rPr>
      </w:pPr>
      <w:r>
        <w:rPr>
          <w:rFonts w:ascii="Arial" w:cs="Arial" w:eastAsia="Arial" w:hAnsi="Arial"/>
          <w:sz w:val="16"/>
          <w:szCs w:val="16"/>
          <w:u w:val="single" w:color="auto"/>
          <w:color w:val="auto"/>
        </w:rPr>
        <w:t>Transfer of Shares</w:t>
      </w:r>
      <w:r>
        <w:rPr>
          <w:rFonts w:ascii="Arial" w:cs="Arial" w:eastAsia="Arial" w:hAnsi="Arial"/>
          <w:sz w:val="16"/>
          <w:szCs w:val="16"/>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w:t>
      </w:r>
    </w:p>
    <w:p>
      <w:pPr>
        <w:spacing w:after="0" w:line="2" w:lineRule="exact"/>
        <w:rPr>
          <w:rFonts w:ascii="Arial" w:cs="Arial" w:eastAsia="Arial" w:hAnsi="Arial"/>
          <w:sz w:val="16"/>
          <w:szCs w:val="16"/>
          <w:color w:val="auto"/>
        </w:rPr>
      </w:pPr>
    </w:p>
    <w:p>
      <w:pPr>
        <w:jc w:val="both"/>
        <w:ind w:left="460" w:right="459" w:hanging="6"/>
        <w:spacing w:after="0" w:line="270" w:lineRule="auto"/>
        <w:tabs>
          <w:tab w:leader="none" w:pos="7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110" w:lineRule="exact"/>
        <w:rPr>
          <w:rFonts w:ascii="Arial" w:cs="Arial" w:eastAsia="Arial" w:hAnsi="Arial"/>
          <w:sz w:val="17"/>
          <w:szCs w:val="17"/>
          <w:color w:val="auto"/>
        </w:rPr>
      </w:pPr>
    </w:p>
    <w:p>
      <w:pPr>
        <w:jc w:val="both"/>
        <w:ind w:left="460" w:right="459" w:firstLine="426"/>
        <w:spacing w:after="0" w:line="289" w:lineRule="auto"/>
        <w:tabs>
          <w:tab w:leader="none" w:pos="1099"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Waiver of Anti-Dilution Provision</w:t>
      </w:r>
      <w:r>
        <w:rPr>
          <w:rFonts w:ascii="Arial" w:cs="Arial" w:eastAsia="Arial" w:hAnsi="Arial"/>
          <w:sz w:val="16"/>
          <w:szCs w:val="16"/>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the provisions of Section 4.3(b)(i) of the Certificate of Incorporation to have the Parent Class B Shares convert to Parent Class A Shares at a ratio of greater than one-for-one. The waiver specified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4" w:name="page365"/>
    <w:bookmarkEnd w:id="36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11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Unpaid Parent Liabilities</w:t>
      </w:r>
      <w:r>
        <w:rPr>
          <w:rFonts w:ascii="Arial" w:cs="Arial" w:eastAsia="Arial" w:hAnsi="Arial"/>
          <w:sz w:val="18"/>
          <w:szCs w:val="18"/>
          <w:color w:val="auto"/>
        </w:rPr>
        <w:t>. Sponsor agrees that in the event the Unpaid Parent Liabilities as of immediately prior to the Closing are greater than the $11,500,000 (the “</w:t>
      </w:r>
      <w:r>
        <w:rPr>
          <w:rFonts w:ascii="Arial" w:cs="Arial" w:eastAsia="Arial" w:hAnsi="Arial"/>
          <w:sz w:val="18"/>
          <w:szCs w:val="18"/>
          <w:u w:val="single" w:color="auto"/>
          <w:color w:val="auto"/>
        </w:rPr>
        <w:t>Maximum Liability Amount</w:t>
      </w:r>
      <w:r>
        <w:rPr>
          <w:rFonts w:ascii="Arial" w:cs="Arial" w:eastAsia="Arial" w:hAnsi="Arial"/>
          <w:sz w:val="18"/>
          <w:szCs w:val="18"/>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24" w:lineRule="exact"/>
        <w:rPr>
          <w:rFonts w:ascii="Arial" w:cs="Arial" w:eastAsia="Arial" w:hAnsi="Arial"/>
          <w:sz w:val="18"/>
          <w:szCs w:val="18"/>
          <w:color w:val="auto"/>
        </w:rPr>
      </w:pPr>
    </w:p>
    <w:p>
      <w:pPr>
        <w:ind w:left="460" w:right="479" w:firstLine="426"/>
        <w:spacing w:after="0" w:line="277" w:lineRule="auto"/>
        <w:tabs>
          <w:tab w:leader="none" w:pos="107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Founder, severally and not jointly, represents and warrants to the Company as follows:</w:t>
      </w:r>
    </w:p>
    <w:p>
      <w:pPr>
        <w:spacing w:after="0" w:line="102" w:lineRule="exact"/>
        <w:rPr>
          <w:rFonts w:ascii="Arial" w:cs="Arial" w:eastAsia="Arial" w:hAnsi="Arial"/>
          <w:sz w:val="18"/>
          <w:szCs w:val="18"/>
          <w:color w:val="auto"/>
        </w:rPr>
      </w:pPr>
    </w:p>
    <w:p>
      <w:pPr>
        <w:jc w:val="both"/>
        <w:ind w:left="460" w:right="459" w:firstLine="858"/>
        <w:spacing w:after="0" w:line="254" w:lineRule="auto"/>
        <w:tabs>
          <w:tab w:leader="none" w:pos="1635"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of such Founder) or (iv) conflict with or result in a breach of or constitute a default under any provision of such Founder’s Organizational Documents</w:t>
      </w:r>
    </w:p>
    <w:p>
      <w:pPr>
        <w:spacing w:after="0" w:line="110" w:lineRule="exact"/>
        <w:rPr>
          <w:rFonts w:ascii="Arial" w:cs="Arial" w:eastAsia="Arial" w:hAnsi="Arial"/>
          <w:sz w:val="18"/>
          <w:szCs w:val="18"/>
          <w:color w:val="auto"/>
        </w:rPr>
      </w:pPr>
    </w:p>
    <w:p>
      <w:pPr>
        <w:jc w:val="both"/>
        <w:ind w:left="460" w:right="459" w:firstLine="858"/>
        <w:spacing w:after="0" w:line="275" w:lineRule="auto"/>
        <w:tabs>
          <w:tab w:leader="none" w:pos="1597" w:val="left"/>
        </w:tabs>
        <w:numPr>
          <w:ilvl w:val="1"/>
          <w:numId w:val="354"/>
        </w:numPr>
        <w:rPr>
          <w:rFonts w:ascii="Arial" w:cs="Arial" w:eastAsia="Arial" w:hAnsi="Arial"/>
          <w:sz w:val="17"/>
          <w:szCs w:val="17"/>
          <w:color w:val="auto"/>
        </w:rPr>
      </w:pPr>
      <w:r>
        <w:rPr>
          <w:rFonts w:ascii="Arial" w:cs="Arial" w:eastAsia="Arial" w:hAnsi="Arial"/>
          <w:sz w:val="17"/>
          <w:szCs w:val="17"/>
          <w:color w:val="auto"/>
        </w:rPr>
        <w:t xml:space="preserve">Such Founder owns of record and has good, valid and marketable title to the Shares set forth opposite the Founder’s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108" w:lineRule="exact"/>
        <w:rPr>
          <w:rFonts w:ascii="Arial" w:cs="Arial" w:eastAsia="Arial" w:hAnsi="Arial"/>
          <w:sz w:val="17"/>
          <w:szCs w:val="17"/>
          <w:color w:val="auto"/>
        </w:rPr>
      </w:pPr>
    </w:p>
    <w:p>
      <w:pPr>
        <w:ind w:left="460" w:right="479" w:firstLine="858"/>
        <w:spacing w:after="0" w:line="308" w:lineRule="auto"/>
        <w:tabs>
          <w:tab w:leader="none" w:pos="1615" w:val="left"/>
        </w:tabs>
        <w:numPr>
          <w:ilvl w:val="1"/>
          <w:numId w:val="354"/>
        </w:numPr>
        <w:rPr>
          <w:rFonts w:ascii="Arial" w:cs="Arial" w:eastAsia="Arial" w:hAnsi="Arial"/>
          <w:sz w:val="17"/>
          <w:szCs w:val="17"/>
          <w:color w:val="auto"/>
        </w:rPr>
      </w:pPr>
      <w:r>
        <w:rPr>
          <w:rFonts w:ascii="Arial" w:cs="Arial" w:eastAsia="Arial" w:hAnsi="Arial"/>
          <w:sz w:val="17"/>
          <w:szCs w:val="17"/>
          <w:color w:val="auto"/>
        </w:rPr>
        <w:t>Such Founder has the power, authority and capacity to execute, deliver and perform this Agreement and that this Agreement has been duly authorized, executed and delivered by such Founder.</w:t>
      </w:r>
    </w:p>
    <w:p>
      <w:pPr>
        <w:spacing w:after="0" w:line="78" w:lineRule="exact"/>
        <w:rPr>
          <w:rFonts w:ascii="Arial" w:cs="Arial" w:eastAsia="Arial" w:hAnsi="Arial"/>
          <w:sz w:val="17"/>
          <w:szCs w:val="17"/>
          <w:color w:val="auto"/>
        </w:rPr>
      </w:pPr>
    </w:p>
    <w:p>
      <w:pPr>
        <w:jc w:val="both"/>
        <w:ind w:left="460" w:right="459" w:firstLine="426"/>
        <w:spacing w:after="0" w:line="273" w:lineRule="auto"/>
        <w:tabs>
          <w:tab w:leader="none" w:pos="1099"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96" w:lineRule="exact"/>
        <w:rPr>
          <w:rFonts w:ascii="Arial" w:cs="Arial" w:eastAsia="Arial" w:hAnsi="Arial"/>
          <w:sz w:val="17"/>
          <w:szCs w:val="17"/>
          <w:color w:val="auto"/>
        </w:rPr>
      </w:pPr>
    </w:p>
    <w:p>
      <w:pPr>
        <w:ind w:left="1060" w:hanging="174"/>
        <w:spacing w:after="0"/>
        <w:tabs>
          <w:tab w:leader="none" w:pos="106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460" w:right="479" w:firstLine="858"/>
        <w:spacing w:after="0" w:line="311" w:lineRule="auto"/>
        <w:tabs>
          <w:tab w:leader="none" w:pos="1614" w:val="left"/>
        </w:tabs>
        <w:numPr>
          <w:ilvl w:val="1"/>
          <w:numId w:val="354"/>
        </w:numPr>
        <w:rPr>
          <w:rFonts w:ascii="Arial" w:cs="Arial" w:eastAsia="Arial" w:hAnsi="Arial"/>
          <w:sz w:val="16"/>
          <w:szCs w:val="16"/>
          <w:color w:val="auto"/>
        </w:rPr>
      </w:pPr>
      <w:r>
        <w:rPr>
          <w:rFonts w:ascii="Arial" w:cs="Arial" w:eastAsia="Arial" w:hAnsi="Arial"/>
          <w:sz w:val="16"/>
          <w:szCs w:val="16"/>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81" w:lineRule="exact"/>
        <w:rPr>
          <w:rFonts w:ascii="Arial" w:cs="Arial" w:eastAsia="Arial" w:hAnsi="Arial"/>
          <w:sz w:val="16"/>
          <w:szCs w:val="16"/>
          <w:color w:val="auto"/>
        </w:rPr>
      </w:pPr>
    </w:p>
    <w:p>
      <w:pPr>
        <w:jc w:val="both"/>
        <w:ind w:left="460" w:right="459" w:firstLine="858"/>
        <w:spacing w:after="0" w:line="257" w:lineRule="auto"/>
        <w:tabs>
          <w:tab w:leader="none" w:pos="159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10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if to the Company, to:</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Gemini Therapeutics, Inc.</w:t>
      </w:r>
    </w:p>
    <w:p>
      <w:pPr>
        <w:spacing w:after="0" w:line="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300 One Kendall Square, 3</w:t>
      </w:r>
      <w:r>
        <w:rPr>
          <w:rFonts w:ascii="Arial" w:cs="Arial" w:eastAsia="Arial" w:hAnsi="Arial"/>
          <w:sz w:val="20"/>
          <w:szCs w:val="20"/>
          <w:color w:val="auto"/>
          <w:vertAlign w:val="superscript"/>
        </w:rPr>
        <w:t>rd</w:t>
      </w:r>
      <w:r>
        <w:rPr>
          <w:rFonts w:ascii="Arial" w:cs="Arial" w:eastAsia="Arial" w:hAnsi="Arial"/>
          <w:sz w:val="18"/>
          <w:szCs w:val="18"/>
          <w:color w:val="auto"/>
        </w:rPr>
        <w:t xml:space="preserve"> Floor</w:t>
      </w:r>
    </w:p>
    <w:p>
      <w:pPr>
        <w:ind w:left="1320"/>
        <w:spacing w:after="0"/>
        <w:rPr>
          <w:sz w:val="20"/>
          <w:szCs w:val="20"/>
          <w:color w:val="auto"/>
        </w:rPr>
      </w:pPr>
      <w:r>
        <w:rPr>
          <w:rFonts w:ascii="Arial" w:cs="Arial" w:eastAsia="Arial" w:hAnsi="Arial"/>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5" w:name="page366"/>
    <w:bookmarkEnd w:id="36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Mitchell S. Bloom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Laurie A. Burlingame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132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mbloom@goodwinlaw.com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lburlingame@goodwinlaw.com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despinoza@goodwinlaw.com</w:t>
      </w:r>
    </w:p>
    <w:p>
      <w:pPr>
        <w:spacing w:after="0" w:line="1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if to Parent or Merger Sub:</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jim@foresitecapital.com</w:t>
      </w:r>
    </w:p>
    <w:p>
      <w:pPr>
        <w:spacing w:after="0" w:line="1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White&amp; Case LLP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joel.rubinstein@whitecase.com</w:t>
      </w:r>
    </w:p>
    <w:p>
      <w:pPr>
        <w:spacing w:after="0" w:line="130" w:lineRule="exact"/>
        <w:rPr>
          <w:sz w:val="20"/>
          <w:szCs w:val="20"/>
          <w:color w:val="auto"/>
        </w:rPr>
      </w:pPr>
    </w:p>
    <w:p>
      <w:pPr>
        <w:ind w:left="1320" w:right="459"/>
        <w:spacing w:after="0" w:line="277" w:lineRule="auto"/>
        <w:rPr>
          <w:sz w:val="20"/>
          <w:szCs w:val="20"/>
          <w:color w:val="auto"/>
        </w:rPr>
      </w:pPr>
      <w:r>
        <w:rPr>
          <w:rFonts w:ascii="Arial" w:cs="Arial" w:eastAsia="Arial" w:hAnsi="Arial"/>
          <w:sz w:val="18"/>
          <w:szCs w:val="18"/>
          <w:color w:val="auto"/>
        </w:rPr>
        <w:t>if to a Founder, to the address or facsimile number set forth for Founder on the signature page hereof.</w:t>
      </w:r>
    </w:p>
    <w:p>
      <w:pPr>
        <w:spacing w:after="0" w:line="103" w:lineRule="exact"/>
        <w:rPr>
          <w:sz w:val="20"/>
          <w:szCs w:val="20"/>
          <w:color w:val="auto"/>
        </w:rPr>
      </w:pPr>
    </w:p>
    <w:p>
      <w:pPr>
        <w:jc w:val="both"/>
        <w:ind w:left="460" w:right="479" w:firstLine="858"/>
        <w:spacing w:after="0" w:line="271" w:lineRule="auto"/>
        <w:tabs>
          <w:tab w:leader="none" w:pos="1569" w:val="left"/>
        </w:tabs>
        <w:numPr>
          <w:ilvl w:val="0"/>
          <w:numId w:val="355"/>
        </w:numPr>
        <w:rPr>
          <w:rFonts w:ascii="Arial" w:cs="Arial" w:eastAsia="Arial" w:hAnsi="Arial"/>
          <w:sz w:val="17"/>
          <w:szCs w:val="17"/>
          <w:color w:val="auto"/>
        </w:rPr>
      </w:pPr>
      <w:r>
        <w:rPr>
          <w:rFonts w:ascii="Arial" w:cs="Arial" w:eastAsia="Arial" w:hAnsi="Arial"/>
          <w:sz w:val="17"/>
          <w:szCs w:val="17"/>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10" w:lineRule="exact"/>
        <w:rPr>
          <w:rFonts w:ascii="Arial" w:cs="Arial" w:eastAsia="Arial" w:hAnsi="Arial"/>
          <w:sz w:val="17"/>
          <w:szCs w:val="17"/>
          <w:color w:val="auto"/>
        </w:rPr>
      </w:pPr>
    </w:p>
    <w:p>
      <w:pPr>
        <w:jc w:val="both"/>
        <w:ind w:left="460" w:right="459" w:firstLine="858"/>
        <w:spacing w:after="0" w:line="301" w:lineRule="auto"/>
        <w:tabs>
          <w:tab w:leader="none" w:pos="1606"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76" w:lineRule="exact"/>
        <w:rPr>
          <w:rFonts w:ascii="Arial" w:cs="Arial" w:eastAsia="Arial" w:hAnsi="Arial"/>
          <w:sz w:val="16"/>
          <w:szCs w:val="16"/>
          <w:color w:val="auto"/>
        </w:rPr>
      </w:pPr>
    </w:p>
    <w:p>
      <w:pPr>
        <w:jc w:val="both"/>
        <w:ind w:left="460" w:right="459" w:firstLine="858"/>
        <w:spacing w:after="0" w:line="259" w:lineRule="auto"/>
        <w:tabs>
          <w:tab w:leader="none" w:pos="158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19" w:lineRule="exact"/>
        <w:rPr>
          <w:rFonts w:ascii="Arial" w:cs="Arial" w:eastAsia="Arial" w:hAnsi="Arial"/>
          <w:sz w:val="18"/>
          <w:szCs w:val="18"/>
          <w:color w:val="auto"/>
        </w:rPr>
      </w:pPr>
    </w:p>
    <w:p>
      <w:pPr>
        <w:jc w:val="both"/>
        <w:ind w:left="460" w:right="479" w:firstLine="858"/>
        <w:spacing w:after="0" w:line="286" w:lineRule="auto"/>
        <w:tabs>
          <w:tab w:leader="none" w:pos="1568"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97" w:lineRule="exact"/>
        <w:rPr>
          <w:rFonts w:ascii="Arial" w:cs="Arial" w:eastAsia="Arial" w:hAnsi="Arial"/>
          <w:sz w:val="17"/>
          <w:szCs w:val="17"/>
          <w:color w:val="auto"/>
        </w:rPr>
      </w:pPr>
    </w:p>
    <w:p>
      <w:pPr>
        <w:jc w:val="both"/>
        <w:ind w:left="460" w:right="459" w:firstLine="858"/>
        <w:spacing w:after="0" w:line="255" w:lineRule="auto"/>
        <w:tabs>
          <w:tab w:leader="none" w:pos="158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6" w:name="page367"/>
    <w:bookmarkEnd w:id="36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20" w:lineRule="exact"/>
        <w:rPr>
          <w:sz w:val="20"/>
          <w:szCs w:val="20"/>
          <w:color w:val="auto"/>
        </w:rPr>
      </w:pPr>
    </w:p>
    <w:p>
      <w:pPr>
        <w:jc w:val="both"/>
        <w:ind w:left="460" w:right="459" w:firstLine="858"/>
        <w:spacing w:after="0" w:line="259" w:lineRule="auto"/>
        <w:tabs>
          <w:tab w:leader="none" w:pos="159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19" w:lineRule="exact"/>
        <w:rPr>
          <w:rFonts w:ascii="Arial" w:cs="Arial" w:eastAsia="Arial" w:hAnsi="Arial"/>
          <w:sz w:val="18"/>
          <w:szCs w:val="18"/>
          <w:color w:val="auto"/>
        </w:rPr>
      </w:pPr>
    </w:p>
    <w:p>
      <w:pPr>
        <w:jc w:val="both"/>
        <w:ind w:left="460" w:right="459" w:firstLine="858"/>
        <w:spacing w:after="0" w:line="259" w:lineRule="auto"/>
        <w:tabs>
          <w:tab w:leader="none" w:pos="1559"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105" w:lineRule="exact"/>
        <w:rPr>
          <w:rFonts w:ascii="Arial" w:cs="Arial" w:eastAsia="Arial" w:hAnsi="Arial"/>
          <w:sz w:val="18"/>
          <w:szCs w:val="18"/>
          <w:color w:val="auto"/>
        </w:rPr>
      </w:pPr>
    </w:p>
    <w:p>
      <w:pPr>
        <w:ind w:left="460" w:right="479" w:firstLine="858"/>
        <w:spacing w:after="0" w:line="277" w:lineRule="auto"/>
        <w:tabs>
          <w:tab w:leader="none" w:pos="155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This Agreement shall not be effective or binding upon the Company, Sponsor or any Founder until such time as the Merger Agreement is executed.</w:t>
      </w:r>
    </w:p>
    <w:p>
      <w:pPr>
        <w:spacing w:after="0" w:line="102" w:lineRule="exact"/>
        <w:rPr>
          <w:rFonts w:ascii="Arial" w:cs="Arial" w:eastAsia="Arial" w:hAnsi="Arial"/>
          <w:sz w:val="18"/>
          <w:szCs w:val="18"/>
          <w:color w:val="auto"/>
        </w:rPr>
      </w:pPr>
    </w:p>
    <w:p>
      <w:pPr>
        <w:jc w:val="both"/>
        <w:ind w:left="460" w:right="479" w:firstLine="858"/>
        <w:spacing w:after="0" w:line="272" w:lineRule="auto"/>
        <w:tabs>
          <w:tab w:leader="none" w:pos="1596" w:val="left"/>
        </w:tabs>
        <w:numPr>
          <w:ilvl w:val="0"/>
          <w:numId w:val="356"/>
        </w:numPr>
        <w:rPr>
          <w:rFonts w:ascii="Arial" w:cs="Arial" w:eastAsia="Arial" w:hAnsi="Arial"/>
          <w:sz w:val="17"/>
          <w:szCs w:val="17"/>
          <w:color w:val="auto"/>
        </w:rPr>
      </w:pPr>
      <w:r>
        <w:rPr>
          <w:rFonts w:ascii="Arial" w:cs="Arial" w:eastAsia="Arial" w:hAnsi="Arial"/>
          <w:sz w:val="17"/>
          <w:szCs w:val="17"/>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7" w:name="page368"/>
    <w:bookmarkEnd w:id="36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WITNESS WHEREOF, the parties have executed this Agreement as of the date first written above.</w:t>
      </w:r>
    </w:p>
    <w:p>
      <w:pPr>
        <w:spacing w:after="0" w:line="24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222885</wp:posOffset>
            </wp:positionV>
            <wp:extent cx="26314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222885</wp:posOffset>
            </wp:positionV>
            <wp:extent cx="26314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222885</wp:posOffset>
            </wp:positionV>
            <wp:extent cx="26314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Parent Support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8" w:name="page369"/>
    <w:bookmarkEnd w:id="36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WITNESS WHEREOF, the parties have executed this Agreement as of the date first written above.</w:t>
      </w: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FOUNDERS:</w:t>
      </w:r>
    </w:p>
    <w:p>
      <w:pPr>
        <w:spacing w:after="0" w:line="18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FS DEVELOPMENT HOLDINGS, LLC</w:t>
      </w:r>
    </w:p>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48895</wp:posOffset>
            </wp:positionV>
            <wp:extent cx="2108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w:t>
      </w:r>
    </w:p>
    <w:p>
      <w:pPr>
        <w:spacing w:after="0" w:line="77"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Robert Carey</w:t>
      </w:r>
    </w:p>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48895</wp:posOffset>
            </wp:positionV>
            <wp:extent cx="2108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Daniel Dubin</w:t>
      </w:r>
    </w:p>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48895</wp:posOffset>
            </wp:positionV>
            <wp:extent cx="2108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Deepa Pakianathan</w:t>
      </w:r>
    </w:p>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48895</wp:posOffset>
            </wp:positionV>
            <wp:extent cx="21088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Parent Support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9" w:name="page370"/>
    <w:bookmarkEnd w:id="36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FOUNDERS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Shares of</w:t>
            </w:r>
          </w:p>
        </w:tc>
        <w:tc>
          <w:tcPr>
            <w:tcW w:w="1040" w:type="dxa"/>
            <w:vAlign w:val="bottom"/>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Parent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Arial" w:cs="Arial" w:eastAsia="Arial" w:hAnsi="Arial"/>
                <w:sz w:val="16"/>
                <w:szCs w:val="16"/>
                <w:b w:val="1"/>
                <w:bCs w:val="1"/>
                <w:color w:val="auto"/>
              </w:rPr>
              <w:t>Class A    Parent Class B</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Common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r>
      <w:tr>
        <w:trPr>
          <w:trHeight w:val="210"/>
        </w:trPr>
        <w:tc>
          <w:tcPr>
            <w:tcW w:w="6020" w:type="dxa"/>
            <w:vAlign w:val="bottom"/>
            <w:gridSpan w:val="2"/>
          </w:tcPr>
          <w:p>
            <w:pPr>
              <w:spacing w:after="0"/>
              <w:rPr>
                <w:sz w:val="20"/>
                <w:szCs w:val="20"/>
                <w:color w:val="auto"/>
              </w:rPr>
            </w:pPr>
            <w:r>
              <w:rPr>
                <w:rFonts w:ascii="Arial" w:cs="Arial" w:eastAsia="Arial" w:hAnsi="Arial"/>
                <w:sz w:val="16"/>
                <w:szCs w:val="16"/>
                <w:b w:val="1"/>
                <w:bCs w:val="1"/>
                <w:color w:val="auto"/>
              </w:rPr>
              <w:t>Founder</w:t>
            </w: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Stock</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r>
      <w:tr>
        <w:trPr>
          <w:trHeight w:val="47"/>
        </w:trPr>
        <w:tc>
          <w:tcPr>
            <w:tcW w:w="5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FS Development Holdings, LLC</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441,500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2,928,750</w:t>
            </w:r>
          </w:p>
        </w:tc>
      </w:tr>
      <w:tr>
        <w:trPr>
          <w:trHeight w:val="243"/>
        </w:trPr>
        <w:tc>
          <w:tcPr>
            <w:tcW w:w="602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40"/>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Dubin</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602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0" w:name="page371"/>
    <w:bookmarkEnd w:id="37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VOTING AGREEMENT</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VOTING AGREEMENT dated as of [•],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FS Development Holdings, LLC, a Delaware limited liability company (“</w:t>
      </w:r>
      <w:r>
        <w:rPr>
          <w:rFonts w:ascii="Arial" w:cs="Arial" w:eastAsia="Arial" w:hAnsi="Arial"/>
          <w:sz w:val="18"/>
          <w:szCs w:val="18"/>
          <w:u w:val="single" w:color="auto"/>
          <w:color w:val="auto"/>
        </w:rPr>
        <w:t>FS Sponsor</w:t>
      </w:r>
      <w:r>
        <w:rPr>
          <w:rFonts w:ascii="Arial" w:cs="Arial" w:eastAsia="Arial" w:hAnsi="Arial"/>
          <w:sz w:val="18"/>
          <w:szCs w:val="18"/>
          <w:color w:val="auto"/>
        </w:rPr>
        <w:t>”), Gemini Therapeutics, Inc., a Delaware corporation formerly known as FS Development Corp.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of the individuals and entities executing a counterpart signature page to this Agreement (each, a “</w:t>
      </w:r>
      <w:r>
        <w:rPr>
          <w:rFonts w:ascii="Arial" w:cs="Arial" w:eastAsia="Arial" w:hAnsi="Arial"/>
          <w:sz w:val="18"/>
          <w:szCs w:val="18"/>
          <w:u w:val="single" w:color="auto"/>
          <w:color w:val="auto"/>
        </w:rPr>
        <w:t>Voting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Voting Parties</w:t>
      </w:r>
      <w:r>
        <w:rPr>
          <w:rFonts w:ascii="Arial" w:cs="Arial" w:eastAsia="Arial" w:hAnsi="Arial"/>
          <w:sz w:val="18"/>
          <w:szCs w:val="18"/>
          <w:color w:val="auto"/>
        </w:rPr>
        <w:t>”).</w:t>
      </w:r>
    </w:p>
    <w:p>
      <w:pPr>
        <w:spacing w:after="0" w:line="18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RECITALS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WHEREAS, reference is made to that certain Agreement and Plan of Merger, dated as of October [•], 2020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Parent,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Arial" w:cs="Arial" w:eastAsia="Arial" w:hAnsi="Arial"/>
          <w:sz w:val="18"/>
          <w:szCs w:val="18"/>
          <w:u w:val="single" w:color="auto"/>
          <w:color w:val="auto"/>
        </w:rPr>
        <w:t>Gemini</w:t>
      </w:r>
      <w:r>
        <w:rPr>
          <w:rFonts w:ascii="Arial" w:cs="Arial" w:eastAsia="Arial" w:hAnsi="Arial"/>
          <w:sz w:val="18"/>
          <w:szCs w:val="18"/>
          <w:color w:val="auto"/>
        </w:rPr>
        <w:t>”);</w:t>
      </w:r>
    </w:p>
    <w:p>
      <w:pPr>
        <w:spacing w:after="0" w:line="10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WHEREAS, all capitalized terms used, but not otherwise defined herein, shall have the meanings ascribed to such terms in the Merger Agreement;</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9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WHEREAS, the execution and delivery of this Agreement is a condition to the closing of the Merger and the other transactions contemplated by the Merger Agreement.</w:t>
      </w:r>
    </w:p>
    <w:p>
      <w:pPr>
        <w:spacing w:after="0" w:line="89"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58" w:lineRule="exact"/>
        <w:rPr>
          <w:sz w:val="20"/>
          <w:szCs w:val="20"/>
          <w:color w:val="auto"/>
        </w:rPr>
      </w:pPr>
    </w:p>
    <w:p>
      <w:pPr>
        <w:jc w:val="both"/>
        <w:ind w:left="460" w:right="479" w:firstLine="426"/>
        <w:spacing w:after="0" w:line="261" w:lineRule="auto"/>
        <w:tabs>
          <w:tab w:leader="none" w:pos="1085"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Agreement to Vote</w:t>
      </w:r>
      <w:r>
        <w:rPr>
          <w:rFonts w:ascii="Arial" w:cs="Arial" w:eastAsia="Arial" w:hAnsi="Arial"/>
          <w:sz w:val="18"/>
          <w:szCs w:val="18"/>
          <w:color w:val="auto"/>
        </w:rPr>
        <w:t>. During the Term (as defined below), each Voting Party agrees to vote all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the Company that it owns from time to time and may vote in the election of the Company’s directors (collectively, “</w:t>
      </w:r>
      <w:r>
        <w:rPr>
          <w:rFonts w:ascii="Arial" w:cs="Arial" w:eastAsia="Arial" w:hAnsi="Arial"/>
          <w:sz w:val="18"/>
          <w:szCs w:val="18"/>
          <w:u w:val="single" w:color="auto"/>
          <w:color w:val="auto"/>
        </w:rPr>
        <w:t>Voting Shares</w:t>
      </w:r>
      <w:r>
        <w:rPr>
          <w:rFonts w:ascii="Arial" w:cs="Arial" w:eastAsia="Arial" w:hAnsi="Arial"/>
          <w:sz w:val="18"/>
          <w:szCs w:val="18"/>
          <w:color w:val="auto"/>
        </w:rPr>
        <w:t>”) in accordance with the provisions of this Agreement, whether at a regular or special meeting of stockholders or by written consent.</w:t>
      </w:r>
    </w:p>
    <w:p>
      <w:pPr>
        <w:spacing w:after="0" w:line="112" w:lineRule="exact"/>
        <w:rPr>
          <w:rFonts w:ascii="Arial" w:cs="Arial" w:eastAsia="Arial" w:hAnsi="Arial"/>
          <w:sz w:val="18"/>
          <w:szCs w:val="18"/>
          <w:color w:val="auto"/>
        </w:rPr>
      </w:pPr>
    </w:p>
    <w:p>
      <w:pPr>
        <w:ind w:left="1060" w:hanging="174"/>
        <w:spacing w:after="0"/>
        <w:tabs>
          <w:tab w:leader="none" w:pos="1060"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148" w:lineRule="exact"/>
        <w:rPr>
          <w:sz w:val="20"/>
          <w:szCs w:val="20"/>
          <w:color w:val="auto"/>
        </w:rPr>
      </w:pPr>
    </w:p>
    <w:p>
      <w:pPr>
        <w:jc w:val="both"/>
        <w:ind w:left="460" w:right="459" w:firstLine="864"/>
        <w:spacing w:after="0" w:line="269" w:lineRule="auto"/>
        <w:rPr>
          <w:sz w:val="20"/>
          <w:szCs w:val="20"/>
          <w:color w:val="auto"/>
        </w:rPr>
      </w:pPr>
      <w:r>
        <w:rPr>
          <w:rFonts w:ascii="Arial" w:cs="Arial" w:eastAsia="Arial" w:hAnsi="Arial"/>
          <w:sz w:val="17"/>
          <w:szCs w:val="17"/>
          <w:color w:val="auto"/>
        </w:rPr>
        <w:t>2.1 Immediately following the consummation of the Merger, or as soon as practicable thereafter, the Company board of directors (the “Board”) will be comprised of seven (7) directors, which shall be divided into three (3) classes, designated Class I, II and III, with Class I consisting of [•] Directors, Class II consisting of [•] Directors and Class III consisting of [•] Directors. [•], [•], [•] and [•] shall constitute the initial members of Class I and shall be nominated in Class I, the members of which shall have an initial term that expires at the annual meeting of stockholders of the Company held in 2021; [•], [•] and [•] shall constitute the initial members of Class II and shall be nominated in Class II, the members of which shall have an initial term that expires at the annual meeting of stockholders of the Company held in 2022; and [•], [•] and [•] shall constitute the initial members of Class III and shall be nominated in Class III, the members of which shall have an initial term that expires at the annual meeting of stockholders held in 2023.</w:t>
      </w:r>
    </w:p>
    <w:p>
      <w:pPr>
        <w:spacing w:after="0" w:line="11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full seven (7) member Board will be comprised of Jason Meyenberg, Jim Tananbaum, Carl Gordon and four (4) other rmembers of the Gemini board of directors.</w:t>
      </w:r>
    </w:p>
    <w:p>
      <w:pPr>
        <w:spacing w:after="0" w:line="103" w:lineRule="exact"/>
        <w:rPr>
          <w:sz w:val="20"/>
          <w:szCs w:val="20"/>
          <w:color w:val="auto"/>
        </w:rPr>
      </w:pPr>
    </w:p>
    <w:p>
      <w:pPr>
        <w:jc w:val="both"/>
        <w:ind w:left="460" w:right="459" w:firstLine="864"/>
        <w:spacing w:after="0" w:line="250" w:lineRule="auto"/>
        <w:rPr>
          <w:sz w:val="20"/>
          <w:szCs w:val="20"/>
          <w:color w:val="auto"/>
        </w:rPr>
      </w:pPr>
      <w:r>
        <w:rPr>
          <w:rFonts w:ascii="Arial" w:cs="Arial" w:eastAsia="Arial" w:hAnsi="Arial"/>
          <w:sz w:val="18"/>
          <w:szCs w:val="18"/>
          <w:color w:val="auto"/>
        </w:rPr>
        <w:t>2.2 Until the fifth (5</w:t>
      </w:r>
      <w:r>
        <w:rPr>
          <w:rFonts w:ascii="Arial" w:cs="Arial" w:eastAsia="Arial" w:hAnsi="Arial"/>
          <w:sz w:val="20"/>
          <w:szCs w:val="20"/>
          <w:color w:val="auto"/>
          <w:vertAlign w:val="superscript"/>
        </w:rPr>
        <w:t>th</w:t>
      </w:r>
      <w:r>
        <w:rPr>
          <w:rFonts w:ascii="Arial" w:cs="Arial" w:eastAsia="Arial" w:hAnsi="Arial"/>
          <w:sz w:val="18"/>
          <w:szCs w:val="18"/>
          <w:color w:val="auto"/>
        </w:rPr>
        <w:t>) anniversary of the date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at each annual or special meeting of stockholders of the 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1" w:name="page372"/>
    <w:bookmarkEnd w:id="37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during such five-year period the FS Sponsor owns less than [•]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119"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 xml:space="preserve">2.3 Provisions relating to authority to appoint four (4) of the Gemini directors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to be determined by Gemini’s current board of directors at its sole discretion.</w:t>
      </w:r>
    </w:p>
    <w:p>
      <w:pPr>
        <w:spacing w:after="0" w:line="103" w:lineRule="exact"/>
        <w:rPr>
          <w:sz w:val="20"/>
          <w:szCs w:val="20"/>
          <w:color w:val="auto"/>
        </w:rPr>
      </w:pPr>
    </w:p>
    <w:p>
      <w:pPr>
        <w:jc w:val="both"/>
        <w:ind w:left="460" w:right="459" w:firstLine="864"/>
        <w:spacing w:after="0" w:line="257" w:lineRule="auto"/>
        <w:rPr>
          <w:sz w:val="20"/>
          <w:szCs w:val="20"/>
          <w:color w:val="auto"/>
        </w:rPr>
      </w:pPr>
      <w:r>
        <w:rPr>
          <w:rFonts w:ascii="Arial" w:cs="Arial" w:eastAsia="Arial" w:hAnsi="Arial"/>
          <w:sz w:val="18"/>
          <w:szCs w:val="18"/>
          <w:color w:val="auto"/>
        </w:rPr>
        <w:t>2.4 If FS Sponsor or [•] cease to be entitled to nominate any Directors in accordance with Section 2.2 or Section 2.3, then such Directors shall 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107" w:lineRule="exact"/>
        <w:rPr>
          <w:sz w:val="20"/>
          <w:szCs w:val="20"/>
          <w:color w:val="auto"/>
        </w:rPr>
      </w:pPr>
    </w:p>
    <w:p>
      <w:pPr>
        <w:jc w:val="both"/>
        <w:ind w:left="460" w:right="459" w:firstLine="864"/>
        <w:spacing w:after="0" w:line="285" w:lineRule="auto"/>
        <w:rPr>
          <w:sz w:val="20"/>
          <w:szCs w:val="20"/>
          <w:color w:val="auto"/>
        </w:rPr>
      </w:pPr>
      <w:r>
        <w:rPr>
          <w:rFonts w:ascii="Arial" w:cs="Arial" w:eastAsia="Arial" w:hAnsi="Arial"/>
          <w:sz w:val="16"/>
          <w:szCs w:val="16"/>
          <w:color w:val="auto"/>
        </w:rPr>
        <w:t>2.5 All Directors elected in accordance with Section 2.2 or Section 2.3, as applicable, shall be removed from the Board only upon the 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105" w:lineRule="exact"/>
        <w:rPr>
          <w:sz w:val="20"/>
          <w:szCs w:val="20"/>
          <w:color w:val="auto"/>
        </w:rPr>
      </w:pPr>
    </w:p>
    <w:p>
      <w:pPr>
        <w:jc w:val="both"/>
        <w:ind w:left="460" w:right="479" w:firstLine="426"/>
        <w:spacing w:after="0" w:line="303" w:lineRule="auto"/>
        <w:tabs>
          <w:tab w:leader="none" w:pos="1085" w:val="left"/>
        </w:tabs>
        <w:numPr>
          <w:ilvl w:val="0"/>
          <w:numId w:val="358"/>
        </w:numPr>
        <w:rPr>
          <w:rFonts w:ascii="Arial" w:cs="Arial" w:eastAsia="Arial" w:hAnsi="Arial"/>
          <w:sz w:val="16"/>
          <w:szCs w:val="16"/>
          <w:color w:val="auto"/>
        </w:rPr>
      </w:pPr>
      <w:r>
        <w:rPr>
          <w:rFonts w:ascii="Arial" w:cs="Arial" w:eastAsia="Arial" w:hAnsi="Arial"/>
          <w:sz w:val="16"/>
          <w:szCs w:val="16"/>
          <w:b w:val="1"/>
          <w:bCs w:val="1"/>
          <w:color w:val="auto"/>
        </w:rPr>
        <w:t>Successors in Interest of the Voting Parties and the Company</w:t>
      </w:r>
      <w:r>
        <w:rPr>
          <w:rFonts w:ascii="Arial" w:cs="Arial" w:eastAsia="Arial" w:hAnsi="Arial"/>
          <w:sz w:val="16"/>
          <w:szCs w:val="16"/>
          <w:color w:val="auto"/>
        </w:rPr>
        <w:t>. The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binding upon the successors in 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Arial" w:cs="Arial" w:eastAsia="Arial" w:hAnsi="Arial"/>
          <w:sz w:val="16"/>
          <w:szCs w:val="16"/>
          <w:u w:val="single" w:color="auto"/>
          <w:color w:val="auto"/>
        </w:rPr>
        <w:t>Trading Market</w:t>
      </w:r>
      <w:r>
        <w:rPr>
          <w:rFonts w:ascii="Arial" w:cs="Arial" w:eastAsia="Arial" w:hAnsi="Arial"/>
          <w:sz w:val="16"/>
          <w:szCs w:val="16"/>
          <w:color w:val="auto"/>
        </w:rPr>
        <w:t>”).</w:t>
      </w:r>
    </w:p>
    <w:p>
      <w:pPr>
        <w:spacing w:after="0" w:line="83" w:lineRule="exact"/>
        <w:rPr>
          <w:rFonts w:ascii="Arial" w:cs="Arial" w:eastAsia="Arial" w:hAnsi="Arial"/>
          <w:sz w:val="16"/>
          <w:szCs w:val="16"/>
          <w:color w:val="auto"/>
        </w:rPr>
      </w:pPr>
    </w:p>
    <w:p>
      <w:pPr>
        <w:jc w:val="both"/>
        <w:ind w:left="460" w:right="459" w:firstLine="426"/>
        <w:spacing w:after="0" w:line="261" w:lineRule="auto"/>
        <w:tabs>
          <w:tab w:leader="none" w:pos="1085"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Grant of Proxy</w:t>
      </w:r>
      <w:r>
        <w:rPr>
          <w:rFonts w:ascii="Arial" w:cs="Arial" w:eastAsia="Arial" w:hAnsi="Arial"/>
          <w:sz w:val="18"/>
          <w:szCs w:val="18"/>
          <w:color w:val="auto"/>
        </w:rPr>
        <w:t>. The parties agree that this Agreement does not constitute the granting of a proxy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party or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should the provisions of this Agreement be construed to constitute the granting of proxies, such proxies shall be deemed coupled with an interest and are irrevocable for the term of this Agreement.</w:t>
      </w:r>
    </w:p>
    <w:p>
      <w:pPr>
        <w:spacing w:after="0" w:line="98" w:lineRule="exact"/>
        <w:rPr>
          <w:rFonts w:ascii="Arial" w:cs="Arial" w:eastAsia="Arial" w:hAnsi="Arial"/>
          <w:sz w:val="18"/>
          <w:szCs w:val="18"/>
          <w:color w:val="auto"/>
        </w:rPr>
      </w:pPr>
    </w:p>
    <w:p>
      <w:pPr>
        <w:jc w:val="both"/>
        <w:ind w:left="460" w:right="459" w:firstLine="426"/>
        <w:spacing w:after="0" w:line="273" w:lineRule="auto"/>
        <w:tabs>
          <w:tab w:leader="none" w:pos="1085"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Specific Enforcement</w:t>
      </w:r>
      <w:r>
        <w:rPr>
          <w:rFonts w:ascii="Arial" w:cs="Arial" w:eastAsia="Arial" w:hAnsi="Arial"/>
          <w:sz w:val="17"/>
          <w:szCs w:val="17"/>
          <w:color w:val="auto"/>
        </w:rPr>
        <w:t>. It is agreed and understood that (a) monetary damages would not adequately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compensate an injured party for the breach of this Agreement by any party hereto, (b) this Agreement shall be specifically enforceable and (c) any breach of this Agreement shall be the proper subject of a temporary or permanent injunction or restraining order. Further, each party hereto waives any claim or defence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04" w:lineRule="exact"/>
        <w:rPr>
          <w:rFonts w:ascii="Arial" w:cs="Arial" w:eastAsia="Arial" w:hAnsi="Arial"/>
          <w:sz w:val="17"/>
          <w:szCs w:val="17"/>
          <w:color w:val="auto"/>
        </w:rPr>
      </w:pPr>
    </w:p>
    <w:p>
      <w:pPr>
        <w:ind w:left="460" w:right="479" w:firstLine="426"/>
        <w:spacing w:after="0" w:line="282" w:lineRule="auto"/>
        <w:tabs>
          <w:tab w:leader="none" w:pos="1085"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Manner of Voting</w:t>
      </w:r>
      <w:r>
        <w:rPr>
          <w:rFonts w:ascii="Arial" w:cs="Arial" w:eastAsia="Arial" w:hAnsi="Arial"/>
          <w:sz w:val="18"/>
          <w:szCs w:val="18"/>
          <w:color w:val="auto"/>
        </w:rPr>
        <w:t>. The voting of the Voting Shares pursuant to this Agreement may be effected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by proxy, by written consent or in any other manner permitted by applicable law.</w:t>
      </w:r>
    </w:p>
    <w:p>
      <w:pPr>
        <w:spacing w:after="0" w:line="94" w:lineRule="exact"/>
        <w:rPr>
          <w:rFonts w:ascii="Arial" w:cs="Arial" w:eastAsia="Arial" w:hAnsi="Arial"/>
          <w:sz w:val="18"/>
          <w:szCs w:val="18"/>
          <w:color w:val="auto"/>
        </w:rPr>
      </w:pPr>
    </w:p>
    <w:p>
      <w:pPr>
        <w:ind w:left="1060" w:hanging="174"/>
        <w:spacing w:after="0"/>
        <w:tabs>
          <w:tab w:leader="none" w:pos="1060"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This Agreement shall terminate on the last day of the Term.</w:t>
      </w:r>
    </w:p>
    <w:p>
      <w:pPr>
        <w:spacing w:after="0" w:line="144" w:lineRule="exact"/>
        <w:rPr>
          <w:rFonts w:ascii="Arial" w:cs="Arial" w:eastAsia="Arial" w:hAnsi="Arial"/>
          <w:sz w:val="18"/>
          <w:szCs w:val="18"/>
          <w:color w:val="auto"/>
        </w:rPr>
      </w:pPr>
    </w:p>
    <w:p>
      <w:pPr>
        <w:jc w:val="both"/>
        <w:ind w:left="460" w:right="479" w:firstLine="426"/>
        <w:spacing w:after="0" w:line="289" w:lineRule="auto"/>
        <w:tabs>
          <w:tab w:leader="none" w:pos="1085"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Amendments and Waivers</w:t>
      </w:r>
      <w:r>
        <w:rPr>
          <w:rFonts w:ascii="Arial" w:cs="Arial" w:eastAsia="Arial" w:hAnsi="Arial"/>
          <w:sz w:val="17"/>
          <w:szCs w:val="17"/>
          <w:color w:val="auto"/>
        </w:rPr>
        <w:t>. Except as otherwise provided herein, any provision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amended, or the observance thereof may be waived (either generally or in a particular instance and either retroactively or prospectively) only with the written consent of the Company, FS Sponsor and [•].</w:t>
      </w:r>
    </w:p>
    <w:p>
      <w:pPr>
        <w:spacing w:after="0" w:line="90" w:lineRule="exact"/>
        <w:rPr>
          <w:rFonts w:ascii="Arial" w:cs="Arial" w:eastAsia="Arial" w:hAnsi="Arial"/>
          <w:sz w:val="17"/>
          <w:szCs w:val="17"/>
          <w:color w:val="auto"/>
        </w:rPr>
      </w:pPr>
    </w:p>
    <w:p>
      <w:pPr>
        <w:jc w:val="both"/>
        <w:ind w:left="460" w:right="459" w:firstLine="426"/>
        <w:spacing w:after="0" w:line="266" w:lineRule="auto"/>
        <w:tabs>
          <w:tab w:leader="none" w:pos="1085"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Stock Splits, Stock Dividends, etc</w:t>
      </w:r>
      <w:r>
        <w:rPr>
          <w:rFonts w:ascii="Arial" w:cs="Arial" w:eastAsia="Arial" w:hAnsi="Arial"/>
          <w:sz w:val="18"/>
          <w:szCs w:val="18"/>
          <w:color w:val="auto"/>
        </w:rPr>
        <w:t>. In the event of any stock split, stock dividend, recapitalization,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or the like, any securities issued with respect to Voting Shares held by the Voting Parties shall become Voting Shares for purposes of this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2" w:name="page373"/>
    <w:bookmarkEnd w:id="37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66" w:lineRule="auto"/>
        <w:tabs>
          <w:tab w:leader="none" w:pos="1229"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that any provision of the Agreement shall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the validity, legality and enforceability of the remaining provisions shall not in any way be affected or impaired thereby.</w:t>
      </w:r>
    </w:p>
    <w:p>
      <w:pPr>
        <w:spacing w:after="0" w:line="108" w:lineRule="exact"/>
        <w:rPr>
          <w:rFonts w:ascii="Arial" w:cs="Arial" w:eastAsia="Arial" w:hAnsi="Arial"/>
          <w:sz w:val="18"/>
          <w:szCs w:val="18"/>
          <w:color w:val="auto"/>
        </w:rPr>
      </w:pPr>
    </w:p>
    <w:p>
      <w:pPr>
        <w:jc w:val="both"/>
        <w:ind w:left="460" w:right="479" w:firstLine="426"/>
        <w:spacing w:after="0" w:line="266" w:lineRule="auto"/>
        <w:tabs>
          <w:tab w:leader="none" w:pos="1169"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legal relations between the parties arising 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governed by and interpreted in accordance with the laws of the State of Delaware without reference to its conflicts of law provisions.</w:t>
      </w:r>
    </w:p>
    <w:p>
      <w:pPr>
        <w:spacing w:after="0" w:line="108" w:lineRule="exact"/>
        <w:rPr>
          <w:rFonts w:ascii="Arial" w:cs="Arial" w:eastAsia="Arial" w:hAnsi="Arial"/>
          <w:sz w:val="18"/>
          <w:szCs w:val="18"/>
          <w:color w:val="auto"/>
        </w:rPr>
      </w:pPr>
    </w:p>
    <w:p>
      <w:pPr>
        <w:jc w:val="both"/>
        <w:ind w:left="460" w:right="459" w:firstLine="426"/>
        <w:spacing w:after="0" w:line="277" w:lineRule="auto"/>
        <w:tabs>
          <w:tab w:leader="none" w:pos="1162" w:val="left"/>
        </w:tabs>
        <w:numPr>
          <w:ilvl w:val="0"/>
          <w:numId w:val="359"/>
        </w:numPr>
        <w:rPr>
          <w:rFonts w:ascii="Arial" w:cs="Arial" w:eastAsia="Arial" w:hAnsi="Arial"/>
          <w:sz w:val="17"/>
          <w:szCs w:val="17"/>
          <w:color w:val="auto"/>
        </w:rPr>
      </w:pPr>
      <w:r>
        <w:rPr>
          <w:rFonts w:ascii="Arial" w:cs="Arial" w:eastAsia="Arial" w:hAnsi="Arial"/>
          <w:sz w:val="17"/>
          <w:szCs w:val="17"/>
          <w:b w:val="1"/>
          <w:bCs w:val="1"/>
          <w:color w:val="auto"/>
        </w:rPr>
        <w:t>Counterparts; Electronic Execution or Delivery</w:t>
      </w:r>
      <w:r>
        <w:rPr>
          <w:rFonts w:ascii="Arial" w:cs="Arial" w:eastAsia="Arial" w:hAnsi="Arial"/>
          <w:sz w:val="17"/>
          <w:szCs w:val="17"/>
          <w:color w:val="auto"/>
        </w:rPr>
        <w:t>. This Agreement may be executed in two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each of which shall be 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86" w:lineRule="exact"/>
        <w:rPr>
          <w:rFonts w:ascii="Arial" w:cs="Arial" w:eastAsia="Arial" w:hAnsi="Arial"/>
          <w:sz w:val="17"/>
          <w:szCs w:val="17"/>
          <w:color w:val="auto"/>
        </w:rPr>
      </w:pPr>
    </w:p>
    <w:p>
      <w:pPr>
        <w:ind w:left="460" w:right="479" w:firstLine="426"/>
        <w:spacing w:after="0" w:line="347" w:lineRule="auto"/>
        <w:tabs>
          <w:tab w:leader="none" w:pos="1175" w:val="left"/>
        </w:tabs>
        <w:numPr>
          <w:ilvl w:val="0"/>
          <w:numId w:val="359"/>
        </w:numPr>
        <w:rPr>
          <w:rFonts w:ascii="Arial" w:cs="Arial" w:eastAsia="Arial" w:hAnsi="Arial"/>
          <w:sz w:val="16"/>
          <w:szCs w:val="16"/>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Except as otherwise expressly provided in this Agreement,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hereof shall inure to the benefit of, and be binding upon, the successors and assigns of the parties hereto.</w:t>
      </w:r>
    </w:p>
    <w:p>
      <w:pPr>
        <w:spacing w:after="0" w:line="48" w:lineRule="exact"/>
        <w:rPr>
          <w:rFonts w:ascii="Arial" w:cs="Arial" w:eastAsia="Arial" w:hAnsi="Arial"/>
          <w:sz w:val="16"/>
          <w:szCs w:val="16"/>
          <w:color w:val="auto"/>
        </w:rPr>
      </w:pPr>
    </w:p>
    <w:p>
      <w:pPr>
        <w:jc w:val="both"/>
        <w:ind w:left="460" w:right="459" w:firstLine="426"/>
        <w:spacing w:after="0" w:line="281" w:lineRule="auto"/>
        <w:tabs>
          <w:tab w:leader="none" w:pos="1189" w:val="left"/>
        </w:tabs>
        <w:numPr>
          <w:ilvl w:val="0"/>
          <w:numId w:val="359"/>
        </w:numPr>
        <w:rPr>
          <w:rFonts w:ascii="Arial" w:cs="Arial" w:eastAsia="Arial" w:hAnsi="Arial"/>
          <w:sz w:val="17"/>
          <w:szCs w:val="17"/>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constitutes the full and entire understanding and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among the parties, and supersedes any prior 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3" w:name="page374"/>
    <w:bookmarkEnd w:id="37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WITNESS WHEREOF, this Voting Agreement is hereby executed effective as of the date first set forth above.</w:t>
      </w:r>
    </w:p>
    <w:p>
      <w:pPr>
        <w:spacing w:after="0" w:line="1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FS Development Holdings,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 Delaware Limited Liability Company</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48895</wp:posOffset>
            </wp:positionV>
            <wp:extent cx="236601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GEMINI THERAPEUTICS, INC.,</w:t>
      </w:r>
    </w:p>
    <w:p>
      <w:pPr>
        <w:spacing w:after="0" w:line="9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 Delaware corporation f/k/a FS Development Corp.</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48895</wp:posOffset>
            </wp:positionV>
            <wp:extent cx="236601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Voting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4" w:name="page375"/>
    <w:bookmarkEnd w:id="37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VOTING PARTIES:</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5" w:name="page376"/>
    <w:bookmarkEnd w:id="37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ORBIMED PRIVATE INVESTMENTS VI, L.P.</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Atlas Venture Associates X,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6" w:name="page377"/>
    <w:bookmarkEnd w:id="37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ESCROW AGREEMENT</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color w:val="auto"/>
        </w:rPr>
        <w:t xml:space="preserve">THIS ESCROW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 2020,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FS Development Holdings, LLC, a Delaware limited liability company (“</w:t>
      </w:r>
      <w:r>
        <w:rPr>
          <w:rFonts w:ascii="Arial" w:cs="Arial" w:eastAsia="Arial" w:hAnsi="Arial"/>
          <w:sz w:val="18"/>
          <w:szCs w:val="18"/>
          <w:b w:val="1"/>
          <w:bCs w:val="1"/>
          <w:color w:val="auto"/>
        </w:rPr>
        <w:t>Sponsor</w:t>
      </w:r>
      <w:r>
        <w:rPr>
          <w:rFonts w:ascii="Arial" w:cs="Arial" w:eastAsia="Arial" w:hAnsi="Arial"/>
          <w:sz w:val="18"/>
          <w:szCs w:val="18"/>
          <w:color w:val="auto"/>
        </w:rPr>
        <w:t>”), FS Development Corp.,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Shareholder Representative Services LLC, a Colorado limited liability company solely in its capacity as the representative of the Company Securityholders (the “</w:t>
      </w:r>
      <w:r>
        <w:rPr>
          <w:rFonts w:ascii="Arial" w:cs="Arial" w:eastAsia="Arial" w:hAnsi="Arial"/>
          <w:sz w:val="18"/>
          <w:szCs w:val="18"/>
          <w:b w:val="1"/>
          <w:bCs w:val="1"/>
          <w:color w:val="auto"/>
        </w:rPr>
        <w:t>Stockholder</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Representative</w:t>
      </w:r>
      <w:r>
        <w:rPr>
          <w:rFonts w:ascii="Arial" w:cs="Arial" w:eastAsia="Arial" w:hAnsi="Arial"/>
          <w:sz w:val="18"/>
          <w:szCs w:val="18"/>
          <w:color w:val="auto"/>
        </w:rPr>
        <w:t>”), solely in its capacity as the representative, agent and attorney-in-fact of the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Continental Stock Transfer &amp; Trust Company, a New York corporation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2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Parent, FSG Merger Sub Inc., a Delaware corporation and a wholly-owned subsidiary of</w:t>
      </w:r>
      <w:r>
        <w:rPr>
          <w:rFonts w:ascii="Arial" w:cs="Arial" w:eastAsia="Arial" w:hAnsi="Arial"/>
          <w:sz w:val="17"/>
          <w:szCs w:val="17"/>
          <w:b w:val="1"/>
          <w:bCs w:val="1"/>
          <w:color w:val="auto"/>
        </w:rPr>
        <w:t xml:space="preserve"> </w:t>
      </w:r>
      <w:r>
        <w:rPr>
          <w:rFonts w:ascii="Arial" w:cs="Arial" w:eastAsia="Arial" w:hAnsi="Arial"/>
          <w:sz w:val="17"/>
          <w:szCs w:val="17"/>
          <w:color w:val="auto"/>
        </w:rPr>
        <w:t>Parent (“</w:t>
      </w:r>
      <w:r>
        <w:rPr>
          <w:rFonts w:ascii="Arial" w:cs="Arial" w:eastAsia="Arial" w:hAnsi="Arial"/>
          <w:sz w:val="17"/>
          <w:szCs w:val="17"/>
          <w:b w:val="1"/>
          <w:bCs w:val="1"/>
          <w:color w:val="auto"/>
        </w:rPr>
        <w:t>Merger Sub</w:t>
      </w:r>
      <w:r>
        <w:rPr>
          <w:rFonts w:ascii="Arial" w:cs="Arial" w:eastAsia="Arial" w:hAnsi="Arial"/>
          <w:sz w:val="17"/>
          <w:szCs w:val="17"/>
          <w:color w:val="auto"/>
        </w:rPr>
        <w:t>”), Gemini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Stockholder Representative entered into an Agreement and Plan of Merger, dated October [•], 2020 (the “</w:t>
      </w:r>
      <w:r>
        <w:rPr>
          <w:rFonts w:ascii="Arial" w:cs="Arial" w:eastAsia="Arial" w:hAnsi="Arial"/>
          <w:sz w:val="17"/>
          <w:szCs w:val="17"/>
          <w:b w:val="1"/>
          <w:bCs w:val="1"/>
          <w:color w:val="auto"/>
        </w:rPr>
        <w:t>Merger Agreement</w:t>
      </w:r>
      <w:r>
        <w:rPr>
          <w:rFonts w:ascii="Arial" w:cs="Arial" w:eastAsia="Arial" w:hAnsi="Arial"/>
          <w:sz w:val="17"/>
          <w:szCs w:val="17"/>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4.1(i) of the Merger Agreement, Parent is required to deposit 2,150,000</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Class A Shares, par value $0.0001 per share (the “</w:t>
      </w:r>
      <w:r>
        <w:rPr>
          <w:rFonts w:ascii="Arial" w:cs="Arial" w:eastAsia="Arial" w:hAnsi="Arial"/>
          <w:sz w:val="18"/>
          <w:szCs w:val="18"/>
          <w:b w:val="1"/>
          <w:bCs w:val="1"/>
          <w:color w:val="auto"/>
        </w:rPr>
        <w:t>Escrow Shares</w:t>
      </w:r>
      <w:r>
        <w:rPr>
          <w:rFonts w:ascii="Arial" w:cs="Arial" w:eastAsia="Arial" w:hAnsi="Arial"/>
          <w:sz w:val="18"/>
          <w:szCs w:val="18"/>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of the mutual covenants hereinafter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as follows:</w:t>
      </w:r>
    </w:p>
    <w:p>
      <w:pPr>
        <w:spacing w:after="0" w:line="94" w:lineRule="exact"/>
        <w:rPr>
          <w:sz w:val="20"/>
          <w:szCs w:val="20"/>
          <w:color w:val="auto"/>
        </w:rPr>
      </w:pPr>
    </w:p>
    <w:p>
      <w:pPr>
        <w:ind w:left="1060" w:hanging="174"/>
        <w:spacing w:after="0"/>
        <w:tabs>
          <w:tab w:leader="none" w:pos="1060"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Appointment; Defined Terms</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jc w:val="both"/>
        <w:ind w:left="460" w:right="459" w:firstLine="858"/>
        <w:spacing w:after="0" w:line="263" w:lineRule="auto"/>
        <w:tabs>
          <w:tab w:leader="none" w:pos="1598" w:val="left"/>
        </w:tabs>
        <w:numPr>
          <w:ilvl w:val="1"/>
          <w:numId w:val="360"/>
        </w:numPr>
        <w:rPr>
          <w:rFonts w:ascii="Arial" w:cs="Arial" w:eastAsia="Arial" w:hAnsi="Arial"/>
          <w:sz w:val="18"/>
          <w:szCs w:val="18"/>
          <w:color w:val="auto"/>
        </w:rPr>
      </w:pPr>
      <w:r>
        <w:rPr>
          <w:rFonts w:ascii="Arial" w:cs="Arial" w:eastAsia="Arial" w:hAnsi="Arial"/>
          <w:sz w:val="18"/>
          <w:szCs w:val="18"/>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116" w:lineRule="exact"/>
        <w:rPr>
          <w:rFonts w:ascii="Arial" w:cs="Arial" w:eastAsia="Arial" w:hAnsi="Arial"/>
          <w:sz w:val="18"/>
          <w:szCs w:val="18"/>
          <w:color w:val="auto"/>
        </w:rPr>
      </w:pPr>
    </w:p>
    <w:p>
      <w:pPr>
        <w:jc w:val="both"/>
        <w:ind w:left="460" w:right="479" w:firstLine="858"/>
        <w:spacing w:after="0" w:line="263" w:lineRule="auto"/>
        <w:tabs>
          <w:tab w:leader="none" w:pos="1606"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112" w:lineRule="exact"/>
        <w:rPr>
          <w:rFonts w:ascii="Arial" w:cs="Arial" w:eastAsia="Arial" w:hAnsi="Arial"/>
          <w:sz w:val="18"/>
          <w:szCs w:val="18"/>
          <w:color w:val="auto"/>
        </w:rPr>
      </w:pPr>
    </w:p>
    <w:p>
      <w:pPr>
        <w:ind w:left="1060" w:hanging="174"/>
        <w:spacing w:after="0"/>
        <w:tabs>
          <w:tab w:leader="none" w:pos="1060"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Escrow Shares</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jc w:val="both"/>
        <w:ind w:left="460" w:right="479" w:firstLine="858"/>
        <w:spacing w:after="0" w:line="286" w:lineRule="auto"/>
        <w:tabs>
          <w:tab w:leader="none" w:pos="1599" w:val="left"/>
        </w:tabs>
        <w:numPr>
          <w:ilvl w:val="1"/>
          <w:numId w:val="360"/>
        </w:numPr>
        <w:rPr>
          <w:rFonts w:ascii="Arial" w:cs="Arial" w:eastAsia="Arial" w:hAnsi="Arial"/>
          <w:sz w:val="17"/>
          <w:szCs w:val="17"/>
          <w:color w:val="auto"/>
        </w:rPr>
      </w:pPr>
      <w:r>
        <w:rPr>
          <w:rFonts w:ascii="Arial" w:cs="Arial" w:eastAsia="Arial" w:hAnsi="Arial"/>
          <w:sz w:val="17"/>
          <w:szCs w:val="17"/>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w:t>
      </w:r>
    </w:p>
    <w:p>
      <w:pPr>
        <w:spacing w:after="0" w:line="93" w:lineRule="exact"/>
        <w:rPr>
          <w:rFonts w:ascii="Arial" w:cs="Arial" w:eastAsia="Arial" w:hAnsi="Arial"/>
          <w:sz w:val="17"/>
          <w:szCs w:val="17"/>
          <w:color w:val="auto"/>
        </w:rPr>
      </w:pPr>
    </w:p>
    <w:p>
      <w:pPr>
        <w:ind w:left="1580" w:hanging="262"/>
        <w:spacing w:after="0"/>
        <w:tabs>
          <w:tab w:leader="none" w:pos="1580" w:val="left"/>
        </w:tabs>
        <w:numPr>
          <w:ilvl w:val="1"/>
          <w:numId w:val="360"/>
        </w:numPr>
        <w:rPr>
          <w:rFonts w:ascii="Arial" w:cs="Arial" w:eastAsia="Arial" w:hAnsi="Arial"/>
          <w:sz w:val="18"/>
          <w:szCs w:val="18"/>
          <w:color w:val="auto"/>
        </w:rPr>
      </w:pPr>
      <w:r>
        <w:rPr>
          <w:rFonts w:ascii="Arial" w:cs="Arial" w:eastAsia="Arial" w:hAnsi="Arial"/>
          <w:sz w:val="18"/>
          <w:szCs w:val="18"/>
          <w:b w:val="1"/>
          <w:bCs w:val="1"/>
          <w:color w:val="auto"/>
        </w:rPr>
        <w:t>Escrow Shares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1320" w:right="459" w:firstLine="1078"/>
        <w:spacing w:after="0" w:line="275" w:lineRule="auto"/>
        <w:tabs>
          <w:tab w:leader="none" w:pos="2628" w:val="left"/>
        </w:tabs>
        <w:numPr>
          <w:ilvl w:val="2"/>
          <w:numId w:val="360"/>
        </w:numPr>
        <w:rPr>
          <w:rFonts w:ascii="Arial" w:cs="Arial" w:eastAsia="Arial" w:hAnsi="Arial"/>
          <w:sz w:val="17"/>
          <w:szCs w:val="17"/>
          <w:color w:val="auto"/>
        </w:rPr>
      </w:pPr>
      <w:r>
        <w:rPr>
          <w:rFonts w:ascii="Arial" w:cs="Arial" w:eastAsia="Arial" w:hAnsi="Arial"/>
          <w:sz w:val="17"/>
          <w:szCs w:val="17"/>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95" w:lineRule="exact"/>
        <w:rPr>
          <w:rFonts w:ascii="Arial" w:cs="Arial" w:eastAsia="Arial" w:hAnsi="Arial"/>
          <w:sz w:val="17"/>
          <w:szCs w:val="17"/>
          <w:color w:val="auto"/>
        </w:rPr>
      </w:pPr>
    </w:p>
    <w:p>
      <w:pPr>
        <w:jc w:val="both"/>
        <w:ind w:left="1320" w:right="459" w:firstLine="1078"/>
        <w:spacing w:after="0" w:line="255" w:lineRule="auto"/>
        <w:tabs>
          <w:tab w:leader="none" w:pos="2693" w:val="left"/>
        </w:tabs>
        <w:numPr>
          <w:ilvl w:val="2"/>
          <w:numId w:val="360"/>
        </w:numPr>
        <w:rPr>
          <w:rFonts w:ascii="Arial" w:cs="Arial" w:eastAsia="Arial" w:hAnsi="Arial"/>
          <w:sz w:val="18"/>
          <w:szCs w:val="18"/>
          <w:color w:val="auto"/>
        </w:rPr>
      </w:pPr>
      <w:r>
        <w:rPr>
          <w:rFonts w:ascii="Arial" w:cs="Arial" w:eastAsia="Arial" w:hAnsi="Arial"/>
          <w:sz w:val="18"/>
          <w:szCs w:val="18"/>
          <w:color w:val="auto"/>
        </w:rPr>
        <w:t>Any dividends or other distributions paid with respect to the Escrow Shares (collectively, the “</w:t>
      </w:r>
      <w:r>
        <w:rPr>
          <w:rFonts w:ascii="Arial" w:cs="Arial" w:eastAsia="Arial" w:hAnsi="Arial"/>
          <w:sz w:val="18"/>
          <w:szCs w:val="18"/>
          <w:u w:val="single" w:color="auto"/>
          <w:color w:val="auto"/>
        </w:rPr>
        <w:t>Escrowed Dividends</w:t>
      </w:r>
      <w:r>
        <w:rPr>
          <w:rFonts w:ascii="Arial" w:cs="Arial" w:eastAsia="Arial" w:hAnsi="Arial"/>
          <w:sz w:val="18"/>
          <w:szCs w:val="18"/>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7" w:name="page378"/>
    <w:bookmarkEnd w:id="37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firstLine="1078"/>
        <w:spacing w:after="0" w:line="257" w:lineRule="auto"/>
        <w:tabs>
          <w:tab w:leader="none" w:pos="2809" w:val="left"/>
        </w:tabs>
        <w:numPr>
          <w:ilvl w:val="2"/>
          <w:numId w:val="361"/>
        </w:numPr>
        <w:rPr>
          <w:rFonts w:ascii="Arial" w:cs="Arial" w:eastAsia="Arial" w:hAnsi="Arial"/>
          <w:sz w:val="18"/>
          <w:szCs w:val="18"/>
          <w:color w:val="auto"/>
        </w:rPr>
      </w:pPr>
      <w:r>
        <w:rPr>
          <w:rFonts w:ascii="Arial" w:cs="Arial" w:eastAsia="Arial" w:hAnsi="Arial"/>
          <w:sz w:val="18"/>
          <w:szCs w:val="18"/>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above shall be appropriately adjusted on a pro rata basis.</w:t>
      </w:r>
    </w:p>
    <w:p>
      <w:pPr>
        <w:spacing w:after="0" w:line="116" w:lineRule="exact"/>
        <w:rPr>
          <w:rFonts w:ascii="Arial" w:cs="Arial" w:eastAsia="Arial" w:hAnsi="Arial"/>
          <w:sz w:val="18"/>
          <w:szCs w:val="18"/>
          <w:color w:val="auto"/>
        </w:rPr>
      </w:pPr>
    </w:p>
    <w:p>
      <w:pPr>
        <w:ind w:left="1060" w:hanging="174"/>
        <w:spacing w:after="0"/>
        <w:tabs>
          <w:tab w:leader="none" w:pos="106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Disposition and Termination</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460" w:right="459" w:firstLine="858"/>
        <w:spacing w:after="0" w:line="263" w:lineRule="auto"/>
        <w:tabs>
          <w:tab w:leader="none" w:pos="157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98" w:lineRule="exact"/>
        <w:rPr>
          <w:rFonts w:ascii="Arial" w:cs="Arial" w:eastAsia="Arial" w:hAnsi="Arial"/>
          <w:sz w:val="18"/>
          <w:szCs w:val="18"/>
          <w:color w:val="auto"/>
        </w:rPr>
      </w:pPr>
    </w:p>
    <w:p>
      <w:pPr>
        <w:ind w:left="1060" w:hanging="174"/>
        <w:spacing w:after="0"/>
        <w:tabs>
          <w:tab w:leader="none" w:pos="106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Escrow Agent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460" w:right="459" w:firstLine="858"/>
        <w:spacing w:after="0" w:line="284" w:lineRule="auto"/>
        <w:tabs>
          <w:tab w:leader="none" w:pos="157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below and the Escrow Agent has been able to satisfy any applicable security procedures as may be required hereunder and as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110" w:lineRule="exact"/>
        <w:rPr>
          <w:rFonts w:ascii="Arial" w:cs="Arial" w:eastAsia="Arial" w:hAnsi="Arial"/>
          <w:sz w:val="16"/>
          <w:szCs w:val="16"/>
          <w:color w:val="auto"/>
        </w:rPr>
      </w:pPr>
    </w:p>
    <w:p>
      <w:pPr>
        <w:jc w:val="both"/>
        <w:ind w:left="460" w:right="459" w:firstLine="858"/>
        <w:spacing w:after="0" w:line="286" w:lineRule="auto"/>
        <w:tabs>
          <w:tab w:leader="none" w:pos="1587"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301" w:lineRule="exact"/>
        <w:rPr>
          <w:rFonts w:ascii="Arial" w:cs="Arial" w:eastAsia="Arial" w:hAnsi="Arial"/>
          <w:sz w:val="16"/>
          <w:szCs w:val="16"/>
          <w:color w:val="auto"/>
        </w:rPr>
      </w:pPr>
    </w:p>
    <w:p>
      <w:pPr>
        <w:ind w:left="1060" w:hanging="174"/>
        <w:spacing w:after="0"/>
        <w:tabs>
          <w:tab w:leader="none" w:pos="106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Succession</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460" w:right="459" w:firstLine="858"/>
        <w:spacing w:after="0" w:line="255" w:lineRule="auto"/>
        <w:tabs>
          <w:tab w:leader="none" w:pos="159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resignation shall not take effect until a successor escrow agent has been appointed in accordance with this </w:t>
      </w:r>
      <w:r>
        <w:rPr>
          <w:rFonts w:ascii="Arial" w:cs="Arial" w:eastAsia="Arial" w:hAnsi="Arial"/>
          <w:sz w:val="18"/>
          <w:szCs w:val="18"/>
          <w:u w:val="single" w:color="auto"/>
          <w:color w:val="auto"/>
        </w:rPr>
        <w:t>Section 5</w:t>
      </w:r>
      <w:r>
        <w:rPr>
          <w:rFonts w:ascii="Arial" w:cs="Arial" w:eastAsia="Arial" w:hAnsi="Arial"/>
          <w:sz w:val="18"/>
          <w:szCs w:val="18"/>
          <w:color w:val="auto"/>
        </w:rPr>
        <w:t>. If the parties hereto have jointly failed to appoint a successor escrow agent prior to the expiration of thirty (30) days following receipt of the notice of resignation, the Escrow Agent may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8" w:name="page379"/>
    <w:bookmarkEnd w:id="37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 xml:space="preserve">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below.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27" w:lineRule="exact"/>
        <w:rPr>
          <w:sz w:val="20"/>
          <w:szCs w:val="20"/>
          <w:color w:val="auto"/>
        </w:rPr>
      </w:pPr>
    </w:p>
    <w:p>
      <w:pPr>
        <w:jc w:val="both"/>
        <w:ind w:left="460" w:right="479" w:firstLine="858"/>
        <w:spacing w:after="0" w:line="263" w:lineRule="auto"/>
        <w:tabs>
          <w:tab w:leader="none" w:pos="159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12" w:lineRule="exact"/>
        <w:rPr>
          <w:rFonts w:ascii="Arial" w:cs="Arial" w:eastAsia="Arial" w:hAnsi="Arial"/>
          <w:sz w:val="18"/>
          <w:szCs w:val="18"/>
          <w:color w:val="auto"/>
        </w:rPr>
      </w:pPr>
    </w:p>
    <w:p>
      <w:pPr>
        <w:jc w:val="both"/>
        <w:ind w:left="460" w:right="459" w:firstLine="426"/>
        <w:spacing w:after="0" w:line="291" w:lineRule="auto"/>
        <w:tabs>
          <w:tab w:leader="none" w:pos="1099" w:val="left"/>
        </w:tabs>
        <w:numPr>
          <w:ilvl w:val="0"/>
          <w:numId w:val="364"/>
        </w:numPr>
        <w:rPr>
          <w:rFonts w:ascii="Arial" w:cs="Arial" w:eastAsia="Arial" w:hAnsi="Arial"/>
          <w:sz w:val="16"/>
          <w:szCs w:val="16"/>
          <w:color w:val="auto"/>
        </w:rPr>
      </w:pPr>
      <w:r>
        <w:rPr>
          <w:rFonts w:ascii="Arial" w:cs="Arial" w:eastAsia="Arial" w:hAnsi="Arial"/>
          <w:sz w:val="16"/>
          <w:szCs w:val="16"/>
          <w:b w:val="1"/>
          <w:bCs w:val="1"/>
          <w:color w:val="auto"/>
        </w:rPr>
        <w:t xml:space="preserve">Compensation and Reimbursement. </w:t>
      </w:r>
      <w:r>
        <w:rPr>
          <w:rFonts w:ascii="Arial" w:cs="Arial" w:eastAsia="Arial" w:hAnsi="Arial"/>
          <w:sz w:val="16"/>
          <w:szCs w:val="16"/>
          <w:color w:val="auto"/>
        </w:rPr>
        <w:t>The Escrow Agent shall be entitled to compensation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services under this Agreement as Escrow Agent and for reimbursement for its reasonable and documented out-of-pocket costs and expenses, in the amounts and payable as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7; </w:t>
      </w:r>
      <w:r>
        <w:rPr>
          <w:rFonts w:ascii="Arial" w:cs="Arial" w:eastAsia="Arial" w:hAnsi="Arial"/>
          <w:sz w:val="16"/>
          <w:szCs w:val="16"/>
          <w:i w:val="1"/>
          <w:iCs w:val="1"/>
          <w:color w:val="auto"/>
        </w:rPr>
        <w:t>provided, however, that</w:t>
      </w:r>
      <w:r>
        <w:rPr>
          <w:rFonts w:ascii="Arial" w:cs="Arial" w:eastAsia="Arial" w:hAnsi="Arial"/>
          <w:sz w:val="16"/>
          <w:szCs w:val="16"/>
          <w:color w:val="auto"/>
        </w:rPr>
        <w:t xml:space="preserve"> such compensation, expenses, disbursements and advances shall not be paid from the Escrow Shares. The obligations of Parent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survive the resignation, replacement or removal of the Escrow Agent or the termination of this Agreement.</w:t>
      </w:r>
    </w:p>
    <w:p>
      <w:pPr>
        <w:spacing w:after="0" w:line="78" w:lineRule="exact"/>
        <w:rPr>
          <w:rFonts w:ascii="Arial" w:cs="Arial" w:eastAsia="Arial" w:hAnsi="Arial"/>
          <w:sz w:val="16"/>
          <w:szCs w:val="16"/>
          <w:color w:val="auto"/>
        </w:rPr>
      </w:pPr>
    </w:p>
    <w:p>
      <w:pPr>
        <w:ind w:left="1060" w:hanging="174"/>
        <w:spacing w:after="0"/>
        <w:tabs>
          <w:tab w:leader="none" w:pos="106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Indemnity</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460" w:right="459" w:firstLine="858"/>
        <w:spacing w:after="0" w:line="269" w:lineRule="auto"/>
        <w:tabs>
          <w:tab w:leader="none" w:pos="1601" w:val="left"/>
        </w:tabs>
        <w:numPr>
          <w:ilvl w:val="1"/>
          <w:numId w:val="364"/>
        </w:numPr>
        <w:rPr>
          <w:rFonts w:ascii="Arial" w:cs="Arial" w:eastAsia="Arial" w:hAnsi="Arial"/>
          <w:sz w:val="17"/>
          <w:szCs w:val="17"/>
          <w:color w:val="auto"/>
        </w:rPr>
      </w:pPr>
      <w:r>
        <w:rPr>
          <w:rFonts w:ascii="Arial" w:cs="Arial" w:eastAsia="Arial" w:hAnsi="Arial"/>
          <w:sz w:val="17"/>
          <w:szCs w:val="17"/>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17" w:lineRule="exact"/>
        <w:rPr>
          <w:rFonts w:ascii="Arial" w:cs="Arial" w:eastAsia="Arial" w:hAnsi="Arial"/>
          <w:sz w:val="17"/>
          <w:szCs w:val="17"/>
          <w:color w:val="auto"/>
        </w:rPr>
      </w:pPr>
    </w:p>
    <w:p>
      <w:pPr>
        <w:jc w:val="both"/>
        <w:ind w:left="460" w:right="459" w:firstLine="858"/>
        <w:spacing w:after="0" w:line="269" w:lineRule="auto"/>
        <w:tabs>
          <w:tab w:leader="none" w:pos="1590" w:val="left"/>
        </w:tabs>
        <w:numPr>
          <w:ilvl w:val="1"/>
          <w:numId w:val="364"/>
        </w:numPr>
        <w:rPr>
          <w:rFonts w:ascii="Arial" w:cs="Arial" w:eastAsia="Arial" w:hAnsi="Arial"/>
          <w:sz w:val="17"/>
          <w:szCs w:val="17"/>
          <w:color w:val="auto"/>
        </w:rPr>
      </w:pPr>
      <w:r>
        <w:rPr>
          <w:rFonts w:ascii="Arial" w:cs="Arial" w:eastAsia="Arial" w:hAnsi="Arial"/>
          <w:sz w:val="17"/>
          <w:szCs w:val="17"/>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04" w:lineRule="exact"/>
        <w:rPr>
          <w:rFonts w:ascii="Arial" w:cs="Arial" w:eastAsia="Arial" w:hAnsi="Arial"/>
          <w:sz w:val="17"/>
          <w:szCs w:val="17"/>
          <w:color w:val="auto"/>
        </w:rPr>
      </w:pPr>
    </w:p>
    <w:p>
      <w:pPr>
        <w:jc w:val="both"/>
        <w:ind w:left="460" w:right="459" w:firstLine="858"/>
        <w:spacing w:after="0" w:line="257" w:lineRule="auto"/>
        <w:tabs>
          <w:tab w:leader="none" w:pos="1577"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20" w:lineRule="exact"/>
        <w:rPr>
          <w:rFonts w:ascii="Arial" w:cs="Arial" w:eastAsia="Arial" w:hAnsi="Arial"/>
          <w:sz w:val="18"/>
          <w:szCs w:val="18"/>
          <w:color w:val="auto"/>
        </w:rPr>
      </w:pPr>
    </w:p>
    <w:p>
      <w:pPr>
        <w:ind w:left="460" w:right="479" w:firstLine="858"/>
        <w:spacing w:after="0" w:line="277" w:lineRule="auto"/>
        <w:tabs>
          <w:tab w:leader="none" w:pos="1599"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survive termination of this Agreement or the resignation, replacement or removal of the Escrow Agent for any reason.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9" w:name="page380"/>
    <w:bookmarkEnd w:id="37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1060" w:hanging="174"/>
        <w:spacing w:after="0"/>
        <w:tabs>
          <w:tab w:leader="none" w:pos="1060" w:val="left"/>
        </w:tabs>
        <w:numPr>
          <w:ilvl w:val="1"/>
          <w:numId w:val="365"/>
        </w:numPr>
        <w:rPr>
          <w:rFonts w:ascii="Arial" w:cs="Arial" w:eastAsia="Arial" w:hAnsi="Arial"/>
          <w:sz w:val="18"/>
          <w:szCs w:val="18"/>
          <w:color w:val="auto"/>
        </w:rPr>
      </w:pPr>
      <w:r>
        <w:rPr>
          <w:rFonts w:ascii="Arial" w:cs="Arial" w:eastAsia="Arial" w:hAnsi="Arial"/>
          <w:sz w:val="18"/>
          <w:szCs w:val="18"/>
          <w:b w:val="1"/>
          <w:bCs w:val="1"/>
          <w:color w:val="auto"/>
        </w:rPr>
        <w:t>Patriot Act Disclosure/Taxpayer Identification Numbers/Tax Reporting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459" w:firstLine="858"/>
        <w:spacing w:after="0" w:line="271" w:lineRule="auto"/>
        <w:tabs>
          <w:tab w:leader="none" w:pos="1582" w:val="left"/>
        </w:tabs>
        <w:numPr>
          <w:ilvl w:val="2"/>
          <w:numId w:val="365"/>
        </w:numPr>
        <w:rPr>
          <w:rFonts w:ascii="Arial" w:cs="Arial" w:eastAsia="Arial" w:hAnsi="Arial"/>
          <w:sz w:val="17"/>
          <w:szCs w:val="17"/>
          <w:color w:val="auto"/>
        </w:rPr>
      </w:pPr>
      <w:r>
        <w:rPr>
          <w:rFonts w:ascii="Arial" w:cs="Arial" w:eastAsia="Arial" w:hAnsi="Arial"/>
          <w:sz w:val="17"/>
          <w:szCs w:val="17"/>
          <w:b w:val="1"/>
          <w:bCs w:val="1"/>
          <w:color w:val="auto"/>
        </w:rPr>
        <w:t>Patriot Act Disclosure</w:t>
      </w:r>
      <w:r>
        <w:rPr>
          <w:rFonts w:ascii="Arial" w:cs="Arial" w:eastAsia="Arial" w:hAnsi="Arial"/>
          <w:sz w:val="17"/>
          <w:szCs w:val="17"/>
          <w:color w:val="auto"/>
        </w:rPr>
        <w:t>. Section 326 of the Uniting and Strengthening America by Providing</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Tools Required to Intercept and Obstruct Terrorism Act of 2001 (“</w:t>
      </w:r>
      <w:r>
        <w:rPr>
          <w:rFonts w:ascii="Arial" w:cs="Arial" w:eastAsia="Arial" w:hAnsi="Arial"/>
          <w:sz w:val="17"/>
          <w:szCs w:val="17"/>
          <w:b w:val="1"/>
          <w:bCs w:val="1"/>
          <w:color w:val="auto"/>
        </w:rPr>
        <w:t>USA PATRIOT Act</w:t>
      </w:r>
      <w:r>
        <w:rPr>
          <w:rFonts w:ascii="Arial" w:cs="Arial" w:eastAsia="Arial" w:hAnsi="Arial"/>
          <w:sz w:val="17"/>
          <w:szCs w:val="17"/>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69" w:lineRule="exact"/>
        <w:rPr>
          <w:rFonts w:ascii="Arial" w:cs="Arial" w:eastAsia="Arial" w:hAnsi="Arial"/>
          <w:sz w:val="17"/>
          <w:szCs w:val="17"/>
          <w:color w:val="auto"/>
        </w:rPr>
      </w:pPr>
    </w:p>
    <w:p>
      <w:pPr>
        <w:ind w:left="460" w:right="479" w:firstLine="858"/>
        <w:spacing w:after="0" w:line="308" w:lineRule="auto"/>
        <w:tabs>
          <w:tab w:leader="none" w:pos="1585" w:val="left"/>
        </w:tabs>
        <w:numPr>
          <w:ilvl w:val="2"/>
          <w:numId w:val="365"/>
        </w:numPr>
        <w:rPr>
          <w:rFonts w:ascii="Arial" w:cs="Arial" w:eastAsia="Arial" w:hAnsi="Arial"/>
          <w:sz w:val="17"/>
          <w:szCs w:val="17"/>
          <w:color w:val="auto"/>
        </w:rPr>
      </w:pPr>
      <w:r>
        <w:rPr>
          <w:rFonts w:ascii="Arial" w:cs="Arial" w:eastAsia="Arial" w:hAnsi="Arial"/>
          <w:sz w:val="17"/>
          <w:szCs w:val="17"/>
          <w:color w:val="auto"/>
        </w:rPr>
        <w:t>The underlying transaction does not constitute an installment sale requiring any tax reporting or withholding of imputed interest or original issue discount to the IRS or other taxing authority.</w:t>
      </w:r>
    </w:p>
    <w:p>
      <w:pPr>
        <w:spacing w:after="0" w:line="34" w:lineRule="exact"/>
        <w:rPr>
          <w:rFonts w:ascii="Arial" w:cs="Arial" w:eastAsia="Arial" w:hAnsi="Arial"/>
          <w:sz w:val="17"/>
          <w:szCs w:val="17"/>
          <w:color w:val="auto"/>
        </w:rPr>
      </w:pPr>
    </w:p>
    <w:p>
      <w:pPr>
        <w:jc w:val="both"/>
        <w:ind w:left="460" w:right="459" w:firstLine="426"/>
        <w:spacing w:after="0" w:line="289" w:lineRule="auto"/>
        <w:tabs>
          <w:tab w:leader="none" w:pos="1072" w:val="left"/>
        </w:tabs>
        <w:numPr>
          <w:ilvl w:val="1"/>
          <w:numId w:val="365"/>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and communications hereunder shall be deemed to have been duly given and made</w:t>
      </w:r>
      <w:r>
        <w:rPr>
          <w:rFonts w:ascii="Arial" w:cs="Arial" w:eastAsia="Arial" w:hAnsi="Arial"/>
          <w:sz w:val="16"/>
          <w:szCs w:val="16"/>
          <w:b w:val="1"/>
          <w:bCs w:val="1"/>
          <w:color w:val="auto"/>
        </w:rPr>
        <w:t xml:space="preserve"> </w:t>
      </w:r>
      <w:r>
        <w:rPr>
          <w:rFonts w:ascii="Arial" w:cs="Arial" w:eastAsia="Arial" w:hAnsi="Arial"/>
          <w:sz w:val="16"/>
          <w:szCs w:val="16"/>
          <w:color w:val="auto"/>
        </w:rPr>
        <w:t>if in writing and if (i) served by personal delivery upon the party for whom it is intended, (ii) delivered by registered or certified mail, return receipt requested, or by Federal Express or similar overnight courier, or</w:t>
      </w:r>
    </w:p>
    <w:p>
      <w:pPr>
        <w:spacing w:after="0" w:line="1" w:lineRule="exact"/>
        <w:rPr>
          <w:rFonts w:ascii="Arial" w:cs="Arial" w:eastAsia="Arial" w:hAnsi="Arial"/>
          <w:sz w:val="16"/>
          <w:szCs w:val="16"/>
          <w:color w:val="auto"/>
        </w:rPr>
      </w:pPr>
    </w:p>
    <w:p>
      <w:pPr>
        <w:jc w:val="both"/>
        <w:ind w:left="460" w:right="459" w:hanging="6"/>
        <w:spacing w:after="0" w:line="255" w:lineRule="auto"/>
        <w:tabs>
          <w:tab w:leader="none" w:pos="78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Sponsor:</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FS Development Holdings, LLC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E-mail:Jim@foresitecapital.com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Parent:</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E-mail:Jim@foresitecapital.com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Stockholder Representative:</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Shareholder Representative Services LLC</w:t>
      </w:r>
    </w:p>
    <w:p>
      <w:pPr>
        <w:spacing w:after="0" w:line="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950 17</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Street, Suite 1400</w:t>
      </w:r>
    </w:p>
    <w:p>
      <w:pPr>
        <w:ind w:left="1320"/>
        <w:spacing w:after="0"/>
        <w:rPr>
          <w:sz w:val="20"/>
          <w:szCs w:val="20"/>
          <w:color w:val="auto"/>
        </w:rPr>
      </w:pPr>
      <w:r>
        <w:rPr>
          <w:rFonts w:ascii="Arial" w:cs="Arial" w:eastAsia="Arial" w:hAnsi="Arial"/>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Telephone: (303) 648-4085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Escrow Agent:</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Continental Stock Transfer and Trust</w:t>
      </w:r>
    </w:p>
    <w:p>
      <w:pPr>
        <w:spacing w:after="0" w:line="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One State Street —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ind w:left="132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Facsimile No: (212) 616-7615</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George Dalton</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250825</wp:posOffset>
            </wp:positionV>
            <wp:extent cx="51435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0" w:name="page381"/>
    <w:bookmarkEnd w:id="38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53" w:lineRule="auto"/>
        <w:tabs>
          <w:tab w:leader="none" w:pos="1202"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Security Procedures</w:t>
      </w:r>
      <w:r>
        <w:rPr>
          <w:rFonts w:ascii="Arial" w:cs="Arial" w:eastAsia="Arial" w:hAnsi="Arial"/>
          <w:sz w:val="18"/>
          <w:szCs w:val="18"/>
          <w:color w:val="auto"/>
        </w:rPr>
        <w:t>. Notwithstanding anything to the contrary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setting forth, claiming, containing, objecting to, or in any way related to the transfer or distribution, including but not limited to any transfer instructions that may otherwise be set forth in a written instruction permitted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as further evidenced by a confirmed transmittal to that number.</w:t>
      </w:r>
    </w:p>
    <w:p>
      <w:pPr>
        <w:spacing w:after="0" w:line="130" w:lineRule="exact"/>
        <w:rPr>
          <w:rFonts w:ascii="Arial" w:cs="Arial" w:eastAsia="Arial" w:hAnsi="Arial"/>
          <w:sz w:val="18"/>
          <w:szCs w:val="18"/>
          <w:color w:val="auto"/>
        </w:rPr>
      </w:pPr>
    </w:p>
    <w:p>
      <w:pPr>
        <w:jc w:val="both"/>
        <w:ind w:left="460" w:right="459" w:firstLine="858"/>
        <w:spacing w:after="0" w:line="255" w:lineRule="auto"/>
        <w:tabs>
          <w:tab w:leader="none" w:pos="1596"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24" w:lineRule="exact"/>
        <w:rPr>
          <w:rFonts w:ascii="Arial" w:cs="Arial" w:eastAsia="Arial" w:hAnsi="Arial"/>
          <w:sz w:val="18"/>
          <w:szCs w:val="18"/>
          <w:color w:val="auto"/>
        </w:rPr>
      </w:pPr>
    </w:p>
    <w:p>
      <w:pPr>
        <w:jc w:val="both"/>
        <w:ind w:left="460" w:right="459" w:firstLine="858"/>
        <w:spacing w:after="0" w:line="263" w:lineRule="auto"/>
        <w:tabs>
          <w:tab w:leader="none" w:pos="160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98" w:lineRule="exact"/>
        <w:rPr>
          <w:rFonts w:ascii="Arial" w:cs="Arial" w:eastAsia="Arial" w:hAnsi="Arial"/>
          <w:sz w:val="18"/>
          <w:szCs w:val="18"/>
          <w:color w:val="auto"/>
        </w:rPr>
      </w:pPr>
    </w:p>
    <w:p>
      <w:pPr>
        <w:jc w:val="both"/>
        <w:ind w:left="460" w:right="459" w:firstLine="426"/>
        <w:spacing w:after="0" w:line="289" w:lineRule="auto"/>
        <w:tabs>
          <w:tab w:leader="none" w:pos="1155" w:val="left"/>
        </w:tabs>
        <w:numPr>
          <w:ilvl w:val="0"/>
          <w:numId w:val="367"/>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Court Orders. </w:t>
      </w:r>
      <w:r>
        <w:rPr>
          <w:rFonts w:ascii="Arial" w:cs="Arial" w:eastAsia="Arial" w:hAnsi="Arial"/>
          <w:sz w:val="16"/>
          <w:szCs w:val="16"/>
          <w:color w:val="auto"/>
        </w:rPr>
        <w:t>In the event that any escrow property shall be attached, garnished or</w:t>
      </w:r>
      <w:r>
        <w:rPr>
          <w:rFonts w:ascii="Arial" w:cs="Arial" w:eastAsia="Arial" w:hAnsi="Arial"/>
          <w:sz w:val="16"/>
          <w:szCs w:val="16"/>
          <w:b w:val="1"/>
          <w:bCs w:val="1"/>
          <w:color w:val="auto"/>
        </w:rPr>
        <w:t xml:space="preserve"> </w:t>
      </w:r>
      <w:r>
        <w:rPr>
          <w:rFonts w:ascii="Arial" w:cs="Arial" w:eastAsia="Arial" w:hAnsi="Arial"/>
          <w:sz w:val="16"/>
          <w:szCs w:val="16"/>
          <w:color w:val="auto"/>
        </w:rPr>
        <w:t>levied upon by any court order, or the delivery 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98" w:lineRule="exact"/>
        <w:rPr>
          <w:rFonts w:ascii="Arial" w:cs="Arial" w:eastAsia="Arial" w:hAnsi="Arial"/>
          <w:sz w:val="16"/>
          <w:szCs w:val="16"/>
          <w:color w:val="auto"/>
        </w:rPr>
      </w:pPr>
    </w:p>
    <w:p>
      <w:pPr>
        <w:jc w:val="both"/>
        <w:ind w:left="460" w:right="459" w:firstLine="426"/>
        <w:spacing w:after="0" w:line="284" w:lineRule="auto"/>
        <w:tabs>
          <w:tab w:leader="none" w:pos="1162" w:val="left"/>
        </w:tabs>
        <w:numPr>
          <w:ilvl w:val="0"/>
          <w:numId w:val="367"/>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Except for changes to transfer instructions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waived, altered, 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1" w:name="page382"/>
    <w:bookmarkEnd w:id="38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 xml:space="preserve">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 left blank]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2" w:name="page383"/>
    <w:bookmarkEnd w:id="38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as of the date set forth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SPONSOR: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FS DEVELOPMENT HOLDINGS, LLC</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_____________________</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FS DEVELOPMENT CORP.</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_____________________</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REPRESENTATIVE: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 REPRESENTATIVE SERVICES LLC,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solely in its capacity as the representative of the Company Securityholders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_____________________</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CONTINENTAL STOCK TRANSFER AND TRUST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_____________________</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Escrow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3" w:name="page384"/>
    <w:bookmarkEnd w:id="38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Schedule l</w:t>
      </w:r>
    </w:p>
    <w:p>
      <w:pPr>
        <w:spacing w:after="0" w:line="15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Telephone Number(s) and authorized signature(s) for</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6"/>
          <w:szCs w:val="16"/>
          <w:b w:val="1"/>
          <w:bCs w:val="1"/>
          <w:u w:val="single" w:color="auto"/>
          <w:color w:val="auto"/>
        </w:rPr>
        <w:t>Person(s) Designated by Sponsor to give Escrow Shares Transfer Instructions</w:t>
      </w:r>
    </w:p>
    <w:p>
      <w:pPr>
        <w:spacing w:after="0" w:line="234" w:lineRule="exact"/>
        <w:rPr>
          <w:sz w:val="20"/>
          <w:szCs w:val="20"/>
          <w:color w:val="auto"/>
        </w:rPr>
      </w:pPr>
    </w:p>
    <w:p>
      <w:pPr>
        <w:jc w:val="both"/>
        <w:ind w:left="1520"/>
        <w:spacing w:after="0"/>
        <w:tabs>
          <w:tab w:leader="none" w:pos="3780" w:val="left"/>
          <w:tab w:leader="none" w:pos="684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Telephone Number</w:t>
      </w:r>
      <w:r>
        <w:rPr>
          <w:sz w:val="20"/>
          <w:szCs w:val="20"/>
          <w:color w:val="auto"/>
        </w:rPr>
        <w:tab/>
      </w: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be completed by Sponsor]</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4" w:name="page385"/>
    <w:bookmarkEnd w:id="38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Number(s) and authorized signature(s)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Person(s) Designated by Stockholder Representative to give Escrow Shares Transfer Instructions</w:t>
      </w:r>
    </w:p>
    <w:p>
      <w:pPr>
        <w:spacing w:after="0" w:line="246" w:lineRule="exact"/>
        <w:rPr>
          <w:sz w:val="20"/>
          <w:szCs w:val="20"/>
          <w:color w:val="auto"/>
        </w:rPr>
      </w:pPr>
    </w:p>
    <w:p>
      <w:pPr>
        <w:ind w:left="1520"/>
        <w:spacing w:after="0"/>
        <w:tabs>
          <w:tab w:leader="none" w:pos="3780" w:val="left"/>
          <w:tab w:leader="none" w:pos="684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Telephone Number</w:t>
      </w:r>
      <w:r>
        <w:rPr>
          <w:sz w:val="20"/>
          <w:szCs w:val="20"/>
          <w:color w:val="auto"/>
        </w:rPr>
        <w:tab/>
      </w: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Representative #1</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 Letang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40640</wp:posOffset>
            </wp:positionV>
            <wp:extent cx="17145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Managing Director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Representative #2</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Casey McTigue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40640</wp:posOffset>
            </wp:positionV>
            <wp:extent cx="17145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Director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Representative #3</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40640</wp:posOffset>
            </wp:positionV>
            <wp:extent cx="17145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Representative #4</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40640</wp:posOffset>
            </wp:positionV>
            <wp:extent cx="17145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Managing Director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5" w:name="page386"/>
    <w:bookmarkEnd w:id="38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6" w:name="page387"/>
    <w:bookmarkEnd w:id="38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 2020, by and among FS Development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the parties listed as Investors on Schedule I hereto (each, an “</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 and Gemini Therapeutics, Inc., a Delaware company (“</w:t>
      </w:r>
      <w:r>
        <w:rPr>
          <w:rFonts w:ascii="Arial" w:cs="Arial" w:eastAsia="Arial" w:hAnsi="Arial"/>
          <w:sz w:val="18"/>
          <w:szCs w:val="18"/>
          <w:b w:val="1"/>
          <w:bCs w:val="1"/>
          <w:u w:val="single" w:color="auto"/>
          <w:color w:val="auto"/>
        </w:rPr>
        <w:t>Gemini</w:t>
      </w:r>
      <w:r>
        <w:rPr>
          <w:rFonts w:ascii="Arial" w:cs="Arial" w:eastAsia="Arial" w:hAnsi="Arial"/>
          <w:sz w:val="18"/>
          <w:szCs w:val="18"/>
          <w:color w:val="auto"/>
        </w:rPr>
        <w:t>”).</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Arial" w:cs="Arial" w:eastAsia="Arial" w:hAnsi="Arial"/>
          <w:sz w:val="18"/>
          <w:szCs w:val="18"/>
          <w:color w:val="auto"/>
        </w:rPr>
        <w:t>WHEREAS, the Company, FSG Merger Sub, Inc., a Delaware corporation (“</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pursuant to which, among other things: (a) Merger Sub will merge with and into Gemini (the “</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with Gemini surviving the Merger as a wholly-owned subsidiary of Company;</w:t>
      </w:r>
    </w:p>
    <w:p>
      <w:pPr>
        <w:spacing w:after="0" w:line="11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WHEREAS, the Company and the Investors listed as Company Investors on Schedule I hereto (collectively, the “</w:t>
      </w:r>
      <w:r>
        <w:rPr>
          <w:rFonts w:ascii="Arial" w:cs="Arial" w:eastAsia="Arial" w:hAnsi="Arial"/>
          <w:sz w:val="18"/>
          <w:szCs w:val="18"/>
          <w:b w:val="1"/>
          <w:bCs w:val="1"/>
          <w:u w:val="single" w:color="auto"/>
          <w:color w:val="auto"/>
        </w:rPr>
        <w:t>Company Investors</w:t>
      </w:r>
      <w:r>
        <w:rPr>
          <w:rFonts w:ascii="Arial" w:cs="Arial" w:eastAsia="Arial" w:hAnsi="Arial"/>
          <w:sz w:val="18"/>
          <w:szCs w:val="18"/>
          <w:color w:val="auto"/>
        </w:rPr>
        <w:t>”) are parties to that certain Registration Rights Agreement, dated August 11, 2020 (the “</w:t>
      </w:r>
      <w:r>
        <w:rPr>
          <w:rFonts w:ascii="Arial" w:cs="Arial" w:eastAsia="Arial" w:hAnsi="Arial"/>
          <w:sz w:val="18"/>
          <w:szCs w:val="18"/>
          <w:b w:val="1"/>
          <w:bCs w:val="1"/>
          <w:u w:val="single" w:color="auto"/>
          <w:color w:val="auto"/>
        </w:rPr>
        <w:t>Prior Agreement</w:t>
      </w:r>
      <w:r>
        <w:rPr>
          <w:rFonts w:ascii="Arial" w:cs="Arial" w:eastAsia="Arial" w:hAnsi="Arial"/>
          <w:sz w:val="18"/>
          <w:szCs w:val="18"/>
          <w:color w:val="auto"/>
        </w:rPr>
        <w:t>”);</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Arial" w:cs="Arial" w:eastAsia="Arial" w:hAnsi="Arial"/>
          <w:sz w:val="18"/>
          <w:szCs w:val="18"/>
          <w:color w:val="auto"/>
        </w:rPr>
        <w:t>WHEREAS, the Company Investors and Gemini Investors listed on Schedule I hereto (“</w:t>
      </w:r>
      <w:r>
        <w:rPr>
          <w:rFonts w:ascii="Arial" w:cs="Arial" w:eastAsia="Arial" w:hAnsi="Arial"/>
          <w:sz w:val="18"/>
          <w:szCs w:val="18"/>
          <w:b w:val="1"/>
          <w:bCs w:val="1"/>
          <w:color w:val="auto"/>
        </w:rPr>
        <w:t>Gemini</w:t>
      </w:r>
      <w:r>
        <w:rPr>
          <w:rFonts w:ascii="Arial" w:cs="Arial" w:eastAsia="Arial" w:hAnsi="Arial"/>
          <w:sz w:val="18"/>
          <w:szCs w:val="18"/>
          <w:color w:val="auto"/>
        </w:rPr>
        <w:t xml:space="preserve"> </w:t>
      </w:r>
      <w:r>
        <w:rPr>
          <w:rFonts w:ascii="Arial" w:cs="Arial" w:eastAsia="Arial" w:hAnsi="Arial"/>
          <w:sz w:val="18"/>
          <w:szCs w:val="18"/>
          <w:b w:val="1"/>
          <w:bCs w:val="1"/>
          <w:color w:val="auto"/>
        </w:rPr>
        <w:t>Investors</w:t>
      </w:r>
      <w:r>
        <w:rPr>
          <w:rFonts w:ascii="Arial" w:cs="Arial" w:eastAsia="Arial" w:hAnsi="Arial"/>
          <w:sz w:val="18"/>
          <w:szCs w:val="18"/>
          <w:color w:val="auto"/>
        </w:rPr>
        <w:t>”) have subscribed to purchase shares of Common Stock in the Private Placement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in connection with the consummation of the Merger; and</w:t>
      </w:r>
    </w:p>
    <w:p>
      <w:pPr>
        <w:spacing w:after="0" w:line="9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DEFINITIONS. The following capitalized terms used herein have the following meanings: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Addendum Agreement</w:t>
      </w:r>
      <w:r>
        <w:rPr>
          <w:rFonts w:ascii="Arial" w:cs="Arial" w:eastAsia="Arial" w:hAnsi="Arial"/>
          <w:sz w:val="18"/>
          <w:szCs w:val="18"/>
          <w:color w:val="auto"/>
        </w:rPr>
        <w:t>” is defined in Section 7.2.</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Bylaws</w:t>
      </w:r>
      <w:r>
        <w:rPr>
          <w:rFonts w:ascii="Arial" w:cs="Arial" w:eastAsia="Arial" w:hAnsi="Arial"/>
          <w:sz w:val="18"/>
          <w:szCs w:val="18"/>
          <w:color w:val="auto"/>
        </w:rPr>
        <w:t>” means the bylaws of the Company, as amended, modified, supplemented or restated and in effect from time to time.</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Certificate</w:t>
      </w:r>
      <w:r>
        <w:rPr>
          <w:rFonts w:ascii="Arial" w:cs="Arial" w:eastAsia="Arial" w:hAnsi="Arial"/>
          <w:sz w:val="18"/>
          <w:szCs w:val="18"/>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Investors</w:t>
      </w:r>
      <w:r>
        <w:rPr>
          <w:rFonts w:ascii="Arial" w:cs="Arial" w:eastAsia="Arial" w:hAnsi="Arial"/>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Effectiveness Period</w:t>
      </w:r>
      <w:r>
        <w:rPr>
          <w:rFonts w:ascii="Arial" w:cs="Arial" w:eastAsia="Arial" w:hAnsi="Arial"/>
          <w:sz w:val="18"/>
          <w:szCs w:val="18"/>
          <w:color w:val="auto"/>
        </w:rPr>
        <w:t>” is defined in Section 3.1.3.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7" w:name="page388"/>
    <w:bookmarkEnd w:id="38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S-1</w:t>
      </w:r>
      <w:r>
        <w:rPr>
          <w:rFonts w:ascii="Arial" w:cs="Arial" w:eastAsia="Arial" w:hAnsi="Arial"/>
          <w:sz w:val="18"/>
          <w:szCs w:val="18"/>
          <w:color w:val="auto"/>
        </w:rPr>
        <w:t>” means a Registration Statement on Form S-1.</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means a Registration Statement on Form S-3 or any similar short-form registration that may be available at such time.</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Gemini</w:t>
      </w:r>
      <w:r>
        <w:rPr>
          <w:rFonts w:ascii="Arial" w:cs="Arial" w:eastAsia="Arial" w:hAnsi="Arial"/>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Gemini Investors</w:t>
      </w:r>
      <w:r>
        <w:rPr>
          <w:rFonts w:ascii="Arial" w:cs="Arial" w:eastAsia="Arial" w:hAnsi="Arial"/>
          <w:sz w:val="18"/>
          <w:szCs w:val="18"/>
          <w:color w:val="auto"/>
        </w:rPr>
        <w:t>” is defined in the recitals to this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Investor” and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is defined in the preamble to this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2.2.4.</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Prior Agreement</w:t>
      </w:r>
      <w:r>
        <w:rPr>
          <w:rFonts w:ascii="Arial" w:cs="Arial" w:eastAsia="Arial" w:hAnsi="Arial"/>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 Rata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432"/>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Register</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Registered</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Registration</w:t>
      </w:r>
      <w:r>
        <w:rPr>
          <w:rFonts w:ascii="Arial" w:cs="Arial" w:eastAsia="Arial" w:hAnsi="Arial"/>
          <w:sz w:val="16"/>
          <w:szCs w:val="16"/>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7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w:t>
      </w:r>
    </w:p>
    <w:p>
      <w:pPr>
        <w:spacing w:after="0" w:line="2" w:lineRule="exact"/>
        <w:rPr>
          <w:sz w:val="20"/>
          <w:szCs w:val="20"/>
          <w:color w:val="auto"/>
        </w:rPr>
      </w:pPr>
    </w:p>
    <w:p>
      <w:pPr>
        <w:ind w:left="780" w:hanging="326"/>
        <w:spacing w:after="0"/>
        <w:tabs>
          <w:tab w:leader="none" w:pos="78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all shares of Common Stock issued to any Investor with respect to such securities referred to in clauses</w:t>
      </w:r>
    </w:p>
    <w:p>
      <w:pPr>
        <w:spacing w:after="0" w:line="20" w:lineRule="exact"/>
        <w:rPr>
          <w:rFonts w:ascii="Arial" w:cs="Arial" w:eastAsia="Arial" w:hAnsi="Arial"/>
          <w:sz w:val="17"/>
          <w:szCs w:val="17"/>
          <w:color w:val="auto"/>
        </w:rPr>
      </w:pPr>
    </w:p>
    <w:p>
      <w:pPr>
        <w:jc w:val="both"/>
        <w:ind w:left="460" w:right="459" w:hanging="6"/>
        <w:spacing w:after="0" w:line="281" w:lineRule="auto"/>
        <w:tabs>
          <w:tab w:leader="none" w:pos="677"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w:t>
      </w:r>
    </w:p>
    <w:p>
      <w:pPr>
        <w:spacing w:after="0" w:line="2" w:lineRule="exact"/>
        <w:rPr>
          <w:rFonts w:ascii="Arial" w:cs="Arial" w:eastAsia="Arial" w:hAnsi="Arial"/>
          <w:sz w:val="16"/>
          <w:szCs w:val="16"/>
          <w:color w:val="auto"/>
        </w:rPr>
      </w:pPr>
    </w:p>
    <w:p>
      <w:pPr>
        <w:jc w:val="both"/>
        <w:ind w:left="460" w:right="459"/>
        <w:spacing w:after="0" w:line="302" w:lineRule="auto"/>
        <w:rPr>
          <w:rFonts w:ascii="Arial" w:cs="Arial" w:eastAsia="Arial" w:hAnsi="Arial"/>
          <w:sz w:val="16"/>
          <w:szCs w:val="16"/>
          <w:color w:val="auto"/>
        </w:rPr>
      </w:pPr>
      <w:r>
        <w:rPr>
          <w:rFonts w:ascii="Arial" w:cs="Arial" w:eastAsia="Arial" w:hAnsi="Arial"/>
          <w:sz w:val="16"/>
          <w:szCs w:val="16"/>
          <w:color w:val="auto"/>
        </w:rPr>
        <w:t>(b)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70" w:lineRule="exact"/>
        <w:rPr>
          <w:sz w:val="20"/>
          <w:szCs w:val="20"/>
          <w:color w:val="auto"/>
        </w:rPr>
      </w:pPr>
    </w:p>
    <w:p>
      <w:pPr>
        <w:jc w:val="both"/>
        <w:ind w:left="460" w:right="459" w:firstLine="43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Resale Shelf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8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8" w:name="page389"/>
    <w:bookmarkEnd w:id="38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Requesting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 Guidance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2.1.5(a)(ii)</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Subsequent Shelf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means to (i) sell, offer to sell, contract or agree to sell, hypothecate, pledge, grant any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to purchase, make any short sale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01"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Takedown</w:t>
      </w:r>
      <w:r>
        <w:rPr>
          <w:rFonts w:ascii="Arial" w:cs="Arial" w:eastAsia="Arial" w:hAnsi="Arial"/>
          <w:sz w:val="18"/>
          <w:szCs w:val="18"/>
          <w:color w:val="auto"/>
        </w:rPr>
        <w:t>” shall mean an underwritten public offering of Registrable Securities pursuant to the Resale Shelf Registration Statement, as amended or supplemented.</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Demand Registration</w:t>
      </w:r>
      <w:r>
        <w:rPr>
          <w:rFonts w:ascii="Arial" w:cs="Arial" w:eastAsia="Arial" w:hAnsi="Arial"/>
          <w:sz w:val="18"/>
          <w:szCs w:val="18"/>
          <w:color w:val="auto"/>
        </w:rPr>
        <w:t>” shall mean an underwritten public offering of Registrable Securities pursuant to a Demand Registration, as amended or supplemented.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REGISTRATION RIGHTS.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Resale Shelf Registration Rights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Registration Statement Covering Resale of Registrable Securities</w:t>
      </w:r>
      <w:r>
        <w:rPr>
          <w:rFonts w:ascii="Arial" w:cs="Arial" w:eastAsia="Arial" w:hAnsi="Arial"/>
          <w:sz w:val="17"/>
          <w:szCs w:val="17"/>
          <w:color w:val="auto"/>
        </w:rPr>
        <w:t>. The Company shall prepare and file or cause to be prepared and filed with the Commission as soon as practicable after the Closing Date (as such term is defined in the Merger Agreement), but in any event no later than [•]</w:t>
      </w:r>
      <w:r>
        <w:rPr>
          <w:rFonts w:ascii="Arial" w:cs="Arial" w:eastAsia="Arial" w:hAnsi="Arial"/>
          <w:sz w:val="19"/>
          <w:szCs w:val="19"/>
          <w:color w:val="auto"/>
          <w:vertAlign w:val="superscript"/>
        </w:rPr>
        <w:t>1</w:t>
      </w:r>
      <w:r>
        <w:rPr>
          <w:rFonts w:ascii="Arial" w:cs="Arial" w:eastAsia="Arial" w:hAnsi="Arial"/>
          <w:sz w:val="17"/>
          <w:szCs w:val="17"/>
          <w:color w:val="auto"/>
        </w:rPr>
        <w:t xml:space="preserve"> days after the Closing Date (the “</w:t>
      </w:r>
      <w:r>
        <w:rPr>
          <w:rFonts w:ascii="Arial" w:cs="Arial" w:eastAsia="Arial" w:hAnsi="Arial"/>
          <w:sz w:val="17"/>
          <w:szCs w:val="17"/>
          <w:b w:val="1"/>
          <w:bCs w:val="1"/>
          <w:u w:val="single" w:color="auto"/>
          <w:color w:val="auto"/>
        </w:rPr>
        <w:t>Filing Date</w:t>
      </w:r>
      <w:r>
        <w:rPr>
          <w:rFonts w:ascii="Arial" w:cs="Arial" w:eastAsia="Arial" w:hAnsi="Arial"/>
          <w:sz w:val="17"/>
          <w:szCs w:val="17"/>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Arial" w:cs="Arial" w:eastAsia="Arial" w:hAnsi="Arial"/>
          <w:sz w:val="17"/>
          <w:szCs w:val="17"/>
          <w:b w:val="1"/>
          <w:bCs w:val="1"/>
          <w:u w:val="single" w:color="auto"/>
          <w:color w:val="auto"/>
        </w:rPr>
        <w:t>Resale Shelf Registration Statement</w:t>
      </w:r>
      <w:r>
        <w:rPr>
          <w:rFonts w:ascii="Arial" w:cs="Arial" w:eastAsia="Arial" w:hAnsi="Arial"/>
          <w:sz w:val="17"/>
          <w:szCs w:val="17"/>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102" w:lineRule="exact"/>
        <w:rPr>
          <w:sz w:val="20"/>
          <w:szCs w:val="20"/>
          <w:color w:val="auto"/>
        </w:rPr>
      </w:pPr>
    </w:p>
    <w:p>
      <w:pPr>
        <w:jc w:val="both"/>
        <w:ind w:left="460" w:right="459" w:firstLine="864"/>
        <w:spacing w:after="0" w:line="291"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Notification and Distribution of Materials</w:t>
      </w:r>
      <w:r>
        <w:rPr>
          <w:rFonts w:ascii="Arial" w:cs="Arial" w:eastAsia="Arial" w:hAnsi="Arial"/>
          <w:sz w:val="16"/>
          <w:szCs w:val="16"/>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680" w:right="459" w:hanging="226"/>
        <w:spacing w:after="0" w:line="243" w:lineRule="auto"/>
        <w:tabs>
          <w:tab w:leader="none" w:pos="716" w:val="left"/>
        </w:tabs>
        <w:numPr>
          <w:ilvl w:val="0"/>
          <w:numId w:val="370"/>
        </w:numPr>
        <w:rPr>
          <w:rFonts w:ascii="Arial" w:cs="Arial" w:eastAsia="Arial" w:hAnsi="Arial"/>
          <w:sz w:val="19"/>
          <w:szCs w:val="19"/>
          <w:color w:val="auto"/>
          <w:vertAlign w:val="superscript"/>
        </w:rPr>
      </w:pPr>
      <w:r>
        <w:rPr>
          <w:rFonts w:ascii="Arial" w:cs="Arial" w:eastAsia="Arial" w:hAnsi="Arial"/>
          <w:sz w:val="16"/>
          <w:szCs w:val="16"/>
          <w:b w:val="1"/>
          <w:bCs w:val="1"/>
          <w:color w:val="auto"/>
        </w:rPr>
        <w:t>Note to Draft</w:t>
      </w:r>
      <w:r>
        <w:rPr>
          <w:rFonts w:ascii="Arial" w:cs="Arial" w:eastAsia="Arial" w:hAnsi="Arial"/>
          <w:sz w:val="16"/>
          <w:szCs w:val="16"/>
          <w:color w:val="auto"/>
        </w:rPr>
        <w:t>: To track the date that the shares issued in the PIPE must be registered pursuant to the PIPE subscription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9" w:name="page390"/>
    <w:bookmarkEnd w:id="38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8"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Amendments and Supplements; Subsequent Shelf Registration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Arial" w:cs="Arial" w:eastAsia="Arial" w:hAnsi="Arial"/>
          <w:sz w:val="17"/>
          <w:szCs w:val="17"/>
          <w:u w:val="single" w:color="auto"/>
          <w:color w:val="auto"/>
        </w:rPr>
        <w:t>Subsequent Shelf</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Registration</w:t>
      </w:r>
      <w:r>
        <w:rPr>
          <w:rFonts w:ascii="Arial" w:cs="Arial" w:eastAsia="Arial" w:hAnsi="Arial"/>
          <w:sz w:val="17"/>
          <w:szCs w:val="17"/>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119" w:lineRule="exact"/>
        <w:rPr>
          <w:sz w:val="20"/>
          <w:szCs w:val="20"/>
          <w:color w:val="auto"/>
        </w:rPr>
      </w:pPr>
    </w:p>
    <w:p>
      <w:pPr>
        <w:jc w:val="both"/>
        <w:ind w:left="460" w:right="459" w:firstLine="864"/>
        <w:spacing w:after="0" w:line="284" w:lineRule="auto"/>
        <w:rPr>
          <w:sz w:val="20"/>
          <w:szCs w:val="20"/>
          <w:color w:val="auto"/>
        </w:rPr>
      </w:pPr>
      <w:r>
        <w:rPr>
          <w:rFonts w:ascii="Arial" w:cs="Arial" w:eastAsia="Arial" w:hAnsi="Arial"/>
          <w:sz w:val="16"/>
          <w:szCs w:val="16"/>
          <w:color w:val="auto"/>
        </w:rPr>
        <w:t xml:space="preserve">2.1.4 Notwithstanding the registration obligations set forth in this </w:t>
      </w:r>
      <w:r>
        <w:rPr>
          <w:rFonts w:ascii="Arial" w:cs="Arial" w:eastAsia="Arial" w:hAnsi="Arial"/>
          <w:sz w:val="16"/>
          <w:szCs w:val="16"/>
          <w:u w:val="single" w:color="auto"/>
          <w:color w:val="auto"/>
        </w:rPr>
        <w:t>Section 2.1</w:t>
      </w:r>
      <w:r>
        <w:rPr>
          <w:rFonts w:ascii="Arial" w:cs="Arial" w:eastAsia="Arial" w:hAnsi="Arial"/>
          <w:sz w:val="16"/>
          <w:szCs w:val="16"/>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6"/>
          <w:szCs w:val="16"/>
          <w:b w:val="1"/>
          <w:bCs w:val="1"/>
          <w:u w:val="single" w:color="auto"/>
          <w:color w:val="auto"/>
        </w:rPr>
        <w:t>New Registration Statement</w:t>
      </w:r>
      <w:r>
        <w:rPr>
          <w:rFonts w:ascii="Arial" w:cs="Arial" w:eastAsia="Arial" w:hAnsi="Arial"/>
          <w:sz w:val="16"/>
          <w:szCs w:val="16"/>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u w:val="single" w:color="auto"/>
          <w:color w:val="auto"/>
        </w:rPr>
        <w:t>SEC Guidance</w:t>
      </w:r>
      <w:r>
        <w:rPr>
          <w:rFonts w:ascii="Arial" w:cs="Arial" w:eastAsia="Arial" w:hAnsi="Arial"/>
          <w:sz w:val="16"/>
          <w:szCs w:val="16"/>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320" w:lineRule="exact"/>
        <w:rPr>
          <w:sz w:val="20"/>
          <w:szCs w:val="20"/>
          <w:color w:val="auto"/>
        </w:rPr>
      </w:pPr>
    </w:p>
    <w:p>
      <w:pPr>
        <w:jc w:val="both"/>
        <w:ind w:left="460" w:right="459" w:firstLine="864"/>
        <w:spacing w:after="0" w:line="293"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83" w:lineRule="exact"/>
        <w:rPr>
          <w:sz w:val="20"/>
          <w:szCs w:val="20"/>
          <w:color w:val="auto"/>
        </w:rPr>
      </w:pPr>
    </w:p>
    <w:p>
      <w:pPr>
        <w:jc w:val="both"/>
        <w:ind w:left="460" w:right="459" w:firstLine="1074"/>
        <w:spacing w:after="0" w:line="250" w:lineRule="auto"/>
        <w:tabs>
          <w:tab w:leader="none" w:pos="181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If the Company shall receive a request from the holders of Registrable Securities with an estimated market value of at least $[•]</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(the requesting holder(s) shall be referred to herein as the “</w:t>
      </w:r>
      <w:r>
        <w:rPr>
          <w:rFonts w:ascii="Arial" w:cs="Arial" w:eastAsia="Arial" w:hAnsi="Arial"/>
          <w:sz w:val="18"/>
          <w:szCs w:val="18"/>
          <w:b w:val="1"/>
          <w:bCs w:val="1"/>
          <w:u w:val="single" w:color="auto"/>
          <w:color w:val="auto"/>
        </w:rPr>
        <w:t>Requesting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that the Company effect the Underwritten Takedown of all or any portion of the Requesting</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127" w:lineRule="exact"/>
        <w:rPr>
          <w:rFonts w:ascii="Arial" w:cs="Arial" w:eastAsia="Arial" w:hAnsi="Arial"/>
          <w:sz w:val="18"/>
          <w:szCs w:val="18"/>
          <w:color w:val="auto"/>
        </w:rPr>
      </w:pPr>
    </w:p>
    <w:p>
      <w:pPr>
        <w:ind w:left="460" w:right="479" w:firstLine="1290"/>
        <w:spacing w:after="0" w:line="258" w:lineRule="auto"/>
        <w:tabs>
          <w:tab w:leader="none" w:pos="197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all Registrable Securities for which the Requesting Holder has requested such offering under </w:t>
      </w:r>
      <w:r>
        <w:rPr>
          <w:rFonts w:ascii="Arial" w:cs="Arial" w:eastAsia="Arial" w:hAnsi="Arial"/>
          <w:sz w:val="18"/>
          <w:szCs w:val="18"/>
          <w:u w:val="single" w:color="auto"/>
          <w:color w:val="auto"/>
        </w:rPr>
        <w:t>Section 2.1.5(a)</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____________</w:t>
      </w:r>
    </w:p>
    <w:p>
      <w:pPr>
        <w:ind w:left="660" w:hanging="206"/>
        <w:spacing w:after="0" w:line="236" w:lineRule="auto"/>
        <w:tabs>
          <w:tab w:leader="none" w:pos="660" w:val="left"/>
        </w:tabs>
        <w:numPr>
          <w:ilvl w:val="0"/>
          <w:numId w:val="372"/>
        </w:numPr>
        <w:rPr>
          <w:rFonts w:ascii="Arial" w:cs="Arial" w:eastAsia="Arial" w:hAnsi="Arial"/>
          <w:sz w:val="19"/>
          <w:szCs w:val="19"/>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Amount TBD based on post-Closing market cap and pro forma capitalization table.</w:t>
      </w:r>
    </w:p>
    <w:p>
      <w:pPr>
        <w:sectPr>
          <w:pgSz w:w="11900" w:h="16838" w:orient="portrait"/>
          <w:cols w:equalWidth="0" w:num="1">
            <w:col w:w="9019"/>
          </w:cols>
          <w:pgMar w:left="1440" w:top="274"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0" w:name="page391"/>
    <w:bookmarkEnd w:id="39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5" w:lineRule="auto"/>
        <w:tabs>
          <w:tab w:leader="none" w:pos="2041" w:val="left"/>
        </w:tabs>
        <w:numPr>
          <w:ilvl w:val="1"/>
          <w:numId w:val="373"/>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all other Registrable Securities that any holders of Registrable Securities (all such holders, together with the Requesting Holder, the “</w:t>
      </w:r>
      <w:r>
        <w:rPr>
          <w:rFonts w:ascii="Arial" w:cs="Arial" w:eastAsia="Arial" w:hAnsi="Arial"/>
          <w:sz w:val="18"/>
          <w:szCs w:val="18"/>
          <w:b w:val="1"/>
          <w:bCs w:val="1"/>
          <w:u w:val="single" w:color="auto"/>
          <w:color w:val="auto"/>
        </w:rPr>
        <w:t>Selling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have requested the Company to offer by request received by the Company within seven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124" w:lineRule="exact"/>
        <w:rPr>
          <w:rFonts w:ascii="Arial" w:cs="Arial" w:eastAsia="Arial" w:hAnsi="Arial"/>
          <w:sz w:val="18"/>
          <w:szCs w:val="18"/>
          <w:color w:val="auto"/>
        </w:rPr>
      </w:pPr>
    </w:p>
    <w:p>
      <w:pPr>
        <w:jc w:val="both"/>
        <w:ind w:left="460" w:right="459" w:firstLine="1074"/>
        <w:spacing w:after="0" w:line="263" w:lineRule="auto"/>
        <w:tabs>
          <w:tab w:leader="none" w:pos="179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Promptly after the expiration of the seven-Business Day-period referred to in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the Company will notify all Selling Holders of the identities of the other Selling Holders and the number of shares of Registrable Securities requested to be included therein.</w:t>
      </w:r>
    </w:p>
    <w:p>
      <w:pPr>
        <w:spacing w:after="0" w:line="116" w:lineRule="exact"/>
        <w:rPr>
          <w:rFonts w:ascii="Arial" w:cs="Arial" w:eastAsia="Arial" w:hAnsi="Arial"/>
          <w:sz w:val="18"/>
          <w:szCs w:val="18"/>
          <w:color w:val="auto"/>
        </w:rPr>
      </w:pPr>
    </w:p>
    <w:p>
      <w:pPr>
        <w:jc w:val="both"/>
        <w:ind w:left="460" w:right="459" w:firstLine="1074"/>
        <w:spacing w:after="0" w:line="243" w:lineRule="auto"/>
        <w:tabs>
          <w:tab w:leader="none" w:pos="179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Company shall only be required to effectuate: (i) one Underwritten Takedown within any six-month period; (ii) no more than [•]</w:t>
      </w:r>
      <w:r>
        <w:rPr>
          <w:rFonts w:ascii="Arial" w:cs="Arial" w:eastAsia="Arial" w:hAnsi="Arial"/>
          <w:sz w:val="20"/>
          <w:szCs w:val="20"/>
          <w:color w:val="auto"/>
          <w:vertAlign w:val="superscript"/>
        </w:rPr>
        <w:t>3</w:t>
      </w:r>
      <w:r>
        <w:rPr>
          <w:rFonts w:ascii="Arial" w:cs="Arial" w:eastAsia="Arial" w:hAnsi="Arial"/>
          <w:sz w:val="18"/>
          <w:szCs w:val="18"/>
          <w:color w:val="auto"/>
        </w:rPr>
        <w:t xml:space="preserve"> Underwritten Takedowns in respect of all Registrable Securities held by the Company Investors after giving effect to </w:t>
      </w:r>
      <w:r>
        <w:rPr>
          <w:rFonts w:ascii="Arial" w:cs="Arial" w:eastAsia="Arial" w:hAnsi="Arial"/>
          <w:sz w:val="18"/>
          <w:szCs w:val="18"/>
          <w:u w:val="single" w:color="auto"/>
          <w:color w:val="auto"/>
        </w:rPr>
        <w:t>Section 2.2.1(c)</w:t>
      </w:r>
      <w:r>
        <w:rPr>
          <w:rFonts w:ascii="Arial" w:cs="Arial" w:eastAsia="Arial" w:hAnsi="Arial"/>
          <w:sz w:val="18"/>
          <w:szCs w:val="18"/>
          <w:color w:val="auto"/>
        </w:rPr>
        <w:t>; and (iii) no more than [•]</w:t>
      </w:r>
      <w:r>
        <w:rPr>
          <w:rFonts w:ascii="Arial" w:cs="Arial" w:eastAsia="Arial" w:hAnsi="Arial"/>
          <w:sz w:val="20"/>
          <w:szCs w:val="20"/>
          <w:color w:val="auto"/>
          <w:vertAlign w:val="superscript"/>
        </w:rPr>
        <w:t>4</w:t>
      </w:r>
      <w:r>
        <w:rPr>
          <w:rFonts w:ascii="Arial" w:cs="Arial" w:eastAsia="Arial" w:hAnsi="Arial"/>
          <w:sz w:val="18"/>
          <w:szCs w:val="18"/>
          <w:color w:val="auto"/>
        </w:rPr>
        <w:t xml:space="preserve"> Underwritten Takedowns in respect of all Registrable Securities held by Gemini Investors after giving effect to </w:t>
      </w:r>
      <w:r>
        <w:rPr>
          <w:rFonts w:ascii="Arial" w:cs="Arial" w:eastAsia="Arial" w:hAnsi="Arial"/>
          <w:sz w:val="18"/>
          <w:szCs w:val="18"/>
          <w:u w:val="single" w:color="auto"/>
          <w:color w:val="auto"/>
        </w:rPr>
        <w:t>Section 2.2.1(d)</w:t>
      </w:r>
      <w:r>
        <w:rPr>
          <w:rFonts w:ascii="Arial" w:cs="Arial" w:eastAsia="Arial" w:hAnsi="Arial"/>
          <w:sz w:val="18"/>
          <w:szCs w:val="18"/>
          <w:color w:val="auto"/>
        </w:rPr>
        <w:t>.</w:t>
      </w:r>
    </w:p>
    <w:p>
      <w:pPr>
        <w:spacing w:after="0" w:line="120" w:lineRule="exact"/>
        <w:rPr>
          <w:rFonts w:ascii="Arial" w:cs="Arial" w:eastAsia="Arial" w:hAnsi="Arial"/>
          <w:sz w:val="18"/>
          <w:szCs w:val="18"/>
          <w:color w:val="auto"/>
        </w:rPr>
      </w:pPr>
    </w:p>
    <w:p>
      <w:pPr>
        <w:jc w:val="both"/>
        <w:ind w:left="460" w:right="459" w:firstLine="1074"/>
        <w:spacing w:after="0" w:line="271" w:lineRule="auto"/>
        <w:tabs>
          <w:tab w:leader="none" w:pos="182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111" w:lineRule="exact"/>
        <w:rPr>
          <w:sz w:val="20"/>
          <w:szCs w:val="20"/>
          <w:color w:val="auto"/>
        </w:rPr>
      </w:pPr>
    </w:p>
    <w:p>
      <w:pPr>
        <w:jc w:val="both"/>
        <w:ind w:left="460" w:right="459" w:firstLine="864"/>
        <w:spacing w:after="0" w:line="270"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Selection of Underwriters</w:t>
      </w:r>
      <w:r>
        <w:rPr>
          <w:rFonts w:ascii="Arial" w:cs="Arial" w:eastAsia="Arial" w:hAnsi="Arial"/>
          <w:sz w:val="17"/>
          <w:szCs w:val="17"/>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13" w:lineRule="exact"/>
        <w:rPr>
          <w:sz w:val="20"/>
          <w:szCs w:val="20"/>
          <w:color w:val="auto"/>
        </w:rPr>
      </w:pPr>
    </w:p>
    <w:p>
      <w:pPr>
        <w:jc w:val="both"/>
        <w:ind w:left="460" w:right="479" w:firstLine="864"/>
        <w:spacing w:after="0" w:line="277" w:lineRule="auto"/>
        <w:rPr>
          <w:sz w:val="20"/>
          <w:szCs w:val="20"/>
          <w:color w:val="auto"/>
        </w:rPr>
      </w:pPr>
      <w:r>
        <w:rPr>
          <w:rFonts w:ascii="Arial" w:cs="Arial" w:eastAsia="Arial" w:hAnsi="Arial"/>
          <w:sz w:val="18"/>
          <w:szCs w:val="18"/>
          <w:color w:val="auto"/>
        </w:rPr>
        <w:t xml:space="preserve">2.1.7 Registrations effected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not be counted as Demand Registrations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64"/>
        <w:spacing w:after="0" w:line="28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after the expiration of a lock-up to which such shares are subject, if any, (i) Company Investors who hold a majority in interest of the Registrable Securities held by all Company Investors or (ii) Company Investors who hold [•]</w:t>
      </w:r>
      <w:r>
        <w:rPr>
          <w:rFonts w:ascii="Arial" w:cs="Arial" w:eastAsia="Arial" w:hAnsi="Arial"/>
          <w:sz w:val="18"/>
          <w:szCs w:val="18"/>
          <w:color w:val="auto"/>
          <w:vertAlign w:val="superscript"/>
        </w:rPr>
        <w:t>5</w:t>
      </w:r>
      <w:r>
        <w:rPr>
          <w:rFonts w:ascii="Arial" w:cs="Arial" w:eastAsia="Arial" w:hAnsi="Arial"/>
          <w:sz w:val="16"/>
          <w:szCs w:val="16"/>
          <w:color w:val="auto"/>
        </w:rPr>
        <w:t xml:space="preserve"> of the Registrable Securities held by all Company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is referred to herein as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xml:space="preserve">”) shall so notify the Company within fifteen (15) days after the receipt by the holder of the notice from the Company. Upon any such request, the Demanding Holders shall be entitled to have their Registrable Securities included in the Demand Registration, subject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and the provisos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The Company shall not be obligated to effect: (a) more than one (1) Demand Registration during any six-month period; (b) any Demand Registration at any time there is an effective Resale Shelf Registration Statement on file with the Commission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(c) more than [•]</w:t>
      </w:r>
      <w:r>
        <w:rPr>
          <w:rFonts w:ascii="Arial" w:cs="Arial" w:eastAsia="Arial" w:hAnsi="Arial"/>
          <w:sz w:val="18"/>
          <w:szCs w:val="18"/>
          <w:color w:val="auto"/>
          <w:vertAlign w:val="superscript"/>
        </w:rPr>
        <w:t>6</w:t>
      </w:r>
      <w:r>
        <w:rPr>
          <w:rFonts w:ascii="Arial" w:cs="Arial" w:eastAsia="Arial" w:hAnsi="Arial"/>
          <w:sz w:val="16"/>
          <w:szCs w:val="16"/>
          <w:color w:val="auto"/>
        </w:rPr>
        <w:t xml:space="preserve"> Underwritten Demand Registrations in respect of</w:t>
      </w:r>
    </w:p>
    <w:p>
      <w:pPr>
        <w:spacing w:after="0" w:line="3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ectPr>
          <w:pgSz w:w="11900" w:h="16838" w:orient="portrait"/>
          <w:cols w:equalWidth="0" w:num="1">
            <w:col w:w="9019"/>
          </w:cols>
          <w:pgMar w:left="1440" w:top="274" w:right="1440" w:bottom="1440" w:gutter="0" w:footer="0" w:header="0"/>
        </w:sectPr>
      </w:pPr>
    </w:p>
    <w:p>
      <w:pPr>
        <w:spacing w:after="0" w:line="22" w:lineRule="exact"/>
        <w:rPr>
          <w:sz w:val="20"/>
          <w:szCs w:val="20"/>
          <w:color w:val="auto"/>
        </w:rPr>
      </w:pPr>
    </w:p>
    <w:p>
      <w:pPr>
        <w:ind w:left="460"/>
        <w:spacing w:after="0"/>
        <w:rPr>
          <w:sz w:val="20"/>
          <w:szCs w:val="20"/>
          <w:color w:val="auto"/>
        </w:rPr>
      </w:pPr>
      <w:r>
        <w:rPr>
          <w:rFonts w:ascii="Arial" w:cs="Arial" w:eastAsia="Arial" w:hAnsi="Arial"/>
          <w:sz w:val="7"/>
          <w:szCs w:val="7"/>
          <w:color w:val="auto"/>
        </w:rPr>
        <w:t>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7"/>
          <w:szCs w:val="7"/>
          <w:color w:val="auto"/>
        </w:rPr>
        <w:t>4</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7"/>
          <w:szCs w:val="7"/>
          <w:color w:val="auto"/>
        </w:rPr>
        <w:t>5</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7"/>
          <w:szCs w:val="7"/>
          <w:color w:val="auto"/>
        </w:rPr>
        <w:t>6</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to Draft</w:t>
      </w:r>
      <w:r>
        <w:rPr>
          <w:rFonts w:ascii="Arial" w:cs="Arial" w:eastAsia="Arial" w:hAnsi="Arial"/>
          <w:sz w:val="14"/>
          <w:szCs w:val="14"/>
          <w:color w:val="auto"/>
        </w:rPr>
        <w:t>: TBD based on post-Closing pro forma capitalization.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Parties to discuss.</w:t>
      </w:r>
    </w:p>
    <w:p>
      <w:pPr>
        <w:spacing w:after="0" w:line="199" w:lineRule="exact"/>
        <w:rPr>
          <w:sz w:val="20"/>
          <w:szCs w:val="20"/>
          <w:color w:val="auto"/>
        </w:rPr>
      </w:pPr>
    </w:p>
    <w:p>
      <w:pPr>
        <w:sectPr>
          <w:pgSz w:w="11900" w:h="16838" w:orient="portrait"/>
          <w:cols w:equalWidth="0" w:num="2">
            <w:col w:w="500" w:space="160"/>
            <w:col w:w="835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1" w:name="page392"/>
    <w:bookmarkEnd w:id="39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 xml:space="preserve">all Registrable Securities held by the Company Investors, each of which will also count as an Underwritten Takedown of the Company Investors under </w:t>
      </w:r>
      <w:r>
        <w:rPr>
          <w:rFonts w:ascii="Arial" w:cs="Arial" w:eastAsia="Arial" w:hAnsi="Arial"/>
          <w:sz w:val="17"/>
          <w:szCs w:val="17"/>
          <w:u w:val="single" w:color="auto"/>
          <w:color w:val="auto"/>
        </w:rPr>
        <w:t>Section 2.1.5(c)(ii)</w:t>
      </w:r>
      <w:r>
        <w:rPr>
          <w:rFonts w:ascii="Arial" w:cs="Arial" w:eastAsia="Arial" w:hAnsi="Arial"/>
          <w:sz w:val="17"/>
          <w:szCs w:val="17"/>
          <w:color w:val="auto"/>
        </w:rPr>
        <w:t>; or (d) more than [•]</w:t>
      </w:r>
      <w:r>
        <w:rPr>
          <w:rFonts w:ascii="Arial" w:cs="Arial" w:eastAsia="Arial" w:hAnsi="Arial"/>
          <w:sz w:val="19"/>
          <w:szCs w:val="19"/>
          <w:color w:val="auto"/>
          <w:vertAlign w:val="superscript"/>
        </w:rPr>
        <w:t>7</w:t>
      </w:r>
      <w:r>
        <w:rPr>
          <w:rFonts w:ascii="Arial" w:cs="Arial" w:eastAsia="Arial" w:hAnsi="Arial"/>
          <w:sz w:val="17"/>
          <w:szCs w:val="17"/>
          <w:color w:val="auto"/>
        </w:rPr>
        <w:t xml:space="preserve"> Underwritten Demand Registrations in respect of all Registrable Securities held by Gemini Investors, each of which will also count as an Underwritten Takedown of Gemini Investors under </w:t>
      </w:r>
      <w:r>
        <w:rPr>
          <w:rFonts w:ascii="Arial" w:cs="Arial" w:eastAsia="Arial" w:hAnsi="Arial"/>
          <w:sz w:val="17"/>
          <w:szCs w:val="17"/>
          <w:u w:val="single" w:color="auto"/>
          <w:color w:val="auto"/>
        </w:rPr>
        <w:t>Section 2.1.5(c)(iii)</w:t>
      </w:r>
      <w:r>
        <w:rPr>
          <w:rFonts w:ascii="Arial" w:cs="Arial" w:eastAsia="Arial" w:hAnsi="Arial"/>
          <w:sz w:val="17"/>
          <w:szCs w:val="17"/>
          <w:color w:val="auto"/>
        </w:rPr>
        <w:t>.</w:t>
      </w:r>
    </w:p>
    <w:p>
      <w:pPr>
        <w:spacing w:after="0" w:line="114" w:lineRule="exact"/>
        <w:rPr>
          <w:sz w:val="20"/>
          <w:szCs w:val="20"/>
          <w:color w:val="auto"/>
        </w:rPr>
      </w:pPr>
    </w:p>
    <w:p>
      <w:pPr>
        <w:jc w:val="both"/>
        <w:ind w:left="460" w:right="479" w:firstLine="864"/>
        <w:spacing w:after="0" w:line="269"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14" w:lineRule="exact"/>
        <w:rPr>
          <w:sz w:val="20"/>
          <w:szCs w:val="20"/>
          <w:color w:val="auto"/>
        </w:rPr>
      </w:pPr>
    </w:p>
    <w:p>
      <w:pPr>
        <w:jc w:val="both"/>
        <w:ind w:left="460" w:right="459" w:firstLine="864"/>
        <w:spacing w:after="0" w:line="284"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If the Demanding Holders so elect and such holders so advise the Company as part of their written demand for a Demand Registration, the offering of such Registrable Securities pursuant to such Demand Registration shall be in the form of an underwritten offering with an estimated market value of at least $[•]</w:t>
      </w:r>
      <w:r>
        <w:rPr>
          <w:rFonts w:ascii="Arial" w:cs="Arial" w:eastAsia="Arial" w:hAnsi="Arial"/>
          <w:sz w:val="18"/>
          <w:szCs w:val="18"/>
          <w:color w:val="auto"/>
          <w:vertAlign w:val="superscript"/>
        </w:rPr>
        <w:t>8</w:t>
      </w:r>
      <w:r>
        <w:rPr>
          <w:rFonts w:ascii="Arial" w:cs="Arial" w:eastAsia="Arial" w:hAnsi="Arial"/>
          <w:sz w:val="16"/>
          <w:szCs w:val="16"/>
          <w:color w:val="auto"/>
        </w:rPr>
        <w:t>.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92" w:lineRule="exact"/>
        <w:rPr>
          <w:sz w:val="20"/>
          <w:szCs w:val="20"/>
          <w:color w:val="auto"/>
        </w:rPr>
      </w:pPr>
    </w:p>
    <w:p>
      <w:pPr>
        <w:jc w:val="both"/>
        <w:ind w:left="460" w:right="459" w:firstLine="864"/>
        <w:spacing w:after="0" w:line="284"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114" w:lineRule="exact"/>
        <w:rPr>
          <w:sz w:val="20"/>
          <w:szCs w:val="20"/>
          <w:color w:val="auto"/>
        </w:rPr>
      </w:pPr>
    </w:p>
    <w:p>
      <w:pPr>
        <w:jc w:val="both"/>
        <w:ind w:left="460" w:right="459" w:firstLine="864"/>
        <w:spacing w:after="0" w:line="267"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Withdrawal</w:t>
      </w:r>
      <w:r>
        <w:rPr>
          <w:rFonts w:ascii="Arial" w:cs="Arial" w:eastAsia="Arial" w:hAnsi="Arial"/>
          <w:sz w:val="17"/>
          <w:szCs w:val="17"/>
          <w:color w:val="auto"/>
        </w:rPr>
        <w:t xml:space="preserve">. A Demanding Holder shall have the right to withdraw all or any portion of its Registrable Securities included in an Underwritten Offering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Arial" w:cs="Arial" w:eastAsia="Arial" w:hAnsi="Arial"/>
          <w:sz w:val="17"/>
          <w:szCs w:val="17"/>
          <w:u w:val="single" w:color="auto"/>
          <w:color w:val="auto"/>
        </w:rPr>
        <w:t>Section 2.2.5</w:t>
      </w:r>
      <w:r>
        <w:rPr>
          <w:rFonts w:ascii="Arial" w:cs="Arial" w:eastAsia="Arial" w:hAnsi="Arial"/>
          <w:sz w:val="17"/>
          <w:szCs w:val="17"/>
          <w:color w:val="auto"/>
        </w:rPr>
        <w: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ectPr>
          <w:pgSz w:w="11900" w:h="16838" w:orient="portrait"/>
          <w:cols w:equalWidth="0" w:num="1">
            <w:col w:w="9019"/>
          </w:cols>
          <w:pgMar w:left="1440" w:top="274" w:right="1440" w:bottom="1440" w:gutter="0" w:footer="0" w:header="0"/>
        </w:sectPr>
      </w:pPr>
    </w:p>
    <w:p>
      <w:pPr>
        <w:spacing w:after="0" w:line="13" w:lineRule="exact"/>
        <w:rPr>
          <w:sz w:val="20"/>
          <w:szCs w:val="20"/>
          <w:color w:val="auto"/>
        </w:rPr>
      </w:pPr>
    </w:p>
    <w:p>
      <w:pPr>
        <w:ind w:left="460"/>
        <w:spacing w:after="0"/>
        <w:rPr>
          <w:sz w:val="20"/>
          <w:szCs w:val="20"/>
          <w:color w:val="auto"/>
        </w:rPr>
      </w:pPr>
      <w:r>
        <w:rPr>
          <w:rFonts w:ascii="Arial" w:cs="Arial" w:eastAsia="Arial" w:hAnsi="Arial"/>
          <w:sz w:val="7"/>
          <w:szCs w:val="7"/>
          <w:color w:val="auto"/>
        </w:rPr>
        <w:t>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7"/>
          <w:szCs w:val="7"/>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to Draft</w:t>
      </w:r>
      <w:r>
        <w:rPr>
          <w:rFonts w:ascii="Arial" w:cs="Arial" w:eastAsia="Arial" w:hAnsi="Arial"/>
          <w:sz w:val="14"/>
          <w:szCs w:val="14"/>
          <w:color w:val="auto"/>
        </w:rPr>
        <w:t>: Amount TBD based on post-Closing market cap and pro forma capitalization table.</w:t>
      </w:r>
    </w:p>
    <w:p>
      <w:pPr>
        <w:spacing w:after="0" w:line="200" w:lineRule="exact"/>
        <w:rPr>
          <w:sz w:val="20"/>
          <w:szCs w:val="20"/>
          <w:color w:val="auto"/>
        </w:rPr>
      </w:pPr>
    </w:p>
    <w:p>
      <w:pPr>
        <w:sectPr>
          <w:pgSz w:w="11900" w:h="16838" w:orient="portrait"/>
          <w:cols w:equalWidth="0" w:num="2">
            <w:col w:w="500" w:space="160"/>
            <w:col w:w="8359"/>
          </w:cols>
          <w:pgMar w:left="1440" w:top="274" w:right="1440"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2" w:name="page393"/>
    <w:bookmarkEnd w:id="39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64"/>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other than a Registration Statement (i) filed in connection with any employee stock option or other benefit plan,</w:t>
      </w:r>
    </w:p>
    <w:p>
      <w:pPr>
        <w:spacing w:after="0" w:line="4" w:lineRule="exact"/>
        <w:rPr>
          <w:sz w:val="20"/>
          <w:szCs w:val="20"/>
          <w:color w:val="auto"/>
        </w:rPr>
      </w:pPr>
    </w:p>
    <w:p>
      <w:pPr>
        <w:jc w:val="both"/>
        <w:ind w:left="460" w:right="459" w:hanging="6"/>
        <w:spacing w:after="0" w:line="281" w:lineRule="auto"/>
        <w:tabs>
          <w:tab w:leader="none" w:pos="74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w:t>
      </w:r>
    </w:p>
    <w:p>
      <w:pPr>
        <w:spacing w:after="0" w:line="3" w:lineRule="exact"/>
        <w:rPr>
          <w:rFonts w:ascii="Arial" w:cs="Arial" w:eastAsia="Arial" w:hAnsi="Arial"/>
          <w:sz w:val="16"/>
          <w:szCs w:val="16"/>
          <w:color w:val="auto"/>
        </w:rPr>
      </w:pPr>
    </w:p>
    <w:p>
      <w:pPr>
        <w:jc w:val="both"/>
        <w:ind w:left="460" w:right="459" w:hanging="6"/>
        <w:spacing w:after="0" w:line="284" w:lineRule="auto"/>
        <w:tabs>
          <w:tab w:leader="none" w:pos="74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xml:space="preserve">”). The rights provided under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shall not be available to any Investor at such time as (i) there is an effective Resale Shelf Registration Statement available for the resale of the Registerable Securities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10" w:lineRule="exact"/>
        <w:rPr>
          <w:sz w:val="20"/>
          <w:szCs w:val="20"/>
          <w:color w:val="auto"/>
        </w:rPr>
      </w:pPr>
    </w:p>
    <w:p>
      <w:pPr>
        <w:jc w:val="both"/>
        <w:ind w:left="460" w:right="459" w:firstLine="864"/>
        <w:spacing w:after="0" w:line="272"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 exceeds the Maximum Number of Shares, then the Company shall include in any such registration:</w:t>
      </w:r>
    </w:p>
    <w:p>
      <w:pPr>
        <w:spacing w:after="0" w:line="96" w:lineRule="exact"/>
        <w:rPr>
          <w:sz w:val="20"/>
          <w:szCs w:val="20"/>
          <w:color w:val="auto"/>
        </w:rPr>
      </w:pPr>
    </w:p>
    <w:p>
      <w:pPr>
        <w:jc w:val="both"/>
        <w:ind w:left="460" w:right="459" w:firstLine="1074"/>
        <w:spacing w:after="0" w:line="289" w:lineRule="auto"/>
        <w:tabs>
          <w:tab w:leader="none" w:pos="179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98" w:lineRule="exact"/>
        <w:rPr>
          <w:rFonts w:ascii="Arial" w:cs="Arial" w:eastAsia="Arial" w:hAnsi="Arial"/>
          <w:sz w:val="16"/>
          <w:szCs w:val="16"/>
          <w:color w:val="auto"/>
        </w:rPr>
      </w:pPr>
    </w:p>
    <w:p>
      <w:pPr>
        <w:jc w:val="both"/>
        <w:ind w:left="460" w:right="459" w:firstLine="1074"/>
        <w:spacing w:after="0" w:line="287" w:lineRule="auto"/>
        <w:tabs>
          <w:tab w:leader="none" w:pos="1803" w:val="left"/>
        </w:tabs>
        <w:numPr>
          <w:ilvl w:val="0"/>
          <w:numId w:val="377"/>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3" w:name="page394"/>
    <w:bookmarkEnd w:id="39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54"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REGISTRATION PROCEDURES.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Filings; Information</w:t>
      </w:r>
      <w:r>
        <w:rPr>
          <w:rFonts w:ascii="Arial" w:cs="Arial" w:eastAsia="Arial" w:hAnsi="Arial"/>
          <w:sz w:val="17"/>
          <w:szCs w:val="17"/>
          <w:color w:val="auto"/>
        </w:rPr>
        <w:t xml:space="preserve">. Whenever the Company is required to effect the registration of any Registrable Securities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90" w:lineRule="exact"/>
        <w:rPr>
          <w:sz w:val="20"/>
          <w:szCs w:val="20"/>
          <w:color w:val="auto"/>
        </w:rPr>
      </w:pPr>
    </w:p>
    <w:p>
      <w:pPr>
        <w:jc w:val="both"/>
        <w:ind w:left="460" w:right="459" w:firstLine="864"/>
        <w:spacing w:after="0" w:line="283"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Filing Registration Statement</w:t>
      </w:r>
      <w:r>
        <w:rPr>
          <w:rFonts w:ascii="Arial" w:cs="Arial" w:eastAsia="Arial" w:hAnsi="Arial"/>
          <w:sz w:val="16"/>
          <w:szCs w:val="16"/>
          <w:color w:val="auto"/>
        </w:rPr>
        <w:t xml:space="preserve">. The Company shall use its reasonable best efforts to, as expeditiously as possible after receipt of a request for a Demand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Arial" w:cs="Arial" w:eastAsia="Arial" w:hAnsi="Arial"/>
          <w:sz w:val="16"/>
          <w:szCs w:val="16"/>
          <w:b w:val="1"/>
          <w:bCs w:val="1"/>
          <w:u w:val="single" w:color="auto"/>
          <w:color w:val="auto"/>
        </w:rPr>
        <w:t>Company Board</w:t>
      </w:r>
      <w:r>
        <w:rPr>
          <w:rFonts w:ascii="Arial" w:cs="Arial" w:eastAsia="Arial" w:hAnsi="Arial"/>
          <w:sz w:val="16"/>
          <w:szCs w:val="16"/>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w:t>
      </w:r>
    </w:p>
    <w:p>
      <w:pPr>
        <w:spacing w:after="0" w:line="2" w:lineRule="exact"/>
        <w:rPr>
          <w:sz w:val="20"/>
          <w:szCs w:val="20"/>
          <w:color w:val="auto"/>
        </w:rPr>
      </w:pPr>
    </w:p>
    <w:p>
      <w:pPr>
        <w:ind w:left="460" w:right="479" w:hanging="6"/>
        <w:spacing w:after="0" w:line="260" w:lineRule="auto"/>
        <w:tabs>
          <w:tab w:leader="none" w:pos="83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consecutive calendar days, or more than one hundred twenty (120) total calendar days in any 365-day period.</w:t>
      </w:r>
    </w:p>
    <w:p>
      <w:pPr>
        <w:spacing w:after="0" w:line="118" w:lineRule="exact"/>
        <w:rPr>
          <w:sz w:val="20"/>
          <w:szCs w:val="20"/>
          <w:color w:val="auto"/>
        </w:rPr>
      </w:pPr>
    </w:p>
    <w:p>
      <w:pPr>
        <w:jc w:val="both"/>
        <w:ind w:left="460" w:right="459" w:firstLine="864"/>
        <w:spacing w:after="0" w:line="271"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11" w:lineRule="exact"/>
        <w:rPr>
          <w:sz w:val="20"/>
          <w:szCs w:val="20"/>
          <w:color w:val="auto"/>
        </w:rPr>
      </w:pPr>
    </w:p>
    <w:p>
      <w:pPr>
        <w:jc w:val="both"/>
        <w:ind w:left="460" w:right="459" w:firstLine="864"/>
        <w:spacing w:after="0" w:line="286"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Until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1" w:lineRule="exact"/>
        <w:rPr>
          <w:sz w:val="20"/>
          <w:szCs w:val="20"/>
          <w:color w:val="auto"/>
        </w:rPr>
      </w:pPr>
    </w:p>
    <w:p>
      <w:pPr>
        <w:jc w:val="both"/>
        <w:ind w:left="460" w:right="459" w:hanging="6"/>
        <w:spacing w:after="0" w:line="270" w:lineRule="auto"/>
        <w:tabs>
          <w:tab w:leader="none" w:pos="754"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Arial" w:cs="Arial" w:eastAsia="Arial" w:hAnsi="Arial"/>
          <w:sz w:val="17"/>
          <w:szCs w:val="17"/>
          <w:b w:val="1"/>
          <w:bCs w:val="1"/>
          <w:u w:val="single" w:color="auto"/>
          <w:color w:val="auto"/>
        </w:rPr>
        <w:t>Effectiveness Period</w:t>
      </w:r>
      <w:r>
        <w:rPr>
          <w:rFonts w:ascii="Arial" w:cs="Arial" w:eastAsia="Arial" w:hAnsi="Arial"/>
          <w:sz w:val="17"/>
          <w:szCs w:val="17"/>
          <w:color w:val="auto"/>
        </w:rPr>
        <w:t>”).</w:t>
      </w:r>
    </w:p>
    <w:p>
      <w:pPr>
        <w:spacing w:after="0" w:line="97" w:lineRule="exact"/>
        <w:rPr>
          <w:sz w:val="20"/>
          <w:szCs w:val="20"/>
          <w:color w:val="auto"/>
        </w:rPr>
      </w:pPr>
    </w:p>
    <w:p>
      <w:pPr>
        <w:jc w:val="both"/>
        <w:ind w:left="460" w:right="459" w:firstLine="864"/>
        <w:spacing w:after="0" w:line="269"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Notification</w:t>
      </w:r>
      <w:r>
        <w:rPr>
          <w:rFonts w:ascii="Arial" w:cs="Arial" w:eastAsia="Arial" w:hAnsi="Arial"/>
          <w:sz w:val="17"/>
          <w:szCs w:val="17"/>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4" w:name="page395"/>
    <w:bookmarkEnd w:id="39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13" w:lineRule="exact"/>
        <w:rPr>
          <w:sz w:val="20"/>
          <w:szCs w:val="20"/>
          <w:color w:val="auto"/>
        </w:rPr>
      </w:pPr>
    </w:p>
    <w:p>
      <w:pPr>
        <w:jc w:val="both"/>
        <w:ind w:left="460" w:right="479" w:firstLine="864"/>
        <w:spacing w:after="0" w:line="287"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Securities Laws Compliance</w:t>
      </w:r>
      <w:r>
        <w:rPr>
          <w:rFonts w:ascii="Arial" w:cs="Arial" w:eastAsia="Arial" w:hAnsi="Arial"/>
          <w:sz w:val="16"/>
          <w:szCs w:val="16"/>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04" w:lineRule="exact"/>
        <w:rPr>
          <w:sz w:val="20"/>
          <w:szCs w:val="20"/>
          <w:color w:val="auto"/>
        </w:rPr>
      </w:pPr>
    </w:p>
    <w:p>
      <w:pPr>
        <w:jc w:val="both"/>
        <w:ind w:left="460" w:right="459" w:firstLine="864"/>
        <w:spacing w:after="0" w:line="253"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Agreements for Disposition</w:t>
      </w:r>
      <w:r>
        <w:rPr>
          <w:rFonts w:ascii="Arial" w:cs="Arial" w:eastAsia="Arial" w:hAnsi="Arial"/>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15" w:lineRule="exact"/>
        <w:rPr>
          <w:sz w:val="20"/>
          <w:szCs w:val="20"/>
          <w:color w:val="auto"/>
        </w:rPr>
      </w:pPr>
    </w:p>
    <w:p>
      <w:pPr>
        <w:jc w:val="both"/>
        <w:ind w:left="460" w:right="459" w:firstLine="864"/>
        <w:spacing w:after="0" w:line="301"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Comfort Letter</w:t>
      </w:r>
      <w:r>
        <w:rPr>
          <w:rFonts w:ascii="Arial" w:cs="Arial" w:eastAsia="Arial" w:hAnsi="Arial"/>
          <w:sz w:val="16"/>
          <w:szCs w:val="16"/>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90" w:lineRule="exact"/>
        <w:rPr>
          <w:sz w:val="20"/>
          <w:szCs w:val="20"/>
          <w:color w:val="auto"/>
        </w:rPr>
      </w:pPr>
    </w:p>
    <w:p>
      <w:pPr>
        <w:jc w:val="both"/>
        <w:ind w:left="460" w:right="459" w:firstLine="864"/>
        <w:spacing w:after="0" w:line="254"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Opinions</w:t>
      </w:r>
      <w:r>
        <w:rPr>
          <w:rFonts w:ascii="Arial" w:cs="Arial" w:eastAsia="Arial" w:hAnsi="Arial"/>
          <w:sz w:val="18"/>
          <w:szCs w:val="18"/>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27" w:lineRule="exact"/>
        <w:rPr>
          <w:sz w:val="20"/>
          <w:szCs w:val="20"/>
          <w:color w:val="auto"/>
        </w:rPr>
      </w:pPr>
    </w:p>
    <w:p>
      <w:pPr>
        <w:jc w:val="both"/>
        <w:ind w:left="460" w:right="459" w:firstLine="864"/>
        <w:spacing w:after="0" w:line="269"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Cooperation</w:t>
      </w:r>
      <w:r>
        <w:rPr>
          <w:rFonts w:ascii="Arial" w:cs="Arial" w:eastAsia="Arial" w:hAnsi="Arial"/>
          <w:sz w:val="17"/>
          <w:szCs w:val="17"/>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 the Company will use its reasonable best efforts to make available senior executives of the Company to participate in customary “road show” presentations that may be reasonably requested by the Underwriter in the Underwritten Offering.</w:t>
      </w:r>
    </w:p>
    <w:p>
      <w:pPr>
        <w:spacing w:after="0" w:line="104" w:lineRule="exact"/>
        <w:rPr>
          <w:sz w:val="20"/>
          <w:szCs w:val="20"/>
          <w:color w:val="auto"/>
        </w:rPr>
      </w:pPr>
    </w:p>
    <w:p>
      <w:pPr>
        <w:jc w:val="both"/>
        <w:ind w:left="460" w:right="459" w:firstLine="864"/>
        <w:spacing w:after="0" w:line="271" w:lineRule="auto"/>
        <w:rPr>
          <w:sz w:val="20"/>
          <w:szCs w:val="20"/>
          <w:color w:val="auto"/>
        </w:rPr>
      </w:pPr>
      <w:r>
        <w:rPr>
          <w:rFonts w:ascii="Arial" w:cs="Arial" w:eastAsia="Arial" w:hAnsi="Arial"/>
          <w:sz w:val="17"/>
          <w:szCs w:val="17"/>
          <w:color w:val="auto"/>
        </w:rPr>
        <w:t xml:space="preserve">3.1.10 </w:t>
      </w:r>
      <w:r>
        <w:rPr>
          <w:rFonts w:ascii="Arial" w:cs="Arial" w:eastAsia="Arial" w:hAnsi="Arial"/>
          <w:sz w:val="17"/>
          <w:szCs w:val="17"/>
          <w:u w:val="single" w:color="auto"/>
          <w:color w:val="auto"/>
        </w:rPr>
        <w:t>Records</w:t>
      </w:r>
      <w:r>
        <w:rPr>
          <w:rFonts w:ascii="Arial" w:cs="Arial" w:eastAsia="Arial" w:hAnsi="Arial"/>
          <w:sz w:val="17"/>
          <w:szCs w:val="17"/>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5" w:name="page396"/>
    <w:bookmarkEnd w:id="39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19" w:lineRule="exact"/>
        <w:rPr>
          <w:sz w:val="20"/>
          <w:szCs w:val="20"/>
          <w:color w:val="auto"/>
        </w:rPr>
      </w:pPr>
    </w:p>
    <w:p>
      <w:pPr>
        <w:jc w:val="both"/>
        <w:ind w:left="460" w:right="479" w:firstLine="864"/>
        <w:spacing w:after="0" w:line="286" w:lineRule="auto"/>
        <w:rPr>
          <w:sz w:val="20"/>
          <w:szCs w:val="20"/>
          <w:color w:val="auto"/>
        </w:rPr>
      </w:pPr>
      <w:r>
        <w:rPr>
          <w:rFonts w:ascii="Arial" w:cs="Arial" w:eastAsia="Arial" w:hAnsi="Arial"/>
          <w:sz w:val="17"/>
          <w:szCs w:val="17"/>
          <w:color w:val="auto"/>
        </w:rPr>
        <w:t xml:space="preserve">3.1.12 </w:t>
      </w:r>
      <w:r>
        <w:rPr>
          <w:rFonts w:ascii="Arial" w:cs="Arial" w:eastAsia="Arial" w:hAnsi="Arial"/>
          <w:sz w:val="17"/>
          <w:szCs w:val="17"/>
          <w:u w:val="single" w:color="auto"/>
          <w:color w:val="auto"/>
        </w:rPr>
        <w:t>Listing</w:t>
      </w:r>
      <w:r>
        <w:rPr>
          <w:rFonts w:ascii="Arial" w:cs="Arial" w:eastAsia="Arial" w:hAnsi="Arial"/>
          <w:sz w:val="17"/>
          <w:szCs w:val="17"/>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9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Obligation to Suspend Distribution</w:t>
      </w:r>
      <w:r>
        <w:rPr>
          <w:rFonts w:ascii="Arial" w:cs="Arial" w:eastAsia="Arial" w:hAnsi="Arial"/>
          <w:sz w:val="16"/>
          <w:szCs w:val="16"/>
          <w:color w:val="auto"/>
        </w:rPr>
        <w:t xml:space="preserve">. Upon receipt of any notice from the Company of the happening of any event of the kind described in </w:t>
      </w:r>
      <w:r>
        <w:rPr>
          <w:rFonts w:ascii="Arial" w:cs="Arial" w:eastAsia="Arial" w:hAnsi="Arial"/>
          <w:sz w:val="16"/>
          <w:szCs w:val="16"/>
          <w:u w:val="single" w:color="auto"/>
          <w:color w:val="auto"/>
        </w:rPr>
        <w:t>Section 3.1.4(iv)</w:t>
      </w:r>
      <w:r>
        <w:rPr>
          <w:rFonts w:ascii="Arial" w:cs="Arial" w:eastAsia="Arial" w:hAnsi="Arial"/>
          <w:sz w:val="16"/>
          <w:szCs w:val="16"/>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Arial" w:cs="Arial" w:eastAsia="Arial" w:hAnsi="Arial"/>
          <w:sz w:val="16"/>
          <w:szCs w:val="16"/>
          <w:u w:val="single" w:color="auto"/>
          <w:color w:val="auto"/>
        </w:rPr>
        <w:t>Section 3.1.4(iv)</w:t>
      </w:r>
      <w:r>
        <w:rPr>
          <w:rFonts w:ascii="Arial" w:cs="Arial" w:eastAsia="Arial" w:hAnsi="Arial"/>
          <w:sz w:val="16"/>
          <w:szCs w:val="16"/>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9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The Company shall bear all costs and expenses incurred in connection with the Resale Shelf Registration Statement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Demand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Underwritten Takedown pursuant to </w:t>
      </w:r>
      <w:r>
        <w:rPr>
          <w:rFonts w:ascii="Arial" w:cs="Arial" w:eastAsia="Arial" w:hAnsi="Arial"/>
          <w:sz w:val="16"/>
          <w:szCs w:val="16"/>
          <w:u w:val="single" w:color="auto"/>
          <w:color w:val="auto"/>
        </w:rPr>
        <w:t>Section 2.1.5(a)(i)</w:t>
      </w:r>
      <w:r>
        <w:rPr>
          <w:rFonts w:ascii="Arial" w:cs="Arial" w:eastAsia="Arial" w:hAnsi="Arial"/>
          <w:sz w:val="16"/>
          <w:szCs w:val="16"/>
          <w:color w:val="auto"/>
        </w:rPr>
        <w:t xml:space="preserve">, any Piggy-Back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any registration on Form S-3 effected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Arial" w:cs="Arial" w:eastAsia="Arial" w:hAnsi="Arial"/>
          <w:sz w:val="16"/>
          <w:szCs w:val="16"/>
          <w:u w:val="single" w:color="auto"/>
          <w:color w:val="auto"/>
        </w:rPr>
        <w:t>Section 3.1.10</w:t>
      </w:r>
      <w:r>
        <w:rPr>
          <w:rFonts w:ascii="Arial" w:cs="Arial" w:eastAsia="Arial" w:hAnsi="Arial"/>
          <w:sz w:val="16"/>
          <w:szCs w:val="16"/>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31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INDEMNIFICATION AND CONTRIBUTION.</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7"/>
          <w:szCs w:val="17"/>
          <w:b w:val="1"/>
          <w:bCs w:val="1"/>
          <w:u w:val="single" w:color="auto"/>
          <w:color w:val="auto"/>
        </w:rPr>
        <w:t>Investor Indemnified Party</w:t>
      </w:r>
      <w:r>
        <w:rPr>
          <w:rFonts w:ascii="Arial" w:cs="Arial" w:eastAsia="Arial" w:hAnsi="Arial"/>
          <w:sz w:val="17"/>
          <w:szCs w:val="17"/>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6" w:name="page397"/>
    <w:bookmarkEnd w:id="39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17"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11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such person (the “</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7" w:name="page398"/>
    <w:bookmarkEnd w:id="39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864"/>
        <w:spacing w:after="0" w:line="287" w:lineRule="auto"/>
        <w:rPr>
          <w:sz w:val="20"/>
          <w:szCs w:val="20"/>
          <w:color w:val="auto"/>
        </w:rPr>
      </w:pPr>
      <w:r>
        <w:rPr>
          <w:rFonts w:ascii="Arial" w:cs="Arial" w:eastAsia="Arial" w:hAnsi="Arial"/>
          <w:sz w:val="16"/>
          <w:szCs w:val="16"/>
          <w:color w:val="auto"/>
        </w:rPr>
        <w:t xml:space="preserve">4.4.1 If the indemnification provided for in the foregoing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91" w:lineRule="exact"/>
        <w:rPr>
          <w:sz w:val="20"/>
          <w:szCs w:val="20"/>
          <w:color w:val="auto"/>
        </w:rPr>
      </w:pPr>
    </w:p>
    <w:p>
      <w:pPr>
        <w:jc w:val="both"/>
        <w:ind w:left="460" w:right="459" w:firstLine="864"/>
        <w:spacing w:after="0" w:line="286" w:lineRule="auto"/>
        <w:rPr>
          <w:sz w:val="20"/>
          <w:szCs w:val="20"/>
          <w:color w:val="auto"/>
        </w:rPr>
      </w:pPr>
      <w:r>
        <w:rPr>
          <w:rFonts w:ascii="Arial" w:cs="Arial" w:eastAsia="Arial" w:hAnsi="Arial"/>
          <w:sz w:val="17"/>
          <w:szCs w:val="17"/>
          <w:color w:val="auto"/>
        </w:rPr>
        <w:t xml:space="preserve">4.4.2 The parties hereto agree that it would not be just and equitable if contribution pursuant to this </w:t>
      </w:r>
      <w:r>
        <w:rPr>
          <w:rFonts w:ascii="Arial" w:cs="Arial" w:eastAsia="Arial" w:hAnsi="Arial"/>
          <w:sz w:val="17"/>
          <w:szCs w:val="17"/>
          <w:u w:val="single" w:color="auto"/>
          <w:color w:val="auto"/>
        </w:rPr>
        <w:t>Section 4.4.2</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the immediately preceding </w:t>
      </w:r>
      <w:r>
        <w:rPr>
          <w:rFonts w:ascii="Arial" w:cs="Arial" w:eastAsia="Arial" w:hAnsi="Arial"/>
          <w:sz w:val="17"/>
          <w:szCs w:val="17"/>
          <w:u w:val="single" w:color="auto"/>
          <w:color w:val="auto"/>
        </w:rPr>
        <w:t>Section 4.4.1</w:t>
      </w:r>
      <w:r>
        <w:rPr>
          <w:rFonts w:ascii="Arial" w:cs="Arial" w:eastAsia="Arial" w:hAnsi="Arial"/>
          <w:sz w:val="17"/>
          <w:szCs w:val="17"/>
          <w:color w:val="auto"/>
        </w:rPr>
        <w:t>.</w:t>
      </w:r>
    </w:p>
    <w:p>
      <w:pPr>
        <w:spacing w:after="0" w:line="98" w:lineRule="exact"/>
        <w:rPr>
          <w:sz w:val="20"/>
          <w:szCs w:val="20"/>
          <w:color w:val="auto"/>
        </w:rPr>
      </w:pPr>
    </w:p>
    <w:p>
      <w:pPr>
        <w:jc w:val="both"/>
        <w:ind w:left="460" w:right="459" w:firstLine="864"/>
        <w:spacing w:after="0" w:line="289" w:lineRule="auto"/>
        <w:rPr>
          <w:sz w:val="20"/>
          <w:szCs w:val="20"/>
          <w:color w:val="auto"/>
        </w:rPr>
      </w:pPr>
      <w:r>
        <w:rPr>
          <w:rFonts w:ascii="Arial" w:cs="Arial" w:eastAsia="Arial" w:hAnsi="Arial"/>
          <w:sz w:val="16"/>
          <w:szCs w:val="16"/>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UNDERWRITING AND DISTRIBUTION.</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Rule 144</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LOCK-UP AGREEMENTS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Investor Lock-Up</w:t>
      </w:r>
      <w:r>
        <w:rPr>
          <w:rFonts w:ascii="Arial" w:cs="Arial" w:eastAsia="Arial" w:hAnsi="Arial"/>
          <w:sz w:val="16"/>
          <w:szCs w:val="16"/>
          <w:color w:val="auto"/>
        </w:rPr>
        <w:t>.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8" w:name="page399"/>
    <w:bookmarkEnd w:id="39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 xml:space="preserve">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MISCELLANEOUS.</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Other Registration Rights and Arrangements</w:t>
      </w:r>
      <w:r>
        <w:rPr>
          <w:rFonts w:ascii="Arial" w:cs="Arial" w:eastAsia="Arial" w:hAnsi="Arial"/>
          <w:sz w:val="16"/>
          <w:szCs w:val="16"/>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85"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7.2</w:t>
      </w:r>
      <w:r>
        <w:rPr>
          <w:rFonts w:ascii="Arial" w:cs="Arial" w:eastAsia="Arial" w:hAnsi="Arial"/>
          <w:sz w:val="16"/>
          <w:szCs w:val="16"/>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Arial" w:cs="Arial" w:eastAsia="Arial" w:hAnsi="Arial"/>
          <w:sz w:val="16"/>
          <w:szCs w:val="16"/>
          <w:b w:val="1"/>
          <w:bCs w:val="1"/>
          <w:u w:val="single" w:color="auto"/>
          <w:color w:val="auto"/>
        </w:rPr>
        <w:t>Addendum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and the transferor shall have delivered to the Company no later than thirty (30) days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0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0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1" w:lineRule="exact"/>
        <w:rPr>
          <w:sz w:val="20"/>
          <w:szCs w:val="20"/>
          <w:color w:val="auto"/>
        </w:rPr>
      </w:pPr>
    </w:p>
    <w:p>
      <w:pPr>
        <w:jc w:val="both"/>
        <w:ind w:left="460" w:right="479" w:hanging="6"/>
        <w:spacing w:after="0" w:line="287" w:lineRule="auto"/>
        <w:tabs>
          <w:tab w:leader="none" w:pos="75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 Registrable Securities or (y) if such Investor is an individual and such Investor is a director or an executive officer of Gemini as of immediately prior to the consummation of the Merger, the date such Investor is no longer an affiliate of the Company; provided, however, that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survive such termination.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9" w:name="page400"/>
    <w:bookmarkEnd w:id="39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requests, consents, approvals or other communications (collectively,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Company: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Gemini Therapeutics, Inc.</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300 One Kendall Square, 3</w:t>
      </w:r>
      <w:r>
        <w:rPr>
          <w:rFonts w:ascii="Arial" w:cs="Arial" w:eastAsia="Arial" w:hAnsi="Arial"/>
          <w:sz w:val="20"/>
          <w:szCs w:val="20"/>
          <w:color w:val="auto"/>
          <w:vertAlign w:val="superscript"/>
        </w:rPr>
        <w:t>rd</w:t>
      </w:r>
      <w:r>
        <w:rPr>
          <w:rFonts w:ascii="Arial" w:cs="Arial" w:eastAsia="Arial" w:hAnsi="Arial"/>
          <w:sz w:val="18"/>
          <w:szCs w:val="18"/>
          <w:color w:val="auto"/>
        </w:rPr>
        <w:t xml:space="preserve"> Floor</w:t>
      </w:r>
    </w:p>
    <w:p>
      <w:pPr>
        <w:ind w:left="880"/>
        <w:spacing w:after="0"/>
        <w:rPr>
          <w:sz w:val="20"/>
          <w:szCs w:val="20"/>
          <w:color w:val="auto"/>
        </w:rPr>
      </w:pPr>
      <w:r>
        <w:rPr>
          <w:rFonts w:ascii="Arial" w:cs="Arial" w:eastAsia="Arial" w:hAnsi="Arial"/>
          <w:sz w:val="18"/>
          <w:szCs w:val="18"/>
          <w:color w:val="auto"/>
        </w:rPr>
        <w:t>Cambridge, MA 02139</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Jason Meyenburg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Attn:</w:t>
        <w:tab/>
        <w:t>Mitchell S. Bloom</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mbloom@goodwinlaw.com</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despinoza@goodwinlaw.com</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Company: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[_______________]</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[_______________]</w:t>
      </w:r>
    </w:p>
    <w:p>
      <w:pPr>
        <w:spacing w:after="0" w:line="14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If to an Investor, to the address set forth under such Investor’s signature to this Agreement or to such Investor’s address as found in the Company’s books and records.</w:t>
      </w:r>
    </w:p>
    <w:p>
      <w:pPr>
        <w:spacing w:after="0" w:line="103"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Severability</w:t>
      </w:r>
      <w:r>
        <w:rPr>
          <w:rFonts w:ascii="Arial" w:cs="Arial" w:eastAsia="Arial" w:hAnsi="Arial"/>
          <w:sz w:val="17"/>
          <w:szCs w:val="17"/>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95"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each of which shall be deemed an original, and all of which taken together shall constitute one and the same instrument.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0" w:name="page401"/>
    <w:bookmarkEnd w:id="40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20"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[Signature Page Follows]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1" w:name="page402"/>
    <w:bookmarkEnd w:id="40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FS DEVELOPMENT CORP.</w:t>
      </w:r>
    </w:p>
    <w:p>
      <w:pPr>
        <w:spacing w:after="0" w:line="7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40640</wp:posOffset>
            </wp:positionV>
            <wp:extent cx="201485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R</w:t>
      </w:r>
      <w:r>
        <w:rPr>
          <w:rFonts w:ascii="Arial" w:cs="Arial" w:eastAsia="Arial" w:hAnsi="Arial"/>
          <w:sz w:val="12"/>
          <w:szCs w:val="12"/>
          <w:color w:val="auto"/>
        </w:rPr>
        <w:t>EGISTRATION</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2" w:name="page403"/>
    <w:bookmarkEnd w:id="40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u w:val="single" w:color="auto"/>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220345</wp:posOffset>
            </wp:positionV>
            <wp:extent cx="230568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4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Address: [__________]</w:t>
      </w:r>
    </w:p>
    <w:p>
      <w:pPr>
        <w:spacing w:after="0" w:line="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[__________]</w:t>
      </w:r>
    </w:p>
    <w:p>
      <w:pPr>
        <w:spacing w:after="0" w:line="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3" w:name="page404"/>
    <w:bookmarkEnd w:id="40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Agreement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Addendum Agreement (“</w:t>
      </w:r>
      <w:r>
        <w:rPr>
          <w:rFonts w:ascii="Arial" w:cs="Arial" w:eastAsia="Arial" w:hAnsi="Arial"/>
          <w:sz w:val="16"/>
          <w:szCs w:val="16"/>
          <w:u w:val="single" w:color="auto"/>
          <w:color w:val="auto"/>
        </w:rPr>
        <w:t>Addendum Agreement</w:t>
      </w:r>
      <w:r>
        <w:rPr>
          <w:rFonts w:ascii="Arial" w:cs="Arial" w:eastAsia="Arial" w:hAnsi="Arial"/>
          <w:sz w:val="16"/>
          <w:szCs w:val="16"/>
          <w:color w:val="auto"/>
        </w:rPr>
        <w:t>”) is executed on __________________, 20___, by</w:t>
      </w:r>
    </w:p>
    <w:p>
      <w:pPr>
        <w:spacing w:after="0" w:line="46" w:lineRule="exact"/>
        <w:rPr>
          <w:sz w:val="20"/>
          <w:szCs w:val="20"/>
          <w:color w:val="auto"/>
        </w:rPr>
      </w:pPr>
    </w:p>
    <w:p>
      <w:pPr>
        <w:jc w:val="both"/>
        <w:ind w:left="460" w:right="459"/>
        <w:spacing w:after="0" w:line="292" w:lineRule="auto"/>
        <w:rPr>
          <w:sz w:val="20"/>
          <w:szCs w:val="20"/>
          <w:color w:val="auto"/>
        </w:rPr>
      </w:pPr>
      <w:r>
        <w:rPr>
          <w:rFonts w:ascii="Arial" w:cs="Arial" w:eastAsia="Arial" w:hAnsi="Arial"/>
          <w:sz w:val="16"/>
          <w:szCs w:val="16"/>
          <w:color w:val="auto"/>
        </w:rPr>
        <w:t>the undersigned (the “</w:t>
      </w:r>
      <w:r>
        <w:rPr>
          <w:rFonts w:ascii="Arial" w:cs="Arial" w:eastAsia="Arial" w:hAnsi="Arial"/>
          <w:sz w:val="16"/>
          <w:szCs w:val="16"/>
          <w:u w:val="single" w:color="auto"/>
          <w:color w:val="auto"/>
        </w:rPr>
        <w:t>New Holder</w:t>
      </w:r>
      <w:r>
        <w:rPr>
          <w:rFonts w:ascii="Arial" w:cs="Arial" w:eastAsia="Arial" w:hAnsi="Arial"/>
          <w:sz w:val="16"/>
          <w:szCs w:val="16"/>
          <w:color w:val="auto"/>
        </w:rPr>
        <w:t>”) pursuant to the terms of that certain Registration Rights Agreement dated as of [•], 2020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95" w:lineRule="exact"/>
        <w:rPr>
          <w:sz w:val="20"/>
          <w:szCs w:val="20"/>
          <w:color w:val="auto"/>
        </w:rPr>
      </w:pPr>
    </w:p>
    <w:p>
      <w:pPr>
        <w:jc w:val="both"/>
        <w:ind w:left="460" w:right="459" w:firstLine="426"/>
        <w:spacing w:after="0" w:line="301" w:lineRule="auto"/>
        <w:tabs>
          <w:tab w:leader="none" w:pos="1072"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Acknowledgment</w:t>
      </w:r>
      <w:r>
        <w:rPr>
          <w:rFonts w:ascii="Arial" w:cs="Arial" w:eastAsia="Arial" w:hAnsi="Arial"/>
          <w:sz w:val="16"/>
          <w:szCs w:val="16"/>
          <w:color w:val="auto"/>
        </w:rPr>
        <w:t>. New Holder acknowledges that New Holder is acquiring certain shares of common stock of the Company (the “</w:t>
      </w:r>
      <w:r>
        <w:rPr>
          <w:rFonts w:ascii="Arial" w:cs="Arial" w:eastAsia="Arial" w:hAnsi="Arial"/>
          <w:sz w:val="16"/>
          <w:szCs w:val="16"/>
          <w:u w:val="single" w:color="auto"/>
          <w:color w:val="auto"/>
        </w:rPr>
        <w:t>Shares</w:t>
      </w:r>
      <w:r>
        <w:rPr>
          <w:rFonts w:ascii="Arial" w:cs="Arial" w:eastAsia="Arial" w:hAnsi="Arial"/>
          <w:sz w:val="16"/>
          <w:szCs w:val="16"/>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89" w:lineRule="exact"/>
        <w:rPr>
          <w:rFonts w:ascii="Arial" w:cs="Arial" w:eastAsia="Arial" w:hAnsi="Arial"/>
          <w:sz w:val="16"/>
          <w:szCs w:val="16"/>
          <w:color w:val="auto"/>
        </w:rPr>
      </w:pPr>
    </w:p>
    <w:p>
      <w:pPr>
        <w:jc w:val="both"/>
        <w:ind w:left="460" w:right="479" w:firstLine="426"/>
        <w:spacing w:after="0" w:line="263" w:lineRule="auto"/>
        <w:tabs>
          <w:tab w:leader="none" w:pos="1072"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102" w:lineRule="exact"/>
        <w:rPr>
          <w:rFonts w:ascii="Arial" w:cs="Arial" w:eastAsia="Arial" w:hAnsi="Arial"/>
          <w:sz w:val="18"/>
          <w:szCs w:val="18"/>
          <w:color w:val="auto"/>
        </w:rPr>
      </w:pPr>
    </w:p>
    <w:p>
      <w:pPr>
        <w:ind w:left="460" w:right="479" w:firstLine="426"/>
        <w:spacing w:after="0" w:line="277" w:lineRule="auto"/>
        <w:tabs>
          <w:tab w:leader="none" w:pos="1072"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New Holder at the address or facsimile number listed below New Holder’s signature below.</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NEW</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HOLDER:</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ind w:left="640"/>
              <w:spacing w:after="0"/>
              <w:rPr>
                <w:sz w:val="20"/>
                <w:szCs w:val="20"/>
                <w:color w:val="auto"/>
              </w:rPr>
            </w:pPr>
            <w:r>
              <w:rPr>
                <w:rFonts w:ascii="Arial" w:cs="Arial" w:eastAsia="Arial" w:hAnsi="Arial"/>
                <w:sz w:val="18"/>
                <w:szCs w:val="18"/>
                <w:color w:val="auto"/>
              </w:rPr>
              <w:t>ACCEPTED AND AGREED:</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tcPr>
          <w:p>
            <w:pPr>
              <w:ind w:left="640"/>
              <w:spacing w:after="0"/>
              <w:rPr>
                <w:sz w:val="20"/>
                <w:szCs w:val="20"/>
                <w:color w:val="auto"/>
              </w:rPr>
            </w:pPr>
            <w:r>
              <w:rPr>
                <w:rFonts w:ascii="Arial" w:cs="Arial" w:eastAsia="Arial" w:hAnsi="Arial"/>
                <w:sz w:val="18"/>
                <w:szCs w:val="18"/>
                <w:color w:val="auto"/>
              </w:rPr>
              <w:t>FS DEVELOPMENT CORP.</w:t>
            </w:r>
          </w:p>
        </w:tc>
        <w:tc>
          <w:tcPr>
            <w:tcW w:w="0" w:type="dxa"/>
            <w:vAlign w:val="bottom"/>
          </w:tcPr>
          <w:p>
            <w:pPr>
              <w:spacing w:after="0"/>
              <w:rPr>
                <w:sz w:val="1"/>
                <w:szCs w:val="1"/>
                <w:color w:val="auto"/>
              </w:rPr>
            </w:pPr>
          </w:p>
        </w:tc>
      </w:tr>
      <w:tr>
        <w:trPr>
          <w:trHeight w:val="41"/>
        </w:trPr>
        <w:tc>
          <w:tcPr>
            <w:tcW w:w="1280" w:type="dxa"/>
            <w:vAlign w:val="bottom"/>
            <w:gridSpan w:val="2"/>
            <w:vMerge w:val="restart"/>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540" w:type="dxa"/>
            <w:vAlign w:val="bottom"/>
            <w:gridSpan w:val="2"/>
            <w:vMerge w:val="restart"/>
          </w:tcPr>
          <w:p>
            <w:pPr>
              <w:ind w:left="6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12"/>
        </w:trPr>
        <w:tc>
          <w:tcPr>
            <w:tcW w:w="128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Annex A-124</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04" w:name="page405"/>
    <w:bookmarkEnd w:id="40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Atlas Venture Fund X, 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Lightstone Singapore 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Lightstone Ventures (A), 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Lightstone Ventures, 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OrbiMed Private Investments VI, 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Wu Capital Investment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5" w:name="page406"/>
    <w:bookmarkEnd w:id="40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 The name of its registered agent at such address is [•].</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ARTICLE III</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[__________] Million ([__________]) of which (i) [__________] Million ([______]) shares shall be a</w:t>
      </w:r>
    </w:p>
    <w:p>
      <w:pPr>
        <w:spacing w:after="0" w:line="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class designated as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Ten Million (10,000,000) shares shall be a class designated as undesignated preferred stock, par value $0.0001 per share (the “</w:t>
      </w:r>
      <w:r>
        <w:rPr>
          <w:rFonts w:ascii="Arial" w:cs="Arial" w:eastAsia="Arial" w:hAnsi="Arial"/>
          <w:sz w:val="18"/>
          <w:szCs w:val="18"/>
          <w:u w:val="single" w:color="auto"/>
          <w:color w:val="auto"/>
        </w:rPr>
        <w:t>Undesignated Preferred Stock</w:t>
      </w:r>
      <w:r>
        <w:rPr>
          <w:rFonts w:ascii="Arial" w:cs="Arial" w:eastAsia="Arial" w:hAnsi="Arial"/>
          <w:sz w:val="18"/>
          <w:szCs w:val="18"/>
          <w:color w:val="auto"/>
        </w:rPr>
        <w:t>”).</w:t>
      </w:r>
    </w:p>
    <w:p>
      <w:pPr>
        <w:spacing w:after="0" w:line="109"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09"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powers, preferences and rights of, and the qualifications, limitations and restrictions upon, each class or series of stock shall be determined in accordance with, or as set forth below in, this Article IV.</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16" w:lineRule="exact"/>
        <w:rPr>
          <w:sz w:val="20"/>
          <w:szCs w:val="20"/>
          <w:color w:val="auto"/>
        </w:rPr>
      </w:pPr>
    </w:p>
    <w:p>
      <w:pPr>
        <w:jc w:val="both"/>
        <w:ind w:left="460" w:right="459" w:firstLine="858"/>
        <w:spacing w:after="0" w:line="253" w:lineRule="auto"/>
        <w:tabs>
          <w:tab w:leader="none" w:pos="160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holders of the Common Stock shall have the exclusive right to vote for the election of directors of the Corporation (the “</w:t>
      </w: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6" w:name="page407"/>
    <w:bookmarkEnd w:id="40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9" w:lineRule="auto"/>
        <w:tabs>
          <w:tab w:leader="none" w:pos="158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any authorized committee thereof; and</w:t>
      </w:r>
    </w:p>
    <w:p>
      <w:pPr>
        <w:spacing w:after="0" w:line="119" w:lineRule="exact"/>
        <w:rPr>
          <w:rFonts w:ascii="Arial" w:cs="Arial" w:eastAsia="Arial" w:hAnsi="Arial"/>
          <w:sz w:val="18"/>
          <w:szCs w:val="18"/>
          <w:color w:val="auto"/>
        </w:rPr>
      </w:pPr>
    </w:p>
    <w:p>
      <w:pPr>
        <w:ind w:left="460" w:right="479" w:firstLine="858"/>
        <w:spacing w:after="0" w:line="308" w:lineRule="auto"/>
        <w:tabs>
          <w:tab w:leader="none" w:pos="1576" w:val="left"/>
        </w:tabs>
        <w:numPr>
          <w:ilvl w:val="1"/>
          <w:numId w:val="383"/>
        </w:numPr>
        <w:rPr>
          <w:rFonts w:ascii="Arial" w:cs="Arial" w:eastAsia="Arial" w:hAnsi="Arial"/>
          <w:sz w:val="17"/>
          <w:szCs w:val="17"/>
          <w:color w:val="auto"/>
        </w:rPr>
      </w:pPr>
      <w:r>
        <w:rPr>
          <w:rFonts w:ascii="Arial" w:cs="Arial" w:eastAsia="Arial" w:hAnsi="Arial"/>
          <w:sz w:val="17"/>
          <w:szCs w:val="17"/>
          <w:color w:val="auto"/>
        </w:rPr>
        <w:t>upon the voluntary or involuntary liquidation, dissolution or winding up of the Corporation, the net assets of the Corporation shall be distributed pro rata to the holders of the Common Stock.</w:t>
      </w:r>
    </w:p>
    <w:p>
      <w:pPr>
        <w:spacing w:after="0" w:line="78" w:lineRule="exact"/>
        <w:rPr>
          <w:rFonts w:ascii="Arial" w:cs="Arial" w:eastAsia="Arial" w:hAnsi="Arial"/>
          <w:sz w:val="17"/>
          <w:szCs w:val="17"/>
          <w:color w:val="auto"/>
        </w:rPr>
      </w:pPr>
    </w:p>
    <w:p>
      <w:pPr>
        <w:ind w:left="660" w:hanging="206"/>
        <w:spacing w:after="0"/>
        <w:tabs>
          <w:tab w:leader="none" w:pos="66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Undesignated Preferred Stock</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26"/>
        <w:spacing w:after="0" w:line="289" w:lineRule="auto"/>
        <w:tabs>
          <w:tab w:leader="none" w:pos="1072"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Action without Meeting</w:t>
      </w:r>
      <w:r>
        <w:rPr>
          <w:rFonts w:ascii="Arial" w:cs="Arial" w:eastAsia="Arial" w:hAnsi="Arial"/>
          <w:sz w:val="16"/>
          <w:szCs w:val="16"/>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98" w:lineRule="exact"/>
        <w:rPr>
          <w:rFonts w:ascii="Arial" w:cs="Arial" w:eastAsia="Arial" w:hAnsi="Arial"/>
          <w:sz w:val="16"/>
          <w:szCs w:val="16"/>
          <w:color w:val="auto"/>
        </w:rPr>
      </w:pPr>
    </w:p>
    <w:p>
      <w:pPr>
        <w:jc w:val="both"/>
        <w:ind w:left="460" w:right="459" w:firstLine="426"/>
        <w:spacing w:after="0" w:line="289" w:lineRule="auto"/>
        <w:tabs>
          <w:tab w:leader="none" w:pos="1099"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148" w:lineRule="exact"/>
        <w:rPr>
          <w:sz w:val="20"/>
          <w:szCs w:val="20"/>
          <w:color w:val="auto"/>
        </w:rPr>
      </w:pPr>
    </w:p>
    <w:p>
      <w:pPr>
        <w:ind w:left="460" w:right="459" w:firstLine="426"/>
        <w:spacing w:after="0" w:line="277" w:lineRule="auto"/>
        <w:tabs>
          <w:tab w:leader="none" w:pos="107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02" w:lineRule="exact"/>
        <w:rPr>
          <w:rFonts w:ascii="Arial" w:cs="Arial" w:eastAsia="Arial" w:hAnsi="Arial"/>
          <w:sz w:val="18"/>
          <w:szCs w:val="18"/>
          <w:color w:val="auto"/>
        </w:rPr>
      </w:pPr>
    </w:p>
    <w:p>
      <w:pPr>
        <w:ind w:left="460" w:right="459" w:firstLine="426"/>
        <w:spacing w:after="0" w:line="277" w:lineRule="auto"/>
        <w:tabs>
          <w:tab w:leader="none" w:pos="1085"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Election of Directors need not be by written ballot unless the By-laws of the Corporation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provide.</w:t>
      </w:r>
    </w:p>
    <w:p>
      <w:pPr>
        <w:spacing w:after="0" w:line="102" w:lineRule="exact"/>
        <w:rPr>
          <w:rFonts w:ascii="Arial" w:cs="Arial" w:eastAsia="Arial" w:hAnsi="Arial"/>
          <w:sz w:val="18"/>
          <w:szCs w:val="18"/>
          <w:color w:val="auto"/>
        </w:rPr>
      </w:pPr>
    </w:p>
    <w:p>
      <w:pPr>
        <w:jc w:val="both"/>
        <w:ind w:left="460" w:right="459" w:firstLine="426"/>
        <w:spacing w:after="0" w:line="255" w:lineRule="auto"/>
        <w:tabs>
          <w:tab w:leader="none" w:pos="107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Number of Directors; Term of Office</w:t>
      </w:r>
      <w:r>
        <w:rPr>
          <w:rFonts w:ascii="Arial" w:cs="Arial" w:eastAsia="Arial" w:hAnsi="Arial"/>
          <w:sz w:val="18"/>
          <w:szCs w:val="18"/>
          <w:color w:val="auto"/>
        </w:rPr>
        <w:t>. Subject to the terms of the Registration and Rights Agreement, dated as of [•], 2020, by and among the Corporation and certain of its stockholders (as amended, modified and/or supplemented from time to time,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and the Voting Agreement, dated as of [•], 2020, by and among the Corporation and certain of its stockholders (as amended, modified and/or supplemented from time to time,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the number of Directors of the Corporation shall be fixed solely and exclusively 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7" w:name="page408"/>
    <w:bookmarkEnd w:id="40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 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17"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9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106" w:lineRule="exact"/>
        <w:rPr>
          <w:sz w:val="20"/>
          <w:szCs w:val="20"/>
          <w:color w:val="auto"/>
        </w:rPr>
      </w:pPr>
    </w:p>
    <w:p>
      <w:pPr>
        <w:jc w:val="both"/>
        <w:ind w:left="460" w:right="459" w:firstLine="426"/>
        <w:spacing w:after="0" w:line="267" w:lineRule="auto"/>
        <w:tabs>
          <w:tab w:leader="none" w:pos="1072"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 determine the class or classes to which the increased or decreased number of Directors shall be apportioned;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3" w:lineRule="exact"/>
        <w:rPr>
          <w:rFonts w:ascii="Arial" w:cs="Arial" w:eastAsia="Arial" w:hAnsi="Arial"/>
          <w:sz w:val="17"/>
          <w:szCs w:val="17"/>
          <w:color w:val="auto"/>
        </w:rPr>
      </w:pPr>
    </w:p>
    <w:p>
      <w:pPr>
        <w:jc w:val="both"/>
        <w:ind w:left="460" w:right="459" w:firstLine="426"/>
        <w:spacing w:after="0" w:line="286" w:lineRule="auto"/>
        <w:tabs>
          <w:tab w:leader="none" w:pos="1072" w:val="left"/>
        </w:tabs>
        <w:numPr>
          <w:ilvl w:val="1"/>
          <w:numId w:val="387"/>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w:t>
      </w:r>
    </w:p>
    <w:p>
      <w:pPr>
        <w:spacing w:after="0" w:line="1" w:lineRule="exact"/>
        <w:rPr>
          <w:rFonts w:ascii="Arial" w:cs="Arial" w:eastAsia="Arial" w:hAnsi="Arial"/>
          <w:sz w:val="16"/>
          <w:szCs w:val="16"/>
          <w:color w:val="auto"/>
        </w:rPr>
      </w:pPr>
    </w:p>
    <w:p>
      <w:pPr>
        <w:jc w:val="both"/>
        <w:ind w:left="460" w:right="479" w:hanging="6"/>
        <w:spacing w:after="0" w:line="253" w:lineRule="auto"/>
        <w:tabs>
          <w:tab w:leader="none" w:pos="74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8" w:name="page409"/>
    <w:bookmarkEnd w:id="40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148" w:lineRule="exact"/>
        <w:rPr>
          <w:sz w:val="20"/>
          <w:szCs w:val="20"/>
          <w:color w:val="auto"/>
        </w:rPr>
      </w:pPr>
    </w:p>
    <w:p>
      <w:pPr>
        <w:jc w:val="both"/>
        <w:ind w:left="460" w:right="479" w:firstLine="426"/>
        <w:spacing w:after="0" w:line="271" w:lineRule="auto"/>
        <w:tabs>
          <w:tab w:leader="none" w:pos="1085" w:val="left"/>
        </w:tabs>
        <w:numPr>
          <w:ilvl w:val="1"/>
          <w:numId w:val="389"/>
        </w:numPr>
        <w:rPr>
          <w:rFonts w:ascii="Arial" w:cs="Arial" w:eastAsia="Arial" w:hAnsi="Arial"/>
          <w:sz w:val="17"/>
          <w:szCs w:val="17"/>
          <w:color w:val="auto"/>
        </w:rPr>
      </w:pPr>
      <w:r>
        <w:rPr>
          <w:rFonts w:ascii="Arial" w:cs="Arial" w:eastAsia="Arial" w:hAnsi="Arial"/>
          <w:sz w:val="17"/>
          <w:szCs w:val="17"/>
          <w:u w:val="single" w:color="auto"/>
          <w:color w:val="auto"/>
        </w:rPr>
        <w:t>Limitation of Director Liability</w:t>
      </w:r>
      <w:r>
        <w:rPr>
          <w:rFonts w:ascii="Arial" w:cs="Arial" w:eastAsia="Arial" w:hAnsi="Arial"/>
          <w:sz w:val="17"/>
          <w:szCs w:val="17"/>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jc w:val="both"/>
        <w:ind w:left="460" w:right="459" w:hanging="6"/>
        <w:spacing w:after="0" w:line="292" w:lineRule="auto"/>
        <w:tabs>
          <w:tab w:leader="none" w:pos="73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94" w:lineRule="exact"/>
        <w:rPr>
          <w:rFonts w:ascii="Arial" w:cs="Arial" w:eastAsia="Arial" w:hAnsi="Arial"/>
          <w:sz w:val="16"/>
          <w:szCs w:val="16"/>
          <w:color w:val="auto"/>
        </w:rPr>
      </w:pPr>
    </w:p>
    <w:p>
      <w:pPr>
        <w:jc w:val="both"/>
        <w:ind w:left="460" w:right="459" w:firstLine="426"/>
        <w:spacing w:after="0" w:line="257" w:lineRule="auto"/>
        <w:tabs>
          <w:tab w:leader="none" w:pos="1101"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20" w:lineRule="exact"/>
        <w:rPr>
          <w:rFonts w:ascii="Arial" w:cs="Arial" w:eastAsia="Arial" w:hAnsi="Arial"/>
          <w:sz w:val="18"/>
          <w:szCs w:val="18"/>
          <w:color w:val="auto"/>
        </w:rPr>
      </w:pPr>
    </w:p>
    <w:p>
      <w:pPr>
        <w:jc w:val="both"/>
        <w:ind w:left="460" w:right="459" w:firstLine="426"/>
        <w:spacing w:after="0" w:line="259" w:lineRule="auto"/>
        <w:tabs>
          <w:tab w:leader="none" w:pos="1074" w:val="left"/>
        </w:tabs>
        <w:numPr>
          <w:ilvl w:val="1"/>
          <w:numId w:val="390"/>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148" w:lineRule="exact"/>
        <w:rPr>
          <w:sz w:val="20"/>
          <w:szCs w:val="20"/>
          <w:color w:val="auto"/>
        </w:rPr>
      </w:pPr>
    </w:p>
    <w:p>
      <w:pPr>
        <w:jc w:val="both"/>
        <w:ind w:left="460" w:right="459" w:firstLine="426"/>
        <w:spacing w:after="0" w:line="263" w:lineRule="auto"/>
        <w:tabs>
          <w:tab w:leader="none" w:pos="1072"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116" w:lineRule="exact"/>
        <w:rPr>
          <w:rFonts w:ascii="Arial" w:cs="Arial" w:eastAsia="Arial" w:hAnsi="Arial"/>
          <w:sz w:val="18"/>
          <w:szCs w:val="18"/>
          <w:color w:val="auto"/>
        </w:rPr>
      </w:pPr>
    </w:p>
    <w:p>
      <w:pPr>
        <w:jc w:val="both"/>
        <w:ind w:left="460" w:right="459" w:firstLine="426"/>
        <w:spacing w:after="0" w:line="254" w:lineRule="auto"/>
        <w:tabs>
          <w:tab w:leader="none" w:pos="1085"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148" w:lineRule="exact"/>
        <w:rPr>
          <w:sz w:val="20"/>
          <w:szCs w:val="20"/>
          <w:color w:val="auto"/>
        </w:rPr>
      </w:pPr>
    </w:p>
    <w:p>
      <w:pPr>
        <w:ind w:left="1060" w:hanging="174"/>
        <w:spacing w:after="0"/>
        <w:tabs>
          <w:tab w:leader="none" w:pos="1060"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Opt Out of DGCL 203</w:t>
      </w:r>
      <w:r>
        <w:rPr>
          <w:rFonts w:ascii="Arial" w:cs="Arial" w:eastAsia="Arial" w:hAnsi="Arial"/>
          <w:sz w:val="18"/>
          <w:szCs w:val="18"/>
          <w:color w:val="auto"/>
        </w:rPr>
        <w:t>. The Corporation shall not be governed by Section 203 of the DGCL.</w:t>
      </w:r>
    </w:p>
    <w:p>
      <w:pPr>
        <w:spacing w:after="0" w:line="157" w:lineRule="exact"/>
        <w:rPr>
          <w:rFonts w:ascii="Arial" w:cs="Arial" w:eastAsia="Arial" w:hAnsi="Arial"/>
          <w:sz w:val="18"/>
          <w:szCs w:val="18"/>
          <w:color w:val="auto"/>
        </w:rPr>
      </w:pPr>
    </w:p>
    <w:p>
      <w:pPr>
        <w:jc w:val="both"/>
        <w:ind w:left="460" w:right="459" w:firstLine="426"/>
        <w:spacing w:after="0" w:line="259" w:lineRule="auto"/>
        <w:tabs>
          <w:tab w:leader="none" w:pos="1072"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Excluded Opportunity</w:t>
      </w:r>
      <w:r>
        <w:rPr>
          <w:rFonts w:ascii="Arial" w:cs="Arial" w:eastAsia="Arial" w:hAnsi="Arial"/>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9" w:name="page410"/>
    <w:bookmarkEnd w:id="40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possession of, any Director of the Corporation who is not an employee or officer of the Corporation or any of its subsidiaries (a “</w:t>
      </w:r>
      <w:r>
        <w:rPr>
          <w:rFonts w:ascii="Arial" w:cs="Arial" w:eastAsia="Arial" w:hAnsi="Arial"/>
          <w:sz w:val="18"/>
          <w:szCs w:val="18"/>
          <w:u w:val="single" w:color="auto"/>
          <w:color w:val="auto"/>
        </w:rPr>
        <w:t>Covered Person</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[End of Text]</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0" w:name="page411"/>
    <w:bookmarkEnd w:id="41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AMENDED AND RESTATED CERTIFICATE OF INCORPORATION is executed as of this ____</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day of __________, 2020.</w:t>
      </w:r>
    </w:p>
    <w:p>
      <w:pPr>
        <w:spacing w:after="0" w:line="20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GEMINI THERAPEUTICS, INC.</w:t>
      </w:r>
    </w:p>
    <w:p>
      <w:pPr>
        <w:spacing w:after="0" w:line="8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40640</wp:posOffset>
            </wp:positionV>
            <wp:extent cx="192024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1" w:name="page412"/>
    <w:bookmarkEnd w:id="41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(any such meeting being referred to in these By-laws as an “</w:t>
      </w:r>
      <w:r>
        <w:rPr>
          <w:rFonts w:ascii="Arial" w:cs="Arial" w:eastAsia="Arial" w:hAnsi="Arial"/>
          <w:sz w:val="18"/>
          <w:szCs w:val="18"/>
          <w:u w:val="single" w:color="auto"/>
          <w:color w:val="auto"/>
        </w:rPr>
        <w:t>Annual Meeting</w:t>
      </w:r>
      <w:r>
        <w:rPr>
          <w:rFonts w:ascii="Arial" w:cs="Arial" w:eastAsia="Arial" w:hAnsi="Arial"/>
          <w:sz w:val="18"/>
          <w:szCs w:val="18"/>
          <w:color w:val="auto"/>
        </w:rPr>
        <w:t>”) shall be held at the hour, date and place within or without the United States which is fixed by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144" w:lineRule="exact"/>
        <w:rPr>
          <w:sz w:val="20"/>
          <w:szCs w:val="20"/>
          <w:color w:val="auto"/>
        </w:rPr>
      </w:pPr>
    </w:p>
    <w:p>
      <w:pPr>
        <w:ind w:left="1140" w:hanging="254"/>
        <w:spacing w:after="0"/>
        <w:tabs>
          <w:tab w:leader="none" w:pos="114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426"/>
        <w:spacing w:after="0" w:line="268" w:lineRule="auto"/>
        <w:tabs>
          <w:tab w:leader="none" w:pos="1151" w:val="left"/>
        </w:tabs>
        <w:numPr>
          <w:ilvl w:val="0"/>
          <w:numId w:val="394"/>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and such stockholder must comply with the notice and other procedures set forth in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8" w:lineRule="exact"/>
        <w:rPr>
          <w:rFonts w:ascii="Arial" w:cs="Arial" w:eastAsia="Arial" w:hAnsi="Arial"/>
          <w:sz w:val="17"/>
          <w:szCs w:val="17"/>
          <w:color w:val="auto"/>
        </w:rPr>
      </w:pPr>
    </w:p>
    <w:p>
      <w:pPr>
        <w:jc w:val="both"/>
        <w:ind w:left="460" w:right="459" w:firstLine="426"/>
        <w:spacing w:after="0" w:line="265" w:lineRule="auto"/>
        <w:tabs>
          <w:tab w:leader="none" w:pos="1154" w:val="left"/>
        </w:tabs>
        <w:numPr>
          <w:ilvl w:val="0"/>
          <w:numId w:val="394"/>
        </w:numPr>
        <w:rPr>
          <w:rFonts w:ascii="Arial" w:cs="Arial" w:eastAsia="Arial" w:hAnsi="Arial"/>
          <w:sz w:val="17"/>
          <w:szCs w:val="17"/>
          <w:color w:val="auto"/>
        </w:rPr>
      </w:pPr>
      <w:r>
        <w:rPr>
          <w:rFonts w:ascii="Arial" w:cs="Arial" w:eastAsia="Arial" w:hAnsi="Arial"/>
          <w:sz w:val="17"/>
          <w:szCs w:val="17"/>
          <w:color w:val="auto"/>
        </w:rPr>
        <w:t xml:space="preserve">For nominations or other business to be properly brought before an Annual Meeting by a stockholder pursuant to clause (ii) of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Arial" w:cs="Arial" w:eastAsia="Arial" w:hAnsi="Arial"/>
          <w:sz w:val="19"/>
          <w:szCs w:val="19"/>
          <w:color w:val="auto"/>
          <w:vertAlign w:val="superscript"/>
        </w:rPr>
        <w:t>th</w:t>
      </w:r>
      <w:r>
        <w:rPr>
          <w:rFonts w:ascii="Arial" w:cs="Arial" w:eastAsia="Arial" w:hAnsi="Arial"/>
          <w:sz w:val="17"/>
          <w:szCs w:val="17"/>
          <w:color w:val="auto"/>
        </w:rPr>
        <w:t>) day nor earlier than the close of business on the one hundred twentieth (120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one-year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Arial" w:cs="Arial" w:eastAsia="Arial" w:hAnsi="Arial"/>
          <w:sz w:val="19"/>
          <w:szCs w:val="19"/>
          <w:color w:val="auto"/>
          <w:vertAlign w:val="superscript"/>
        </w:rPr>
        <w:t>th</w:t>
      </w:r>
      <w:r>
        <w:rPr>
          <w:rFonts w:ascii="Arial" w:cs="Arial" w:eastAsia="Arial" w:hAnsi="Arial"/>
          <w:sz w:val="17"/>
          <w:szCs w:val="17"/>
          <w:color w:val="auto"/>
        </w:rPr>
        <w:t>) day prior to the scheduled date of such Annual Meeting or the tenth (10</w:t>
      </w:r>
      <w:r>
        <w:rPr>
          <w:rFonts w:ascii="Arial" w:cs="Arial" w:eastAsia="Arial" w:hAnsi="Arial"/>
          <w:sz w:val="19"/>
          <w:szCs w:val="19"/>
          <w:color w:val="auto"/>
          <w:vertAlign w:val="superscript"/>
        </w:rPr>
        <w:t>th</w:t>
      </w:r>
      <w:r>
        <w:rPr>
          <w:rFonts w:ascii="Arial" w:cs="Arial" w:eastAsia="Arial" w:hAnsi="Arial"/>
          <w:sz w:val="17"/>
          <w:szCs w:val="17"/>
          <w:color w:val="auto"/>
        </w:rPr>
        <w:t>) day following the day on which public announcement of the date of such meeting is first made (such notice within such time periods shall be referred to as “</w:t>
      </w:r>
      <w:r>
        <w:rPr>
          <w:rFonts w:ascii="Arial" w:cs="Arial" w:eastAsia="Arial" w:hAnsi="Arial"/>
          <w:sz w:val="17"/>
          <w:szCs w:val="17"/>
          <w:u w:val="single" w:color="auto"/>
          <w:color w:val="auto"/>
        </w:rPr>
        <w:t>Timely Notice</w:t>
      </w:r>
      <w:r>
        <w:rPr>
          <w:rFonts w:ascii="Arial" w:cs="Arial" w:eastAsia="Arial" w:hAnsi="Arial"/>
          <w:sz w:val="17"/>
          <w:szCs w:val="17"/>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Arial" w:cs="Arial" w:eastAsia="Arial" w:hAnsi="Arial"/>
          <w:sz w:val="19"/>
          <w:szCs w:val="19"/>
          <w:color w:val="auto"/>
          <w:vertAlign w:val="superscript"/>
        </w:rPr>
        <w:t>th</w:t>
      </w:r>
      <w:r>
        <w:rPr>
          <w:rFonts w:ascii="Arial" w:cs="Arial" w:eastAsia="Arial" w:hAnsi="Arial"/>
          <w:sz w:val="17"/>
          <w:szCs w:val="17"/>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2" w:name="page413"/>
    <w:bookmarkEnd w:id="41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0" w:lineRule="auto"/>
        <w:rPr>
          <w:sz w:val="20"/>
          <w:szCs w:val="20"/>
          <w:color w:val="auto"/>
        </w:rPr>
      </w:pPr>
      <w:r>
        <w:rPr>
          <w:rFonts w:ascii="Arial" w:cs="Arial" w:eastAsia="Arial" w:hAnsi="Arial"/>
          <w:sz w:val="18"/>
          <w:szCs w:val="18"/>
          <w:color w:val="auto"/>
        </w:rPr>
        <w:t>day prior to the scheduled date of such Annual Meeting or the tenth (10</w:t>
      </w:r>
      <w:r>
        <w:rPr>
          <w:rFonts w:ascii="Arial" w:cs="Arial" w:eastAsia="Arial" w:hAnsi="Arial"/>
          <w:sz w:val="20"/>
          <w:szCs w:val="20"/>
          <w:color w:val="auto"/>
          <w:vertAlign w:val="superscript"/>
        </w:rPr>
        <w:t>th</w:t>
      </w:r>
      <w:r>
        <w:rPr>
          <w:rFonts w:ascii="Arial" w:cs="Arial" w:eastAsia="Arial" w:hAnsi="Arial"/>
          <w:sz w:val="18"/>
          <w:szCs w:val="18"/>
          <w:color w:val="auto"/>
        </w:rPr>
        <w:t>) day following the day on which public announcement of the date of such Annual Meeting is first made or sent by the Corporation. Such stockholder’s Timely Notice shall set forth:</w:t>
      </w:r>
    </w:p>
    <w:p>
      <w:pPr>
        <w:spacing w:after="0" w:line="126" w:lineRule="exact"/>
        <w:rPr>
          <w:sz w:val="20"/>
          <w:szCs w:val="20"/>
          <w:color w:val="auto"/>
        </w:rPr>
      </w:pPr>
    </w:p>
    <w:p>
      <w:pPr>
        <w:jc w:val="both"/>
        <w:ind w:left="880" w:right="459" w:firstLine="438"/>
        <w:spacing w:after="0" w:line="285" w:lineRule="auto"/>
        <w:tabs>
          <w:tab w:leader="none" w:pos="1628" w:val="left"/>
        </w:tabs>
        <w:numPr>
          <w:ilvl w:val="0"/>
          <w:numId w:val="395"/>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03" w:lineRule="exact"/>
        <w:rPr>
          <w:rFonts w:ascii="Arial" w:cs="Arial" w:eastAsia="Arial" w:hAnsi="Arial"/>
          <w:sz w:val="16"/>
          <w:szCs w:val="16"/>
          <w:color w:val="auto"/>
        </w:rPr>
      </w:pPr>
    </w:p>
    <w:p>
      <w:pPr>
        <w:jc w:val="both"/>
        <w:ind w:left="880" w:right="459" w:firstLine="438"/>
        <w:spacing w:after="0" w:line="279" w:lineRule="auto"/>
        <w:tabs>
          <w:tab w:leader="none" w:pos="163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90" w:lineRule="exact"/>
        <w:rPr>
          <w:rFonts w:ascii="Arial" w:cs="Arial" w:eastAsia="Arial" w:hAnsi="Arial"/>
          <w:sz w:val="17"/>
          <w:szCs w:val="17"/>
          <w:color w:val="auto"/>
        </w:rPr>
      </w:pPr>
    </w:p>
    <w:p>
      <w:pPr>
        <w:jc w:val="both"/>
        <w:ind w:left="880" w:right="459" w:firstLine="438"/>
        <w:spacing w:after="0" w:line="283" w:lineRule="auto"/>
        <w:tabs>
          <w:tab w:leader="none" w:pos="1658" w:val="left"/>
        </w:tabs>
        <w:numPr>
          <w:ilvl w:val="0"/>
          <w:numId w:val="395"/>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Arial" w:cs="Arial" w:eastAsia="Arial" w:hAnsi="Arial"/>
          <w:sz w:val="16"/>
          <w:szCs w:val="16"/>
          <w:u w:val="single" w:color="auto"/>
          <w:color w:val="auto"/>
        </w:rPr>
        <w:t>Material Ownership Interests</w:t>
      </w:r>
      <w:r>
        <w:rPr>
          <w:rFonts w:ascii="Arial" w:cs="Arial" w:eastAsia="Arial" w:hAnsi="Arial"/>
          <w:sz w:val="16"/>
          <w:szCs w:val="16"/>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3" w:name="page414"/>
    <w:bookmarkEnd w:id="41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70" w:lineRule="auto"/>
        <w:tabs>
          <w:tab w:leader="none" w:pos="1627" w:val="left"/>
        </w:tabs>
        <w:numPr>
          <w:ilvl w:val="0"/>
          <w:numId w:val="396"/>
        </w:numPr>
        <w:rPr>
          <w:rFonts w:ascii="Arial" w:cs="Arial" w:eastAsia="Arial" w:hAnsi="Arial"/>
          <w:sz w:val="17"/>
          <w:szCs w:val="17"/>
          <w:color w:val="auto"/>
        </w:rPr>
      </w:pPr>
      <w:r>
        <w:rPr>
          <w:rFonts w:ascii="Arial" w:cs="Arial" w:eastAsia="Arial" w:hAnsi="Arial"/>
          <w:sz w:val="17"/>
          <w:szCs w:val="17"/>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13" w:lineRule="exact"/>
        <w:rPr>
          <w:rFonts w:ascii="Arial" w:cs="Arial" w:eastAsia="Arial" w:hAnsi="Arial"/>
          <w:sz w:val="17"/>
          <w:szCs w:val="17"/>
          <w:color w:val="auto"/>
        </w:rPr>
      </w:pPr>
    </w:p>
    <w:p>
      <w:pPr>
        <w:jc w:val="both"/>
        <w:ind w:left="880" w:right="459" w:firstLine="438"/>
        <w:spacing w:after="0" w:line="291" w:lineRule="auto"/>
        <w:tabs>
          <w:tab w:leader="none" w:pos="1636" w:val="left"/>
        </w:tabs>
        <w:numPr>
          <w:ilvl w:val="0"/>
          <w:numId w:val="396"/>
        </w:numPr>
        <w:rPr>
          <w:rFonts w:ascii="Arial" w:cs="Arial" w:eastAsia="Arial" w:hAnsi="Arial"/>
          <w:sz w:val="16"/>
          <w:szCs w:val="16"/>
          <w:color w:val="auto"/>
        </w:rPr>
      </w:pPr>
      <w:r>
        <w:rPr>
          <w:rFonts w:ascii="Arial" w:cs="Arial" w:eastAsia="Arial" w:hAnsi="Arial"/>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Arial" w:cs="Arial" w:eastAsia="Arial" w:hAnsi="Arial"/>
          <w:sz w:val="16"/>
          <w:szCs w:val="16"/>
          <w:u w:val="single" w:color="auto"/>
          <w:color w:val="auto"/>
        </w:rPr>
        <w:t>Solicitation Statement</w:t>
      </w:r>
      <w:r>
        <w:rPr>
          <w:rFonts w:ascii="Arial" w:cs="Arial" w:eastAsia="Arial" w:hAnsi="Arial"/>
          <w:sz w:val="16"/>
          <w:szCs w:val="16"/>
          <w:color w:val="auto"/>
        </w:rPr>
        <w:t>”).</w:t>
      </w:r>
    </w:p>
    <w:p>
      <w:pPr>
        <w:spacing w:after="0" w:line="9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 the term “</w:t>
      </w:r>
      <w:r>
        <w:rPr>
          <w:rFonts w:ascii="Arial" w:cs="Arial" w:eastAsia="Arial" w:hAnsi="Arial"/>
          <w:sz w:val="17"/>
          <w:szCs w:val="17"/>
          <w:u w:val="single" w:color="auto"/>
          <w:color w:val="auto"/>
        </w:rPr>
        <w:t>Proposing Person</w:t>
      </w:r>
      <w:r>
        <w:rPr>
          <w:rFonts w:ascii="Arial" w:cs="Arial" w:eastAsia="Arial" w:hAnsi="Arial"/>
          <w:sz w:val="17"/>
          <w:szCs w:val="17"/>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 the term “</w:t>
      </w:r>
      <w:r>
        <w:rPr>
          <w:rFonts w:ascii="Arial" w:cs="Arial" w:eastAsia="Arial" w:hAnsi="Arial"/>
          <w:sz w:val="17"/>
          <w:szCs w:val="17"/>
          <w:u w:val="single" w:color="auto"/>
          <w:color w:val="auto"/>
        </w:rPr>
        <w:t>Synthetic Equity Interest</w:t>
      </w:r>
      <w:r>
        <w:rPr>
          <w:rFonts w:ascii="Arial" w:cs="Arial" w:eastAsia="Arial" w:hAnsi="Arial"/>
          <w:sz w:val="17"/>
          <w:szCs w:val="17"/>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10" w:lineRule="exact"/>
        <w:rPr>
          <w:sz w:val="20"/>
          <w:szCs w:val="20"/>
          <w:color w:val="auto"/>
        </w:rPr>
      </w:pPr>
    </w:p>
    <w:p>
      <w:pPr>
        <w:jc w:val="both"/>
        <w:ind w:left="460" w:right="459" w:firstLine="426"/>
        <w:spacing w:after="0" w:line="263" w:lineRule="auto"/>
        <w:tabs>
          <w:tab w:leader="none" w:pos="1158" w:val="left"/>
        </w:tabs>
        <w:numPr>
          <w:ilvl w:val="0"/>
          <w:numId w:val="397"/>
        </w:numPr>
        <w:rPr>
          <w:rFonts w:ascii="Arial" w:cs="Arial" w:eastAsia="Arial" w:hAnsi="Arial"/>
          <w:sz w:val="17"/>
          <w:szCs w:val="17"/>
          <w:color w:val="auto"/>
        </w:rPr>
      </w:pPr>
      <w:r>
        <w:rPr>
          <w:rFonts w:ascii="Arial" w:cs="Arial" w:eastAsia="Arial" w:hAnsi="Arial"/>
          <w:sz w:val="17"/>
          <w:szCs w:val="17"/>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Arial" w:cs="Arial" w:eastAsia="Arial" w:hAnsi="Arial"/>
          <w:sz w:val="19"/>
          <w:szCs w:val="19"/>
          <w:color w:val="auto"/>
          <w:vertAlign w:val="superscript"/>
        </w:rPr>
        <w:t>th</w:t>
      </w:r>
      <w:r>
        <w:rPr>
          <w:rFonts w:ascii="Arial" w:cs="Arial" w:eastAsia="Arial" w:hAnsi="Arial"/>
          <w:sz w:val="17"/>
          <w:szCs w:val="17"/>
          <w:color w:val="auto"/>
        </w:rPr>
        <w:t>) business day after the record date for the Annual Meeting (in the case of the update and supplement required to be made as of the record date), and not later than the close of business on the eighth (8</w:t>
      </w:r>
      <w:r>
        <w:rPr>
          <w:rFonts w:ascii="Arial" w:cs="Arial" w:eastAsia="Arial" w:hAnsi="Arial"/>
          <w:sz w:val="19"/>
          <w:szCs w:val="19"/>
          <w:color w:val="auto"/>
          <w:vertAlign w:val="superscript"/>
        </w:rPr>
        <w:t>th</w:t>
      </w:r>
      <w:r>
        <w:rPr>
          <w:rFonts w:ascii="Arial" w:cs="Arial" w:eastAsia="Arial" w:hAnsi="Arial"/>
          <w:sz w:val="17"/>
          <w:szCs w:val="17"/>
          <w:color w:val="auto"/>
        </w:rPr>
        <w:t>) business day prior to the date of the Annual Meeting (in the case of the update and supplement required to be made as of ten (10) business days prior to the meeting).</w:t>
      </w:r>
    </w:p>
    <w:p>
      <w:pPr>
        <w:spacing w:after="0" w:line="115" w:lineRule="exact"/>
        <w:rPr>
          <w:rFonts w:ascii="Arial" w:cs="Arial" w:eastAsia="Arial" w:hAnsi="Arial"/>
          <w:sz w:val="17"/>
          <w:szCs w:val="17"/>
          <w:color w:val="auto"/>
        </w:rPr>
      </w:pPr>
    </w:p>
    <w:p>
      <w:pPr>
        <w:jc w:val="both"/>
        <w:ind w:left="460" w:right="459" w:firstLine="426"/>
        <w:spacing w:after="0" w:line="267" w:lineRule="auto"/>
        <w:tabs>
          <w:tab w:leader="none" w:pos="1155" w:val="left"/>
        </w:tabs>
        <w:numPr>
          <w:ilvl w:val="0"/>
          <w:numId w:val="397"/>
        </w:numPr>
        <w:rPr>
          <w:rFonts w:ascii="Arial" w:cs="Arial" w:eastAsia="Arial" w:hAnsi="Arial"/>
          <w:sz w:val="17"/>
          <w:szCs w:val="17"/>
          <w:color w:val="auto"/>
        </w:rPr>
      </w:pPr>
      <w:r>
        <w:rPr>
          <w:rFonts w:ascii="Arial" w:cs="Arial" w:eastAsia="Arial" w:hAnsi="Arial"/>
          <w:sz w:val="17"/>
          <w:szCs w:val="17"/>
          <w:color w:val="auto"/>
        </w:rPr>
        <w:t xml:space="preserve">Notwithstanding anything in the second sentence of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2(a)(2)</w:t>
      </w:r>
      <w:r>
        <w:rPr>
          <w:rFonts w:ascii="Arial" w:cs="Arial" w:eastAsia="Arial" w:hAnsi="Arial"/>
          <w:sz w:val="17"/>
          <w:szCs w:val="17"/>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2(a)(2)</w:t>
      </w:r>
      <w:r>
        <w:rPr>
          <w:rFonts w:ascii="Arial" w:cs="Arial" w:eastAsia="Arial" w:hAnsi="Arial"/>
          <w:sz w:val="17"/>
          <w:szCs w:val="17"/>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Arial" w:cs="Arial" w:eastAsia="Arial" w:hAnsi="Arial"/>
          <w:sz w:val="19"/>
          <w:szCs w:val="19"/>
          <w:color w:val="auto"/>
          <w:vertAlign w:val="superscript"/>
        </w:rPr>
        <w:t>th</w:t>
      </w:r>
      <w:r>
        <w:rPr>
          <w:rFonts w:ascii="Arial" w:cs="Arial" w:eastAsia="Arial" w:hAnsi="Arial"/>
          <w:sz w:val="17"/>
          <w:szCs w:val="17"/>
          <w:color w:val="auto"/>
        </w:rPr>
        <w:t>) day following the day on which such public announcement is first made by the 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4" w:name="page415"/>
    <w:bookmarkEnd w:id="41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140" w:hanging="254"/>
        <w:spacing w:after="0"/>
        <w:tabs>
          <w:tab w:leader="none" w:pos="114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426"/>
        <w:spacing w:after="0" w:line="284" w:lineRule="auto"/>
        <w:tabs>
          <w:tab w:leader="none" w:pos="1188" w:val="left"/>
        </w:tabs>
        <w:numPr>
          <w:ilvl w:val="0"/>
          <w:numId w:val="399"/>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Arial" w:cs="Arial" w:eastAsia="Arial" w:hAnsi="Arial"/>
          <w:sz w:val="16"/>
          <w:szCs w:val="16"/>
          <w:u w:val="single" w:color="auto"/>
          <w:color w:val="auto"/>
        </w:rPr>
        <w:t>Registration and Shareholder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 Agreement</w:t>
      </w:r>
      <w:r>
        <w:rPr>
          <w:rFonts w:ascii="Arial" w:cs="Arial" w:eastAsia="Arial" w:hAnsi="Arial"/>
          <w:sz w:val="16"/>
          <w:szCs w:val="16"/>
          <w:color w:val="auto"/>
        </w:rPr>
        <w:t>”) and the Voting Agreement, dated as of [•], 2020, by and among the Corporation and certain of its stockholders (as amended, modified and/or supplemented from time to time,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14" w:lineRule="exact"/>
        <w:rPr>
          <w:rFonts w:ascii="Arial" w:cs="Arial" w:eastAsia="Arial" w:hAnsi="Arial"/>
          <w:sz w:val="16"/>
          <w:szCs w:val="16"/>
          <w:color w:val="auto"/>
        </w:rPr>
      </w:pPr>
    </w:p>
    <w:p>
      <w:pPr>
        <w:jc w:val="both"/>
        <w:ind w:left="460" w:right="459" w:firstLine="426"/>
        <w:spacing w:after="0" w:line="257" w:lineRule="auto"/>
        <w:tabs>
          <w:tab w:leader="none" w:pos="114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the Registration and Shareholder Rights Agreement or the Voting Agreement, nothing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06" w:lineRule="exact"/>
        <w:rPr>
          <w:rFonts w:ascii="Arial" w:cs="Arial" w:eastAsia="Arial" w:hAnsi="Arial"/>
          <w:sz w:val="18"/>
          <w:szCs w:val="18"/>
          <w:color w:val="auto"/>
        </w:rPr>
      </w:pPr>
    </w:p>
    <w:p>
      <w:pPr>
        <w:jc w:val="both"/>
        <w:ind w:left="460" w:right="459" w:firstLine="426"/>
        <w:spacing w:after="0" w:line="270" w:lineRule="auto"/>
        <w:tabs>
          <w:tab w:leader="none" w:pos="116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w:t>
      </w:r>
      <w:r>
        <w:rPr>
          <w:rFonts w:ascii="Arial" w:cs="Arial" w:eastAsia="Arial" w:hAnsi="Arial"/>
          <w:sz w:val="17"/>
          <w:szCs w:val="17"/>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13" w:lineRule="exact"/>
        <w:rPr>
          <w:rFonts w:ascii="Arial" w:cs="Arial" w:eastAsia="Arial" w:hAnsi="Arial"/>
          <w:sz w:val="17"/>
          <w:szCs w:val="17"/>
          <w:color w:val="auto"/>
        </w:rPr>
      </w:pPr>
    </w:p>
    <w:p>
      <w:pPr>
        <w:jc w:val="both"/>
        <w:ind w:left="460" w:right="459" w:firstLine="426"/>
        <w:spacing w:after="0" w:line="259" w:lineRule="auto"/>
        <w:tabs>
          <w:tab w:leader="none" w:pos="118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19" w:lineRule="exact"/>
        <w:rPr>
          <w:rFonts w:ascii="Arial" w:cs="Arial" w:eastAsia="Arial" w:hAnsi="Arial"/>
          <w:sz w:val="18"/>
          <w:szCs w:val="18"/>
          <w:color w:val="auto"/>
        </w:rPr>
      </w:pPr>
    </w:p>
    <w:p>
      <w:pPr>
        <w:jc w:val="both"/>
        <w:ind w:left="460" w:right="479" w:firstLine="426"/>
        <w:spacing w:after="0" w:line="274" w:lineRule="auto"/>
        <w:tabs>
          <w:tab w:leader="none" w:pos="116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Arial" w:cs="Arial" w:eastAsia="Arial" w:hAnsi="Arial"/>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11" w:lineRule="exact"/>
        <w:rPr>
          <w:rFonts w:ascii="Arial" w:cs="Arial" w:eastAsia="Arial" w:hAnsi="Arial"/>
          <w:sz w:val="18"/>
          <w:szCs w:val="18"/>
          <w:color w:val="auto"/>
        </w:rPr>
      </w:pPr>
    </w:p>
    <w:p>
      <w:pPr>
        <w:jc w:val="both"/>
        <w:ind w:left="460" w:right="459" w:firstLine="426"/>
        <w:spacing w:after="0" w:line="272" w:lineRule="auto"/>
        <w:tabs>
          <w:tab w:leader="none" w:pos="1147" w:val="left"/>
        </w:tabs>
        <w:numPr>
          <w:ilvl w:val="1"/>
          <w:numId w:val="400"/>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5" w:name="page416"/>
    <w:bookmarkEnd w:id="41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these By-laws, in which case such special meeting in lieu thereof shall be deemed an Annual Meeting for purposes of these By-laws and the provisions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these By-laws shall govern such special meeting.</w:t>
      </w:r>
    </w:p>
    <w:p>
      <w:pPr>
        <w:spacing w:after="0" w:line="9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 of Meetings; Adjournments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426"/>
        <w:spacing w:after="0" w:line="271" w:lineRule="auto"/>
        <w:tabs>
          <w:tab w:leader="none" w:pos="1142"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jc w:val="both"/>
        <w:ind w:left="460" w:right="459" w:firstLine="426"/>
        <w:spacing w:after="0" w:line="263" w:lineRule="auto"/>
        <w:tabs>
          <w:tab w:leader="none" w:pos="115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102" w:lineRule="exact"/>
        <w:rPr>
          <w:rFonts w:ascii="Arial" w:cs="Arial" w:eastAsia="Arial" w:hAnsi="Arial"/>
          <w:sz w:val="18"/>
          <w:szCs w:val="18"/>
          <w:color w:val="auto"/>
        </w:rPr>
      </w:pPr>
    </w:p>
    <w:p>
      <w:pPr>
        <w:jc w:val="both"/>
        <w:ind w:left="460" w:right="459" w:firstLine="426"/>
        <w:spacing w:after="0" w:line="257" w:lineRule="auto"/>
        <w:tabs>
          <w:tab w:leader="none" w:pos="113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06" w:lineRule="exact"/>
        <w:rPr>
          <w:rFonts w:ascii="Arial" w:cs="Arial" w:eastAsia="Arial" w:hAnsi="Arial"/>
          <w:sz w:val="18"/>
          <w:szCs w:val="18"/>
          <w:color w:val="auto"/>
        </w:rPr>
      </w:pPr>
    </w:p>
    <w:p>
      <w:pPr>
        <w:jc w:val="both"/>
        <w:ind w:left="460" w:right="459" w:firstLine="426"/>
        <w:spacing w:after="0" w:line="273" w:lineRule="auto"/>
        <w:tabs>
          <w:tab w:leader="none" w:pos="1166"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w:t>
      </w:r>
    </w:p>
    <w:p>
      <w:pPr>
        <w:spacing w:after="0" w:line="96" w:lineRule="exact"/>
        <w:rPr>
          <w:rFonts w:ascii="Arial" w:cs="Arial" w:eastAsia="Arial" w:hAnsi="Arial"/>
          <w:sz w:val="17"/>
          <w:szCs w:val="17"/>
          <w:color w:val="auto"/>
        </w:rPr>
      </w:pPr>
    </w:p>
    <w:p>
      <w:pPr>
        <w:jc w:val="both"/>
        <w:ind w:left="460" w:right="459" w:firstLine="426"/>
        <w:spacing w:after="0" w:line="287" w:lineRule="auto"/>
        <w:tabs>
          <w:tab w:leader="none" w:pos="1161"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6" w:name="page417"/>
    <w:bookmarkEnd w:id="41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Arial" w:cs="Arial" w:eastAsia="Arial" w:hAnsi="Arial"/>
          <w:sz w:val="18"/>
          <w:szCs w:val="18"/>
          <w:u w:val="single" w:color="auto"/>
          <w:color w:val="auto"/>
        </w:rPr>
        <w:t>Certificate</w:t>
      </w:r>
      <w:r>
        <w:rPr>
          <w:rFonts w:ascii="Arial" w:cs="Arial" w:eastAsia="Arial" w:hAnsi="Arial"/>
          <w:sz w:val="18"/>
          <w:szCs w:val="18"/>
          <w:color w:val="auto"/>
        </w:rPr>
        <w:t>”) or these By-laws, is entitled to such notice.</w:t>
      </w:r>
    </w:p>
    <w:p>
      <w:pPr>
        <w:spacing w:after="0" w:line="10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Quorum</w:t>
      </w:r>
      <w:r>
        <w:rPr>
          <w:rFonts w:ascii="Arial" w:cs="Arial" w:eastAsia="Arial" w:hAnsi="Arial"/>
          <w:sz w:val="17"/>
          <w:szCs w:val="17"/>
          <w:color w:val="auto"/>
        </w:rPr>
        <w:t xml:space="preserve">.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w:t>
      </w:r>
      <w:r>
        <w:rPr>
          <w:rFonts w:ascii="Arial" w:cs="Arial" w:eastAsia="Arial" w:hAnsi="Arial"/>
          <w:sz w:val="17"/>
          <w:szCs w:val="17"/>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9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Voting and Proxies</w:t>
      </w:r>
      <w:r>
        <w:rPr>
          <w:rFonts w:ascii="Arial" w:cs="Arial" w:eastAsia="Arial" w:hAnsi="Arial"/>
          <w:sz w:val="16"/>
          <w:szCs w:val="16"/>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7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9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Stockholder Lists</w:t>
      </w:r>
      <w:r>
        <w:rPr>
          <w:rFonts w:ascii="Arial" w:cs="Arial" w:eastAsia="Arial" w:hAnsi="Arial"/>
          <w:sz w:val="17"/>
          <w:szCs w:val="17"/>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xml:space="preserve">.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Arial" w:cs="Arial" w:eastAsia="Arial" w:hAnsi="Arial"/>
          <w:sz w:val="17"/>
          <w:szCs w:val="17"/>
          <w:u w:val="single" w:color="auto"/>
          <w:color w:val="auto"/>
        </w:rPr>
        <w:t>Sections 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w:t>
      </w:r>
      <w:r>
        <w:rPr>
          <w:rFonts w:ascii="Arial" w:cs="Arial" w:eastAsia="Arial" w:hAnsi="Arial"/>
          <w:sz w:val="17"/>
          <w:szCs w:val="17"/>
          <w:color w:val="auto"/>
        </w:rPr>
        <w:t>. The order of business and all other matters of procedure at any meeting of the stockholders shall be determined by the presiding officer.</w:t>
      </w:r>
    </w:p>
    <w:p>
      <w:pPr>
        <w:spacing w:after="0" w:line="8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 of Elections</w:t>
      </w:r>
      <w:r>
        <w:rPr>
          <w:rFonts w:ascii="Arial" w:cs="Arial" w:eastAsia="Arial" w:hAnsi="Arial"/>
          <w:sz w:val="17"/>
          <w:szCs w:val="17"/>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7" w:name="page418"/>
    <w:bookmarkEnd w:id="41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Powers</w:t>
      </w:r>
      <w:r>
        <w:rPr>
          <w:rFonts w:ascii="Arial" w:cs="Arial" w:eastAsia="Arial" w:hAnsi="Arial"/>
          <w:sz w:val="17"/>
          <w:szCs w:val="17"/>
          <w:color w:val="auto"/>
        </w:rPr>
        <w:t>. The business and affairs of the Corporation shall be managed by or under the direction of the Board of Directors except as otherwise provided by the Certificate or required by law.</w:t>
      </w:r>
    </w:p>
    <w:p>
      <w:pPr>
        <w:spacing w:after="0" w:line="6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15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Vacancies</w:t>
      </w:r>
      <w:r>
        <w:rPr>
          <w:rFonts w:ascii="Arial" w:cs="Arial" w:eastAsia="Arial" w:hAnsi="Arial"/>
          <w:sz w:val="17"/>
          <w:szCs w:val="17"/>
          <w:color w:val="auto"/>
        </w:rPr>
        <w:t>. Vacancies in the Board of Directors shall be filled in the manner provided in the Certificate, the Registration and Shareholder Rights Agreement and the Voting Agreement.</w:t>
      </w:r>
    </w:p>
    <w:p>
      <w:pPr>
        <w:spacing w:after="0" w:line="6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 the Registration and Shareholder Rights Agreement and the Voting Agreement.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9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8" w:name="page419"/>
    <w:bookmarkEnd w:id="41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9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0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9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Manner of Participation</w:t>
      </w:r>
      <w:r>
        <w:rPr>
          <w:rFonts w:ascii="Arial" w:cs="Arial" w:eastAsia="Arial" w:hAnsi="Arial"/>
          <w:sz w:val="17"/>
          <w:szCs w:val="17"/>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Presiding Director</w:t>
      </w:r>
      <w:r>
        <w:rPr>
          <w:rFonts w:ascii="Arial" w:cs="Arial" w:eastAsia="Arial" w:hAnsi="Arial"/>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1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Committees</w:t>
      </w:r>
      <w:r>
        <w:rPr>
          <w:rFonts w:ascii="Arial" w:cs="Arial" w:eastAsia="Arial" w:hAnsi="Arial"/>
          <w:sz w:val="16"/>
          <w:szCs w:val="16"/>
          <w:color w:val="auto"/>
        </w:rPr>
        <w:t>.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0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0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9" w:name="page420"/>
    <w:bookmarkEnd w:id="41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a director. Any person may occupy more than one office of the Corporation at any time.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16"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Absence or Disability</w:t>
      </w:r>
      <w:r>
        <w:rPr>
          <w:rFonts w:ascii="Arial" w:cs="Arial" w:eastAsia="Arial" w:hAnsi="Arial"/>
          <w:sz w:val="17"/>
          <w:szCs w:val="17"/>
          <w:color w:val="auto"/>
        </w:rPr>
        <w:t>. In the event of the absence or disability of any officer, the Board of Directors may designate another officer to act temporarily in place of such absent or disabled officer.</w:t>
      </w:r>
    </w:p>
    <w:p>
      <w:pPr>
        <w:spacing w:after="0" w:line="7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89"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subject to the direction of the Board of Directors, have such powers and shall perform such duties as the Board of Directors may from time to time designate.</w:t>
      </w:r>
    </w:p>
    <w:p>
      <w:pPr>
        <w:spacing w:after="0" w:line="79"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Chairman of the Board, if one is elected, shall have such powers and shall perform such duties as the Board of Directors may from time to time designate.</w:t>
      </w:r>
    </w:p>
    <w:p>
      <w:pPr>
        <w:spacing w:after="0" w:line="79"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if one is elected, shall have such powers and shall perform such duties as the Board of Directors may from time to time designate.</w:t>
      </w:r>
    </w:p>
    <w:p>
      <w:pPr>
        <w:spacing w:after="0" w:line="65"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1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9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9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0" w:name="page421"/>
    <w:bookmarkEnd w:id="42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Arial" w:cs="Arial" w:eastAsia="Arial" w:hAnsi="Arial"/>
          <w:sz w:val="16"/>
          <w:szCs w:val="16"/>
          <w:b w:val="1"/>
          <w:bCs w:val="1"/>
          <w:color w:val="auto"/>
        </w:rPr>
        <w:t>Notwithstanding anything to</w:t>
      </w:r>
      <w:r>
        <w:rPr>
          <w:rFonts w:ascii="Arial" w:cs="Arial" w:eastAsia="Arial" w:hAnsi="Arial"/>
          <w:sz w:val="16"/>
          <w:szCs w:val="16"/>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0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Transfers</w:t>
      </w:r>
      <w:r>
        <w:rPr>
          <w:rFonts w:ascii="Arial" w:cs="Arial" w:eastAsia="Arial" w:hAnsi="Arial"/>
          <w:sz w:val="16"/>
          <w:szCs w:val="16"/>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9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Record Holders</w:t>
      </w:r>
      <w:r>
        <w:rPr>
          <w:rFonts w:ascii="Arial" w:cs="Arial" w:eastAsia="Arial" w:hAnsi="Arial"/>
          <w:sz w:val="17"/>
          <w:szCs w:val="17"/>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1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1" w:name="page422"/>
    <w:bookmarkEnd w:id="42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131" w:lineRule="exact"/>
        <w:rPr>
          <w:sz w:val="20"/>
          <w:szCs w:val="20"/>
          <w:color w:val="auto"/>
        </w:rPr>
      </w:pPr>
    </w:p>
    <w:p>
      <w:pPr>
        <w:jc w:val="both"/>
        <w:ind w:left="460" w:right="459" w:firstLine="426"/>
        <w:spacing w:after="0" w:line="287" w:lineRule="auto"/>
        <w:tabs>
          <w:tab w:leader="none" w:pos="1137" w:val="left"/>
        </w:tabs>
        <w:numPr>
          <w:ilvl w:val="0"/>
          <w:numId w:val="4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Arial" w:cs="Arial" w:eastAsia="Arial" w:hAnsi="Arial"/>
          <w:sz w:val="16"/>
          <w:szCs w:val="16"/>
          <w:u w:val="single" w:color="auto"/>
          <w:color w:val="auto"/>
        </w:rPr>
        <w:t>Section 1(a)</w:t>
      </w:r>
      <w:r>
        <w:rPr>
          <w:rFonts w:ascii="Arial" w:cs="Arial" w:eastAsia="Arial" w:hAnsi="Arial"/>
          <w:sz w:val="16"/>
          <w:szCs w:val="16"/>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90" w:lineRule="exact"/>
        <w:rPr>
          <w:rFonts w:ascii="Arial" w:cs="Arial" w:eastAsia="Arial" w:hAnsi="Arial"/>
          <w:sz w:val="16"/>
          <w:szCs w:val="16"/>
          <w:color w:val="auto"/>
        </w:rPr>
      </w:pPr>
    </w:p>
    <w:p>
      <w:pPr>
        <w:jc w:val="both"/>
        <w:ind w:left="460" w:right="459" w:firstLine="426"/>
        <w:spacing w:after="0" w:line="263" w:lineRule="auto"/>
        <w:tabs>
          <w:tab w:leader="none" w:pos="11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89" w:lineRule="exact"/>
        <w:rPr>
          <w:rFonts w:ascii="Arial" w:cs="Arial" w:eastAsia="Arial" w:hAnsi="Arial"/>
          <w:sz w:val="18"/>
          <w:szCs w:val="18"/>
          <w:color w:val="auto"/>
        </w:rPr>
      </w:pPr>
    </w:p>
    <w:p>
      <w:pPr>
        <w:ind w:left="460" w:right="479" w:firstLine="426"/>
        <w:spacing w:after="0" w:line="342" w:lineRule="auto"/>
        <w:tabs>
          <w:tab w:leader="none" w:pos="1137" w:val="left"/>
        </w:tabs>
        <w:numPr>
          <w:ilvl w:val="0"/>
          <w:numId w:val="4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Disinterested Director</w:t>
      </w:r>
      <w:r>
        <w:rPr>
          <w:rFonts w:ascii="Arial" w:cs="Arial" w:eastAsia="Arial" w:hAnsi="Arial"/>
          <w:sz w:val="16"/>
          <w:szCs w:val="16"/>
          <w:color w:val="auto"/>
        </w:rPr>
        <w:t>” means, with respect to each Proceeding in respect of which indemnification is sought hereunder, a Director of the Corporation who is not and was not a party to such Proceeding;</w:t>
      </w:r>
    </w:p>
    <w:p>
      <w:pPr>
        <w:spacing w:after="0" w:line="29" w:lineRule="exact"/>
        <w:rPr>
          <w:rFonts w:ascii="Arial" w:cs="Arial" w:eastAsia="Arial" w:hAnsi="Arial"/>
          <w:sz w:val="16"/>
          <w:szCs w:val="16"/>
          <w:color w:val="auto"/>
        </w:rPr>
      </w:pPr>
    </w:p>
    <w:p>
      <w:pPr>
        <w:jc w:val="both"/>
        <w:ind w:left="460" w:right="459" w:firstLine="426"/>
        <w:spacing w:after="0" w:line="271" w:lineRule="auto"/>
        <w:tabs>
          <w:tab w:leader="none" w:pos="1147" w:val="left"/>
        </w:tabs>
        <w:numPr>
          <w:ilvl w:val="0"/>
          <w:numId w:val="4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97" w:lineRule="exact"/>
        <w:rPr>
          <w:rFonts w:ascii="Arial" w:cs="Arial" w:eastAsia="Arial" w:hAnsi="Arial"/>
          <w:sz w:val="17"/>
          <w:szCs w:val="17"/>
          <w:color w:val="auto"/>
        </w:rPr>
      </w:pPr>
    </w:p>
    <w:p>
      <w:pPr>
        <w:ind w:left="460" w:right="479" w:firstLine="426"/>
        <w:spacing w:after="0" w:line="277" w:lineRule="auto"/>
        <w:tabs>
          <w:tab w:leader="none" w:pos="113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judgments, damages, liabilities, losses, penalties, excise taxes, fines and amounts paid in settlement;</w:t>
      </w:r>
    </w:p>
    <w:p>
      <w:pPr>
        <w:spacing w:after="0" w:line="75" w:lineRule="exact"/>
        <w:rPr>
          <w:rFonts w:ascii="Arial" w:cs="Arial" w:eastAsia="Arial" w:hAnsi="Arial"/>
          <w:sz w:val="18"/>
          <w:szCs w:val="18"/>
          <w:color w:val="auto"/>
        </w:rPr>
      </w:pPr>
    </w:p>
    <w:p>
      <w:pPr>
        <w:ind w:left="460" w:right="479" w:firstLine="426"/>
        <w:spacing w:after="0" w:line="277" w:lineRule="auto"/>
        <w:tabs>
          <w:tab w:leader="none" w:pos="111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Non-Officer Employee</w:t>
      </w:r>
      <w:r>
        <w:rPr>
          <w:rFonts w:ascii="Arial" w:cs="Arial" w:eastAsia="Arial" w:hAnsi="Arial"/>
          <w:sz w:val="18"/>
          <w:szCs w:val="18"/>
          <w:color w:val="auto"/>
        </w:rPr>
        <w:t>” means any person who serves or has served as an employee or agent of the Corporation, but who is not or was not a Director or Officer;</w:t>
      </w:r>
    </w:p>
    <w:p>
      <w:pPr>
        <w:spacing w:after="0" w:line="75" w:lineRule="exact"/>
        <w:rPr>
          <w:rFonts w:ascii="Arial" w:cs="Arial" w:eastAsia="Arial" w:hAnsi="Arial"/>
          <w:sz w:val="18"/>
          <w:szCs w:val="18"/>
          <w:color w:val="auto"/>
        </w:rPr>
      </w:pPr>
    </w:p>
    <w:p>
      <w:pPr>
        <w:jc w:val="both"/>
        <w:ind w:left="460" w:right="479" w:firstLine="426"/>
        <w:spacing w:after="0" w:line="263" w:lineRule="auto"/>
        <w:tabs>
          <w:tab w:leader="none" w:pos="11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102" w:lineRule="exact"/>
        <w:rPr>
          <w:rFonts w:ascii="Arial" w:cs="Arial" w:eastAsia="Arial" w:hAnsi="Arial"/>
          <w:sz w:val="18"/>
          <w:szCs w:val="18"/>
          <w:color w:val="auto"/>
        </w:rPr>
      </w:pPr>
    </w:p>
    <w:p>
      <w:pPr>
        <w:jc w:val="both"/>
        <w:ind w:left="460" w:right="459" w:firstLine="426"/>
        <w:spacing w:after="0" w:line="263" w:lineRule="auto"/>
        <w:tabs>
          <w:tab w:leader="none" w:pos="1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89" w:lineRule="exact"/>
        <w:rPr>
          <w:rFonts w:ascii="Arial" w:cs="Arial" w:eastAsia="Arial" w:hAnsi="Arial"/>
          <w:sz w:val="18"/>
          <w:szCs w:val="18"/>
          <w:color w:val="auto"/>
        </w:rPr>
      </w:pPr>
    </w:p>
    <w:p>
      <w:pPr>
        <w:jc w:val="both"/>
        <w:ind w:left="460" w:right="459" w:firstLine="426"/>
        <w:spacing w:after="0" w:line="254" w:lineRule="auto"/>
        <w:tabs>
          <w:tab w:leader="none" w:pos="110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426"/>
        <w:spacing w:after="0" w:line="296" w:lineRule="auto"/>
        <w:tabs>
          <w:tab w:leader="none" w:pos="1137" w:val="left"/>
        </w:tabs>
        <w:numPr>
          <w:ilvl w:val="0"/>
          <w:numId w:val="403"/>
        </w:numPr>
        <w:rPr>
          <w:rFonts w:ascii="Arial" w:cs="Arial" w:eastAsia="Arial" w:hAnsi="Arial"/>
          <w:sz w:val="16"/>
          <w:szCs w:val="16"/>
          <w:color w:val="auto"/>
        </w:rPr>
      </w:pPr>
      <w:r>
        <w:rPr>
          <w:rFonts w:ascii="Arial" w:cs="Arial" w:eastAsia="Arial" w:hAnsi="Arial"/>
          <w:sz w:val="16"/>
          <w:szCs w:val="16"/>
          <w:color w:val="auto"/>
        </w:rPr>
        <w:t xml:space="preserve">Subject to the operation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2" w:name="page423"/>
    <w:bookmarkEnd w:id="42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70" w:lineRule="auto"/>
        <w:tabs>
          <w:tab w:leader="none" w:pos="1567"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Other than By or In the Right of the Corporation</w:t>
      </w:r>
      <w:r>
        <w:rPr>
          <w:rFonts w:ascii="Arial" w:cs="Arial" w:eastAsia="Arial" w:hAnsi="Arial"/>
          <w:sz w:val="17"/>
          <w:szCs w:val="17"/>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13" w:lineRule="exact"/>
        <w:rPr>
          <w:rFonts w:ascii="Arial" w:cs="Arial" w:eastAsia="Arial" w:hAnsi="Arial"/>
          <w:sz w:val="17"/>
          <w:szCs w:val="17"/>
          <w:color w:val="auto"/>
        </w:rPr>
      </w:pPr>
    </w:p>
    <w:p>
      <w:pPr>
        <w:jc w:val="both"/>
        <w:ind w:left="880" w:right="459" w:firstLine="438"/>
        <w:spacing w:after="0" w:line="286" w:lineRule="auto"/>
        <w:tabs>
          <w:tab w:leader="none" w:pos="1567"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Arial" w:cs="Arial" w:eastAsia="Arial" w:hAnsi="Arial"/>
          <w:sz w:val="16"/>
          <w:szCs w:val="16"/>
          <w:u w:val="single" w:color="auto"/>
          <w:color w:val="auto"/>
        </w:rPr>
        <w:t>Section 2(a)(2)</w:t>
      </w:r>
      <w:r>
        <w:rPr>
          <w:rFonts w:ascii="Arial" w:cs="Arial" w:eastAsia="Arial" w:hAnsi="Arial"/>
          <w:sz w:val="16"/>
          <w:szCs w:val="16"/>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06" w:lineRule="exact"/>
        <w:rPr>
          <w:rFonts w:ascii="Arial" w:cs="Arial" w:eastAsia="Arial" w:hAnsi="Arial"/>
          <w:sz w:val="16"/>
          <w:szCs w:val="16"/>
          <w:color w:val="auto"/>
        </w:rPr>
      </w:pPr>
    </w:p>
    <w:p>
      <w:pPr>
        <w:jc w:val="both"/>
        <w:ind w:left="880" w:right="459" w:firstLine="438"/>
        <w:spacing w:after="0" w:line="286" w:lineRule="auto"/>
        <w:tabs>
          <w:tab w:leader="none" w:pos="1567"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Survival of Rights</w:t>
      </w:r>
      <w:r>
        <w:rPr>
          <w:rFonts w:ascii="Arial" w:cs="Arial" w:eastAsia="Arial" w:hAnsi="Arial"/>
          <w:sz w:val="17"/>
          <w:szCs w:val="17"/>
          <w:color w:val="auto"/>
        </w:rPr>
        <w:t xml:space="preserve">. The rights of indemnification provided by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84" w:lineRule="exact"/>
        <w:rPr>
          <w:rFonts w:ascii="Arial" w:cs="Arial" w:eastAsia="Arial" w:hAnsi="Arial"/>
          <w:sz w:val="17"/>
          <w:szCs w:val="17"/>
          <w:color w:val="auto"/>
        </w:rPr>
      </w:pPr>
    </w:p>
    <w:p>
      <w:pPr>
        <w:jc w:val="both"/>
        <w:ind w:left="880" w:right="479" w:firstLine="438"/>
        <w:spacing w:after="0" w:line="293" w:lineRule="auto"/>
        <w:tabs>
          <w:tab w:leader="none" w:pos="1634"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Actions by Directors or Officers</w:t>
      </w:r>
      <w:r>
        <w:rPr>
          <w:rFonts w:ascii="Arial" w:cs="Arial" w:eastAsia="Arial" w:hAnsi="Arial"/>
          <w:sz w:val="16"/>
          <w:szCs w:val="16"/>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9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xml:space="preserve">. Subject to the operation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1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Determination</w:t>
      </w:r>
      <w:r>
        <w:rPr>
          <w:rFonts w:ascii="Arial" w:cs="Arial" w:eastAsia="Arial" w:hAnsi="Arial"/>
          <w:sz w:val="17"/>
          <w:szCs w:val="17"/>
          <w:color w:val="auto"/>
        </w:rPr>
        <w:t xml:space="preserve">. Unless ordered by a court, no indemnification shall be provided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3" w:name="page424"/>
    <w:bookmarkEnd w:id="42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426"/>
        <w:spacing w:after="0" w:line="283" w:lineRule="auto"/>
        <w:tabs>
          <w:tab w:leader="none" w:pos="1156"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authorized by the Board of Directors, or (ii) brought to enforce such Director’s rights to indemnification or advancement of Expenses under these By-laws.</w:t>
      </w:r>
    </w:p>
    <w:p>
      <w:pPr>
        <w:spacing w:after="0" w:line="104" w:lineRule="exact"/>
        <w:rPr>
          <w:rFonts w:ascii="Arial" w:cs="Arial" w:eastAsia="Arial" w:hAnsi="Arial"/>
          <w:sz w:val="18"/>
          <w:szCs w:val="18"/>
          <w:color w:val="auto"/>
        </w:rPr>
      </w:pPr>
    </w:p>
    <w:p>
      <w:pPr>
        <w:jc w:val="both"/>
        <w:ind w:left="460" w:right="459" w:firstLine="426"/>
        <w:spacing w:after="0" w:line="269" w:lineRule="auto"/>
        <w:tabs>
          <w:tab w:leader="none" w:pos="1152" w:val="left"/>
        </w:tabs>
        <w:numPr>
          <w:ilvl w:val="1"/>
          <w:numId w:val="406"/>
        </w:numPr>
        <w:rPr>
          <w:rFonts w:ascii="Arial" w:cs="Arial" w:eastAsia="Arial" w:hAnsi="Arial"/>
          <w:sz w:val="17"/>
          <w:szCs w:val="17"/>
          <w:color w:val="auto"/>
        </w:rPr>
      </w:pPr>
      <w:r>
        <w:rPr>
          <w:rFonts w:ascii="Arial" w:cs="Arial" w:eastAsia="Arial" w:hAnsi="Arial"/>
          <w:sz w:val="17"/>
          <w:szCs w:val="17"/>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17" w:lineRule="exact"/>
        <w:rPr>
          <w:rFonts w:ascii="Arial" w:cs="Arial" w:eastAsia="Arial" w:hAnsi="Arial"/>
          <w:sz w:val="17"/>
          <w:szCs w:val="17"/>
          <w:color w:val="auto"/>
        </w:rPr>
      </w:pPr>
    </w:p>
    <w:p>
      <w:pPr>
        <w:jc w:val="both"/>
        <w:ind w:left="460" w:right="479" w:firstLine="426"/>
        <w:spacing w:after="0" w:line="286" w:lineRule="auto"/>
        <w:tabs>
          <w:tab w:leader="none" w:pos="1138" w:val="left"/>
        </w:tabs>
        <w:numPr>
          <w:ilvl w:val="1"/>
          <w:numId w:val="406"/>
        </w:numPr>
        <w:rPr>
          <w:rFonts w:ascii="Arial" w:cs="Arial" w:eastAsia="Arial" w:hAnsi="Arial"/>
          <w:sz w:val="17"/>
          <w:szCs w:val="17"/>
          <w:color w:val="auto"/>
        </w:rPr>
      </w:pPr>
      <w:r>
        <w:rPr>
          <w:rFonts w:ascii="Arial" w:cs="Arial" w:eastAsia="Arial" w:hAnsi="Arial"/>
          <w:sz w:val="17"/>
          <w:szCs w:val="17"/>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9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Advancement of Expenses to Officers and Non-Officer Employees Prior to 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Disposition</w:t>
      </w:r>
      <w:r>
        <w:rPr>
          <w:rFonts w:ascii="Arial" w:cs="Arial" w:eastAsia="Arial" w:hAnsi="Arial"/>
          <w:sz w:val="18"/>
          <w:szCs w:val="18"/>
          <w:color w:val="auto"/>
        </w:rPr>
        <w:t>.</w:t>
      </w:r>
    </w:p>
    <w:p>
      <w:pPr>
        <w:spacing w:after="0" w:line="89" w:lineRule="exact"/>
        <w:rPr>
          <w:sz w:val="20"/>
          <w:szCs w:val="20"/>
          <w:color w:val="auto"/>
        </w:rPr>
      </w:pPr>
    </w:p>
    <w:p>
      <w:pPr>
        <w:jc w:val="both"/>
        <w:ind w:left="460" w:right="459" w:firstLine="426"/>
        <w:spacing w:after="0" w:line="270" w:lineRule="auto"/>
        <w:tabs>
          <w:tab w:leader="none" w:pos="1137"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13" w:lineRule="exact"/>
        <w:rPr>
          <w:rFonts w:ascii="Arial" w:cs="Arial" w:eastAsia="Arial" w:hAnsi="Arial"/>
          <w:sz w:val="17"/>
          <w:szCs w:val="17"/>
          <w:color w:val="auto"/>
        </w:rPr>
      </w:pPr>
    </w:p>
    <w:p>
      <w:pPr>
        <w:jc w:val="both"/>
        <w:ind w:left="460" w:right="479" w:firstLine="426"/>
        <w:spacing w:after="0" w:line="259" w:lineRule="auto"/>
        <w:tabs>
          <w:tab w:leader="none" w:pos="114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426"/>
        <w:spacing w:after="0" w:line="287" w:lineRule="auto"/>
        <w:tabs>
          <w:tab w:leader="none" w:pos="115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 deemed to be a contract between the Corporation and each Director and Officer entitled to the benefits hereof at any time while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in effect, in consideration of such person’s past or current and any future performance of services for the Corporation. Neither amendment, repeal or modification of any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nor the adoption of any provision of the Certificate of Incorporation inconsistent with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eliminate or reduce any right conferred by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4" w:name="page425"/>
    <w:bookmarkEnd w:id="42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 xml:space="preserve">indemnification and to advancement of expenses provided by, or granted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98" w:lineRule="exact"/>
        <w:rPr>
          <w:sz w:val="20"/>
          <w:szCs w:val="20"/>
          <w:color w:val="auto"/>
        </w:rPr>
      </w:pPr>
    </w:p>
    <w:p>
      <w:pPr>
        <w:jc w:val="both"/>
        <w:ind w:left="460" w:right="459" w:firstLine="426"/>
        <w:spacing w:after="0" w:line="287" w:lineRule="auto"/>
        <w:tabs>
          <w:tab w:leader="none" w:pos="1175" w:val="left"/>
        </w:tabs>
        <w:numPr>
          <w:ilvl w:val="0"/>
          <w:numId w:val="409"/>
        </w:numPr>
        <w:rPr>
          <w:rFonts w:ascii="Arial" w:cs="Arial" w:eastAsia="Arial" w:hAnsi="Arial"/>
          <w:sz w:val="16"/>
          <w:szCs w:val="16"/>
          <w:color w:val="auto"/>
        </w:rPr>
      </w:pPr>
      <w:r>
        <w:rPr>
          <w:rFonts w:ascii="Arial" w:cs="Arial" w:eastAsia="Arial" w:hAnsi="Arial"/>
          <w:sz w:val="16"/>
          <w:szCs w:val="16"/>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04" w:lineRule="exact"/>
        <w:rPr>
          <w:rFonts w:ascii="Arial" w:cs="Arial" w:eastAsia="Arial" w:hAnsi="Arial"/>
          <w:sz w:val="16"/>
          <w:szCs w:val="16"/>
          <w:color w:val="auto"/>
        </w:rPr>
      </w:pPr>
    </w:p>
    <w:p>
      <w:pPr>
        <w:jc w:val="both"/>
        <w:ind w:left="460" w:right="459" w:firstLine="426"/>
        <w:spacing w:after="0" w:line="263" w:lineRule="auto"/>
        <w:tabs>
          <w:tab w:leader="none" w:pos="1142"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to indemnification and to advancement of Expenses set forth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10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Arial" w:cs="Arial" w:eastAsia="Arial" w:hAnsi="Arial"/>
          <w:sz w:val="17"/>
          <w:szCs w:val="17"/>
          <w:u w:val="single" w:color="auto"/>
          <w:color w:val="auto"/>
        </w:rPr>
        <w:t>Primary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Indemnitor</w:t>
      </w:r>
      <w:r>
        <w:rPr>
          <w:rFonts w:ascii="Arial" w:cs="Arial" w:eastAsia="Arial" w:hAnsi="Arial"/>
          <w:sz w:val="17"/>
          <w:szCs w:val="17"/>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shall have power to adopt and alter the seal of the Corporation.</w:t>
      </w:r>
    </w:p>
    <w:p>
      <w:pPr>
        <w:spacing w:after="0" w:line="18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5" w:name="page426"/>
    <w:bookmarkEnd w:id="42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Corporate Records</w:t>
      </w:r>
      <w:r>
        <w:rPr>
          <w:rFonts w:ascii="Arial" w:cs="Arial" w:eastAsia="Arial" w:hAnsi="Arial"/>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1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1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Exclusive Jurisdiction</w:t>
      </w:r>
      <w:r>
        <w:rPr>
          <w:rFonts w:ascii="Arial" w:cs="Arial" w:eastAsia="Arial" w:hAnsi="Arial"/>
          <w:sz w:val="17"/>
          <w:szCs w:val="17"/>
          <w:color w:val="auto"/>
        </w:rPr>
        <w:t xml:space="preserve">.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426"/>
        <w:spacing w:after="0" w:line="263" w:lineRule="auto"/>
        <w:tabs>
          <w:tab w:leader="none" w:pos="1150"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16" w:lineRule="exact"/>
        <w:rPr>
          <w:rFonts w:ascii="Arial" w:cs="Arial" w:eastAsia="Arial" w:hAnsi="Arial"/>
          <w:sz w:val="18"/>
          <w:szCs w:val="18"/>
          <w:color w:val="auto"/>
        </w:rPr>
      </w:pPr>
    </w:p>
    <w:p>
      <w:pPr>
        <w:jc w:val="both"/>
        <w:ind w:left="460" w:right="459" w:firstLine="426"/>
        <w:spacing w:after="0" w:line="296" w:lineRule="auto"/>
        <w:tabs>
          <w:tab w:leader="none" w:pos="1147"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9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Notices</w:t>
      </w:r>
      <w:r>
        <w:rPr>
          <w:rFonts w:ascii="Arial" w:cs="Arial" w:eastAsia="Arial" w:hAnsi="Arial"/>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0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6" w:name="page427"/>
    <w:bookmarkEnd w:id="42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7660"/>
        <w:spacing w:after="0"/>
        <w:rPr>
          <w:sz w:val="20"/>
          <w:szCs w:val="20"/>
          <w:color w:val="auto"/>
        </w:rPr>
      </w:pPr>
      <w:r>
        <w:rPr>
          <w:rFonts w:ascii="Arial" w:cs="Arial" w:eastAsia="Arial" w:hAnsi="Arial"/>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Arial" w:cs="Arial" w:eastAsia="Arial" w:hAnsi="Arial"/>
          <w:sz w:val="18"/>
          <w:szCs w:val="18"/>
          <w:b w:val="1"/>
          <w:bCs w:val="1"/>
          <w:color w:val="auto"/>
        </w:rPr>
        <w:t xml:space="preserve">2020 STOCK OPTION AND INCENTIVE PLAN </w:t>
      </w: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performing the functions of the compensation committee and which is comprised of not less than two Non-Employee Directors who are independent.</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16"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Award granted under the Plan. Each Award Certificate is subject to the terms and conditions of the Plan.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 xml:space="preserve">“Cash-Based Award” </w:t>
      </w:r>
      <w:r>
        <w:rPr>
          <w:rFonts w:ascii="Arial" w:cs="Arial" w:eastAsia="Arial" w:hAnsi="Arial"/>
          <w:sz w:val="17"/>
          <w:szCs w:val="17"/>
          <w:color w:val="auto"/>
        </w:rPr>
        <w:t>means an Award entitling the recipient to receive a cash-denominated payment.</w:t>
      </w:r>
    </w:p>
    <w:p>
      <w:pPr>
        <w:spacing w:after="0" w:line="169"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Date</w:t>
      </w:r>
      <w:r>
        <w:rPr>
          <w:rFonts w:ascii="Arial" w:cs="Arial" w:eastAsia="Arial" w:hAnsi="Arial"/>
          <w:sz w:val="17"/>
          <w:szCs w:val="17"/>
          <w:color w:val="auto"/>
        </w:rPr>
        <w:t>” means the date of the closing of the transactions contemplated by that certain Merger Agreement, dated as of October 15, 2020, by and among the Company and the other parties thereto.</w:t>
      </w:r>
    </w:p>
    <w:p>
      <w:pPr>
        <w:spacing w:after="0" w:line="6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Code,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rules, regulations and interpretations.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as an independent contractor and who qualifies as a consultant or advisor under Instruction A.1.(a)(1) of Form S-8 under the Act.</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means an Award entitling the grantee to receive credits based on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7" w:name="page428"/>
    <w:bookmarkEnd w:id="42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of the Stock on any given date means the fair market value of the Stock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9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Section 422 of the Code.</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or</w:t>
      </w:r>
      <w:r>
        <w:rPr>
          <w:rFonts w:ascii="Arial" w:cs="Arial" w:eastAsia="Arial" w:hAnsi="Arial"/>
          <w:sz w:val="16"/>
          <w:szCs w:val="16"/>
          <w:i w:val="1"/>
          <w:iCs w:val="1"/>
          <w:color w:val="auto"/>
        </w:rPr>
        <w:t xml:space="preserve"> “Stock Option” </w:t>
      </w:r>
      <w:r>
        <w:rPr>
          <w:rFonts w:ascii="Arial" w:cs="Arial" w:eastAsia="Arial" w:hAnsi="Arial"/>
          <w:sz w:val="16"/>
          <w:szCs w:val="16"/>
          <w:color w:val="auto"/>
        </w:rPr>
        <w:t>means any option to purchase shares of Stock granted pursuant to Section 5.</w:t>
      </w:r>
    </w:p>
    <w:p>
      <w:pPr>
        <w:spacing w:after="0" w:line="18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risk of forfeiture or the Company’s right of repurchase.</w:t>
      </w:r>
    </w:p>
    <w:p>
      <w:pPr>
        <w:spacing w:after="0" w:line="8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Administrator may determine at the time of grant.</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determine at the time of grant.</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means (i) the sale of all or substantially all of the assets of the Company on a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i w:val="1"/>
          <w:iCs w:val="1"/>
          <w:color w:val="auto"/>
        </w:rPr>
        <w:t xml:space="preserve">“Service Relationship” </w:t>
      </w:r>
      <w:r>
        <w:rPr>
          <w:rFonts w:ascii="Arial" w:cs="Arial" w:eastAsia="Arial" w:hAnsi="Arial"/>
          <w:sz w:val="17"/>
          <w:szCs w:val="17"/>
          <w:color w:val="auto"/>
        </w:rPr>
        <w:t>means any relationship as an employee, director or Consultant of the Company or</w:t>
      </w:r>
      <w:r>
        <w:rPr>
          <w:rFonts w:ascii="Arial" w:cs="Arial" w:eastAsia="Arial" w:hAnsi="Arial"/>
          <w:sz w:val="17"/>
          <w:szCs w:val="17"/>
          <w:i w:val="1"/>
          <w:iCs w:val="1"/>
          <w:color w:val="auto"/>
        </w:rPr>
        <w:t xml:space="preserve"> </w:t>
      </w:r>
      <w:r>
        <w:rPr>
          <w:rFonts w:ascii="Arial" w:cs="Arial" w:eastAsia="Arial" w:hAnsi="Arial"/>
          <w:sz w:val="17"/>
          <w:szCs w:val="17"/>
          <w:color w:val="auto"/>
        </w:rPr>
        <w:t>any Affiliate (e.g., a Service Relationship shall be deemed to continue without interruption in the event an individual’s status changes from full-time employee to part-time employee or Consultant).</w:t>
      </w:r>
    </w:p>
    <w:p>
      <w:pPr>
        <w:spacing w:after="0" w:line="8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$0.0001 per share, of the Company, subject to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3.</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(or cash,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2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 50 percent interest, either directly or indirectly.</w:t>
      </w:r>
    </w:p>
    <w:p>
      <w:pPr>
        <w:spacing w:after="0" w:line="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rules of Section 424(d) of the Code) more than 10 percent of the combined voting power of all classes of stock of the Company or any parent or subsidiary corporation.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8" w:name="page429"/>
    <w:bookmarkEnd w:id="42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SECTION 2. ADMINISTRATION OF PLAN; ADMINISTRATOR AUTHORITY TO SELECT GRANTEES AND DETERMINE AWARDS</w:t>
      </w:r>
    </w:p>
    <w:p>
      <w:pPr>
        <w:spacing w:after="0" w:line="103" w:lineRule="exact"/>
        <w:rPr>
          <w:sz w:val="20"/>
          <w:szCs w:val="20"/>
          <w:color w:val="auto"/>
        </w:rPr>
      </w:pPr>
    </w:p>
    <w:p>
      <w:pPr>
        <w:ind w:left="1140" w:hanging="254"/>
        <w:spacing w:after="0"/>
        <w:tabs>
          <w:tab w:leader="none" w:pos="114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57" w:lineRule="exact"/>
        <w:rPr>
          <w:rFonts w:ascii="Arial" w:cs="Arial" w:eastAsia="Arial" w:hAnsi="Arial"/>
          <w:sz w:val="18"/>
          <w:szCs w:val="18"/>
          <w:color w:val="auto"/>
        </w:rPr>
      </w:pPr>
    </w:p>
    <w:p>
      <w:pPr>
        <w:ind w:left="460" w:right="479" w:firstLine="426"/>
        <w:spacing w:after="0" w:line="277" w:lineRule="auto"/>
        <w:tabs>
          <w:tab w:leader="none" w:pos="1174"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89" w:lineRule="exact"/>
        <w:rPr>
          <w:rFonts w:ascii="Arial" w:cs="Arial" w:eastAsia="Arial" w:hAnsi="Arial"/>
          <w:sz w:val="18"/>
          <w:szCs w:val="18"/>
          <w:color w:val="auto"/>
        </w:rPr>
      </w:pPr>
    </w:p>
    <w:p>
      <w:pPr>
        <w:ind w:left="1540" w:hanging="222"/>
        <w:spacing w:after="0"/>
        <w:tabs>
          <w:tab w:leader="none" w:pos="154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57" w:lineRule="exact"/>
        <w:rPr>
          <w:rFonts w:ascii="Arial" w:cs="Arial" w:eastAsia="Arial" w:hAnsi="Arial"/>
          <w:sz w:val="18"/>
          <w:szCs w:val="18"/>
          <w:color w:val="auto"/>
        </w:rPr>
      </w:pPr>
    </w:p>
    <w:p>
      <w:pPr>
        <w:jc w:val="both"/>
        <w:ind w:left="460" w:right="459" w:firstLine="858"/>
        <w:spacing w:after="0" w:line="259" w:lineRule="auto"/>
        <w:tabs>
          <w:tab w:leader="none" w:pos="1596"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9" w:lineRule="exact"/>
        <w:rPr>
          <w:rFonts w:ascii="Arial" w:cs="Arial" w:eastAsia="Arial" w:hAnsi="Arial"/>
          <w:sz w:val="18"/>
          <w:szCs w:val="18"/>
          <w:color w:val="auto"/>
        </w:rPr>
      </w:pPr>
    </w:p>
    <w:p>
      <w:pPr>
        <w:ind w:left="1640" w:hanging="322"/>
        <w:spacing w:after="0"/>
        <w:tabs>
          <w:tab w:leader="none" w:pos="164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44" w:lineRule="exact"/>
        <w:rPr>
          <w:rFonts w:ascii="Arial" w:cs="Arial" w:eastAsia="Arial" w:hAnsi="Arial"/>
          <w:sz w:val="18"/>
          <w:szCs w:val="18"/>
          <w:color w:val="auto"/>
        </w:rPr>
      </w:pPr>
    </w:p>
    <w:p>
      <w:pPr>
        <w:jc w:val="both"/>
        <w:ind w:left="460" w:right="479" w:firstLine="858"/>
        <w:spacing w:after="0" w:line="263" w:lineRule="auto"/>
        <w:tabs>
          <w:tab w:leader="none" w:pos="1635"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16" w:lineRule="exact"/>
        <w:rPr>
          <w:rFonts w:ascii="Arial" w:cs="Arial" w:eastAsia="Arial" w:hAnsi="Arial"/>
          <w:sz w:val="18"/>
          <w:szCs w:val="18"/>
          <w:color w:val="auto"/>
        </w:rPr>
      </w:pPr>
    </w:p>
    <w:p>
      <w:pPr>
        <w:ind w:left="1580" w:hanging="262"/>
        <w:spacing w:after="0"/>
        <w:tabs>
          <w:tab w:leader="none" w:pos="158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157" w:lineRule="exact"/>
        <w:rPr>
          <w:rFonts w:ascii="Arial" w:cs="Arial" w:eastAsia="Arial" w:hAnsi="Arial"/>
          <w:sz w:val="18"/>
          <w:szCs w:val="18"/>
          <w:color w:val="auto"/>
        </w:rPr>
      </w:pPr>
    </w:p>
    <w:p>
      <w:pPr>
        <w:ind w:left="460" w:right="459" w:firstLine="858"/>
        <w:spacing w:after="0" w:line="277" w:lineRule="auto"/>
        <w:tabs>
          <w:tab w:leader="none" w:pos="1662" w:val="left"/>
        </w:tabs>
        <w:numPr>
          <w:ilvl w:val="1"/>
          <w:numId w:val="411"/>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 and</w:t>
      </w:r>
    </w:p>
    <w:p>
      <w:pPr>
        <w:spacing w:after="0" w:line="89" w:lineRule="exact"/>
        <w:rPr>
          <w:rFonts w:ascii="Arial" w:cs="Arial" w:eastAsia="Arial" w:hAnsi="Arial"/>
          <w:sz w:val="18"/>
          <w:szCs w:val="18"/>
          <w:color w:val="auto"/>
        </w:rPr>
      </w:pPr>
    </w:p>
    <w:p>
      <w:pPr>
        <w:jc w:val="both"/>
        <w:ind w:left="460" w:right="479" w:firstLine="858"/>
        <w:spacing w:after="0" w:line="257" w:lineRule="auto"/>
        <w:tabs>
          <w:tab w:leader="none" w:pos="1686"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2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03" w:lineRule="exact"/>
        <w:rPr>
          <w:sz w:val="20"/>
          <w:szCs w:val="20"/>
          <w:color w:val="auto"/>
        </w:rPr>
      </w:pPr>
    </w:p>
    <w:p>
      <w:pPr>
        <w:jc w:val="both"/>
        <w:ind w:left="460" w:right="459" w:firstLine="426"/>
        <w:spacing w:after="0" w:line="253" w:lineRule="auto"/>
        <w:tabs>
          <w:tab w:leader="none" w:pos="119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Delegation of Authority to Grant Awards</w:t>
      </w:r>
      <w:r>
        <w:rPr>
          <w:rFonts w:ascii="Arial" w:cs="Arial" w:eastAsia="Arial" w:hAnsi="Arial"/>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Arial" w:cs="Arial" w:eastAsia="Arial" w:hAnsi="Arial"/>
          <w:sz w:val="18"/>
          <w:szCs w:val="18"/>
          <w:color w:val="auto"/>
        </w:rPr>
      </w:pPr>
    </w:p>
    <w:p>
      <w:pPr>
        <w:jc w:val="both"/>
        <w:ind w:left="460" w:right="479" w:firstLine="426"/>
        <w:spacing w:after="0" w:line="263" w:lineRule="auto"/>
        <w:tabs>
          <w:tab w:leader="none" w:pos="1147"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16" w:lineRule="exact"/>
        <w:rPr>
          <w:rFonts w:ascii="Arial" w:cs="Arial" w:eastAsia="Arial" w:hAnsi="Arial"/>
          <w:sz w:val="18"/>
          <w:szCs w:val="18"/>
          <w:color w:val="auto"/>
        </w:rPr>
      </w:pPr>
    </w:p>
    <w:p>
      <w:pPr>
        <w:jc w:val="both"/>
        <w:ind w:left="460" w:right="459" w:firstLine="426"/>
        <w:spacing w:after="0" w:line="271" w:lineRule="auto"/>
        <w:tabs>
          <w:tab w:leader="none" w:pos="1150"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10" w:lineRule="exact"/>
        <w:rPr>
          <w:rFonts w:ascii="Arial" w:cs="Arial" w:eastAsia="Arial" w:hAnsi="Arial"/>
          <w:sz w:val="17"/>
          <w:szCs w:val="17"/>
          <w:color w:val="auto"/>
        </w:rPr>
      </w:pPr>
    </w:p>
    <w:p>
      <w:pPr>
        <w:jc w:val="both"/>
        <w:ind w:left="460" w:right="479" w:firstLine="426"/>
        <w:spacing w:after="0" w:line="259" w:lineRule="auto"/>
        <w:tabs>
          <w:tab w:leader="none" w:pos="1144"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Foreign Award Recipients</w:t>
      </w:r>
      <w:r>
        <w:rPr>
          <w:rFonts w:ascii="Arial" w:cs="Arial" w:eastAsia="Arial" w:hAnsi="Arial"/>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9" w:name="page430"/>
    <w:bookmarkEnd w:id="42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 STOCK ISSUABLE UNDER THE PLAN; MERGERS; SUBSTITUTION</w:t>
      </w:r>
    </w:p>
    <w:p>
      <w:pPr>
        <w:spacing w:after="0" w:line="158" w:lineRule="exact"/>
        <w:rPr>
          <w:sz w:val="20"/>
          <w:szCs w:val="20"/>
          <w:color w:val="auto"/>
        </w:rPr>
      </w:pPr>
    </w:p>
    <w:p>
      <w:pPr>
        <w:jc w:val="both"/>
        <w:ind w:left="460" w:right="459" w:firstLine="426"/>
        <w:spacing w:after="0" w:line="285" w:lineRule="auto"/>
        <w:tabs>
          <w:tab w:leader="none" w:pos="1136"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308" w:lineRule="exact"/>
        <w:rPr>
          <w:rFonts w:ascii="Arial" w:cs="Arial" w:eastAsia="Arial" w:hAnsi="Arial"/>
          <w:sz w:val="16"/>
          <w:szCs w:val="16"/>
          <w:color w:val="auto"/>
        </w:rPr>
      </w:pPr>
    </w:p>
    <w:p>
      <w:pPr>
        <w:jc w:val="both"/>
        <w:ind w:left="460" w:right="459" w:firstLine="426"/>
        <w:spacing w:after="0" w:line="284" w:lineRule="auto"/>
        <w:tabs>
          <w:tab w:leader="none" w:pos="1147"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0" w:name="page431"/>
    <w:bookmarkEnd w:id="43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84" w:lineRule="auto"/>
        <w:tabs>
          <w:tab w:leader="none" w:pos="1136"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325" w:lineRule="exact"/>
        <w:rPr>
          <w:rFonts w:ascii="Arial" w:cs="Arial" w:eastAsia="Arial" w:hAnsi="Arial"/>
          <w:sz w:val="16"/>
          <w:szCs w:val="16"/>
          <w:color w:val="auto"/>
        </w:rPr>
      </w:pPr>
    </w:p>
    <w:p>
      <w:pPr>
        <w:jc w:val="both"/>
        <w:ind w:left="460" w:right="459" w:firstLine="426"/>
        <w:spacing w:after="0" w:line="254" w:lineRule="auto"/>
        <w:tabs>
          <w:tab w:leader="none" w:pos="1147"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 ELIGIBILITY</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 STOCK OPTIONS</w:t>
      </w:r>
    </w:p>
    <w:p>
      <w:pPr>
        <w:spacing w:after="0" w:line="158" w:lineRule="exact"/>
        <w:rPr>
          <w:sz w:val="20"/>
          <w:szCs w:val="20"/>
          <w:color w:val="auto"/>
        </w:rPr>
      </w:pPr>
    </w:p>
    <w:p>
      <w:pPr>
        <w:ind w:left="460" w:right="479" w:firstLine="426"/>
        <w:spacing w:after="0" w:line="308" w:lineRule="auto"/>
        <w:tabs>
          <w:tab w:leader="none" w:pos="1163"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t>Award of Stock Options</w:t>
      </w:r>
      <w:r>
        <w:rPr>
          <w:rFonts w:ascii="Arial" w:cs="Arial" w:eastAsia="Arial" w:hAnsi="Arial"/>
          <w:sz w:val="17"/>
          <w:szCs w:val="17"/>
          <w:color w:val="auto"/>
        </w:rPr>
        <w:t>. The Administrator may grant Stock Options under the Plan. Any Stock Option granted under the Plan shall be in such form as the Administrator may from time to time approve.</w:t>
      </w:r>
    </w:p>
    <w:p>
      <w:pPr>
        <w:spacing w:after="0" w:line="65"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20" w:lineRule="exact"/>
        <w:rPr>
          <w:sz w:val="20"/>
          <w:szCs w:val="20"/>
          <w:color w:val="auto"/>
        </w:rPr>
      </w:pPr>
    </w:p>
    <w:p>
      <w:pPr>
        <w:jc w:val="both"/>
        <w:ind w:left="460" w:right="459" w:firstLine="426"/>
        <w:spacing w:after="0" w:line="259" w:lineRule="auto"/>
        <w:tabs>
          <w:tab w:leader="none" w:pos="1147"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1" w:name="page432"/>
    <w:bookmarkEnd w:id="43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94" w:lineRule="exact"/>
        <w:rPr>
          <w:sz w:val="20"/>
          <w:szCs w:val="20"/>
          <w:color w:val="auto"/>
        </w:rPr>
      </w:pPr>
    </w:p>
    <w:p>
      <w:pPr>
        <w:jc w:val="both"/>
        <w:ind w:left="460" w:right="479" w:firstLine="426"/>
        <w:spacing w:after="0" w:line="259" w:lineRule="auto"/>
        <w:tabs>
          <w:tab w:leader="none" w:pos="1136"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9" w:lineRule="exact"/>
        <w:rPr>
          <w:rFonts w:ascii="Arial" w:cs="Arial" w:eastAsia="Arial" w:hAnsi="Arial"/>
          <w:sz w:val="18"/>
          <w:szCs w:val="18"/>
          <w:color w:val="auto"/>
        </w:rPr>
      </w:pPr>
    </w:p>
    <w:p>
      <w:pPr>
        <w:jc w:val="both"/>
        <w:ind w:left="460" w:right="459" w:firstLine="426"/>
        <w:spacing w:after="0" w:line="257" w:lineRule="auto"/>
        <w:tabs>
          <w:tab w:leader="none" w:pos="1147"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6" w:lineRule="exact"/>
        <w:rPr>
          <w:rFonts w:ascii="Arial" w:cs="Arial" w:eastAsia="Arial" w:hAnsi="Arial"/>
          <w:sz w:val="18"/>
          <w:szCs w:val="18"/>
          <w:color w:val="auto"/>
        </w:rPr>
      </w:pPr>
    </w:p>
    <w:p>
      <w:pPr>
        <w:jc w:val="both"/>
        <w:ind w:left="460" w:right="459" w:firstLine="426"/>
        <w:spacing w:after="0" w:line="259" w:lineRule="auto"/>
        <w:tabs>
          <w:tab w:leader="none" w:pos="1177"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9" w:lineRule="exact"/>
        <w:rPr>
          <w:rFonts w:ascii="Arial" w:cs="Arial" w:eastAsia="Arial" w:hAnsi="Arial"/>
          <w:sz w:val="18"/>
          <w:szCs w:val="18"/>
          <w:color w:val="auto"/>
        </w:rPr>
      </w:pPr>
    </w:p>
    <w:p>
      <w:pPr>
        <w:ind w:left="1540" w:hanging="222"/>
        <w:spacing w:after="0"/>
        <w:tabs>
          <w:tab w:leader="none" w:pos="154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57" w:lineRule="exact"/>
        <w:rPr>
          <w:rFonts w:ascii="Arial" w:cs="Arial" w:eastAsia="Arial" w:hAnsi="Arial"/>
          <w:sz w:val="18"/>
          <w:szCs w:val="18"/>
          <w:color w:val="auto"/>
        </w:rPr>
      </w:pPr>
    </w:p>
    <w:p>
      <w:pPr>
        <w:jc w:val="both"/>
        <w:ind w:left="460" w:right="459" w:firstLine="858"/>
        <w:spacing w:after="0" w:line="263" w:lineRule="auto"/>
        <w:tabs>
          <w:tab w:leader="none" w:pos="1587"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02" w:lineRule="exact"/>
        <w:rPr>
          <w:rFonts w:ascii="Arial" w:cs="Arial" w:eastAsia="Arial" w:hAnsi="Arial"/>
          <w:sz w:val="18"/>
          <w:szCs w:val="18"/>
          <w:color w:val="auto"/>
        </w:rPr>
      </w:pPr>
    </w:p>
    <w:p>
      <w:pPr>
        <w:jc w:val="both"/>
        <w:ind w:left="460" w:right="459" w:firstLine="858"/>
        <w:spacing w:after="0" w:line="296" w:lineRule="auto"/>
        <w:tabs>
          <w:tab w:leader="none" w:pos="1655" w:val="left"/>
        </w:tabs>
        <w:numPr>
          <w:ilvl w:val="1"/>
          <w:numId w:val="417"/>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93" w:lineRule="exact"/>
        <w:rPr>
          <w:rFonts w:ascii="Arial" w:cs="Arial" w:eastAsia="Arial" w:hAnsi="Arial"/>
          <w:sz w:val="16"/>
          <w:szCs w:val="16"/>
          <w:color w:val="auto"/>
        </w:rPr>
      </w:pPr>
    </w:p>
    <w:p>
      <w:pPr>
        <w:jc w:val="both"/>
        <w:ind w:left="460" w:right="479" w:firstLine="858"/>
        <w:spacing w:after="0" w:line="259" w:lineRule="auto"/>
        <w:tabs>
          <w:tab w:leader="none" w:pos="1671" w:val="left"/>
        </w:tabs>
        <w:numPr>
          <w:ilvl w:val="1"/>
          <w:numId w:val="417"/>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87" w:lineRule="exact"/>
        <w:rPr>
          <w:sz w:val="20"/>
          <w:szCs w:val="20"/>
          <w:color w:val="auto"/>
        </w:rPr>
      </w:pPr>
    </w:p>
    <w:p>
      <w:pPr>
        <w:jc w:val="both"/>
        <w:ind w:left="460" w:right="459" w:firstLine="426"/>
        <w:spacing w:after="0" w:line="255" w:lineRule="auto"/>
        <w:tabs>
          <w:tab w:leader="none" w:pos="1117"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2" w:name="page433"/>
    <w:bookmarkEnd w:id="43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 STOCK APPRECIATION RIGHTS</w:t>
      </w:r>
    </w:p>
    <w:p>
      <w:pPr>
        <w:spacing w:after="0" w:line="158" w:lineRule="exact"/>
        <w:rPr>
          <w:sz w:val="20"/>
          <w:szCs w:val="20"/>
          <w:color w:val="auto"/>
        </w:rPr>
      </w:pPr>
    </w:p>
    <w:p>
      <w:pPr>
        <w:jc w:val="both"/>
        <w:ind w:left="460" w:right="459" w:firstLine="426"/>
        <w:spacing w:after="0" w:line="255" w:lineRule="auto"/>
        <w:tabs>
          <w:tab w:leader="none" w:pos="115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Award of Stock Appreciation Rights</w:t>
      </w:r>
      <w:r>
        <w:rPr>
          <w:rFonts w:ascii="Arial" w:cs="Arial" w:eastAsia="Arial" w:hAnsi="Arial"/>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24" w:lineRule="exact"/>
        <w:rPr>
          <w:rFonts w:ascii="Arial" w:cs="Arial" w:eastAsia="Arial" w:hAnsi="Arial"/>
          <w:sz w:val="18"/>
          <w:szCs w:val="18"/>
          <w:color w:val="auto"/>
        </w:rPr>
      </w:pPr>
    </w:p>
    <w:p>
      <w:pPr>
        <w:ind w:left="460" w:right="459" w:firstLine="426"/>
        <w:spacing w:after="0" w:line="277" w:lineRule="auto"/>
        <w:tabs>
          <w:tab w:leader="none" w:pos="116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89" w:lineRule="exact"/>
        <w:rPr>
          <w:rFonts w:ascii="Arial" w:cs="Arial" w:eastAsia="Arial" w:hAnsi="Arial"/>
          <w:sz w:val="18"/>
          <w:szCs w:val="18"/>
          <w:color w:val="auto"/>
        </w:rPr>
      </w:pPr>
    </w:p>
    <w:p>
      <w:pPr>
        <w:ind w:left="460" w:right="479" w:firstLine="426"/>
        <w:spacing w:after="0" w:line="277" w:lineRule="auto"/>
        <w:tabs>
          <w:tab w:leader="none" w:pos="115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02" w:lineRule="exact"/>
        <w:rPr>
          <w:rFonts w:ascii="Arial" w:cs="Arial" w:eastAsia="Arial" w:hAnsi="Arial"/>
          <w:sz w:val="18"/>
          <w:szCs w:val="18"/>
          <w:color w:val="auto"/>
        </w:rPr>
      </w:pPr>
    </w:p>
    <w:p>
      <w:pPr>
        <w:jc w:val="both"/>
        <w:ind w:left="460" w:right="459" w:firstLine="426"/>
        <w:spacing w:after="0" w:line="301" w:lineRule="auto"/>
        <w:tabs>
          <w:tab w:leader="none" w:pos="1160"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 RESTRICTED STOCK AWARDS</w:t>
      </w:r>
    </w:p>
    <w:p>
      <w:pPr>
        <w:spacing w:after="0" w:line="144" w:lineRule="exact"/>
        <w:rPr>
          <w:sz w:val="20"/>
          <w:szCs w:val="20"/>
          <w:color w:val="auto"/>
        </w:rPr>
      </w:pPr>
    </w:p>
    <w:p>
      <w:pPr>
        <w:jc w:val="both"/>
        <w:ind w:left="460" w:right="459" w:firstLine="426"/>
        <w:spacing w:after="0" w:line="301" w:lineRule="auto"/>
        <w:tabs>
          <w:tab w:leader="none" w:pos="1150" w:val="left"/>
        </w:tabs>
        <w:numPr>
          <w:ilvl w:val="1"/>
          <w:numId w:val="420"/>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89" w:lineRule="exact"/>
        <w:rPr>
          <w:rFonts w:ascii="Arial" w:cs="Arial" w:eastAsia="Arial" w:hAnsi="Arial"/>
          <w:sz w:val="16"/>
          <w:szCs w:val="16"/>
          <w:color w:val="auto"/>
        </w:rPr>
      </w:pPr>
    </w:p>
    <w:p>
      <w:pPr>
        <w:jc w:val="both"/>
        <w:ind w:left="460" w:right="479" w:firstLine="426"/>
        <w:spacing w:after="0" w:line="284" w:lineRule="auto"/>
        <w:tabs>
          <w:tab w:leader="none" w:pos="1147" w:val="left"/>
        </w:tabs>
        <w:numPr>
          <w:ilvl w:val="1"/>
          <w:numId w:val="420"/>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4" w:lineRule="exact"/>
        <w:rPr>
          <w:rFonts w:ascii="Arial" w:cs="Arial" w:eastAsia="Arial" w:hAnsi="Arial"/>
          <w:sz w:val="16"/>
          <w:szCs w:val="16"/>
          <w:color w:val="auto"/>
        </w:rPr>
      </w:pPr>
    </w:p>
    <w:p>
      <w:pPr>
        <w:jc w:val="both"/>
        <w:ind w:left="460" w:right="459" w:hanging="6"/>
        <w:spacing w:after="0" w:line="252" w:lineRule="auto"/>
        <w:tabs>
          <w:tab w:leader="none" w:pos="69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6" w:lineRule="exact"/>
        <w:rPr>
          <w:rFonts w:ascii="Arial" w:cs="Arial" w:eastAsia="Arial" w:hAnsi="Arial"/>
          <w:sz w:val="18"/>
          <w:szCs w:val="18"/>
          <w:color w:val="auto"/>
        </w:rPr>
      </w:pPr>
    </w:p>
    <w:p>
      <w:pPr>
        <w:jc w:val="both"/>
        <w:ind w:left="460" w:right="459" w:firstLine="426"/>
        <w:spacing w:after="0" w:line="269" w:lineRule="auto"/>
        <w:tabs>
          <w:tab w:leader="none" w:pos="1204"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97" w:lineRule="exact"/>
        <w:rPr>
          <w:rFonts w:ascii="Arial" w:cs="Arial" w:eastAsia="Arial" w:hAnsi="Arial"/>
          <w:sz w:val="17"/>
          <w:szCs w:val="17"/>
          <w:color w:val="auto"/>
        </w:rPr>
      </w:pPr>
    </w:p>
    <w:p>
      <w:pPr>
        <w:jc w:val="both"/>
        <w:ind w:left="460" w:right="459" w:firstLine="426"/>
        <w:spacing w:after="0" w:line="255" w:lineRule="auto"/>
        <w:tabs>
          <w:tab w:leader="none" w:pos="1160"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Vesting of Restricted Shares</w:t>
      </w:r>
      <w:r>
        <w:rPr>
          <w:rFonts w:ascii="Arial" w:cs="Arial" w:eastAsia="Arial" w:hAnsi="Arial"/>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3" w:name="page434"/>
    <w:bookmarkEnd w:id="43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8. RESTRICTED STOCK UNITS</w:t>
      </w:r>
    </w:p>
    <w:p>
      <w:pPr>
        <w:spacing w:after="0" w:line="158" w:lineRule="exact"/>
        <w:rPr>
          <w:sz w:val="20"/>
          <w:szCs w:val="20"/>
          <w:color w:val="auto"/>
        </w:rPr>
      </w:pPr>
    </w:p>
    <w:p>
      <w:pPr>
        <w:jc w:val="both"/>
        <w:ind w:left="460" w:right="459" w:firstLine="426"/>
        <w:spacing w:after="0" w:line="287" w:lineRule="auto"/>
        <w:tabs>
          <w:tab w:leader="none" w:pos="1136" w:val="left"/>
        </w:tabs>
        <w:numPr>
          <w:ilvl w:val="0"/>
          <w:numId w:val="422"/>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04" w:lineRule="exact"/>
        <w:rPr>
          <w:rFonts w:ascii="Arial" w:cs="Arial" w:eastAsia="Arial" w:hAnsi="Arial"/>
          <w:sz w:val="16"/>
          <w:szCs w:val="16"/>
          <w:color w:val="auto"/>
        </w:rPr>
      </w:pPr>
    </w:p>
    <w:p>
      <w:pPr>
        <w:jc w:val="both"/>
        <w:ind w:left="460" w:right="459" w:firstLine="426"/>
        <w:spacing w:after="0" w:line="269" w:lineRule="auto"/>
        <w:tabs>
          <w:tab w:leader="none" w:pos="1160" w:val="left"/>
        </w:tabs>
        <w:numPr>
          <w:ilvl w:val="0"/>
          <w:numId w:val="422"/>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97" w:lineRule="exact"/>
        <w:rPr>
          <w:rFonts w:ascii="Arial" w:cs="Arial" w:eastAsia="Arial" w:hAnsi="Arial"/>
          <w:sz w:val="17"/>
          <w:szCs w:val="17"/>
          <w:color w:val="auto"/>
        </w:rPr>
      </w:pPr>
    </w:p>
    <w:p>
      <w:pPr>
        <w:jc w:val="both"/>
        <w:ind w:left="460" w:right="459" w:firstLine="426"/>
        <w:spacing w:after="0" w:line="257" w:lineRule="auto"/>
        <w:tabs>
          <w:tab w:leader="none" w:pos="1150"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20" w:lineRule="exact"/>
        <w:rPr>
          <w:rFonts w:ascii="Arial" w:cs="Arial" w:eastAsia="Arial" w:hAnsi="Arial"/>
          <w:sz w:val="18"/>
          <w:szCs w:val="18"/>
          <w:color w:val="auto"/>
        </w:rPr>
      </w:pPr>
    </w:p>
    <w:p>
      <w:pPr>
        <w:jc w:val="both"/>
        <w:ind w:left="460" w:right="459" w:firstLine="426"/>
        <w:spacing w:after="0" w:line="279" w:lineRule="auto"/>
        <w:tabs>
          <w:tab w:leader="none" w:pos="1201" w:val="left"/>
        </w:tabs>
        <w:numPr>
          <w:ilvl w:val="0"/>
          <w:numId w:val="42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9. UNRESTRICTED STOCK AWARDS</w:t>
      </w:r>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 CASH-BASED AWARDS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u w:val="single" w:color="auto"/>
          <w:color w:val="auto"/>
        </w:rPr>
        <w:t>Grant of Cash-Based Awards</w:t>
      </w:r>
      <w:r>
        <w:rPr>
          <w:rFonts w:ascii="Arial" w:cs="Arial" w:eastAsia="Arial" w:hAnsi="Arial"/>
          <w:sz w:val="17"/>
          <w:szCs w:val="17"/>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 DIVIDEND EQUIVALENT RIGHTS</w:t>
      </w:r>
    </w:p>
    <w:p>
      <w:pPr>
        <w:spacing w:after="0" w:line="158" w:lineRule="exact"/>
        <w:rPr>
          <w:sz w:val="20"/>
          <w:szCs w:val="20"/>
          <w:color w:val="auto"/>
        </w:rPr>
      </w:pPr>
    </w:p>
    <w:p>
      <w:pPr>
        <w:jc w:val="both"/>
        <w:ind w:left="460" w:right="459" w:firstLine="426"/>
        <w:spacing w:after="0" w:line="257" w:lineRule="auto"/>
        <w:tabs>
          <w:tab w:leader="none" w:pos="1136"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4" w:name="page435"/>
    <w:bookmarkEnd w:id="43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14" w:lineRule="exact"/>
        <w:rPr>
          <w:sz w:val="20"/>
          <w:szCs w:val="20"/>
          <w:color w:val="auto"/>
        </w:rPr>
      </w:pPr>
    </w:p>
    <w:p>
      <w:pPr>
        <w:jc w:val="both"/>
        <w:ind w:left="460" w:right="459" w:firstLine="426"/>
        <w:spacing w:after="0" w:line="279" w:lineRule="auto"/>
        <w:tabs>
          <w:tab w:leader="none" w:pos="1201"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73" w:lineRule="auto"/>
        <w:tabs>
          <w:tab w:leader="none" w:pos="1163"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0" w:lineRule="exact"/>
        <w:rPr>
          <w:rFonts w:ascii="Arial" w:cs="Arial" w:eastAsia="Arial" w:hAnsi="Arial"/>
          <w:sz w:val="17"/>
          <w:szCs w:val="17"/>
          <w:color w:val="auto"/>
        </w:rPr>
      </w:pPr>
    </w:p>
    <w:p>
      <w:pPr>
        <w:jc w:val="both"/>
        <w:ind w:left="460" w:right="459" w:firstLine="426"/>
        <w:spacing w:after="0" w:line="254" w:lineRule="auto"/>
        <w:tabs>
          <w:tab w:leader="none" w:pos="1147"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7" w:lineRule="exact"/>
        <w:rPr>
          <w:rFonts w:ascii="Arial" w:cs="Arial" w:eastAsia="Arial" w:hAnsi="Arial"/>
          <w:sz w:val="18"/>
          <w:szCs w:val="18"/>
          <w:color w:val="auto"/>
        </w:rPr>
      </w:pPr>
    </w:p>
    <w:p>
      <w:pPr>
        <w:jc w:val="both"/>
        <w:ind w:left="460" w:right="459" w:firstLine="426"/>
        <w:spacing w:after="0" w:line="272" w:lineRule="auto"/>
        <w:tabs>
          <w:tab w:leader="none" w:pos="1177"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96" w:lineRule="exact"/>
        <w:rPr>
          <w:rFonts w:ascii="Arial" w:cs="Arial" w:eastAsia="Arial" w:hAnsi="Arial"/>
          <w:sz w:val="17"/>
          <w:szCs w:val="17"/>
          <w:color w:val="auto"/>
        </w:rPr>
      </w:pPr>
    </w:p>
    <w:p>
      <w:pPr>
        <w:jc w:val="both"/>
        <w:ind w:left="460" w:right="459" w:firstLine="426"/>
        <w:spacing w:after="0" w:line="273" w:lineRule="auto"/>
        <w:tabs>
          <w:tab w:leader="none" w:pos="1147"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71" w:lineRule="auto"/>
        <w:tabs>
          <w:tab w:leader="none" w:pos="1136" w:val="left"/>
        </w:tabs>
        <w:numPr>
          <w:ilvl w:val="0"/>
          <w:numId w:val="426"/>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5" w:name="page436"/>
    <w:bookmarkEnd w:id="43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88" w:lineRule="auto"/>
        <w:tabs>
          <w:tab w:leader="none" w:pos="1160" w:val="left"/>
        </w:tabs>
        <w:numPr>
          <w:ilvl w:val="0"/>
          <w:numId w:val="427"/>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TERMINATION OF SERVICE RELATIONSHIP, TRANSFER, LEAVE OF ABSENCE, ETC.</w:t>
      </w:r>
    </w:p>
    <w:p>
      <w:pPr>
        <w:spacing w:after="0" w:line="169" w:lineRule="exact"/>
        <w:rPr>
          <w:sz w:val="20"/>
          <w:szCs w:val="20"/>
          <w:color w:val="auto"/>
        </w:rPr>
      </w:pPr>
    </w:p>
    <w:p>
      <w:pPr>
        <w:jc w:val="both"/>
        <w:ind w:left="460" w:right="459" w:firstLine="426"/>
        <w:spacing w:after="0" w:line="263" w:lineRule="auto"/>
        <w:tabs>
          <w:tab w:leader="none" w:pos="1136"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16" w:lineRule="exact"/>
        <w:rPr>
          <w:rFonts w:ascii="Arial" w:cs="Arial" w:eastAsia="Arial" w:hAnsi="Arial"/>
          <w:sz w:val="18"/>
          <w:szCs w:val="18"/>
          <w:color w:val="auto"/>
        </w:rPr>
      </w:pPr>
    </w:p>
    <w:p>
      <w:pPr>
        <w:ind w:left="460" w:right="479" w:firstLine="426"/>
        <w:spacing w:after="0" w:line="277" w:lineRule="auto"/>
        <w:tabs>
          <w:tab w:leader="none" w:pos="118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89" w:lineRule="exact"/>
        <w:rPr>
          <w:rFonts w:ascii="Arial" w:cs="Arial" w:eastAsia="Arial" w:hAnsi="Arial"/>
          <w:sz w:val="18"/>
          <w:szCs w:val="18"/>
          <w:color w:val="auto"/>
        </w:rPr>
      </w:pPr>
    </w:p>
    <w:p>
      <w:pPr>
        <w:ind w:left="460" w:right="459" w:firstLine="858"/>
        <w:spacing w:after="0" w:line="277" w:lineRule="auto"/>
        <w:tabs>
          <w:tab w:leader="none" w:pos="156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an Affiliate or from the Company to an Affiliate, or from one Affiliate to another; or</w:t>
      </w:r>
    </w:p>
    <w:p>
      <w:pPr>
        <w:spacing w:after="0" w:line="102" w:lineRule="exact"/>
        <w:rPr>
          <w:rFonts w:ascii="Arial" w:cs="Arial" w:eastAsia="Arial" w:hAnsi="Arial"/>
          <w:sz w:val="18"/>
          <w:szCs w:val="18"/>
          <w:color w:val="auto"/>
        </w:rPr>
      </w:pPr>
    </w:p>
    <w:p>
      <w:pPr>
        <w:jc w:val="both"/>
        <w:ind w:left="460" w:right="459" w:firstLine="858"/>
        <w:spacing w:after="0" w:line="259" w:lineRule="auto"/>
        <w:tabs>
          <w:tab w:leader="none" w:pos="1591"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STATUS OF PLAN</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6" w:name="page437"/>
    <w:bookmarkEnd w:id="43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158" w:lineRule="exact"/>
        <w:rPr>
          <w:sz w:val="20"/>
          <w:szCs w:val="20"/>
          <w:color w:val="auto"/>
        </w:rPr>
      </w:pPr>
    </w:p>
    <w:p>
      <w:pPr>
        <w:jc w:val="both"/>
        <w:ind w:left="460" w:right="459" w:firstLine="426"/>
        <w:spacing w:after="0" w:line="263" w:lineRule="auto"/>
        <w:tabs>
          <w:tab w:leader="none" w:pos="113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2" w:lineRule="exact"/>
        <w:rPr>
          <w:rFonts w:ascii="Arial" w:cs="Arial" w:eastAsia="Arial" w:hAnsi="Arial"/>
          <w:sz w:val="18"/>
          <w:szCs w:val="18"/>
          <w:color w:val="auto"/>
        </w:rPr>
      </w:pPr>
    </w:p>
    <w:p>
      <w:pPr>
        <w:jc w:val="both"/>
        <w:ind w:left="460" w:right="459" w:firstLine="426"/>
        <w:spacing w:after="0" w:line="284" w:lineRule="auto"/>
        <w:tabs>
          <w:tab w:leader="none" w:pos="1160"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10" w:lineRule="exact"/>
        <w:rPr>
          <w:rFonts w:ascii="Arial" w:cs="Arial" w:eastAsia="Arial" w:hAnsi="Arial"/>
          <w:sz w:val="16"/>
          <w:szCs w:val="16"/>
          <w:color w:val="auto"/>
        </w:rPr>
      </w:pPr>
    </w:p>
    <w:p>
      <w:pPr>
        <w:jc w:val="both"/>
        <w:ind w:left="460" w:right="459" w:firstLine="426"/>
        <w:spacing w:after="0" w:line="259" w:lineRule="auto"/>
        <w:tabs>
          <w:tab w:leader="none" w:pos="113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19" w:lineRule="exact"/>
        <w:rPr>
          <w:rFonts w:ascii="Arial" w:cs="Arial" w:eastAsia="Arial" w:hAnsi="Arial"/>
          <w:sz w:val="18"/>
          <w:szCs w:val="18"/>
          <w:color w:val="auto"/>
        </w:rPr>
      </w:pPr>
    </w:p>
    <w:p>
      <w:pPr>
        <w:jc w:val="both"/>
        <w:ind w:left="460" w:right="459" w:firstLine="426"/>
        <w:spacing w:after="0" w:line="257" w:lineRule="auto"/>
        <w:tabs>
          <w:tab w:leader="none" w:pos="1174"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06" w:lineRule="exact"/>
        <w:rPr>
          <w:rFonts w:ascii="Arial" w:cs="Arial" w:eastAsia="Arial" w:hAnsi="Arial"/>
          <w:sz w:val="18"/>
          <w:szCs w:val="18"/>
          <w:color w:val="auto"/>
        </w:rPr>
      </w:pPr>
    </w:p>
    <w:p>
      <w:pPr>
        <w:ind w:left="460" w:right="479" w:firstLine="426"/>
        <w:spacing w:after="0" w:line="277" w:lineRule="auto"/>
        <w:tabs>
          <w:tab w:leader="none" w:pos="113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02" w:lineRule="exact"/>
        <w:rPr>
          <w:rFonts w:ascii="Arial" w:cs="Arial" w:eastAsia="Arial" w:hAnsi="Arial"/>
          <w:sz w:val="18"/>
          <w:szCs w:val="18"/>
          <w:color w:val="auto"/>
        </w:rPr>
      </w:pPr>
    </w:p>
    <w:p>
      <w:pPr>
        <w:ind w:left="460" w:right="479" w:firstLine="426"/>
        <w:spacing w:after="0" w:line="277" w:lineRule="auto"/>
        <w:tabs>
          <w:tab w:leader="none" w:pos="1130"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EFFECTIVE DATE OF PLAN</w:t>
      </w:r>
    </w:p>
    <w:p>
      <w:pPr>
        <w:spacing w:after="0" w:line="14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7" w:name="page438"/>
    <w:bookmarkEnd w:id="43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APPROVED BY BOARD OF DIRECTORS: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APPROVED BY STOCKHOLDERS: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8" w:name="page439"/>
    <w:bookmarkEnd w:id="43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FIRPTA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Treasury Regulations Section 1.1445-2(c)(3) and Section 1.897-2(h)</w:t>
      </w:r>
    </w:p>
    <w:p>
      <w:pPr>
        <w:spacing w:after="0" w:line="143"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This certificate (this “FIRPTA Certificate”) is provided by Gemini Therapeutics, Inc., a Delaware corporation (the “Company”), pursuant to Treasury Regulations Section 1.1445-2(c)(3) and 1.897-2(h), in connection with that certain Merger Agreement entered into as of October [__], 2020, by any among the Company, Shareholder Representative Services LLC, a Colorado limited liability company solely in its capacity as the Stockholders’ Representative, FS Development Corp, a Delaware corporation (“Transferee”), and FSG Merger Sub, Inc., a Delaware corporation.</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To inform Transferee that withholding of tax is not required under section 1445 of the Code in connection with the transactions contemplated under the Agreement, the undersigned, on behalf of the Company, hereby certifies that:</w:t>
      </w:r>
    </w:p>
    <w:p>
      <w:pPr>
        <w:spacing w:after="0" w:line="103" w:lineRule="exact"/>
        <w:rPr>
          <w:sz w:val="20"/>
          <w:szCs w:val="20"/>
          <w:color w:val="auto"/>
        </w:rPr>
      </w:pPr>
    </w:p>
    <w:p>
      <w:pPr>
        <w:ind w:left="1060" w:hanging="174"/>
        <w:spacing w:after="0"/>
        <w:tabs>
          <w:tab w:leader="none" w:pos="106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 Company is a corporation and is treated as a corporation for U.S. federal income tax purposes.</w:t>
      </w:r>
    </w:p>
    <w:p>
      <w:pPr>
        <w:spacing w:after="0" w:line="169" w:lineRule="exact"/>
        <w:rPr>
          <w:rFonts w:ascii="Arial" w:cs="Arial" w:eastAsia="Arial" w:hAnsi="Arial"/>
          <w:sz w:val="17"/>
          <w:szCs w:val="17"/>
          <w:color w:val="auto"/>
        </w:rPr>
      </w:pPr>
    </w:p>
    <w:p>
      <w:pPr>
        <w:ind w:left="1060" w:hanging="174"/>
        <w:spacing w:after="0"/>
        <w:tabs>
          <w:tab w:leader="none" w:pos="10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Company’s U.S. employer identification number is [•].</w:t>
      </w:r>
    </w:p>
    <w:p>
      <w:pPr>
        <w:spacing w:after="0" w:line="157" w:lineRule="exact"/>
        <w:rPr>
          <w:rFonts w:ascii="Arial" w:cs="Arial" w:eastAsia="Arial" w:hAnsi="Arial"/>
          <w:sz w:val="18"/>
          <w:szCs w:val="18"/>
          <w:color w:val="auto"/>
        </w:rPr>
      </w:pPr>
    </w:p>
    <w:p>
      <w:pPr>
        <w:ind w:left="1060" w:hanging="174"/>
        <w:spacing w:after="0"/>
        <w:tabs>
          <w:tab w:leader="none" w:pos="10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Company’s address is: 300 One Kendall Square, 3</w:t>
      </w:r>
      <w:r>
        <w:rPr>
          <w:rFonts w:ascii="Arial" w:cs="Arial" w:eastAsia="Arial" w:hAnsi="Arial"/>
          <w:sz w:val="20"/>
          <w:szCs w:val="20"/>
          <w:color w:val="auto"/>
          <w:vertAlign w:val="superscript"/>
        </w:rPr>
        <w:t>rd</w:t>
      </w:r>
      <w:r>
        <w:rPr>
          <w:rFonts w:ascii="Arial" w:cs="Arial" w:eastAsia="Arial" w:hAnsi="Arial"/>
          <w:sz w:val="18"/>
          <w:szCs w:val="18"/>
          <w:color w:val="auto"/>
        </w:rPr>
        <w:t xml:space="preserve"> Floor, Cambridge, MA 02139.</w:t>
      </w:r>
    </w:p>
    <w:p>
      <w:pPr>
        <w:spacing w:after="0" w:line="121" w:lineRule="exact"/>
        <w:rPr>
          <w:rFonts w:ascii="Arial" w:cs="Arial" w:eastAsia="Arial" w:hAnsi="Arial"/>
          <w:sz w:val="18"/>
          <w:szCs w:val="18"/>
          <w:color w:val="auto"/>
        </w:rPr>
      </w:pPr>
    </w:p>
    <w:p>
      <w:pPr>
        <w:jc w:val="both"/>
        <w:ind w:left="460" w:right="459" w:firstLine="426"/>
        <w:spacing w:after="0" w:line="255" w:lineRule="auto"/>
        <w:tabs>
          <w:tab w:leader="none" w:pos="110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 is not, as of the date hereof, a “United States real property holding corporation” (a “USRPHC”) as such term is defined by Section 897(c)(2) of the Internal Revenue Code of 1986, as amended (the “Code”), and the Treasury Regulations promulgated thereunder, and has not been a USRPHC on any determination date (as specified in Treasury Regulations Section 1.897-2(c)) during the five-year period ending on the date hereof. Accordingly, interests in the Company do not constitute “U.S. real property interests” as defined in Section 897(c)(1) of the Code (“USRPIs”).</w:t>
      </w:r>
    </w:p>
    <w:p>
      <w:pPr>
        <w:spacing w:after="0" w:line="124" w:lineRule="exact"/>
        <w:rPr>
          <w:rFonts w:ascii="Arial" w:cs="Arial" w:eastAsia="Arial" w:hAnsi="Arial"/>
          <w:sz w:val="18"/>
          <w:szCs w:val="18"/>
          <w:color w:val="auto"/>
        </w:rPr>
      </w:pPr>
    </w:p>
    <w:p>
      <w:pPr>
        <w:ind w:left="460" w:right="479" w:firstLine="426"/>
        <w:spacing w:after="0" w:line="342" w:lineRule="auto"/>
        <w:tabs>
          <w:tab w:leader="none" w:pos="1089"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Company understands that this certification may be disclosed to the Internal Revenue Service by Transferee and that any false statement contained herein could be punished by fine, imprisonment or both.</w:t>
      </w:r>
    </w:p>
    <w:p>
      <w:pPr>
        <w:spacing w:after="0" w:line="56"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Attached hereto is a notice, dated as of the date hereof, from the Company to the Internal Revenue Service to the effect that the Company has determined equity interests in the Company are not USRPIs.</w:t>
      </w:r>
    </w:p>
    <w:p>
      <w:pPr>
        <w:spacing w:after="0" w:line="6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Under penalties of perjury, the undersigned declares that [s]he has examined the certifications set forth above and verifies that they are true, correct, and complete to [his/her] knowledge and belief, and the undersigned further declares that [he/she] has the authority to execute this FIRPTA Certificate on behalf of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9" w:name="page440"/>
    <w:bookmarkEnd w:id="43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[date]</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GEMINI THERAPEUTICS, INC.,</w:t>
      </w:r>
    </w:p>
    <w:p>
      <w:pPr>
        <w:spacing w:after="0" w:line="8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 Delaware corporation</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194564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0" w:name="page441"/>
    <w:bookmarkEnd w:id="44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[VIA CERTIFIED MAIL</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RETURN RECEIPT REQUESTED]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Internal Revenue Service Center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 Box 409101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Ogden, UT 84409</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 Notice Required Under Treasury Regulations Section 1.897-2(h)(2)</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Sir/Madam:</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At the request of FS Development Corp., a Delaware corporation (“Transferee”), in connection with the acquisition of Gemini Therapeutics, Inc., a Delaware corporation (the “Company”), we provided the attached statement to Transferee on [Date].</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notice is provided pursuant to the requirements of Treasury Regulations Section 1.897-2(h)(2).</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information relates to the corporation providing the notice:</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Address:</w:t>
      </w:r>
    </w:p>
    <w:p>
      <w:pPr>
        <w:spacing w:after="0" w:line="234"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EIN:</w:t>
        <w:tab/>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300 One Kendall Square, 3</w:t>
      </w:r>
      <w:r>
        <w:rPr>
          <w:rFonts w:ascii="Arial" w:cs="Arial" w:eastAsia="Arial" w:hAnsi="Arial"/>
          <w:sz w:val="9"/>
          <w:szCs w:val="9"/>
          <w:color w:val="auto"/>
        </w:rPr>
        <w:t>rd</w:t>
      </w:r>
      <w:r>
        <w:rPr>
          <w:rFonts w:ascii="Arial" w:cs="Arial" w:eastAsia="Arial" w:hAnsi="Arial"/>
          <w:sz w:val="16"/>
          <w:szCs w:val="16"/>
          <w:color w:val="auto"/>
        </w:rPr>
        <w:t xml:space="preserve"> Floor</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1520" w:space="80"/>
            <w:col w:w="7419"/>
          </w:cols>
          <w:pgMar w:left="1440" w:top="274" w:right="1440" w:bottom="1440" w:gutter="0" w:footer="0" w:header="0"/>
          <w:type w:val="continuous"/>
        </w:sect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attached statement was not requested by a foreign interest holder. It was voluntarily provided by the Company in response to a request from the Transferee in accordance with Treasury Regulations Section 1.1445-2(c)(3)(i). The following information relates to the Transferee:</w:t>
      </w:r>
    </w:p>
    <w:p>
      <w:pPr>
        <w:sectPr>
          <w:pgSz w:w="11900" w:h="16838" w:orient="portrait"/>
          <w:cols w:equalWidth="0" w:num="1">
            <w:col w:w="9019"/>
          </w:cols>
          <w:pgMar w:left="1440" w:top="274" w:right="1440" w:bottom="1440" w:gutter="0" w:footer="0" w:header="0"/>
          <w:type w:val="continuous"/>
        </w:sectPr>
      </w:pP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Address:</w:t>
      </w:r>
    </w:p>
    <w:p>
      <w:pPr>
        <w:spacing w:after="0" w:line="234"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EIN:</w:t>
        <w:tab/>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600 Montgomery Street, Suite 4500</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1520" w:space="80"/>
            <w:col w:w="7419"/>
          </w:cols>
          <w:pgMar w:left="1440" w:top="274" w:right="1440" w:bottom="1440" w:gutter="0" w:footer="0" w:header="0"/>
          <w:type w:val="continuous"/>
        </w:sectPr>
      </w:pPr>
    </w:p>
    <w:p>
      <w:pPr>
        <w:ind w:left="460" w:right="459" w:firstLine="432"/>
        <w:spacing w:after="0" w:line="277" w:lineRule="auto"/>
        <w:rPr>
          <w:sz w:val="20"/>
          <w:szCs w:val="20"/>
          <w:color w:val="auto"/>
        </w:rPr>
      </w:pPr>
      <w:r>
        <w:rPr>
          <w:rFonts w:ascii="Arial" w:cs="Arial" w:eastAsia="Arial" w:hAnsi="Arial"/>
          <w:sz w:val="18"/>
          <w:szCs w:val="18"/>
          <w:color w:val="auto"/>
        </w:rPr>
        <w:t>The interests in question (equity interests in the Company) are not “U.S. real property interests,” as that term is defined in section 897(c)(1) of the Internal Revenue Code of 1986, as amended.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1" w:name="page442"/>
    <w:bookmarkEnd w:id="44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Under penalties of perjury, the undersigned declares that (i) [s]he is a responsible corporate officer of the Company with the authority to sign this document on behalf of the Company and (ii) the above notice (including the attachment hereto) is true, correct, and complete to [his/her] knowledge and belief.</w:t>
      </w:r>
    </w:p>
    <w:p>
      <w:pPr>
        <w:spacing w:after="0" w:line="13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GEMINI THERAPEUTICS,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 Delaware corporation</w:t>
      </w:r>
    </w:p>
    <w:p>
      <w:pPr>
        <w:spacing w:after="0" w:line="6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40640</wp:posOffset>
            </wp:positionV>
            <wp:extent cx="18345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2" w:name="page443"/>
    <w:bookmarkEnd w:id="44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u w:val="single" w:color="auto"/>
          <w:color w:val="auto"/>
        </w:rPr>
        <w:t>EXHIBIT 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Arial" w:cs="Arial" w:eastAsia="Arial" w:hAnsi="Arial"/>
          <w:sz w:val="18"/>
          <w:szCs w:val="18"/>
          <w:color w:val="auto"/>
        </w:rPr>
        <w:t>This Lockup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dated as of October [•], 2020 and is between FS Development Corp., a Delaware corporation (“</w:t>
      </w:r>
      <w:r>
        <w:rPr>
          <w:rFonts w:ascii="Arial" w:cs="Arial" w:eastAsia="Arial" w:hAnsi="Arial"/>
          <w:sz w:val="18"/>
          <w:szCs w:val="18"/>
          <w:b w:val="1"/>
          <w:bCs w:val="1"/>
          <w:u w:val="single" w:color="auto"/>
          <w:color w:val="auto"/>
        </w:rPr>
        <w:t>FSD</w:t>
      </w:r>
      <w:r>
        <w:rPr>
          <w:rFonts w:ascii="Arial" w:cs="Arial" w:eastAsia="Arial" w:hAnsi="Arial"/>
          <w:sz w:val="18"/>
          <w:szCs w:val="18"/>
          <w:color w:val="auto"/>
        </w:rPr>
        <w:t xml:space="preserve">”), and each of the stockholder parties identified on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 and the other persons who enter into a joinder to this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with FSD in order to become a “Stockholder Party” for purposes of this Agreement (collectively, the “</w:t>
      </w:r>
      <w:r>
        <w:rPr>
          <w:rFonts w:ascii="Arial" w:cs="Arial" w:eastAsia="Arial" w:hAnsi="Arial"/>
          <w:sz w:val="18"/>
          <w:szCs w:val="18"/>
          <w:b w:val="1"/>
          <w:bCs w:val="1"/>
          <w:u w:val="single" w:color="auto"/>
          <w:color w:val="auto"/>
        </w:rPr>
        <w:t>Stockholder Parties</w:t>
      </w:r>
      <w:r>
        <w:rPr>
          <w:rFonts w:ascii="Arial" w:cs="Arial" w:eastAsia="Arial" w:hAnsi="Arial"/>
          <w:sz w:val="18"/>
          <w:szCs w:val="18"/>
          <w:color w:val="auto"/>
        </w:rPr>
        <w:t>”). Capitalized terms used but not defined herein shall have the meanings assigned to them in the Merger Agreement (as defined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58" w:lineRule="exact"/>
        <w:rPr>
          <w:sz w:val="20"/>
          <w:szCs w:val="20"/>
          <w:color w:val="auto"/>
        </w:rPr>
      </w:pPr>
    </w:p>
    <w:p>
      <w:pPr>
        <w:jc w:val="both"/>
        <w:ind w:left="460" w:right="479" w:firstLine="432"/>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that certain Agreement and Plan of Merger, dated as of October [•], 2020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Merger Agreement</w:t>
      </w:r>
      <w:r>
        <w:rPr>
          <w:rFonts w:ascii="Arial" w:cs="Arial" w:eastAsia="Arial" w:hAnsi="Arial"/>
          <w:sz w:val="17"/>
          <w:szCs w:val="17"/>
          <w:color w:val="auto"/>
        </w:rPr>
        <w:t>”), FSG Merger Sub Inc., a Delaware corporation and a direct, wholly owned subsidiary of FSD, will merge (the “</w:t>
      </w:r>
      <w:r>
        <w:rPr>
          <w:rFonts w:ascii="Arial" w:cs="Arial" w:eastAsia="Arial" w:hAnsi="Arial"/>
          <w:sz w:val="17"/>
          <w:szCs w:val="17"/>
          <w:b w:val="1"/>
          <w:bCs w:val="1"/>
          <w:u w:val="single" w:color="auto"/>
          <w:color w:val="auto"/>
        </w:rPr>
        <w:t>Merger</w:t>
      </w:r>
      <w:r>
        <w:rPr>
          <w:rFonts w:ascii="Arial" w:cs="Arial" w:eastAsia="Arial" w:hAnsi="Arial"/>
          <w:sz w:val="17"/>
          <w:szCs w:val="17"/>
          <w:color w:val="auto"/>
        </w:rPr>
        <w:t>”) with and into Gemini Therapeutics, Inc., a Delaware corporation (“</w:t>
      </w:r>
      <w:r>
        <w:rPr>
          <w:rFonts w:ascii="Arial" w:cs="Arial" w:eastAsia="Arial" w:hAnsi="Arial"/>
          <w:sz w:val="17"/>
          <w:szCs w:val="17"/>
          <w:b w:val="1"/>
          <w:bCs w:val="1"/>
          <w:u w:val="single" w:color="auto"/>
          <w:color w:val="auto"/>
        </w:rPr>
        <w:t>Gemini</w:t>
      </w:r>
      <w:r>
        <w:rPr>
          <w:rFonts w:ascii="Arial" w:cs="Arial" w:eastAsia="Arial" w:hAnsi="Arial"/>
          <w:sz w:val="17"/>
          <w:szCs w:val="17"/>
          <w:color w:val="auto"/>
        </w:rPr>
        <w:t>”), with Gemini surviving the Merger as a wholly owned subsidiary of FSD;</w:t>
      </w:r>
    </w:p>
    <w:p>
      <w:pPr>
        <w:spacing w:after="0" w:line="84"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Stockholder Parties owns the number and type of Equity Interest in Gemini 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 opposite of such Stockholder Party’s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(such Equity Interests, the “</w:t>
      </w:r>
      <w:r>
        <w:rPr>
          <w:rFonts w:ascii="Arial" w:cs="Arial" w:eastAsia="Arial" w:hAnsi="Arial"/>
          <w:sz w:val="18"/>
          <w:szCs w:val="18"/>
          <w:b w:val="1"/>
          <w:bCs w:val="1"/>
          <w:u w:val="single" w:color="auto"/>
          <w:color w:val="auto"/>
        </w:rPr>
        <w:t>Gemini Equity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Interests</w:t>
      </w:r>
      <w:r>
        <w:rPr>
          <w:rFonts w:ascii="Arial" w:cs="Arial" w:eastAsia="Arial" w:hAnsi="Arial"/>
          <w:sz w:val="18"/>
          <w:szCs w:val="18"/>
          <w:color w:val="auto"/>
        </w:rPr>
        <w:t>”);</w:t>
      </w:r>
    </w:p>
    <w:p>
      <w:pPr>
        <w:spacing w:after="0" w:line="108" w:lineRule="exact"/>
        <w:rPr>
          <w:sz w:val="20"/>
          <w:szCs w:val="20"/>
          <w:color w:val="auto"/>
        </w:rPr>
      </w:pPr>
    </w:p>
    <w:p>
      <w:pPr>
        <w:jc w:val="both"/>
        <w:ind w:left="460" w:right="459" w:firstLine="432"/>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of the Stockholder Parties will receive a certain number of shares of Class A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$0.0001 par value per share, of FSD and/or options to purchase such shares of Class A common stock (the “</w:t>
      </w:r>
      <w:r>
        <w:rPr>
          <w:rFonts w:ascii="Arial" w:cs="Arial" w:eastAsia="Arial" w:hAnsi="Arial"/>
          <w:sz w:val="16"/>
          <w:szCs w:val="16"/>
          <w:b w:val="1"/>
          <w:bCs w:val="1"/>
          <w:u w:val="single" w:color="auto"/>
          <w:color w:val="auto"/>
        </w:rPr>
        <w:t>FSD Equity Interests</w:t>
      </w:r>
      <w:r>
        <w:rPr>
          <w:rFonts w:ascii="Arial" w:cs="Arial" w:eastAsia="Arial" w:hAnsi="Arial"/>
          <w:sz w:val="16"/>
          <w:szCs w:val="16"/>
          <w:color w:val="auto"/>
        </w:rPr>
        <w:t>”, together with the Gemini Equity Interests, and together with any of the foregoing acquired after the date hereof, the “</w:t>
      </w:r>
      <w:r>
        <w:rPr>
          <w:rFonts w:ascii="Arial" w:cs="Arial" w:eastAsia="Arial" w:hAnsi="Arial"/>
          <w:sz w:val="16"/>
          <w:szCs w:val="16"/>
          <w:b w:val="1"/>
          <w:bCs w:val="1"/>
          <w:u w:val="single" w:color="auto"/>
          <w:color w:val="auto"/>
        </w:rPr>
        <w:t>Covered Equity Interest</w:t>
      </w:r>
      <w:r>
        <w:rPr>
          <w:rFonts w:ascii="Arial" w:cs="Arial" w:eastAsia="Arial" w:hAnsi="Arial"/>
          <w:sz w:val="16"/>
          <w:szCs w:val="16"/>
          <w:color w:val="auto"/>
        </w:rPr>
        <w:t>”), pursuant to the terms of the Merger Agreement;</w:t>
      </w:r>
    </w:p>
    <w:p>
      <w:pPr>
        <w:spacing w:after="0" w:line="83" w:lineRule="exact"/>
        <w:rPr>
          <w:sz w:val="20"/>
          <w:szCs w:val="20"/>
          <w:color w:val="auto"/>
        </w:rPr>
      </w:pPr>
    </w:p>
    <w:p>
      <w:pPr>
        <w:jc w:val="both"/>
        <w:ind w:left="460" w:right="479" w:firstLine="432"/>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for the benefits to be received by each Stockholder Party under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Agreement and as a 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acknowledge and agree that FSD would not have entered into and agreed</w:t>
      </w:r>
      <w:r>
        <w:rPr>
          <w:rFonts w:ascii="Arial" w:cs="Arial" w:eastAsia="Arial" w:hAnsi="Arial"/>
          <w:sz w:val="18"/>
          <w:szCs w:val="18"/>
          <w:b w:val="1"/>
          <w:bCs w:val="1"/>
          <w:color w:val="auto"/>
        </w:rPr>
        <w:t xml:space="preserve"> </w:t>
      </w:r>
      <w:r>
        <w:rPr>
          <w:rFonts w:ascii="Arial" w:cs="Arial" w:eastAsia="Arial" w:hAnsi="Arial"/>
          <w:sz w:val="18"/>
          <w:szCs w:val="18"/>
          <w:color w:val="auto"/>
        </w:rPr>
        <w:t>to consummate the transactions contemplated by the Merger Agreement without each Stockholder Party entering into this Agreement and agreeing to be bound by the agreements, covenants and obligations contained in this Agreement;</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FSD entering into the Merger Agreement, the parties hereto wish to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certain understandings between such parties with respect to restrictions on transfer of the Covered Equity Interest.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promises set forth herein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good and valuable consideration, the receipt and sufficiency of which are hereby acknowledged, the parties hereto, each intending to be legally bound, hereby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INTRODUCTORY MATTERS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In addition to the terms defined elsewhere herein, the following terms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meanings when used herein with initial capital letters:</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Lockup Agreement, as the same may be amended, supplemented, restated or otherwise modified from time to time in accordance with the terms hereof.</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has the meaning set forth in the Recitals.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3" w:name="page444"/>
    <w:bookmarkEnd w:id="44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Stockholder Parties</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The language used in this Agreement will be deemed to be the language chosen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Lockup</w:t>
      </w:r>
      <w:r>
        <w:rPr>
          <w:rFonts w:ascii="Arial" w:cs="Arial" w:eastAsia="Arial" w:hAnsi="Arial"/>
          <w:sz w:val="18"/>
          <w:szCs w:val="18"/>
          <w:color w:val="auto"/>
        </w:rPr>
        <w:t>.</w:t>
      </w:r>
    </w:p>
    <w:p>
      <w:pPr>
        <w:spacing w:after="0" w:line="162" w:lineRule="exact"/>
        <w:rPr>
          <w:sz w:val="20"/>
          <w:szCs w:val="20"/>
          <w:color w:val="auto"/>
        </w:rPr>
      </w:pPr>
    </w:p>
    <w:p>
      <w:pPr>
        <w:jc w:val="both"/>
        <w:ind w:left="1320" w:right="459" w:hanging="434"/>
        <w:spacing w:after="0" w:line="283" w:lineRule="auto"/>
        <w:tabs>
          <w:tab w:leader="none" w:pos="1373" w:val="left"/>
        </w:tabs>
        <w:numPr>
          <w:ilvl w:val="0"/>
          <w:numId w:val="431"/>
        </w:numPr>
        <w:rPr>
          <w:rFonts w:ascii="Arial" w:cs="Arial" w:eastAsia="Arial" w:hAnsi="Arial"/>
          <w:sz w:val="16"/>
          <w:szCs w:val="16"/>
          <w:color w:val="auto"/>
        </w:rPr>
      </w:pPr>
      <w:r>
        <w:rPr>
          <w:rFonts w:ascii="Arial" w:cs="Arial" w:eastAsia="Arial" w:hAnsi="Arial"/>
          <w:sz w:val="16"/>
          <w:szCs w:val="16"/>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Arial" w:cs="Arial" w:eastAsia="Arial" w:hAnsi="Arial"/>
          <w:sz w:val="16"/>
          <w:szCs w:val="16"/>
          <w:b w:val="1"/>
          <w:bCs w:val="1"/>
          <w:u w:val="single" w:color="auto"/>
          <w:color w:val="auto"/>
        </w:rPr>
        <w:t>Lock-Up Period</w:t>
      </w:r>
      <w:r>
        <w:rPr>
          <w:rFonts w:ascii="Arial" w:cs="Arial" w:eastAsia="Arial" w:hAnsi="Arial"/>
          <w:sz w:val="16"/>
          <w:szCs w:val="16"/>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119" w:lineRule="exact"/>
        <w:rPr>
          <w:rFonts w:ascii="Arial" w:cs="Arial" w:eastAsia="Arial" w:hAnsi="Arial"/>
          <w:sz w:val="16"/>
          <w:szCs w:val="16"/>
          <w:color w:val="auto"/>
        </w:rPr>
      </w:pPr>
    </w:p>
    <w:p>
      <w:pPr>
        <w:jc w:val="both"/>
        <w:ind w:left="1320" w:right="459" w:hanging="434"/>
        <w:spacing w:after="0" w:line="259" w:lineRule="auto"/>
        <w:tabs>
          <w:tab w:leader="none" w:pos="128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4" w:name="page445"/>
    <w:bookmarkEnd w:id="44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STOCKHOLDER PARTIES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Stockholder Representations and Warranties</w:t>
      </w:r>
      <w:r>
        <w:rPr>
          <w:rFonts w:ascii="Arial" w:cs="Arial" w:eastAsia="Arial" w:hAnsi="Arial"/>
          <w:sz w:val="16"/>
          <w:szCs w:val="16"/>
          <w:color w:val="auto"/>
        </w:rPr>
        <w:t>. Each Stockholder Party represents and warrants to</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FSD as follows:</w:t>
      </w:r>
    </w:p>
    <w:p>
      <w:pPr>
        <w:spacing w:after="0" w:line="143" w:lineRule="exact"/>
        <w:rPr>
          <w:sz w:val="20"/>
          <w:szCs w:val="20"/>
          <w:color w:val="auto"/>
        </w:rPr>
      </w:pPr>
    </w:p>
    <w:p>
      <w:pPr>
        <w:jc w:val="both"/>
        <w:ind w:left="1320" w:right="459" w:hanging="434"/>
        <w:spacing w:after="0" w:line="275" w:lineRule="auto"/>
        <w:tabs>
          <w:tab w:leader="none" w:pos="1398" w:val="left"/>
        </w:tabs>
        <w:numPr>
          <w:ilvl w:val="0"/>
          <w:numId w:val="432"/>
        </w:numPr>
        <w:rPr>
          <w:rFonts w:ascii="Arial" w:cs="Arial" w:eastAsia="Arial" w:hAnsi="Arial"/>
          <w:sz w:val="17"/>
          <w:szCs w:val="17"/>
          <w:color w:val="auto"/>
        </w:rPr>
      </w:pPr>
      <w:r>
        <w:rPr>
          <w:rFonts w:ascii="Arial" w:cs="Arial" w:eastAsia="Arial" w:hAnsi="Arial"/>
          <w:sz w:val="17"/>
          <w:szCs w:val="17"/>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08" w:lineRule="exact"/>
        <w:rPr>
          <w:rFonts w:ascii="Arial" w:cs="Arial" w:eastAsia="Arial" w:hAnsi="Arial"/>
          <w:sz w:val="17"/>
          <w:szCs w:val="17"/>
          <w:color w:val="auto"/>
        </w:rPr>
      </w:pPr>
    </w:p>
    <w:p>
      <w:pPr>
        <w:jc w:val="both"/>
        <w:ind w:left="1320" w:right="459" w:hanging="434"/>
        <w:spacing w:after="0" w:line="287" w:lineRule="auto"/>
        <w:tabs>
          <w:tab w:leader="none" w:pos="1323" w:val="left"/>
        </w:tabs>
        <w:numPr>
          <w:ilvl w:val="0"/>
          <w:numId w:val="432"/>
        </w:numPr>
        <w:rPr>
          <w:rFonts w:ascii="Arial" w:cs="Arial" w:eastAsia="Arial" w:hAnsi="Arial"/>
          <w:sz w:val="16"/>
          <w:szCs w:val="16"/>
          <w:color w:val="auto"/>
        </w:rPr>
      </w:pPr>
      <w:r>
        <w:rPr>
          <w:rFonts w:ascii="Arial" w:cs="Arial" w:eastAsia="Arial" w:hAnsi="Arial"/>
          <w:sz w:val="16"/>
          <w:szCs w:val="16"/>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86" w:lineRule="exact"/>
        <w:rPr>
          <w:rFonts w:ascii="Arial" w:cs="Arial" w:eastAsia="Arial" w:hAnsi="Arial"/>
          <w:sz w:val="16"/>
          <w:szCs w:val="16"/>
          <w:color w:val="auto"/>
        </w:rPr>
      </w:pPr>
    </w:p>
    <w:p>
      <w:pPr>
        <w:jc w:val="both"/>
        <w:ind w:left="1320" w:right="459" w:hanging="434"/>
        <w:spacing w:after="0" w:line="253" w:lineRule="auto"/>
        <w:tabs>
          <w:tab w:leader="none" w:pos="13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Each Stockholder Party is the record and beneficial owner of the Gemini Equity Interests set forth opposite such Stockholder Party’s name on Exhibit A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and the obligations of each Stockholder Party 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upon the termination of 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claims, demands and other communications hereunder shall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FSD’s address is: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Dennis Ryan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docs-Investments@foresitecapital.com</w:t>
      </w:r>
    </w:p>
    <w:p>
      <w:pPr>
        <w:spacing w:after="0" w:line="17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5" w:name="page446"/>
    <w:bookmarkEnd w:id="44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White&amp; Case LLP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joel.rubinstein@whitecase.com</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such address as such Stockholder Party shall furnish to FSD in writing.</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Amendment; Waiver</w:t>
      </w:r>
      <w:r>
        <w:rPr>
          <w:rFonts w:ascii="Arial" w:cs="Arial" w:eastAsia="Arial" w:hAnsi="Arial"/>
          <w:sz w:val="18"/>
          <w:szCs w:val="18"/>
          <w:color w:val="auto"/>
        </w:rPr>
        <w:t>.</w:t>
      </w:r>
    </w:p>
    <w:p>
      <w:pPr>
        <w:spacing w:after="0" w:line="162" w:lineRule="exact"/>
        <w:rPr>
          <w:sz w:val="20"/>
          <w:szCs w:val="20"/>
          <w:color w:val="auto"/>
        </w:rPr>
      </w:pPr>
    </w:p>
    <w:p>
      <w:pPr>
        <w:jc w:val="both"/>
        <w:ind w:left="1320" w:right="479" w:hanging="434"/>
        <w:spacing w:after="0" w:line="275" w:lineRule="auto"/>
        <w:tabs>
          <w:tab w:leader="none" w:pos="140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08" w:lineRule="exact"/>
        <w:rPr>
          <w:rFonts w:ascii="Arial" w:cs="Arial" w:eastAsia="Arial" w:hAnsi="Arial"/>
          <w:sz w:val="17"/>
          <w:szCs w:val="17"/>
          <w:color w:val="auto"/>
        </w:rPr>
      </w:pPr>
    </w:p>
    <w:p>
      <w:pPr>
        <w:jc w:val="both"/>
        <w:ind w:left="1320" w:right="459" w:hanging="434"/>
        <w:spacing w:after="0" w:line="254" w:lineRule="auto"/>
        <w:tabs>
          <w:tab w:leader="none" w:pos="129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13" w:lineRule="exact"/>
        <w:rPr>
          <w:rFonts w:ascii="Arial" w:cs="Arial" w:eastAsia="Arial" w:hAnsi="Arial"/>
          <w:sz w:val="18"/>
          <w:szCs w:val="18"/>
          <w:color w:val="auto"/>
        </w:rPr>
      </w:pPr>
    </w:p>
    <w:p>
      <w:pPr>
        <w:jc w:val="both"/>
        <w:ind w:left="1320" w:right="459" w:hanging="434"/>
        <w:spacing w:after="0" w:line="257" w:lineRule="auto"/>
        <w:tabs>
          <w:tab w:leader="none" w:pos="140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16" w:lineRule="exact"/>
        <w:rPr>
          <w:sz w:val="20"/>
          <w:szCs w:val="20"/>
          <w:color w:val="auto"/>
        </w:rPr>
      </w:pPr>
    </w:p>
    <w:p>
      <w:pPr>
        <w:jc w:val="both"/>
        <w:ind w:left="460" w:right="459" w:firstLine="432"/>
        <w:spacing w:after="0" w:line="314"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The parties hereto will sign such further documents, cause such meetings to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resolutions passed, exercise their votes and do and perform and cause to be done such further acts and things necessary, proper or advisable in order to give full effect to this Agreement and every provision hereof.</w:t>
      </w:r>
    </w:p>
    <w:p>
      <w:pPr>
        <w:spacing w:after="0" w:line="74" w:lineRule="exact"/>
        <w:rPr>
          <w:sz w:val="20"/>
          <w:szCs w:val="20"/>
          <w:color w:val="auto"/>
        </w:rPr>
      </w:pPr>
    </w:p>
    <w:p>
      <w:pPr>
        <w:jc w:val="both"/>
        <w:ind w:left="460" w:right="479" w:firstLine="432"/>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may not be assigned without the express prior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hereto, and any attempted assignment, without such consents, will be null and void. This Agreement will inure to the benefit of and be binding on the parties hereto and their respective successors and permitted assigns.</w:t>
      </w:r>
    </w:p>
    <w:p>
      <w:pPr>
        <w:spacing w:after="0" w:line="99" w:lineRule="exact"/>
        <w:rPr>
          <w:sz w:val="20"/>
          <w:szCs w:val="20"/>
          <w:color w:val="auto"/>
        </w:rPr>
      </w:pPr>
    </w:p>
    <w:p>
      <w:pPr>
        <w:jc w:val="both"/>
        <w:ind w:left="460" w:right="479" w:firstLine="432"/>
        <w:spacing w:after="0" w:line="266"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Third Parties</w:t>
      </w:r>
      <w:r>
        <w:rPr>
          <w:rFonts w:ascii="Arial" w:cs="Arial" w:eastAsia="Arial" w:hAnsi="Arial"/>
          <w:sz w:val="18"/>
          <w:szCs w:val="18"/>
          <w:color w:val="auto"/>
        </w:rPr>
        <w:t>. Except with respect to any Non-Recourse Party, this Agreement does not create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claims or benefits inuring to any person that is not a party hereto nor create or establish any third party beneficiary hereto.</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THE LEGAL RELATIONS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ARISING HEREUNDER SHALL BE GOVERNED BY AND INTERPRETED IN ACCORDANCE WITH THE LAWS OF THE STATE OF DELAWARE WITHOUT REFERENCE TO ITS CONFLICTS OF LAW PROVISIONS.</w:t>
      </w:r>
    </w:p>
    <w:p>
      <w:pPr>
        <w:spacing w:after="0" w:line="11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u w:val="single" w:color="auto"/>
          <w:color w:val="auto"/>
        </w:rPr>
        <w:t>Jurisdiction; Waiver of Jury Trial</w:t>
      </w:r>
      <w:r>
        <w:rPr>
          <w:rFonts w:ascii="Arial" w:cs="Arial" w:eastAsia="Arial" w:hAnsi="Arial"/>
          <w:sz w:val="16"/>
          <w:szCs w:val="16"/>
          <w:color w:val="auto"/>
        </w:rPr>
        <w:t>. All Actions arising out of or relating to this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Each party hereto acknowledges and agrees that in the event of any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6" w:name="page447"/>
    <w:bookmarkEnd w:id="44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8"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hereto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There 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or the application of such provision to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21"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7"/>
          <w:szCs w:val="17"/>
          <w:b w:val="1"/>
          <w:bCs w:val="1"/>
          <w:color w:val="auto"/>
        </w:rPr>
        <w:t xml:space="preserve">4.12. </w:t>
      </w:r>
      <w:r>
        <w:rPr>
          <w:rFonts w:ascii="Arial" w:cs="Arial" w:eastAsia="Arial" w:hAnsi="Arial"/>
          <w:sz w:val="17"/>
          <w:szCs w:val="17"/>
          <w:b w:val="1"/>
          <w:bCs w:val="1"/>
          <w:u w:val="single" w:color="auto"/>
          <w:color w:val="auto"/>
        </w:rPr>
        <w:t>Table of Contents, Headings and Captions</w:t>
      </w:r>
      <w:r>
        <w:rPr>
          <w:rFonts w:ascii="Arial" w:cs="Arial" w:eastAsia="Arial" w:hAnsi="Arial"/>
          <w:sz w:val="17"/>
          <w:szCs w:val="17"/>
          <w:color w:val="auto"/>
        </w:rPr>
        <w:t>. The table of contents, headings, subheadings and</w:t>
      </w:r>
      <w:r>
        <w:rPr>
          <w:rFonts w:ascii="Arial" w:cs="Arial" w:eastAsia="Arial" w:hAnsi="Arial"/>
          <w:sz w:val="17"/>
          <w:szCs w:val="17"/>
          <w:b w:val="1"/>
          <w:bCs w:val="1"/>
          <w:color w:val="auto"/>
        </w:rPr>
        <w:t xml:space="preserve"> </w:t>
      </w:r>
      <w:r>
        <w:rPr>
          <w:rFonts w:ascii="Arial" w:cs="Arial" w:eastAsia="Arial" w:hAnsi="Arial"/>
          <w:sz w:val="17"/>
          <w:szCs w:val="17"/>
          <w:color w:val="auto"/>
        </w:rPr>
        <w:t>captions contained in this Agreement are included for convenience of reference only, and in no way define, limit or describe the scope of this Agreement or the intent of any provision hereof.</w:t>
      </w:r>
    </w:p>
    <w:p>
      <w:pPr>
        <w:spacing w:after="0" w:line="77"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signed in any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counterparts, each of which shall be deemed an original, but all of which taken together shall constitute one agreement (or amendment, as applicable).</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b w:val="1"/>
          <w:bCs w:val="1"/>
          <w:u w:val="single" w:color="auto"/>
          <w:color w:val="auto"/>
        </w:rPr>
        <w:t>Effectiveness</w:t>
      </w:r>
      <w:r>
        <w:rPr>
          <w:rFonts w:ascii="Arial" w:cs="Arial" w:eastAsia="Arial" w:hAnsi="Arial"/>
          <w:sz w:val="18"/>
          <w:szCs w:val="18"/>
          <w:color w:val="auto"/>
        </w:rPr>
        <w:t>. This Agreement shall be valid and enforceable as of the date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be revoked by any party hereto.</w:t>
      </w:r>
    </w:p>
    <w:p>
      <w:pPr>
        <w:spacing w:after="0" w:line="9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color w:val="auto"/>
        </w:rPr>
        <w:t xml:space="preserve">4.15. </w:t>
      </w:r>
      <w:r>
        <w:rPr>
          <w:rFonts w:ascii="Arial" w:cs="Arial" w:eastAsia="Arial" w:hAnsi="Arial"/>
          <w:sz w:val="17"/>
          <w:szCs w:val="17"/>
          <w:b w:val="1"/>
          <w:bCs w:val="1"/>
          <w:u w:val="single" w:color="auto"/>
          <w:color w:val="auto"/>
        </w:rPr>
        <w:t>No Recourse</w:t>
      </w:r>
      <w:r>
        <w:rPr>
          <w:rFonts w:ascii="Arial" w:cs="Arial" w:eastAsia="Arial" w:hAnsi="Arial"/>
          <w:sz w:val="17"/>
          <w:szCs w:val="17"/>
          <w:color w:val="auto"/>
        </w:rPr>
        <w:t>. This Agreement may only be enforced against, and any claim or cause of action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Arial" w:cs="Arial" w:eastAsia="Arial" w:hAnsi="Arial"/>
          <w:sz w:val="17"/>
          <w:szCs w:val="17"/>
          <w:u w:val="single" w:color="auto"/>
          <w:color w:val="auto"/>
        </w:rPr>
        <w:t>Non-Recourse Party</w:t>
      </w:r>
      <w:r>
        <w:rPr>
          <w:rFonts w:ascii="Arial" w:cs="Arial" w:eastAsia="Arial" w:hAnsi="Arial"/>
          <w:sz w:val="17"/>
          <w:szCs w:val="17"/>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7" w:name="page448"/>
    <w:bookmarkEnd w:id="44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WITNESS WHEREOF, the parties hereto have executed this Lockup Agreement on the day and year first above written.</w:t>
      </w:r>
    </w:p>
    <w:p>
      <w:pPr>
        <w:spacing w:after="0" w:line="1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FS DEVELOPMENT CORP.</w:t>
      </w:r>
    </w:p>
    <w:p>
      <w:pPr>
        <w:spacing w:after="0" w:line="8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8" w:name="page449"/>
    <w:bookmarkEnd w:id="44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LIGHTSTONE VENTURES, L.P.</w:t>
      </w:r>
    </w:p>
    <w:p>
      <w:pPr>
        <w:spacing w:after="0" w:line="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9" w:name="page450"/>
    <w:bookmarkEnd w:id="44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LIGHTSTONE VENTURES (A), L.P.</w:t>
      </w:r>
    </w:p>
    <w:p>
      <w:pPr>
        <w:spacing w:after="0" w:line="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0" w:name="page451"/>
    <w:bookmarkEnd w:id="45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LIGHSTONE SINGAPORE L.P.</w:t>
      </w:r>
    </w:p>
    <w:p>
      <w:pPr>
        <w:spacing w:after="0" w:line="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1" w:name="page452"/>
    <w:bookmarkEnd w:id="45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ORBIMED PRIVATE INVESTMENTS VI, L.P.</w:t>
      </w:r>
    </w:p>
    <w:p>
      <w:pPr>
        <w:spacing w:after="0" w:line="8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2" w:name="page453"/>
    <w:bookmarkEnd w:id="45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ATLAS VENTURE FUND X, L.P.</w:t>
      </w:r>
    </w:p>
    <w:p>
      <w:pPr>
        <w:spacing w:after="0" w:line="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3" w:name="page454"/>
    <w:bookmarkEnd w:id="45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STOCKHOLDER PARTY:</w:t>
      </w:r>
    </w:p>
    <w:p>
      <w:pPr>
        <w:spacing w:after="0" w:line="8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WU CAPITAL</w:t>
      </w:r>
    </w:p>
    <w:p>
      <w:pPr>
        <w:spacing w:after="0" w:line="8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4" w:name="page455"/>
    <w:bookmarkEnd w:id="45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STOCKHOLDER PARTY:</w:t>
      </w:r>
    </w:p>
    <w:p>
      <w:pPr>
        <w:spacing w:after="0" w:line="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5" w:name="page456"/>
    <w:bookmarkEnd w:id="45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6" w:name="page457"/>
    <w:bookmarkEnd w:id="45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7" w:name="page458"/>
    <w:bookmarkEnd w:id="45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8" w:name="page459"/>
    <w:bookmarkEnd w:id="45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PARTIES</w:t>
      </w:r>
      <w:r>
        <w:rPr>
          <w:rFonts w:ascii="Arial" w:cs="Arial" w:eastAsia="Arial" w:hAnsi="Arial"/>
          <w:sz w:val="20"/>
          <w:szCs w:val="20"/>
          <w:b w:val="1"/>
          <w:bCs w:val="1"/>
          <w:color w:val="auto"/>
          <w:vertAlign w:val="superscript"/>
        </w:rPr>
        <w:t>[10]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Common</w:t>
            </w:r>
          </w:p>
        </w:tc>
        <w:tc>
          <w:tcPr>
            <w:tcW w:w="12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Series A</w:t>
            </w: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Series B</w:t>
            </w:r>
          </w:p>
        </w:tc>
        <w:tc>
          <w:tcPr>
            <w:tcW w:w="1280" w:type="dxa"/>
            <w:vAlign w:val="bottom"/>
          </w:tcPr>
          <w:p>
            <w:pPr>
              <w:jc w:val="right"/>
              <w:ind w:right="272"/>
              <w:spacing w:after="0"/>
              <w:rPr>
                <w:sz w:val="20"/>
                <w:szCs w:val="20"/>
                <w:color w:val="auto"/>
              </w:rPr>
            </w:pPr>
            <w:r>
              <w:rPr>
                <w:rFonts w:ascii="Arial" w:cs="Arial" w:eastAsia="Arial" w:hAnsi="Arial"/>
                <w:sz w:val="16"/>
                <w:szCs w:val="16"/>
                <w:b w:val="1"/>
                <w:bCs w:val="1"/>
                <w:color w:val="auto"/>
              </w:rPr>
              <w:t>Options</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Lightstone Ventures,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11,653,137</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976,931</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Lightstone Ventures (A),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1,587,559</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133,112</w:t>
            </w: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Lighstone Singapore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3,700,139</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OrbiMed Private Investments VI,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13,240,696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7,400,280</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Atlas Venture Fund X,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13,240,696</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5,180,196</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Wu Capital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7,400,280</w:t>
            </w: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Scott Lauder</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James McLaughlin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Phil Reilly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185,175</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Steve Squinto</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396,803</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Jason Meyenburg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3,285,939</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Gregg Beloff</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 Uknis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Suresh Katti</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319,535</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Walter Strapps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319,535</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David Lubner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Tuyen Ong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Phil Reilly</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185,175</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6" w:lineRule="exact"/>
        <w:rPr>
          <w:sz w:val="20"/>
          <w:szCs w:val="20"/>
          <w:color w:val="auto"/>
        </w:rPr>
      </w:pPr>
    </w:p>
    <w:p>
      <w:pPr>
        <w:ind w:left="880" w:hanging="426"/>
        <w:spacing w:after="0"/>
        <w:tabs>
          <w:tab w:leader="none" w:pos="880" w:val="left"/>
        </w:tabs>
        <w:numPr>
          <w:ilvl w:val="0"/>
          <w:numId w:val="434"/>
        </w:numPr>
        <w:rPr>
          <w:rFonts w:ascii="Arial" w:cs="Arial" w:eastAsia="Arial" w:hAnsi="Arial"/>
          <w:sz w:val="19"/>
          <w:szCs w:val="19"/>
          <w:color w:val="auto"/>
          <w:vertAlign w:val="superscript"/>
        </w:rPr>
      </w:pPr>
      <w:r>
        <w:rPr>
          <w:rFonts w:ascii="Arial" w:cs="Arial" w:eastAsia="Arial" w:hAnsi="Arial"/>
          <w:sz w:val="16"/>
          <w:szCs w:val="16"/>
          <w:b w:val="1"/>
          <w:bCs w:val="1"/>
          <w:color w:val="auto"/>
        </w:rPr>
        <w:t>Note to Draft</w:t>
      </w:r>
      <w:r>
        <w:rPr>
          <w:rFonts w:ascii="Arial" w:cs="Arial" w:eastAsia="Arial" w:hAnsi="Arial"/>
          <w:sz w:val="16"/>
          <w:szCs w:val="16"/>
          <w:color w:val="auto"/>
        </w:rPr>
        <w:t>: To be confirmed whether any other members of Gemini management owns shares of Gemini.</w:t>
      </w:r>
    </w:p>
    <w:p>
      <w:pPr>
        <w:sectPr>
          <w:pgSz w:w="11900" w:h="16838" w:orient="portrait"/>
          <w:cols w:equalWidth="0" w:num="1">
            <w:col w:w="9019"/>
          </w:cols>
          <w:pgMar w:left="1440" w:top="274"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A-179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9" w:name="page460"/>
    <w:bookmarkEnd w:id="45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TO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Reference is made to the Lockup Agreement, dated as of October [•], 2020, by and between FSD Development Corp. and the Stockholder Parties (as defined therein) from time to time party thereto (as amended from time to time, the “</w:t>
      </w:r>
      <w:r>
        <w:rPr>
          <w:rFonts w:ascii="Arial" w:cs="Arial" w:eastAsia="Arial" w:hAnsi="Arial"/>
          <w:sz w:val="18"/>
          <w:szCs w:val="18"/>
          <w:u w:val="single" w:color="auto"/>
          <w:color w:val="auto"/>
        </w:rPr>
        <w:t>Lockup Agreement</w:t>
      </w:r>
      <w:r>
        <w:rPr>
          <w:rFonts w:ascii="Arial" w:cs="Arial" w:eastAsia="Arial" w:hAnsi="Arial"/>
          <w:sz w:val="18"/>
          <w:szCs w:val="18"/>
          <w:color w:val="auto"/>
        </w:rPr>
        <w:t>”). Capitalized terms used but not otherwise defined herein shall have the meanings ascribed to such terms in the Lockup Agreement.</w:t>
      </w:r>
    </w:p>
    <w:p>
      <w:pPr>
        <w:spacing w:after="0" w:line="11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Each of FSD and each undersigned holder of shares of FSD (each, a “</w:t>
      </w:r>
      <w:r>
        <w:rPr>
          <w:rFonts w:ascii="Arial" w:cs="Arial" w:eastAsia="Arial" w:hAnsi="Arial"/>
          <w:sz w:val="18"/>
          <w:szCs w:val="18"/>
          <w:u w:val="single" w:color="auto"/>
          <w:color w:val="auto"/>
        </w:rPr>
        <w:t>New Stockholder Party</w:t>
      </w:r>
      <w:r>
        <w:rPr>
          <w:rFonts w:ascii="Arial" w:cs="Arial" w:eastAsia="Arial" w:hAnsi="Arial"/>
          <w:sz w:val="18"/>
          <w:szCs w:val="18"/>
          <w:color w:val="auto"/>
        </w:rPr>
        <w:t>”) agrees that this Joinder to the Lockup Agreement (this “</w:t>
      </w:r>
      <w:r>
        <w:rPr>
          <w:rFonts w:ascii="Arial" w:cs="Arial" w:eastAsia="Arial" w:hAnsi="Arial"/>
          <w:sz w:val="18"/>
          <w:szCs w:val="18"/>
          <w:u w:val="single" w:color="auto"/>
          <w:color w:val="auto"/>
        </w:rPr>
        <w:t>Joinder</w:t>
      </w:r>
      <w:r>
        <w:rPr>
          <w:rFonts w:ascii="Arial" w:cs="Arial" w:eastAsia="Arial" w:hAnsi="Arial"/>
          <w:sz w:val="18"/>
          <w:szCs w:val="18"/>
          <w:color w:val="auto"/>
        </w:rPr>
        <w:t>”) is being executed and delivered for good and valuable consideration.</w:t>
      </w:r>
    </w:p>
    <w:p>
      <w:pPr>
        <w:spacing w:after="0" w:line="11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90"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This Joinder may be executed in multiple counterparts, including by means of facsimile or electronic signature, each of which shall be deemed an original, but all of which together shall constitute the same instrument.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0" w:name="page461"/>
    <w:bookmarkEnd w:id="46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WITNESS WHEREOF, the undersigned have duly executed this joinder as of the date first set forth above.</w:t>
      </w:r>
    </w:p>
    <w:p>
      <w:pPr>
        <w:spacing w:after="0" w:line="24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[NEW STOCKHOLDER PARTY]</w:t>
      </w:r>
    </w:p>
    <w:p>
      <w:pPr>
        <w:spacing w:after="0" w:line="8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40640</wp:posOffset>
            </wp:positionV>
            <wp:extent cx="19888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7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[COMPANY]</w:t>
      </w:r>
    </w:p>
    <w:p>
      <w:pPr>
        <w:spacing w:after="0" w:line="8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1" w:name="page462"/>
    <w:bookmarkEnd w:id="46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u w:val="single" w:color="auto"/>
          <w:color w:val="auto"/>
        </w:rPr>
        <w:t>EXHIBIT 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MERGER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FSG MERGER SUB,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14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Pursuant to the provisions of Section 251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Gemini Therapeutics, Inc., a corporation organized and existing under the laws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the following information relating to the merger (the “</w:t>
      </w:r>
      <w:r>
        <w:rPr>
          <w:rFonts w:ascii="Arial" w:cs="Arial" w:eastAsia="Arial" w:hAnsi="Arial"/>
          <w:sz w:val="18"/>
          <w:szCs w:val="18"/>
          <w:u w:val="single" w:color="auto"/>
          <w:color w:val="auto"/>
        </w:rPr>
        <w:t>Merger</w:t>
      </w:r>
      <w:r>
        <w:rPr>
          <w:rFonts w:ascii="Arial" w:cs="Arial" w:eastAsia="Arial" w:hAnsi="Arial"/>
          <w:sz w:val="18"/>
          <w:szCs w:val="18"/>
          <w:color w:val="auto"/>
        </w:rPr>
        <w:t>”) of FSG Merger Sub, Inc., a corporation organized and existing under the laws of Delaware (“</w:t>
      </w:r>
      <w:r>
        <w:rPr>
          <w:rFonts w:ascii="Arial" w:cs="Arial" w:eastAsia="Arial" w:hAnsi="Arial"/>
          <w:sz w:val="18"/>
          <w:szCs w:val="18"/>
          <w:u w:val="single" w:color="auto"/>
          <w:color w:val="auto"/>
        </w:rPr>
        <w:t>Merger Sub</w:t>
      </w:r>
      <w:r>
        <w:rPr>
          <w:rFonts w:ascii="Arial" w:cs="Arial" w:eastAsia="Arial" w:hAnsi="Arial"/>
          <w:sz w:val="18"/>
          <w:szCs w:val="18"/>
          <w:color w:val="auto"/>
        </w:rPr>
        <w:t>”), with and into the Company, with the Company as the surviving corporation of the Merger:</w:t>
      </w:r>
    </w:p>
    <w:p>
      <w:pPr>
        <w:spacing w:after="0" w:line="103"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names and states of incorporation of the constituent corporations to the Merger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Constituent Corporations</w:t>
      </w:r>
      <w:r>
        <w:rPr>
          <w:rFonts w:ascii="Arial" w:cs="Arial" w:eastAsia="Arial" w:hAnsi="Arial"/>
          <w:sz w:val="18"/>
          <w:szCs w:val="18"/>
          <w:color w:val="auto"/>
        </w:rPr>
        <w:t>”) are as follows:</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38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840" w:type="dxa"/>
            <w:vAlign w:val="bottom"/>
          </w:tcPr>
          <w:p>
            <w:pPr>
              <w:spacing w:after="0"/>
              <w:rPr>
                <w:sz w:val="20"/>
                <w:szCs w:val="20"/>
                <w:color w:val="auto"/>
              </w:rPr>
            </w:pPr>
            <w:r>
              <w:rPr>
                <w:rFonts w:ascii="Arial" w:cs="Arial" w:eastAsia="Arial" w:hAnsi="Arial"/>
                <w:sz w:val="16"/>
                <w:szCs w:val="16"/>
                <w:b w:val="1"/>
                <w:bCs w:val="1"/>
                <w:color w:val="auto"/>
              </w:rPr>
              <w:t>State of Incorporation</w:t>
            </w:r>
          </w:p>
        </w:tc>
      </w:tr>
      <w:tr>
        <w:trPr>
          <w:trHeight w:val="46"/>
        </w:trPr>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Gemini Therapeutics, Inc.</w:t>
            </w:r>
          </w:p>
        </w:tc>
        <w:tc>
          <w:tcPr>
            <w:tcW w:w="1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Delaware</w:t>
            </w:r>
          </w:p>
        </w:tc>
      </w:tr>
      <w:tr>
        <w:trPr>
          <w:trHeight w:val="283"/>
        </w:trPr>
        <w:tc>
          <w:tcPr>
            <w:tcW w:w="3840" w:type="dxa"/>
            <w:vAlign w:val="bottom"/>
            <w:gridSpan w:val="2"/>
          </w:tcPr>
          <w:p>
            <w:pPr>
              <w:spacing w:after="0"/>
              <w:rPr>
                <w:sz w:val="20"/>
                <w:szCs w:val="20"/>
                <w:color w:val="auto"/>
              </w:rPr>
            </w:pPr>
            <w:r>
              <w:rPr>
                <w:rFonts w:ascii="Arial" w:cs="Arial" w:eastAsia="Arial" w:hAnsi="Arial"/>
                <w:sz w:val="18"/>
                <w:szCs w:val="18"/>
                <w:color w:val="auto"/>
              </w:rPr>
              <w:t>FSG Merger Sub, Inc.</w:t>
            </w:r>
          </w:p>
        </w:tc>
        <w:tc>
          <w:tcPr>
            <w:tcW w:w="3840" w:type="dxa"/>
            <w:vAlign w:val="bottom"/>
          </w:tcPr>
          <w:p>
            <w:pPr>
              <w:spacing w:after="0"/>
              <w:rPr>
                <w:sz w:val="20"/>
                <w:szCs w:val="20"/>
                <w:color w:val="auto"/>
              </w:rPr>
            </w:pPr>
            <w:r>
              <w:rPr>
                <w:rFonts w:ascii="Arial" w:cs="Arial" w:eastAsia="Arial" w:hAnsi="Arial"/>
                <w:sz w:val="18"/>
                <w:szCs w:val="18"/>
                <w:color w:val="auto"/>
              </w:rPr>
              <w:t>Delaware</w:t>
            </w:r>
          </w:p>
        </w:tc>
      </w:tr>
    </w:tbl>
    <w:p>
      <w:pPr>
        <w:spacing w:after="0" w:line="198" w:lineRule="exact"/>
        <w:rPr>
          <w:sz w:val="20"/>
          <w:szCs w:val="20"/>
          <w:color w:val="auto"/>
        </w:rPr>
      </w:pPr>
    </w:p>
    <w:p>
      <w:pPr>
        <w:jc w:val="both"/>
        <w:ind w:left="460" w:right="459" w:firstLine="432"/>
        <w:spacing w:after="0" w:line="258"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Agreement and Plan of Merger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October [•], 2020,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Company, FS Development Corp., a Delaware corporation, Merger Sub, and Shareholder Representative Services LLC (solely in its capacity as the stockholder representative as set forth therein), has been approved, adopted, certified, executed and acknowledged by each of the Constituent Corporations pursuant to, and in accordance with, Section 251 of the DGCL.</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name of the surviving corporation, upon the effectiveness of the Merger, shall be Gemini</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Inc., a Delaware corporation.</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The Certificate of Incorporation of the Company, as in effect prior to the filing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Certificate of Merger, shall be amended as of the filing of this Certificate of Merger so as to contain the provisions, and only the provisions, contained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and, as so amended, shall be the Certificate of Incorporation of the surviving corporation.</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This Certificate of Merger and the Merger shall become effective immediately upon the filing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Certificate of Merger with the Secretary of State of the State of Delaware.</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The executed Agreement is on file at the principal place of business of the surviving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address of the principal place of business of the surviving corporation is 300 One Kendall Square, 3</w:t>
      </w:r>
      <w:r>
        <w:rPr>
          <w:rFonts w:ascii="Arial" w:cs="Arial" w:eastAsia="Arial" w:hAnsi="Arial"/>
          <w:sz w:val="20"/>
          <w:szCs w:val="20"/>
          <w:color w:val="auto"/>
          <w:vertAlign w:val="superscript"/>
        </w:rPr>
        <w:t>rd</w:t>
      </w:r>
      <w:r>
        <w:rPr>
          <w:rFonts w:ascii="Arial" w:cs="Arial" w:eastAsia="Arial" w:hAnsi="Arial"/>
          <w:sz w:val="18"/>
          <w:szCs w:val="18"/>
          <w:color w:val="auto"/>
        </w:rPr>
        <w:t xml:space="preserve"> Floor, Cambridge, MA 02139.</w:t>
      </w:r>
    </w:p>
    <w:p>
      <w:pPr>
        <w:spacing w:after="0" w:line="107"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A copy of the Agreement will be furnished by the surviving corporation on request,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cost, to any stockholder of either of the Constituent Corporations.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BLANK INTENTIONALLY]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2" w:name="page463"/>
    <w:bookmarkEnd w:id="46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said surviving corporation has caused this certificate to be signed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on the _____ day of _____, 2020.</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GEMINI THERAPEUTICS, INC.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40640</wp:posOffset>
            </wp:positionV>
            <wp:extent cx="223710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Delaware Certificate of Merger</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3" w:name="page464"/>
    <w:bookmarkEnd w:id="46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See attached.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A-184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22225</wp:posOffset>
            </wp:positionV>
            <wp:extent cx="51435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4" w:name="page465"/>
    <w:bookmarkEnd w:id="46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0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 The name of its registered agent at such address is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74" w:lineRule="auto"/>
        <w:rPr>
          <w:sz w:val="20"/>
          <w:szCs w:val="20"/>
          <w:color w:val="auto"/>
        </w:rPr>
      </w:pPr>
      <w:r>
        <w:rPr>
          <w:rFonts w:ascii="Arial" w:cs="Arial" w:eastAsia="Arial" w:hAnsi="Arial"/>
          <w:sz w:val="17"/>
          <w:szCs w:val="17"/>
          <w:color w:val="auto"/>
        </w:rPr>
        <w:t>The total number of shares of capital stock which the Corporation shall have authority to issue is [__________] Million ([__________]) of which (i) [__________] Million ([______]) shares shall be a class</w:t>
      </w:r>
    </w:p>
    <w:p>
      <w:pPr>
        <w:jc w:val="both"/>
        <w:ind w:left="460" w:right="459"/>
        <w:spacing w:after="0" w:line="255" w:lineRule="auto"/>
        <w:rPr>
          <w:sz w:val="20"/>
          <w:szCs w:val="20"/>
          <w:color w:val="auto"/>
        </w:rPr>
      </w:pPr>
      <w:r>
        <w:rPr>
          <w:rFonts w:ascii="Arial" w:cs="Arial" w:eastAsia="Arial" w:hAnsi="Arial"/>
          <w:sz w:val="18"/>
          <w:szCs w:val="18"/>
          <w:color w:val="auto"/>
        </w:rPr>
        <w:t>designated as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Ten Million (10,000,000) shares shall be a class designated as undesignated preferred stock, par value $0.0001 per share (the “</w:t>
      </w:r>
      <w:r>
        <w:rPr>
          <w:rFonts w:ascii="Arial" w:cs="Arial" w:eastAsia="Arial" w:hAnsi="Arial"/>
          <w:sz w:val="18"/>
          <w:szCs w:val="18"/>
          <w:u w:val="single" w:color="auto"/>
          <w:color w:val="auto"/>
        </w:rPr>
        <w:t>Undesignated Preferred Stock</w:t>
      </w:r>
      <w:r>
        <w:rPr>
          <w:rFonts w:ascii="Arial" w:cs="Arial" w:eastAsia="Arial" w:hAnsi="Arial"/>
          <w:sz w:val="18"/>
          <w:szCs w:val="18"/>
          <w:color w:val="auto"/>
        </w:rPr>
        <w:t>”).</w:t>
      </w:r>
    </w:p>
    <w:p>
      <w:pPr>
        <w:spacing w:after="0" w:line="122"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95"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powers, preferences and rights of, and the qualifications, limitations and restrictions upon, each class or series of stock shall be determined in accordance with, or as set forth below in, this Article IV.</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16" w:lineRule="exact"/>
        <w:rPr>
          <w:sz w:val="20"/>
          <w:szCs w:val="20"/>
          <w:color w:val="auto"/>
        </w:rPr>
      </w:pPr>
    </w:p>
    <w:p>
      <w:pPr>
        <w:jc w:val="both"/>
        <w:ind w:left="460" w:right="459" w:firstLine="858"/>
        <w:spacing w:after="0" w:line="269" w:lineRule="auto"/>
        <w:tabs>
          <w:tab w:leader="none" w:pos="1835"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holders of the Common Stock shall have the exclusive right to vote for the election of directors of the Corporation (the “</w:t>
      </w:r>
      <w:r>
        <w:rPr>
          <w:rFonts w:ascii="Arial" w:cs="Arial" w:eastAsia="Arial" w:hAnsi="Arial"/>
          <w:sz w:val="17"/>
          <w:szCs w:val="17"/>
          <w:u w:val="single" w:color="auto"/>
          <w:color w:val="auto"/>
        </w:rPr>
        <w:t>Directors</w:t>
      </w:r>
      <w:r>
        <w:rPr>
          <w:rFonts w:ascii="Arial" w:cs="Arial" w:eastAsia="Arial" w:hAnsi="Arial"/>
          <w:sz w:val="17"/>
          <w:szCs w:val="17"/>
          <w:color w:val="auto"/>
        </w:rPr>
        <w:t xml:space="preserve">”)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00" w:lineRule="exact"/>
        <w:rPr>
          <w:rFonts w:ascii="Arial" w:cs="Arial" w:eastAsia="Arial" w:hAnsi="Arial"/>
          <w:sz w:val="17"/>
          <w:szCs w:val="17"/>
          <w:color w:val="auto"/>
        </w:rPr>
      </w:pPr>
    </w:p>
    <w:p>
      <w:pPr>
        <w:jc w:val="both"/>
        <w:ind w:left="460" w:right="479" w:firstLine="858"/>
        <w:spacing w:after="0" w:line="259" w:lineRule="auto"/>
        <w:tabs>
          <w:tab w:leader="none" w:pos="179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5" w:name="page466"/>
    <w:bookmarkEnd w:id="46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858"/>
        <w:spacing w:after="0" w:line="308" w:lineRule="auto"/>
        <w:tabs>
          <w:tab w:leader="none" w:pos="1808" w:val="left"/>
        </w:tabs>
        <w:numPr>
          <w:ilvl w:val="0"/>
          <w:numId w:val="436"/>
        </w:numPr>
        <w:rPr>
          <w:rFonts w:ascii="Arial" w:cs="Arial" w:eastAsia="Arial" w:hAnsi="Arial"/>
          <w:sz w:val="17"/>
          <w:szCs w:val="17"/>
          <w:color w:val="auto"/>
        </w:rPr>
      </w:pPr>
      <w:r>
        <w:rPr>
          <w:rFonts w:ascii="Arial" w:cs="Arial" w:eastAsia="Arial" w:hAnsi="Arial"/>
          <w:sz w:val="17"/>
          <w:szCs w:val="17"/>
          <w:color w:val="auto"/>
        </w:rPr>
        <w:t>upon the voluntary or involuntary liquidation, dissolution or winding up of the Corporation, the net assets of the Corporation shall be distributed pro rata to the holders of the Common Stock.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Undesignated Preferred Stock</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98"/>
        <w:spacing w:after="0" w:line="289" w:lineRule="auto"/>
        <w:tabs>
          <w:tab w:leader="none" w:pos="1369" w:val="left"/>
        </w:tabs>
        <w:numPr>
          <w:ilvl w:val="1"/>
          <w:numId w:val="437"/>
        </w:numPr>
        <w:rPr>
          <w:rFonts w:ascii="Arial" w:cs="Arial" w:eastAsia="Arial" w:hAnsi="Arial"/>
          <w:sz w:val="16"/>
          <w:szCs w:val="16"/>
          <w:color w:val="auto"/>
        </w:rPr>
      </w:pPr>
      <w:r>
        <w:rPr>
          <w:rFonts w:ascii="Arial" w:cs="Arial" w:eastAsia="Arial" w:hAnsi="Arial"/>
          <w:sz w:val="16"/>
          <w:szCs w:val="16"/>
          <w:u w:val="single" w:color="auto"/>
          <w:color w:val="auto"/>
        </w:rPr>
        <w:t>Action without Meeting</w:t>
      </w:r>
      <w:r>
        <w:rPr>
          <w:rFonts w:ascii="Arial" w:cs="Arial" w:eastAsia="Arial" w:hAnsi="Arial"/>
          <w:sz w:val="16"/>
          <w:szCs w:val="16"/>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85" w:lineRule="exact"/>
        <w:rPr>
          <w:rFonts w:ascii="Arial" w:cs="Arial" w:eastAsia="Arial" w:hAnsi="Arial"/>
          <w:sz w:val="16"/>
          <w:szCs w:val="16"/>
          <w:color w:val="auto"/>
        </w:rPr>
      </w:pPr>
    </w:p>
    <w:p>
      <w:pPr>
        <w:jc w:val="both"/>
        <w:ind w:left="460" w:right="459" w:firstLine="426"/>
        <w:spacing w:after="0" w:line="289" w:lineRule="auto"/>
        <w:tabs>
          <w:tab w:leader="none" w:pos="1378"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162" w:lineRule="exact"/>
        <w:rPr>
          <w:sz w:val="20"/>
          <w:szCs w:val="20"/>
          <w:color w:val="auto"/>
        </w:rPr>
      </w:pPr>
    </w:p>
    <w:p>
      <w:pPr>
        <w:ind w:left="460" w:right="459" w:firstLine="426"/>
        <w:spacing w:after="0" w:line="277" w:lineRule="auto"/>
        <w:tabs>
          <w:tab w:leader="none" w:pos="1337"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02" w:lineRule="exact"/>
        <w:rPr>
          <w:rFonts w:ascii="Arial" w:cs="Arial" w:eastAsia="Arial" w:hAnsi="Arial"/>
          <w:sz w:val="18"/>
          <w:szCs w:val="18"/>
          <w:color w:val="auto"/>
        </w:rPr>
      </w:pPr>
    </w:p>
    <w:p>
      <w:pPr>
        <w:ind w:left="460" w:right="459" w:firstLine="426"/>
        <w:spacing w:after="0" w:line="277" w:lineRule="auto"/>
        <w:tabs>
          <w:tab w:leader="none" w:pos="1351"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Election of Directors need not be by written ballot unless the Bylaws of the Corporation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provide.</w:t>
      </w:r>
    </w:p>
    <w:p>
      <w:pPr>
        <w:spacing w:after="0" w:line="89" w:lineRule="exact"/>
        <w:rPr>
          <w:rFonts w:ascii="Arial" w:cs="Arial" w:eastAsia="Arial" w:hAnsi="Arial"/>
          <w:sz w:val="18"/>
          <w:szCs w:val="18"/>
          <w:color w:val="auto"/>
        </w:rPr>
      </w:pPr>
    </w:p>
    <w:p>
      <w:pPr>
        <w:jc w:val="both"/>
        <w:ind w:left="460" w:right="459" w:firstLine="426"/>
        <w:spacing w:after="0" w:line="269" w:lineRule="auto"/>
        <w:tabs>
          <w:tab w:leader="none" w:pos="1553"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Number of Directors; Term of Office</w:t>
      </w:r>
      <w:r>
        <w:rPr>
          <w:rFonts w:ascii="Arial" w:cs="Arial" w:eastAsia="Arial" w:hAnsi="Arial"/>
          <w:sz w:val="17"/>
          <w:szCs w:val="17"/>
          <w:color w:val="auto"/>
        </w:rPr>
        <w:t>. Subject to the terms of the Registration and Rights Agreement, dated as of [•], 2020, by and among the Corporation and certain of its stockholders (as amended, modified and/or supplemented from time to time,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and the Voting Agreement, dated as of [•], 2020, by and among the Corporation and certain of its stockholders (as amended, modified and/or supplemented from time to time, the “</w:t>
      </w:r>
      <w:r>
        <w:rPr>
          <w:rFonts w:ascii="Arial" w:cs="Arial" w:eastAsia="Arial" w:hAnsi="Arial"/>
          <w:sz w:val="17"/>
          <w:szCs w:val="17"/>
          <w:u w:val="single" w:color="auto"/>
          <w:color w:val="auto"/>
        </w:rPr>
        <w:t>Voting Agreement</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6" w:name="page467"/>
    <w:bookmarkEnd w:id="46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9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9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106" w:lineRule="exact"/>
        <w:rPr>
          <w:sz w:val="20"/>
          <w:szCs w:val="20"/>
          <w:color w:val="auto"/>
        </w:rPr>
      </w:pPr>
    </w:p>
    <w:p>
      <w:pPr>
        <w:jc w:val="both"/>
        <w:ind w:left="460" w:right="459" w:firstLine="426"/>
        <w:spacing w:after="0" w:line="267" w:lineRule="auto"/>
        <w:tabs>
          <w:tab w:leader="none" w:pos="1310" w:val="left"/>
        </w:tabs>
        <w:numPr>
          <w:ilvl w:val="0"/>
          <w:numId w:val="440"/>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 determine the class or classes to which the increased or decreased number of Directors shall be apportioned;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3" w:lineRule="exact"/>
        <w:rPr>
          <w:rFonts w:ascii="Arial" w:cs="Arial" w:eastAsia="Arial" w:hAnsi="Arial"/>
          <w:sz w:val="17"/>
          <w:szCs w:val="17"/>
          <w:color w:val="auto"/>
        </w:rPr>
      </w:pPr>
    </w:p>
    <w:p>
      <w:pPr>
        <w:jc w:val="both"/>
        <w:ind w:left="460" w:right="459" w:firstLine="426"/>
        <w:spacing w:after="0" w:line="270" w:lineRule="auto"/>
        <w:tabs>
          <w:tab w:leader="none" w:pos="1472" w:val="left"/>
        </w:tabs>
        <w:numPr>
          <w:ilvl w:val="0"/>
          <w:numId w:val="440"/>
        </w:numPr>
        <w:rPr>
          <w:rFonts w:ascii="Arial" w:cs="Arial" w:eastAsia="Arial" w:hAnsi="Arial"/>
          <w:sz w:val="17"/>
          <w:szCs w:val="17"/>
          <w:color w:val="auto"/>
        </w:rPr>
      </w:pPr>
      <w:r>
        <w:rPr>
          <w:rFonts w:ascii="Arial" w:cs="Arial" w:eastAsia="Arial" w:hAnsi="Arial"/>
          <w:sz w:val="17"/>
          <w:szCs w:val="17"/>
          <w:u w:val="single" w:color="auto"/>
          <w:color w:val="auto"/>
        </w:rPr>
        <w:t>Removal</w:t>
      </w:r>
      <w:r>
        <w:rPr>
          <w:rFonts w:ascii="Arial" w:cs="Arial" w:eastAsia="Arial" w:hAnsi="Arial"/>
          <w:sz w:val="17"/>
          <w:szCs w:val="17"/>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162" w:lineRule="exact"/>
        <w:rPr>
          <w:sz w:val="20"/>
          <w:szCs w:val="20"/>
          <w:color w:val="auto"/>
        </w:rPr>
      </w:pPr>
    </w:p>
    <w:p>
      <w:pPr>
        <w:jc w:val="both"/>
        <w:ind w:left="460" w:right="479" w:firstLine="426"/>
        <w:spacing w:after="0" w:line="271" w:lineRule="auto"/>
        <w:tabs>
          <w:tab w:leader="none" w:pos="1351" w:val="left"/>
        </w:tabs>
        <w:numPr>
          <w:ilvl w:val="1"/>
          <w:numId w:val="441"/>
        </w:numPr>
        <w:rPr>
          <w:rFonts w:ascii="Arial" w:cs="Arial" w:eastAsia="Arial" w:hAnsi="Arial"/>
          <w:sz w:val="17"/>
          <w:szCs w:val="17"/>
          <w:color w:val="auto"/>
        </w:rPr>
      </w:pPr>
      <w:r>
        <w:rPr>
          <w:rFonts w:ascii="Arial" w:cs="Arial" w:eastAsia="Arial" w:hAnsi="Arial"/>
          <w:sz w:val="17"/>
          <w:szCs w:val="17"/>
          <w:u w:val="single" w:color="auto"/>
          <w:color w:val="auto"/>
        </w:rPr>
        <w:t>Limitation of Director Liability</w:t>
      </w:r>
      <w:r>
        <w:rPr>
          <w:rFonts w:ascii="Arial" w:cs="Arial" w:eastAsia="Arial" w:hAnsi="Arial"/>
          <w:sz w:val="17"/>
          <w:szCs w:val="17"/>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jc w:val="both"/>
        <w:ind w:left="460" w:right="459" w:hanging="6"/>
        <w:spacing w:after="0" w:line="255" w:lineRule="auto"/>
        <w:tabs>
          <w:tab w:leader="none" w:pos="731" w:val="left"/>
        </w:tabs>
        <w:numPr>
          <w:ilvl w:val="0"/>
          <w:numId w:val="44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(c) under Section 174 of the DGCL or (d) for any transaction from which the Director derived an improper personal benefit. If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7" w:name="page468"/>
    <w:bookmarkEnd w:id="46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98" w:lineRule="exact"/>
        <w:rPr>
          <w:sz w:val="20"/>
          <w:szCs w:val="20"/>
          <w:color w:val="auto"/>
        </w:rPr>
      </w:pPr>
    </w:p>
    <w:p>
      <w:pPr>
        <w:jc w:val="both"/>
        <w:ind w:left="460" w:right="459" w:firstLine="426"/>
        <w:spacing w:after="0" w:line="257" w:lineRule="auto"/>
        <w:tabs>
          <w:tab w:leader="none" w:pos="1361"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20" w:lineRule="exact"/>
        <w:rPr>
          <w:rFonts w:ascii="Arial" w:cs="Arial" w:eastAsia="Arial" w:hAnsi="Arial"/>
          <w:sz w:val="18"/>
          <w:szCs w:val="18"/>
          <w:color w:val="auto"/>
        </w:rPr>
      </w:pPr>
    </w:p>
    <w:p>
      <w:pPr>
        <w:jc w:val="both"/>
        <w:ind w:left="460" w:right="459" w:firstLine="426"/>
        <w:spacing w:after="0" w:line="259" w:lineRule="auto"/>
        <w:tabs>
          <w:tab w:leader="none" w:pos="129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148" w:lineRule="exact"/>
        <w:rPr>
          <w:sz w:val="20"/>
          <w:szCs w:val="20"/>
          <w:color w:val="auto"/>
        </w:rPr>
      </w:pPr>
    </w:p>
    <w:p>
      <w:pPr>
        <w:jc w:val="both"/>
        <w:ind w:left="460" w:right="479" w:firstLine="426"/>
        <w:spacing w:after="0" w:line="263" w:lineRule="auto"/>
        <w:tabs>
          <w:tab w:leader="none" w:pos="1297"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116" w:lineRule="exact"/>
        <w:rPr>
          <w:rFonts w:ascii="Arial" w:cs="Arial" w:eastAsia="Arial" w:hAnsi="Arial"/>
          <w:sz w:val="18"/>
          <w:szCs w:val="18"/>
          <w:color w:val="auto"/>
        </w:rPr>
      </w:pPr>
    </w:p>
    <w:p>
      <w:pPr>
        <w:jc w:val="both"/>
        <w:ind w:left="460" w:right="459" w:firstLine="426"/>
        <w:spacing w:after="0" w:line="254" w:lineRule="auto"/>
        <w:tabs>
          <w:tab w:leader="none" w:pos="131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148" w:lineRule="exact"/>
        <w:rPr>
          <w:sz w:val="20"/>
          <w:szCs w:val="20"/>
          <w:color w:val="auto"/>
        </w:rPr>
      </w:pPr>
    </w:p>
    <w:p>
      <w:pPr>
        <w:ind w:left="1300" w:hanging="41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Opt Out of DGCL 203</w:t>
      </w:r>
      <w:r>
        <w:rPr>
          <w:rFonts w:ascii="Arial" w:cs="Arial" w:eastAsia="Arial" w:hAnsi="Arial"/>
          <w:sz w:val="18"/>
          <w:szCs w:val="18"/>
          <w:color w:val="auto"/>
        </w:rPr>
        <w:t>. The Corporation shall not be governed by Section 203 of the DGCL.</w:t>
      </w:r>
    </w:p>
    <w:p>
      <w:pPr>
        <w:spacing w:after="0" w:line="157" w:lineRule="exact"/>
        <w:rPr>
          <w:rFonts w:ascii="Arial" w:cs="Arial" w:eastAsia="Arial" w:hAnsi="Arial"/>
          <w:sz w:val="18"/>
          <w:szCs w:val="18"/>
          <w:color w:val="auto"/>
        </w:rPr>
      </w:pPr>
    </w:p>
    <w:p>
      <w:pPr>
        <w:jc w:val="both"/>
        <w:ind w:left="460" w:right="459" w:firstLine="426"/>
        <w:spacing w:after="0" w:line="272" w:lineRule="auto"/>
        <w:tabs>
          <w:tab w:leader="none" w:pos="1310"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Excluded Opportunity</w:t>
      </w:r>
      <w:r>
        <w:rPr>
          <w:rFonts w:ascii="Arial" w:cs="Arial" w:eastAsia="Arial" w:hAnsi="Arial"/>
          <w:sz w:val="17"/>
          <w:szCs w:val="17"/>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Arial" w:cs="Arial" w:eastAsia="Arial" w:hAnsi="Arial"/>
          <w:sz w:val="17"/>
          <w:szCs w:val="17"/>
          <w:u w:val="single" w:color="auto"/>
          <w:color w:val="auto"/>
        </w:rPr>
        <w:t>Covered Person</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Text]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8" w:name="page469"/>
    <w:bookmarkEnd w:id="46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AMENDED AND RESTATED CERTIFICATE OF INCORPORATION is executed as of this ____</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day of __________, 2020.</w:t>
      </w:r>
    </w:p>
    <w:p>
      <w:pPr>
        <w:spacing w:after="0" w:line="20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GEMINI THERAPEUTICS, INC.</w:t>
      </w:r>
    </w:p>
    <w:p>
      <w:pPr>
        <w:spacing w:after="0" w:line="18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48895</wp:posOffset>
            </wp:positionV>
            <wp:extent cx="248602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James Meyenburg</w:t>
      </w:r>
    </w:p>
    <w:p>
      <w:pPr>
        <w:spacing w:after="0" w:line="77" w:lineRule="exact"/>
        <w:rPr>
          <w:sz w:val="20"/>
          <w:szCs w:val="20"/>
          <w:color w:val="auto"/>
        </w:rPr>
      </w:pPr>
    </w:p>
    <w:p>
      <w:pPr>
        <w:ind w:left="4060"/>
        <w:spacing w:after="0"/>
        <w:tabs>
          <w:tab w:leader="none" w:pos="4620" w:val="left"/>
        </w:tabs>
        <w:rPr>
          <w:sz w:val="20"/>
          <w:szCs w:val="20"/>
          <w:color w:val="auto"/>
        </w:rPr>
      </w:pPr>
      <w:r>
        <w:rPr>
          <w:rFonts w:ascii="Arial" w:cs="Arial" w:eastAsia="Arial" w:hAnsi="Arial"/>
          <w:sz w:val="18"/>
          <w:szCs w:val="18"/>
          <w:color w:val="auto"/>
        </w:rPr>
        <w:t>Title:</w:t>
        <w:tab/>
        <w:t>President and Chief Executive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9" w:name="page470"/>
    <w:bookmarkEnd w:id="46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SECTION 1. Annual Meeting. The annual meeting of stockholders (any such meeting being referred to in these By-laws as an “</w:t>
      </w:r>
      <w:r>
        <w:rPr>
          <w:rFonts w:ascii="Arial" w:cs="Arial" w:eastAsia="Arial" w:hAnsi="Arial"/>
          <w:sz w:val="18"/>
          <w:szCs w:val="18"/>
          <w:u w:val="single" w:color="auto"/>
          <w:color w:val="auto"/>
        </w:rPr>
        <w:t>Annual Meeting</w:t>
      </w:r>
      <w:r>
        <w:rPr>
          <w:rFonts w:ascii="Arial" w:cs="Arial" w:eastAsia="Arial" w:hAnsi="Arial"/>
          <w:sz w:val="18"/>
          <w:szCs w:val="18"/>
          <w:color w:val="auto"/>
        </w:rPr>
        <w:t>”) shall be held at the hour, date and place within or without the United States which is fixed by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29"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Notice of Stockholder Business and Nominations.</w:t>
      </w:r>
    </w:p>
    <w:p>
      <w:pPr>
        <w:spacing w:after="0" w:line="144" w:lineRule="exact"/>
        <w:rPr>
          <w:sz w:val="20"/>
          <w:szCs w:val="20"/>
          <w:color w:val="auto"/>
        </w:rPr>
      </w:pPr>
    </w:p>
    <w:p>
      <w:pPr>
        <w:ind w:left="1320" w:hanging="434"/>
        <w:spacing w:after="0"/>
        <w:tabs>
          <w:tab w:leader="none" w:pos="1320"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426"/>
        <w:spacing w:after="0" w:line="268" w:lineRule="auto"/>
        <w:tabs>
          <w:tab w:leader="none" w:pos="1314" w:val="left"/>
        </w:tabs>
        <w:numPr>
          <w:ilvl w:val="1"/>
          <w:numId w:val="447"/>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and such stockholder must comply with the notice and other procedures set forth in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8" w:lineRule="exact"/>
        <w:rPr>
          <w:rFonts w:ascii="Arial" w:cs="Arial" w:eastAsia="Arial" w:hAnsi="Arial"/>
          <w:sz w:val="17"/>
          <w:szCs w:val="17"/>
          <w:color w:val="auto"/>
        </w:rPr>
      </w:pPr>
    </w:p>
    <w:p>
      <w:pPr>
        <w:jc w:val="both"/>
        <w:ind w:left="460" w:right="459" w:firstLine="426"/>
        <w:spacing w:after="0" w:line="286" w:lineRule="auto"/>
        <w:tabs>
          <w:tab w:leader="none" w:pos="1477" w:val="left"/>
        </w:tabs>
        <w:numPr>
          <w:ilvl w:val="1"/>
          <w:numId w:val="447"/>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clause (ii)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2(a)(1)</w:t>
      </w:r>
      <w:r>
        <w:rPr>
          <w:rFonts w:ascii="Arial" w:cs="Arial" w:eastAsia="Arial" w:hAnsi="Arial"/>
          <w:sz w:val="16"/>
          <w:szCs w:val="16"/>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w:t>
      </w:r>
    </w:p>
    <w:p>
      <w:pPr>
        <w:spacing w:after="0" w:line="1" w:lineRule="exact"/>
        <w:rPr>
          <w:rFonts w:ascii="Arial" w:cs="Arial" w:eastAsia="Arial" w:hAnsi="Arial"/>
          <w:sz w:val="16"/>
          <w:szCs w:val="16"/>
          <w:color w:val="auto"/>
        </w:rPr>
      </w:pPr>
    </w:p>
    <w:p>
      <w:pPr>
        <w:jc w:val="both"/>
        <w:ind w:left="460" w:right="459" w:hanging="6"/>
        <w:spacing w:after="0" w:line="262" w:lineRule="auto"/>
        <w:tabs>
          <w:tab w:leader="none" w:pos="779"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Arial" w:cs="Arial" w:eastAsia="Arial" w:hAnsi="Arial"/>
          <w:sz w:val="19"/>
          <w:szCs w:val="19"/>
          <w:color w:val="auto"/>
          <w:vertAlign w:val="superscript"/>
        </w:rPr>
        <w:t>th</w:t>
      </w:r>
      <w:r>
        <w:rPr>
          <w:rFonts w:ascii="Arial" w:cs="Arial" w:eastAsia="Arial" w:hAnsi="Arial"/>
          <w:sz w:val="17"/>
          <w:szCs w:val="17"/>
          <w:color w:val="auto"/>
        </w:rPr>
        <w:t>) day nor earlier than the close of business on the one hundred twentieth (120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one-year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Arial" w:cs="Arial" w:eastAsia="Arial" w:hAnsi="Arial"/>
          <w:sz w:val="19"/>
          <w:szCs w:val="19"/>
          <w:color w:val="auto"/>
          <w:vertAlign w:val="superscript"/>
        </w:rPr>
        <w:t>th</w:t>
      </w:r>
      <w:r>
        <w:rPr>
          <w:rFonts w:ascii="Arial" w:cs="Arial" w:eastAsia="Arial" w:hAnsi="Arial"/>
          <w:sz w:val="17"/>
          <w:szCs w:val="17"/>
          <w:color w:val="auto"/>
        </w:rPr>
        <w:t>) day prior to the scheduled date of such Annual Meeting or the tenth (10</w:t>
      </w:r>
      <w:r>
        <w:rPr>
          <w:rFonts w:ascii="Arial" w:cs="Arial" w:eastAsia="Arial" w:hAnsi="Arial"/>
          <w:sz w:val="19"/>
          <w:szCs w:val="19"/>
          <w:color w:val="auto"/>
          <w:vertAlign w:val="superscript"/>
        </w:rPr>
        <w:t>th</w:t>
      </w:r>
      <w:r>
        <w:rPr>
          <w:rFonts w:ascii="Arial" w:cs="Arial" w:eastAsia="Arial" w:hAnsi="Arial"/>
          <w:sz w:val="17"/>
          <w:szCs w:val="17"/>
          <w:color w:val="auto"/>
        </w:rPr>
        <w:t>) day following the day on which public announcement of the date of such meeting is first made (such notice within such time periods shall be referred to as “</w:t>
      </w:r>
      <w:r>
        <w:rPr>
          <w:rFonts w:ascii="Arial" w:cs="Arial" w:eastAsia="Arial" w:hAnsi="Arial"/>
          <w:sz w:val="17"/>
          <w:szCs w:val="17"/>
          <w:u w:val="single" w:color="auto"/>
          <w:color w:val="auto"/>
        </w:rPr>
        <w:t>Timely Notice</w:t>
      </w:r>
      <w:r>
        <w:rPr>
          <w:rFonts w:ascii="Arial" w:cs="Arial" w:eastAsia="Arial" w:hAnsi="Arial"/>
          <w:sz w:val="17"/>
          <w:szCs w:val="17"/>
          <w:color w:val="auto"/>
        </w:rPr>
        <w:t>”). Notwithstanding anything to the contrary provided herein, for the first Annual Meeting following the initial public offering of common stock of the Corporation, a stockholder’s notice shall be timely if received by the Secretary at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0" w:name="page471"/>
    <w:bookmarkEnd w:id="47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0" w:lineRule="auto"/>
        <w:rPr>
          <w:sz w:val="20"/>
          <w:szCs w:val="20"/>
          <w:color w:val="auto"/>
        </w:rPr>
      </w:pPr>
      <w:r>
        <w:rPr>
          <w:rFonts w:ascii="Arial" w:cs="Arial" w:eastAsia="Arial" w:hAnsi="Arial"/>
          <w:sz w:val="18"/>
          <w:szCs w:val="18"/>
          <w:color w:val="auto"/>
        </w:rPr>
        <w:t>principal executive offices of the Corporation not later than the close of business on the later of the ninetieth (90</w:t>
      </w:r>
      <w:r>
        <w:rPr>
          <w:rFonts w:ascii="Arial" w:cs="Arial" w:eastAsia="Arial" w:hAnsi="Arial"/>
          <w:sz w:val="20"/>
          <w:szCs w:val="20"/>
          <w:color w:val="auto"/>
          <w:vertAlign w:val="superscript"/>
        </w:rPr>
        <w:t>th</w:t>
      </w:r>
      <w:r>
        <w:rPr>
          <w:rFonts w:ascii="Arial" w:cs="Arial" w:eastAsia="Arial" w:hAnsi="Arial"/>
          <w:sz w:val="18"/>
          <w:szCs w:val="18"/>
          <w:color w:val="auto"/>
        </w:rPr>
        <w:t>) day prior to the scheduled date of such Annual Meeting or the tenth (10</w:t>
      </w:r>
      <w:r>
        <w:rPr>
          <w:rFonts w:ascii="Arial" w:cs="Arial" w:eastAsia="Arial" w:hAnsi="Arial"/>
          <w:sz w:val="20"/>
          <w:szCs w:val="20"/>
          <w:color w:val="auto"/>
          <w:vertAlign w:val="superscript"/>
        </w:rPr>
        <w:t>th</w:t>
      </w:r>
      <w:r>
        <w:rPr>
          <w:rFonts w:ascii="Arial" w:cs="Arial" w:eastAsia="Arial" w:hAnsi="Arial"/>
          <w:sz w:val="18"/>
          <w:szCs w:val="18"/>
          <w:color w:val="auto"/>
        </w:rPr>
        <w:t>) day following the day on which public announcement of the date of such Annual Meeting is first made or sent by the Corporation. Such stockholder’s Timely Notice shall set forth:</w:t>
      </w:r>
    </w:p>
    <w:p>
      <w:pPr>
        <w:spacing w:after="0" w:line="126" w:lineRule="exact"/>
        <w:rPr>
          <w:sz w:val="20"/>
          <w:szCs w:val="20"/>
          <w:color w:val="auto"/>
        </w:rPr>
      </w:pPr>
    </w:p>
    <w:p>
      <w:pPr>
        <w:jc w:val="both"/>
        <w:ind w:left="1760" w:right="459" w:firstLine="422"/>
        <w:spacing w:after="0" w:line="284" w:lineRule="auto"/>
        <w:tabs>
          <w:tab w:leader="none" w:pos="2893" w:val="left"/>
        </w:tabs>
        <w:numPr>
          <w:ilvl w:val="0"/>
          <w:numId w:val="449"/>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330" w:lineRule="exact"/>
        <w:rPr>
          <w:rFonts w:ascii="Arial" w:cs="Arial" w:eastAsia="Arial" w:hAnsi="Arial"/>
          <w:sz w:val="16"/>
          <w:szCs w:val="16"/>
          <w:color w:val="auto"/>
        </w:rPr>
      </w:pPr>
    </w:p>
    <w:p>
      <w:pPr>
        <w:jc w:val="both"/>
        <w:ind w:left="1760" w:right="459" w:firstLine="422"/>
        <w:spacing w:after="0" w:line="257" w:lineRule="auto"/>
        <w:tabs>
          <w:tab w:leader="none" w:pos="300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06" w:lineRule="exact"/>
        <w:rPr>
          <w:rFonts w:ascii="Arial" w:cs="Arial" w:eastAsia="Arial" w:hAnsi="Arial"/>
          <w:sz w:val="18"/>
          <w:szCs w:val="18"/>
          <w:color w:val="auto"/>
        </w:rPr>
      </w:pPr>
    </w:p>
    <w:p>
      <w:pPr>
        <w:jc w:val="both"/>
        <w:ind w:left="1760" w:right="459" w:firstLine="422"/>
        <w:spacing w:after="0" w:line="283" w:lineRule="auto"/>
        <w:tabs>
          <w:tab w:leader="none" w:pos="281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1" w:name="page472"/>
    <w:bookmarkEnd w:id="47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clauses (a) through (e) are referred to, collectively, as “</w:t>
      </w:r>
      <w:r>
        <w:rPr>
          <w:rFonts w:ascii="Arial" w:cs="Arial" w:eastAsia="Arial" w:hAnsi="Arial"/>
          <w:sz w:val="17"/>
          <w:szCs w:val="17"/>
          <w:u w:val="single" w:color="auto"/>
          <w:color w:val="auto"/>
        </w:rPr>
        <w:t>Material Ownership Interests</w:t>
      </w:r>
      <w:r>
        <w:rPr>
          <w:rFonts w:ascii="Arial" w:cs="Arial" w:eastAsia="Arial" w:hAnsi="Arial"/>
          <w:sz w:val="17"/>
          <w:szCs w:val="17"/>
          <w:color w:val="auto"/>
        </w:rPr>
        <w:t>”) and</w:t>
      </w:r>
    </w:p>
    <w:p>
      <w:pPr>
        <w:spacing w:after="0" w:line="35" w:lineRule="exact"/>
        <w:rPr>
          <w:sz w:val="20"/>
          <w:szCs w:val="20"/>
          <w:color w:val="auto"/>
        </w:rPr>
      </w:pPr>
    </w:p>
    <w:p>
      <w:pPr>
        <w:jc w:val="both"/>
        <w:ind w:left="1760" w:right="459" w:hanging="10"/>
        <w:spacing w:after="0" w:line="273" w:lineRule="auto"/>
        <w:tabs>
          <w:tab w:leader="none" w:pos="2104" w:val="left"/>
        </w:tabs>
        <w:numPr>
          <w:ilvl w:val="0"/>
          <w:numId w:val="450"/>
        </w:numPr>
        <w:rPr>
          <w:rFonts w:ascii="Arial" w:cs="Arial" w:eastAsia="Arial" w:hAnsi="Arial"/>
          <w:sz w:val="17"/>
          <w:szCs w:val="17"/>
          <w:color w:val="auto"/>
        </w:rPr>
      </w:pPr>
      <w:r>
        <w:rPr>
          <w:rFonts w:ascii="Arial" w:cs="Arial" w:eastAsia="Arial" w:hAnsi="Arial"/>
          <w:sz w:val="17"/>
          <w:szCs w:val="17"/>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08" w:lineRule="exact"/>
        <w:rPr>
          <w:rFonts w:ascii="Arial" w:cs="Arial" w:eastAsia="Arial" w:hAnsi="Arial"/>
          <w:sz w:val="17"/>
          <w:szCs w:val="17"/>
          <w:color w:val="auto"/>
        </w:rPr>
      </w:pPr>
    </w:p>
    <w:p>
      <w:pPr>
        <w:jc w:val="both"/>
        <w:ind w:left="1760" w:right="459" w:firstLine="422"/>
        <w:spacing w:after="0" w:line="269" w:lineRule="auto"/>
        <w:tabs>
          <w:tab w:leader="none" w:pos="2988" w:val="left"/>
        </w:tabs>
        <w:numPr>
          <w:ilvl w:val="1"/>
          <w:numId w:val="450"/>
        </w:numPr>
        <w:rPr>
          <w:rFonts w:ascii="Arial" w:cs="Arial" w:eastAsia="Arial" w:hAnsi="Arial"/>
          <w:sz w:val="17"/>
          <w:szCs w:val="17"/>
          <w:color w:val="auto"/>
        </w:rPr>
      </w:pPr>
      <w:r>
        <w:rPr>
          <w:rFonts w:ascii="Arial" w:cs="Arial" w:eastAsia="Arial" w:hAnsi="Arial"/>
          <w:sz w:val="17"/>
          <w:szCs w:val="17"/>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17" w:lineRule="exact"/>
        <w:rPr>
          <w:rFonts w:ascii="Arial" w:cs="Arial" w:eastAsia="Arial" w:hAnsi="Arial"/>
          <w:sz w:val="17"/>
          <w:szCs w:val="17"/>
          <w:color w:val="auto"/>
        </w:rPr>
      </w:pPr>
    </w:p>
    <w:p>
      <w:pPr>
        <w:jc w:val="both"/>
        <w:ind w:left="1760" w:right="459" w:firstLine="422"/>
        <w:spacing w:after="0" w:line="290" w:lineRule="auto"/>
        <w:tabs>
          <w:tab w:leader="none" w:pos="2895" w:val="left"/>
        </w:tabs>
        <w:numPr>
          <w:ilvl w:val="1"/>
          <w:numId w:val="450"/>
        </w:numPr>
        <w:rPr>
          <w:rFonts w:ascii="Arial" w:cs="Arial" w:eastAsia="Arial" w:hAnsi="Arial"/>
          <w:sz w:val="16"/>
          <w:szCs w:val="16"/>
          <w:color w:val="auto"/>
        </w:rPr>
      </w:pPr>
      <w:r>
        <w:rPr>
          <w:rFonts w:ascii="Arial" w:cs="Arial" w:eastAsia="Arial" w:hAnsi="Arial"/>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Arial" w:cs="Arial" w:eastAsia="Arial" w:hAnsi="Arial"/>
          <w:sz w:val="16"/>
          <w:szCs w:val="16"/>
          <w:u w:val="single" w:color="auto"/>
          <w:color w:val="auto"/>
        </w:rPr>
        <w:t>Solicitation Statement</w:t>
      </w:r>
      <w:r>
        <w:rPr>
          <w:rFonts w:ascii="Arial" w:cs="Arial" w:eastAsia="Arial" w:hAnsi="Arial"/>
          <w:sz w:val="16"/>
          <w:szCs w:val="16"/>
          <w:color w:val="auto"/>
        </w:rPr>
        <w:t>”).</w:t>
      </w:r>
    </w:p>
    <w:p>
      <w:pPr>
        <w:spacing w:after="0" w:line="8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 the term “</w:t>
      </w:r>
      <w:r>
        <w:rPr>
          <w:rFonts w:ascii="Arial" w:cs="Arial" w:eastAsia="Arial" w:hAnsi="Arial"/>
          <w:sz w:val="17"/>
          <w:szCs w:val="17"/>
          <w:u w:val="single" w:color="auto"/>
          <w:color w:val="auto"/>
        </w:rPr>
        <w:t>Proposing Person</w:t>
      </w:r>
      <w:r>
        <w:rPr>
          <w:rFonts w:ascii="Arial" w:cs="Arial" w:eastAsia="Arial" w:hAnsi="Arial"/>
          <w:sz w:val="17"/>
          <w:szCs w:val="17"/>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 the term “</w:t>
      </w:r>
      <w:r>
        <w:rPr>
          <w:rFonts w:ascii="Arial" w:cs="Arial" w:eastAsia="Arial" w:hAnsi="Arial"/>
          <w:sz w:val="17"/>
          <w:szCs w:val="17"/>
          <w:u w:val="single" w:color="auto"/>
          <w:color w:val="auto"/>
        </w:rPr>
        <w:t>Synthetic Equity Interest</w:t>
      </w:r>
      <w:r>
        <w:rPr>
          <w:rFonts w:ascii="Arial" w:cs="Arial" w:eastAsia="Arial" w:hAnsi="Arial"/>
          <w:sz w:val="17"/>
          <w:szCs w:val="17"/>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24" w:lineRule="exact"/>
        <w:rPr>
          <w:sz w:val="20"/>
          <w:szCs w:val="20"/>
          <w:color w:val="auto"/>
        </w:rPr>
      </w:pPr>
    </w:p>
    <w:p>
      <w:pPr>
        <w:jc w:val="both"/>
        <w:ind w:left="460" w:right="459" w:firstLine="426"/>
        <w:spacing w:after="0" w:line="263" w:lineRule="auto"/>
        <w:tabs>
          <w:tab w:leader="none" w:pos="1278" w:val="left"/>
        </w:tabs>
        <w:numPr>
          <w:ilvl w:val="0"/>
          <w:numId w:val="451"/>
        </w:numPr>
        <w:rPr>
          <w:rFonts w:ascii="Arial" w:cs="Arial" w:eastAsia="Arial" w:hAnsi="Arial"/>
          <w:sz w:val="17"/>
          <w:szCs w:val="17"/>
          <w:color w:val="auto"/>
        </w:rPr>
      </w:pPr>
      <w:r>
        <w:rPr>
          <w:rFonts w:ascii="Arial" w:cs="Arial" w:eastAsia="Arial" w:hAnsi="Arial"/>
          <w:sz w:val="17"/>
          <w:szCs w:val="17"/>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Arial" w:cs="Arial" w:eastAsia="Arial" w:hAnsi="Arial"/>
          <w:sz w:val="19"/>
          <w:szCs w:val="19"/>
          <w:color w:val="auto"/>
          <w:vertAlign w:val="superscript"/>
        </w:rPr>
        <w:t>th</w:t>
      </w:r>
      <w:r>
        <w:rPr>
          <w:rFonts w:ascii="Arial" w:cs="Arial" w:eastAsia="Arial" w:hAnsi="Arial"/>
          <w:sz w:val="17"/>
          <w:szCs w:val="17"/>
          <w:color w:val="auto"/>
        </w:rPr>
        <w:t>) business day after the record date for the Annual Meeting (in the case of the update and supplement required to be made as of the record date), and not later than the close of business on the eighth (8</w:t>
      </w:r>
      <w:r>
        <w:rPr>
          <w:rFonts w:ascii="Arial" w:cs="Arial" w:eastAsia="Arial" w:hAnsi="Arial"/>
          <w:sz w:val="19"/>
          <w:szCs w:val="19"/>
          <w:color w:val="auto"/>
          <w:vertAlign w:val="superscript"/>
        </w:rPr>
        <w:t>th</w:t>
      </w:r>
      <w:r>
        <w:rPr>
          <w:rFonts w:ascii="Arial" w:cs="Arial" w:eastAsia="Arial" w:hAnsi="Arial"/>
          <w:sz w:val="17"/>
          <w:szCs w:val="17"/>
          <w:color w:val="auto"/>
        </w:rPr>
        <w:t>) business day prior to the date of the Annual Meeting (in the case of the update and supplement required to be made as of ten (10) business days prior to the meeting).</w:t>
      </w:r>
    </w:p>
    <w:p>
      <w:pPr>
        <w:spacing w:after="0" w:line="115" w:lineRule="exact"/>
        <w:rPr>
          <w:rFonts w:ascii="Arial" w:cs="Arial" w:eastAsia="Arial" w:hAnsi="Arial"/>
          <w:sz w:val="17"/>
          <w:szCs w:val="17"/>
          <w:color w:val="auto"/>
        </w:rPr>
      </w:pPr>
    </w:p>
    <w:p>
      <w:pPr>
        <w:jc w:val="both"/>
        <w:ind w:left="460" w:right="459" w:firstLine="426"/>
        <w:spacing w:after="0" w:line="255" w:lineRule="auto"/>
        <w:tabs>
          <w:tab w:leader="none" w:pos="1287"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Notwithstanding anything in the second sentence of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2(a)(2)</w:t>
      </w:r>
      <w:r>
        <w:rPr>
          <w:rFonts w:ascii="Arial" w:cs="Arial" w:eastAsia="Arial" w:hAnsi="Arial"/>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2(a)(2)</w:t>
      </w:r>
      <w:r>
        <w:rPr>
          <w:rFonts w:ascii="Arial" w:cs="Arial" w:eastAsia="Arial" w:hAnsi="Arial"/>
          <w:sz w:val="18"/>
          <w:szCs w:val="18"/>
          <w:color w:val="auto"/>
        </w:rPr>
        <w:t>, a stockholder’s notice required by these By-laws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2" w:name="page473"/>
    <w:bookmarkEnd w:id="47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8" w:lineRule="auto"/>
        <w:rPr>
          <w:sz w:val="20"/>
          <w:szCs w:val="20"/>
          <w:color w:val="auto"/>
        </w:rPr>
      </w:pPr>
      <w:r>
        <w:rPr>
          <w:rFonts w:ascii="Arial" w:cs="Arial" w:eastAsia="Arial" w:hAnsi="Arial"/>
          <w:sz w:val="17"/>
          <w:szCs w:val="17"/>
          <w:color w:val="auto"/>
        </w:rPr>
        <w:t>shall also be considered timely, but only with respect to nominees for any new positions created by such increase, if it shall be received by the Secretary of the Corporation not later than the close of business on the tenth (10</w:t>
      </w:r>
      <w:r>
        <w:rPr>
          <w:rFonts w:ascii="Arial" w:cs="Arial" w:eastAsia="Arial" w:hAnsi="Arial"/>
          <w:sz w:val="19"/>
          <w:szCs w:val="19"/>
          <w:color w:val="auto"/>
          <w:vertAlign w:val="superscript"/>
        </w:rPr>
        <w:t>th</w:t>
      </w:r>
      <w:r>
        <w:rPr>
          <w:rFonts w:ascii="Arial" w:cs="Arial" w:eastAsia="Arial" w:hAnsi="Arial"/>
          <w:sz w:val="17"/>
          <w:szCs w:val="17"/>
          <w:color w:val="auto"/>
        </w:rPr>
        <w:t>) day following the day on which such public announcement is first made by the Corporation.</w:t>
      </w:r>
    </w:p>
    <w:p>
      <w:pPr>
        <w:spacing w:after="0" w:line="40" w:lineRule="exact"/>
        <w:rPr>
          <w:sz w:val="20"/>
          <w:szCs w:val="20"/>
          <w:color w:val="auto"/>
        </w:rPr>
      </w:pPr>
    </w:p>
    <w:p>
      <w:pPr>
        <w:ind w:left="1280" w:hanging="394"/>
        <w:spacing w:after="0"/>
        <w:tabs>
          <w:tab w:leader="none" w:pos="128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426"/>
        <w:spacing w:after="0" w:line="284" w:lineRule="auto"/>
        <w:tabs>
          <w:tab w:leader="none" w:pos="139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Arial" w:cs="Arial" w:eastAsia="Arial" w:hAnsi="Arial"/>
          <w:sz w:val="16"/>
          <w:szCs w:val="16"/>
          <w:u w:val="single" w:color="auto"/>
          <w:color w:val="auto"/>
        </w:rPr>
        <w:t>Registration and Shareholder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 Agreement</w:t>
      </w:r>
      <w:r>
        <w:rPr>
          <w:rFonts w:ascii="Arial" w:cs="Arial" w:eastAsia="Arial" w:hAnsi="Arial"/>
          <w:sz w:val="16"/>
          <w:szCs w:val="16"/>
          <w:color w:val="auto"/>
        </w:rPr>
        <w:t>”) and the Voting Agreement, dated as of [•], 2020, by and among the Corporation and certain of its stockholders (as amended, modified and/or supplemented from time to time,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00" w:lineRule="exact"/>
        <w:rPr>
          <w:rFonts w:ascii="Arial" w:cs="Arial" w:eastAsia="Arial" w:hAnsi="Arial"/>
          <w:sz w:val="16"/>
          <w:szCs w:val="16"/>
          <w:color w:val="auto"/>
        </w:rPr>
      </w:pPr>
    </w:p>
    <w:p>
      <w:pPr>
        <w:jc w:val="both"/>
        <w:ind w:left="460" w:right="479" w:firstLine="426"/>
        <w:spacing w:after="0" w:line="257" w:lineRule="auto"/>
        <w:tabs>
          <w:tab w:leader="none" w:pos="137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the Registration and Shareholder Rights Agreement or the Voting Agreement, nothing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20" w:lineRule="exact"/>
        <w:rPr>
          <w:rFonts w:ascii="Arial" w:cs="Arial" w:eastAsia="Arial" w:hAnsi="Arial"/>
          <w:sz w:val="18"/>
          <w:szCs w:val="18"/>
          <w:color w:val="auto"/>
        </w:rPr>
      </w:pPr>
    </w:p>
    <w:p>
      <w:pPr>
        <w:jc w:val="both"/>
        <w:ind w:left="460" w:right="459" w:firstLine="426"/>
        <w:spacing w:after="0" w:line="289" w:lineRule="auto"/>
        <w:tabs>
          <w:tab w:leader="none" w:pos="1293"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98" w:lineRule="exact"/>
        <w:rPr>
          <w:rFonts w:ascii="Arial" w:cs="Arial" w:eastAsia="Arial" w:hAnsi="Arial"/>
          <w:sz w:val="16"/>
          <w:szCs w:val="16"/>
          <w:color w:val="auto"/>
        </w:rPr>
      </w:pPr>
    </w:p>
    <w:p>
      <w:pPr>
        <w:jc w:val="both"/>
        <w:ind w:left="460" w:right="459" w:firstLine="426"/>
        <w:spacing w:after="0" w:line="259" w:lineRule="auto"/>
        <w:tabs>
          <w:tab w:leader="none" w:pos="143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05" w:lineRule="exact"/>
        <w:rPr>
          <w:rFonts w:ascii="Arial" w:cs="Arial" w:eastAsia="Arial" w:hAnsi="Arial"/>
          <w:sz w:val="18"/>
          <w:szCs w:val="18"/>
          <w:color w:val="auto"/>
        </w:rPr>
      </w:pPr>
    </w:p>
    <w:p>
      <w:pPr>
        <w:jc w:val="both"/>
        <w:ind w:left="460" w:right="479" w:firstLine="426"/>
        <w:spacing w:after="0" w:line="291" w:lineRule="auto"/>
        <w:tabs>
          <w:tab w:leader="none" w:pos="1298" w:val="left"/>
        </w:tabs>
        <w:numPr>
          <w:ilvl w:val="0"/>
          <w:numId w:val="453"/>
        </w:numPr>
        <w:rPr>
          <w:rFonts w:ascii="Arial" w:cs="Arial" w:eastAsia="Arial" w:hAnsi="Arial"/>
          <w:sz w:val="16"/>
          <w:szCs w:val="16"/>
          <w:color w:val="auto"/>
        </w:rPr>
      </w:pPr>
      <w:r>
        <w:rPr>
          <w:rFonts w:ascii="Arial" w:cs="Arial" w:eastAsia="Arial" w:hAnsi="Arial"/>
          <w:sz w:val="16"/>
          <w:szCs w:val="16"/>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Arial" w:cs="Arial" w:eastAsia="Arial" w:hAnsi="Arial"/>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3" w:name="page474"/>
    <w:bookmarkEnd w:id="47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72" w:lineRule="auto"/>
        <w:tabs>
          <w:tab w:leader="none" w:pos="1413"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1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SECTION 3. Special Meetings.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these By-laws, in which case such special meeting in lieu thereof shall be deemed an Annual Meeting for purposes of these By-laws and the provisions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these By-laws shall govern such special meeting.</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9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Notice of Meetings; Adjournments.</w:t>
      </w:r>
    </w:p>
    <w:p>
      <w:pPr>
        <w:spacing w:after="0" w:line="158" w:lineRule="exact"/>
        <w:rPr>
          <w:sz w:val="20"/>
          <w:szCs w:val="20"/>
          <w:color w:val="auto"/>
        </w:rPr>
      </w:pPr>
    </w:p>
    <w:p>
      <w:pPr>
        <w:jc w:val="both"/>
        <w:ind w:left="460" w:right="459" w:firstLine="426"/>
        <w:spacing w:after="0" w:line="290" w:lineRule="auto"/>
        <w:tabs>
          <w:tab w:leader="none" w:pos="1362" w:val="left"/>
        </w:tabs>
        <w:numPr>
          <w:ilvl w:val="0"/>
          <w:numId w:val="456"/>
        </w:numPr>
        <w:rPr>
          <w:rFonts w:ascii="Arial" w:cs="Arial" w:eastAsia="Arial" w:hAnsi="Arial"/>
          <w:sz w:val="16"/>
          <w:szCs w:val="16"/>
          <w:color w:val="auto"/>
        </w:rPr>
      </w:pPr>
      <w:r>
        <w:rPr>
          <w:rFonts w:ascii="Arial" w:cs="Arial" w:eastAsia="Arial" w:hAnsi="Arial"/>
          <w:sz w:val="16"/>
          <w:szCs w:val="16"/>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97" w:lineRule="exact"/>
        <w:rPr>
          <w:rFonts w:ascii="Arial" w:cs="Arial" w:eastAsia="Arial" w:hAnsi="Arial"/>
          <w:sz w:val="16"/>
          <w:szCs w:val="16"/>
          <w:color w:val="auto"/>
        </w:rPr>
      </w:pPr>
    </w:p>
    <w:p>
      <w:pPr>
        <w:jc w:val="both"/>
        <w:ind w:left="460" w:right="479" w:firstLine="426"/>
        <w:spacing w:after="0" w:line="263" w:lineRule="auto"/>
        <w:tabs>
          <w:tab w:leader="none" w:pos="137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102" w:lineRule="exact"/>
        <w:rPr>
          <w:rFonts w:ascii="Arial" w:cs="Arial" w:eastAsia="Arial" w:hAnsi="Arial"/>
          <w:sz w:val="18"/>
          <w:szCs w:val="18"/>
          <w:color w:val="auto"/>
        </w:rPr>
      </w:pPr>
    </w:p>
    <w:p>
      <w:pPr>
        <w:jc w:val="both"/>
        <w:ind w:left="460" w:right="459" w:firstLine="426"/>
        <w:spacing w:after="0" w:line="257" w:lineRule="auto"/>
        <w:tabs>
          <w:tab w:leader="none" w:pos="134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20" w:lineRule="exact"/>
        <w:rPr>
          <w:rFonts w:ascii="Arial" w:cs="Arial" w:eastAsia="Arial" w:hAnsi="Arial"/>
          <w:sz w:val="18"/>
          <w:szCs w:val="18"/>
          <w:color w:val="auto"/>
        </w:rPr>
      </w:pPr>
    </w:p>
    <w:p>
      <w:pPr>
        <w:jc w:val="both"/>
        <w:ind w:left="460" w:right="459" w:firstLine="426"/>
        <w:spacing w:after="0" w:line="273" w:lineRule="auto"/>
        <w:tabs>
          <w:tab w:leader="none" w:pos="1313" w:val="left"/>
        </w:tabs>
        <w:numPr>
          <w:ilvl w:val="0"/>
          <w:numId w:val="456"/>
        </w:numPr>
        <w:rPr>
          <w:rFonts w:ascii="Arial" w:cs="Arial" w:eastAsia="Arial" w:hAnsi="Arial"/>
          <w:sz w:val="17"/>
          <w:szCs w:val="17"/>
          <w:color w:val="auto"/>
        </w:rPr>
      </w:pPr>
      <w:r>
        <w:rPr>
          <w:rFonts w:ascii="Arial" w:cs="Arial" w:eastAsia="Arial" w:hAnsi="Arial"/>
          <w:sz w:val="17"/>
          <w:szCs w:val="17"/>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4" w:name="page475"/>
    <w:bookmarkEnd w:id="47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86" w:lineRule="auto"/>
        <w:tabs>
          <w:tab w:leader="none" w:pos="1368" w:val="left"/>
        </w:tabs>
        <w:numPr>
          <w:ilvl w:val="0"/>
          <w:numId w:val="457"/>
        </w:numPr>
        <w:rPr>
          <w:rFonts w:ascii="Arial" w:cs="Arial" w:eastAsia="Arial" w:hAnsi="Arial"/>
          <w:sz w:val="16"/>
          <w:szCs w:val="16"/>
          <w:color w:val="auto"/>
        </w:rPr>
      </w:pPr>
      <w:r>
        <w:rPr>
          <w:rFonts w:ascii="Arial" w:cs="Arial" w:eastAsia="Arial" w:hAnsi="Arial"/>
          <w:sz w:val="16"/>
          <w:szCs w:val="16"/>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Arial" w:cs="Arial" w:eastAsia="Arial" w:hAnsi="Arial"/>
          <w:sz w:val="16"/>
          <w:szCs w:val="16"/>
          <w:u w:val="single" w:color="auto"/>
          <w:color w:val="auto"/>
        </w:rPr>
        <w:t>Certificate</w:t>
      </w:r>
      <w:r>
        <w:rPr>
          <w:rFonts w:ascii="Arial" w:cs="Arial" w:eastAsia="Arial" w:hAnsi="Arial"/>
          <w:sz w:val="16"/>
          <w:szCs w:val="16"/>
          <w:color w:val="auto"/>
        </w:rPr>
        <w:t>”) or these By-laws, is entitled to such notice.</w:t>
      </w:r>
    </w:p>
    <w:p>
      <w:pPr>
        <w:spacing w:after="0" w:line="10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SECTION 5. Quorum.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w:t>
      </w:r>
      <w:r>
        <w:rPr>
          <w:rFonts w:ascii="Arial" w:cs="Arial" w:eastAsia="Arial" w:hAnsi="Arial"/>
          <w:sz w:val="17"/>
          <w:szCs w:val="17"/>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1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SECTION 6. Voting and Proxies.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SECTION 7. Action at Meeting.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2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SECTION 8. Stockholder Lists.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SECTION 9. Presiding Officer.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5" w:name="page476"/>
    <w:bookmarkEnd w:id="47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 xml:space="preserve">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w:t>
      </w:r>
      <w:r>
        <w:rPr>
          <w:rFonts w:ascii="Arial" w:cs="Arial" w:eastAsia="Arial" w:hAnsi="Arial"/>
          <w:sz w:val="18"/>
          <w:szCs w:val="18"/>
          <w:color w:val="auto"/>
        </w:rPr>
        <w:t>. The order of business and all other matters of procedure at any meeting of the stockholders shall be determined by the presiding officer.</w:t>
      </w:r>
    </w:p>
    <w:p>
      <w:pPr>
        <w:spacing w:after="0" w:line="12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SECTION 10.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SECTION 1. Powers. The business and affairs of the Corporation shall be managed by or under the direction of the Board of Directors except as otherwise provided by the Certificate or required by law.</w:t>
      </w:r>
    </w:p>
    <w:p>
      <w:pPr>
        <w:spacing w:after="0" w:line="6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SECTION 2. Number and Terms.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9"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Qualification. No director need be a stockholder of the Corporation.</w:t>
      </w:r>
    </w:p>
    <w:p>
      <w:pPr>
        <w:spacing w:after="0" w:line="15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SECTION 4. Vacancies. Vacancies in the Board of Directors shall be filled in the manner provided in the Certificate, the Registration and Shareholder Rights Agreement and the Voting Agreement.</w:t>
      </w:r>
    </w:p>
    <w:p>
      <w:pPr>
        <w:spacing w:after="0" w:line="6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SECTION 5. Removal. Directors may be removed from office only in the manner provided in the Certificate, the Registration and Shareholder Rights Agreement and the Voting Agreement.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SECTION 6. Resignation.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SECTION 7. Regular Meetings.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SECTION 8. Special Meetings.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SECTION 9. Notice of Meetings.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6" w:name="page477"/>
    <w:bookmarkEnd w:id="47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0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SECTION 10. Quorum.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9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SECTION 11. Action at Meeting. At any meeting of the Board of Directors at which a quorum is present, the vote of a majority of the directors present shall constitute action by the Board of Directors, unless otherwise required by law, by the Certificate or by these By-laws.</w:t>
      </w:r>
    </w:p>
    <w:p>
      <w:pPr>
        <w:spacing w:after="0" w:line="10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SECTION 12.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97"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SECTION 13. Manner of Participation.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SECTION 14. Presiding Director.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1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SECTION 15. Committees.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0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SECTION 16. Compensation of Directors.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77" w:name="page478"/>
    <w:bookmarkEnd w:id="47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SECTION 1. Enumeration.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SECTION 2. Election.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SECTION 3. Qualification. No officer need be a stockholder or a director. Any person may occupy more than one office of the Corporation at any time.</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SECTION 4. Tenure.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SECTION 5. Resignation.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SECTION 6. Removal. Except as otherwise provided by law or by resolution of the Board of Directors, the Board of Directors may remove any officer with or without cause by the affirmative vote of a majority of the directors then in office.</w:t>
      </w:r>
    </w:p>
    <w:p>
      <w:pPr>
        <w:spacing w:after="0" w:line="103"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SECTION 7. Absence or Disability. In the event of the absence or disability of any officer, the Board of Directors may designate another officer to act temporarily in place of such absent or disabled officer.</w:t>
      </w:r>
    </w:p>
    <w:p>
      <w:pPr>
        <w:spacing w:after="0" w:line="7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SECTION 8. Vacancies. Any vacancy in any office may be filled for the unexpired portion of the term by the Board of Directors.</w:t>
      </w:r>
    </w:p>
    <w:p>
      <w:pPr>
        <w:spacing w:after="0" w:line="103"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SECTION 9. President. The President shall, subject to the direction of the Board of Directors, have such powers and shall perform such duties as the Board of Directors may from time to time designate.</w:t>
      </w:r>
    </w:p>
    <w:p>
      <w:pPr>
        <w:spacing w:after="0" w:line="65"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SECTION 10. Chairman of the Board. The Chairman of the Board, if one is elected, shall have such powers and shall perform such duties as the Board of Directors may from time to time designate.</w:t>
      </w:r>
    </w:p>
    <w:p>
      <w:pPr>
        <w:spacing w:after="0" w:line="79"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SECTION 11. Chief Executive Officer. The Chief Executive Officer, if one is elected, shall have such powers and shall perform such duties as the Board of Directors may from time to time designate.</w:t>
      </w:r>
    </w:p>
    <w:p>
      <w:pPr>
        <w:spacing w:after="0" w:line="7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SECTION 12. Vice Presidents and Assistant Vice Presidents.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0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SECTION 13. Treasurer and Assistant Treasurers.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99"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SECTION 14. Secretary and Assistant Secretaries.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78" w:name="page479"/>
    <w:bookmarkEnd w:id="47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SECTION 15. Other Powers and Duties.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SECTION 1. Certificates of Stock.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Arial" w:cs="Arial" w:eastAsia="Arial" w:hAnsi="Arial"/>
          <w:sz w:val="16"/>
          <w:szCs w:val="16"/>
          <w:b w:val="1"/>
          <w:bCs w:val="1"/>
          <w:color w:val="auto"/>
        </w:rPr>
        <w:t>Notwithstanding anything to</w:t>
      </w:r>
      <w:r>
        <w:rPr>
          <w:rFonts w:ascii="Arial" w:cs="Arial" w:eastAsia="Arial" w:hAnsi="Arial"/>
          <w:sz w:val="16"/>
          <w:szCs w:val="16"/>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86"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SECTION 2. Transfers.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9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SECTION 3. Record Holders.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0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SECTION 4. Record Date.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79" w:name="page480"/>
    <w:bookmarkEnd w:id="47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0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SECTION 5. Replacement of Certificates. In case of the alleged loss, destruction or mutilation of a certificate of stock of the Corporation, a duplicate certificate may be issued in place thereof, upon such terms as the Board of Directors may prescribe.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6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Definitions. For purposes of this Article:</w:t>
      </w:r>
    </w:p>
    <w:p>
      <w:pPr>
        <w:spacing w:after="0" w:line="144" w:lineRule="exact"/>
        <w:rPr>
          <w:sz w:val="20"/>
          <w:szCs w:val="20"/>
          <w:color w:val="auto"/>
        </w:rPr>
      </w:pPr>
    </w:p>
    <w:p>
      <w:pPr>
        <w:jc w:val="both"/>
        <w:ind w:left="460" w:right="459" w:firstLine="426"/>
        <w:spacing w:after="0" w:line="291" w:lineRule="auto"/>
        <w:tabs>
          <w:tab w:leader="none" w:pos="1344" w:val="left"/>
        </w:tabs>
        <w:numPr>
          <w:ilvl w:val="1"/>
          <w:numId w:val="4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 person who is serving or has served (i) as a Director of the Corporation, (ii) as an Officer of the Corporation, (iii) as a Non-Officer Employee of the Corporation, or</w:t>
      </w:r>
    </w:p>
    <w:p>
      <w:pPr>
        <w:jc w:val="both"/>
        <w:ind w:left="460" w:right="459" w:hanging="6"/>
        <w:spacing w:after="0" w:line="286" w:lineRule="auto"/>
        <w:tabs>
          <w:tab w:leader="none" w:pos="797" w:val="left"/>
        </w:tabs>
        <w:numPr>
          <w:ilvl w:val="0"/>
          <w:numId w:val="459"/>
        </w:numPr>
        <w:rPr>
          <w:rFonts w:ascii="Arial" w:cs="Arial" w:eastAsia="Arial" w:hAnsi="Arial"/>
          <w:sz w:val="16"/>
          <w:szCs w:val="16"/>
          <w:color w:val="auto"/>
        </w:rPr>
      </w:pPr>
      <w:r>
        <w:rPr>
          <w:rFonts w:ascii="Arial" w:cs="Arial" w:eastAsia="Arial" w:hAnsi="Arial"/>
          <w:sz w:val="16"/>
          <w:szCs w:val="16"/>
          <w:color w:val="auto"/>
        </w:rPr>
        <w:t xml:space="preserve">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Arial" w:cs="Arial" w:eastAsia="Arial" w:hAnsi="Arial"/>
          <w:sz w:val="16"/>
          <w:szCs w:val="16"/>
          <w:u w:val="single" w:color="auto"/>
          <w:color w:val="auto"/>
        </w:rPr>
        <w:t>Section 1(a)</w:t>
      </w:r>
      <w:r>
        <w:rPr>
          <w:rFonts w:ascii="Arial" w:cs="Arial" w:eastAsia="Arial" w:hAnsi="Arial"/>
          <w:sz w:val="16"/>
          <w:szCs w:val="16"/>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04" w:lineRule="exact"/>
        <w:rPr>
          <w:rFonts w:ascii="Arial" w:cs="Arial" w:eastAsia="Arial" w:hAnsi="Arial"/>
          <w:sz w:val="16"/>
          <w:szCs w:val="16"/>
          <w:color w:val="auto"/>
        </w:rPr>
      </w:pPr>
    </w:p>
    <w:p>
      <w:pPr>
        <w:jc w:val="both"/>
        <w:ind w:left="460" w:right="459" w:firstLine="426"/>
        <w:spacing w:after="0" w:line="263" w:lineRule="auto"/>
        <w:tabs>
          <w:tab w:leader="none" w:pos="1282" w:val="left"/>
        </w:tabs>
        <w:numPr>
          <w:ilvl w:val="1"/>
          <w:numId w:val="4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16" w:lineRule="exact"/>
        <w:rPr>
          <w:rFonts w:ascii="Arial" w:cs="Arial" w:eastAsia="Arial" w:hAnsi="Arial"/>
          <w:sz w:val="18"/>
          <w:szCs w:val="18"/>
          <w:color w:val="auto"/>
        </w:rPr>
      </w:pPr>
    </w:p>
    <w:p>
      <w:pPr>
        <w:jc w:val="both"/>
        <w:ind w:left="460" w:right="459" w:firstLine="426"/>
        <w:spacing w:after="0" w:line="263" w:lineRule="auto"/>
        <w:tabs>
          <w:tab w:leader="none" w:pos="1753" w:val="left"/>
        </w:tabs>
        <w:numPr>
          <w:ilvl w:val="1"/>
          <w:numId w:val="4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with respect to each Proceeding in respect of which indemnification is sought hereunder, a Director of the Corporation who is not and was not a party to such Proceeding;</w:t>
      </w:r>
    </w:p>
    <w:p>
      <w:pPr>
        <w:spacing w:after="0" w:line="102" w:lineRule="exact"/>
        <w:rPr>
          <w:rFonts w:ascii="Arial" w:cs="Arial" w:eastAsia="Arial" w:hAnsi="Arial"/>
          <w:sz w:val="18"/>
          <w:szCs w:val="18"/>
          <w:color w:val="auto"/>
        </w:rPr>
      </w:pPr>
    </w:p>
    <w:p>
      <w:pPr>
        <w:jc w:val="both"/>
        <w:ind w:left="460" w:right="459" w:firstLine="426"/>
        <w:spacing w:after="0" w:line="290" w:lineRule="auto"/>
        <w:tabs>
          <w:tab w:leader="none" w:pos="1363" w:val="left"/>
        </w:tabs>
        <w:numPr>
          <w:ilvl w:val="1"/>
          <w:numId w:val="4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97" w:lineRule="exact"/>
        <w:rPr>
          <w:rFonts w:ascii="Arial" w:cs="Arial" w:eastAsia="Arial" w:hAnsi="Arial"/>
          <w:sz w:val="16"/>
          <w:szCs w:val="16"/>
          <w:color w:val="auto"/>
        </w:rPr>
      </w:pPr>
    </w:p>
    <w:p>
      <w:pPr>
        <w:ind w:left="460" w:right="479" w:firstLine="426"/>
        <w:spacing w:after="0" w:line="277" w:lineRule="auto"/>
        <w:tabs>
          <w:tab w:leader="none" w:pos="1519" w:val="left"/>
        </w:tabs>
        <w:numPr>
          <w:ilvl w:val="1"/>
          <w:numId w:val="4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judgments, damages, liabilities, losses, penalties, excise taxes, fines and amounts paid in settlement;</w:t>
      </w:r>
    </w:p>
    <w:p>
      <w:pPr>
        <w:spacing w:after="0" w:line="102" w:lineRule="exact"/>
        <w:rPr>
          <w:rFonts w:ascii="Arial" w:cs="Arial" w:eastAsia="Arial" w:hAnsi="Arial"/>
          <w:sz w:val="18"/>
          <w:szCs w:val="18"/>
          <w:color w:val="auto"/>
        </w:rPr>
      </w:pPr>
    </w:p>
    <w:p>
      <w:pPr>
        <w:ind w:left="460" w:right="479" w:firstLine="426"/>
        <w:spacing w:after="0" w:line="277" w:lineRule="auto"/>
        <w:tabs>
          <w:tab w:leader="none" w:pos="1297" w:val="left"/>
        </w:tabs>
        <w:numPr>
          <w:ilvl w:val="1"/>
          <w:numId w:val="4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Non-Officer Employee</w:t>
      </w:r>
      <w:r>
        <w:rPr>
          <w:rFonts w:ascii="Arial" w:cs="Arial" w:eastAsia="Arial" w:hAnsi="Arial"/>
          <w:sz w:val="18"/>
          <w:szCs w:val="18"/>
          <w:color w:val="auto"/>
        </w:rPr>
        <w:t>” means any person who serves or has served as an employee or agent of the Corporation, but who is not or was not a Director or Officer;</w:t>
      </w:r>
    </w:p>
    <w:p>
      <w:pPr>
        <w:spacing w:after="0" w:line="89" w:lineRule="exact"/>
        <w:rPr>
          <w:rFonts w:ascii="Arial" w:cs="Arial" w:eastAsia="Arial" w:hAnsi="Arial"/>
          <w:sz w:val="18"/>
          <w:szCs w:val="18"/>
          <w:color w:val="auto"/>
        </w:rPr>
      </w:pPr>
    </w:p>
    <w:p>
      <w:pPr>
        <w:jc w:val="both"/>
        <w:ind w:left="460" w:right="479" w:firstLine="426"/>
        <w:spacing w:after="0" w:line="263" w:lineRule="auto"/>
        <w:tabs>
          <w:tab w:leader="none" w:pos="1457" w:val="left"/>
        </w:tabs>
        <w:numPr>
          <w:ilvl w:val="1"/>
          <w:numId w:val="4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116" w:lineRule="exact"/>
        <w:rPr>
          <w:rFonts w:ascii="Arial" w:cs="Arial" w:eastAsia="Arial" w:hAnsi="Arial"/>
          <w:sz w:val="18"/>
          <w:szCs w:val="18"/>
          <w:color w:val="auto"/>
        </w:rPr>
      </w:pPr>
    </w:p>
    <w:p>
      <w:pPr>
        <w:jc w:val="both"/>
        <w:ind w:left="460" w:right="459" w:firstLine="426"/>
        <w:spacing w:after="0" w:line="263" w:lineRule="auto"/>
        <w:tabs>
          <w:tab w:leader="none" w:pos="1295" w:val="left"/>
        </w:tabs>
        <w:numPr>
          <w:ilvl w:val="1"/>
          <w:numId w:val="4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0" w:name="page481"/>
    <w:bookmarkEnd w:id="48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4" w:lineRule="auto"/>
        <w:tabs>
          <w:tab w:leader="none" w:pos="1327" w:val="left"/>
        </w:tabs>
        <w:numPr>
          <w:ilvl w:val="0"/>
          <w:numId w:val="4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7"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Indemnification of Directors and Officers.</w:t>
      </w:r>
    </w:p>
    <w:p>
      <w:pPr>
        <w:spacing w:after="0" w:line="158" w:lineRule="exact"/>
        <w:rPr>
          <w:sz w:val="20"/>
          <w:szCs w:val="20"/>
          <w:color w:val="auto"/>
        </w:rPr>
      </w:pPr>
    </w:p>
    <w:p>
      <w:pPr>
        <w:jc w:val="both"/>
        <w:ind w:left="460" w:right="479" w:firstLine="426"/>
        <w:spacing w:after="0" w:line="296" w:lineRule="auto"/>
        <w:tabs>
          <w:tab w:leader="none" w:pos="1364"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Subject to the operation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80" w:lineRule="exact"/>
        <w:rPr>
          <w:rFonts w:ascii="Arial" w:cs="Arial" w:eastAsia="Arial" w:hAnsi="Arial"/>
          <w:sz w:val="16"/>
          <w:szCs w:val="16"/>
          <w:color w:val="auto"/>
        </w:rPr>
      </w:pPr>
    </w:p>
    <w:p>
      <w:pPr>
        <w:jc w:val="both"/>
        <w:ind w:left="880" w:right="459" w:firstLine="438"/>
        <w:spacing w:after="0" w:line="270" w:lineRule="auto"/>
        <w:tabs>
          <w:tab w:leader="none" w:pos="1837" w:val="left"/>
        </w:tabs>
        <w:numPr>
          <w:ilvl w:val="1"/>
          <w:numId w:val="461"/>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Other than By or In the Right of the Corporation</w:t>
      </w:r>
      <w:r>
        <w:rPr>
          <w:rFonts w:ascii="Arial" w:cs="Arial" w:eastAsia="Arial" w:hAnsi="Arial"/>
          <w:sz w:val="17"/>
          <w:szCs w:val="17"/>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13" w:lineRule="exact"/>
        <w:rPr>
          <w:rFonts w:ascii="Arial" w:cs="Arial" w:eastAsia="Arial" w:hAnsi="Arial"/>
          <w:sz w:val="17"/>
          <w:szCs w:val="17"/>
          <w:color w:val="auto"/>
        </w:rPr>
      </w:pPr>
    </w:p>
    <w:p>
      <w:pPr>
        <w:jc w:val="both"/>
        <w:ind w:left="880" w:right="459" w:firstLine="438"/>
        <w:spacing w:after="0" w:line="286" w:lineRule="auto"/>
        <w:tabs>
          <w:tab w:leader="none" w:pos="1796" w:val="left"/>
        </w:tabs>
        <w:numPr>
          <w:ilvl w:val="1"/>
          <w:numId w:val="461"/>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Arial" w:cs="Arial" w:eastAsia="Arial" w:hAnsi="Arial"/>
          <w:sz w:val="16"/>
          <w:szCs w:val="16"/>
          <w:u w:val="single" w:color="auto"/>
          <w:color w:val="auto"/>
        </w:rPr>
        <w:t>Section 2(a)(2)</w:t>
      </w:r>
      <w:r>
        <w:rPr>
          <w:rFonts w:ascii="Arial" w:cs="Arial" w:eastAsia="Arial" w:hAnsi="Arial"/>
          <w:sz w:val="16"/>
          <w:szCs w:val="16"/>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06" w:lineRule="exact"/>
        <w:rPr>
          <w:rFonts w:ascii="Arial" w:cs="Arial" w:eastAsia="Arial" w:hAnsi="Arial"/>
          <w:sz w:val="16"/>
          <w:szCs w:val="16"/>
          <w:color w:val="auto"/>
        </w:rPr>
      </w:pPr>
    </w:p>
    <w:p>
      <w:pPr>
        <w:jc w:val="both"/>
        <w:ind w:left="880" w:right="479" w:firstLine="438"/>
        <w:spacing w:after="0" w:line="286" w:lineRule="auto"/>
        <w:tabs>
          <w:tab w:leader="none" w:pos="1729" w:val="left"/>
        </w:tabs>
        <w:numPr>
          <w:ilvl w:val="1"/>
          <w:numId w:val="461"/>
        </w:numPr>
        <w:rPr>
          <w:rFonts w:ascii="Arial" w:cs="Arial" w:eastAsia="Arial" w:hAnsi="Arial"/>
          <w:sz w:val="17"/>
          <w:szCs w:val="17"/>
          <w:color w:val="auto"/>
        </w:rPr>
      </w:pPr>
      <w:r>
        <w:rPr>
          <w:rFonts w:ascii="Arial" w:cs="Arial" w:eastAsia="Arial" w:hAnsi="Arial"/>
          <w:sz w:val="17"/>
          <w:szCs w:val="17"/>
          <w:u w:val="single" w:color="auto"/>
          <w:color w:val="auto"/>
        </w:rPr>
        <w:t>Survival of Rights</w:t>
      </w:r>
      <w:r>
        <w:rPr>
          <w:rFonts w:ascii="Arial" w:cs="Arial" w:eastAsia="Arial" w:hAnsi="Arial"/>
          <w:sz w:val="17"/>
          <w:szCs w:val="17"/>
          <w:color w:val="auto"/>
        </w:rPr>
        <w:t xml:space="preserve">. The rights of indemnification provided by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84" w:lineRule="exact"/>
        <w:rPr>
          <w:rFonts w:ascii="Arial" w:cs="Arial" w:eastAsia="Arial" w:hAnsi="Arial"/>
          <w:sz w:val="17"/>
          <w:szCs w:val="17"/>
          <w:color w:val="auto"/>
        </w:rPr>
      </w:pPr>
    </w:p>
    <w:p>
      <w:pPr>
        <w:jc w:val="both"/>
        <w:ind w:left="880" w:right="479" w:firstLine="438"/>
        <w:spacing w:after="0" w:line="293" w:lineRule="auto"/>
        <w:tabs>
          <w:tab w:leader="none" w:pos="1864" w:val="left"/>
        </w:tabs>
        <w:numPr>
          <w:ilvl w:val="1"/>
          <w:numId w:val="461"/>
        </w:numPr>
        <w:rPr>
          <w:rFonts w:ascii="Arial" w:cs="Arial" w:eastAsia="Arial" w:hAnsi="Arial"/>
          <w:sz w:val="16"/>
          <w:szCs w:val="16"/>
          <w:color w:val="auto"/>
        </w:rPr>
      </w:pPr>
      <w:r>
        <w:rPr>
          <w:rFonts w:ascii="Arial" w:cs="Arial" w:eastAsia="Arial" w:hAnsi="Arial"/>
          <w:sz w:val="16"/>
          <w:szCs w:val="16"/>
          <w:u w:val="single" w:color="auto"/>
          <w:color w:val="auto"/>
        </w:rPr>
        <w:t>Actions by Directors or Officers</w:t>
      </w:r>
      <w:r>
        <w:rPr>
          <w:rFonts w:ascii="Arial" w:cs="Arial" w:eastAsia="Arial" w:hAnsi="Arial"/>
          <w:sz w:val="16"/>
          <w:szCs w:val="16"/>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9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SECTION 3. Indemnification of Non-Officer Employees. Subject to the operation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exist as to a Non-Officer Employee after he or she has ceased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1" w:name="page482"/>
    <w:bookmarkEnd w:id="48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SECTION 4. Determination. Unless ordered by a court, no indemnification shall be provided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18"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Advancement of Expenses to Directors Prior to Final Disposition.</w:t>
      </w:r>
    </w:p>
    <w:p>
      <w:pPr>
        <w:spacing w:after="0" w:line="144" w:lineRule="exact"/>
        <w:rPr>
          <w:sz w:val="20"/>
          <w:szCs w:val="20"/>
          <w:color w:val="auto"/>
        </w:rPr>
      </w:pPr>
    </w:p>
    <w:p>
      <w:pPr>
        <w:jc w:val="both"/>
        <w:ind w:left="460" w:right="459" w:firstLine="426"/>
        <w:spacing w:after="0" w:line="283" w:lineRule="auto"/>
        <w:tabs>
          <w:tab w:leader="none" w:pos="1347"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authorized by the Board of Directors, or (ii) brought to enforce such Director’s rights to indemnification or advancement of Expenses under these By-laws.</w:t>
      </w:r>
    </w:p>
    <w:p>
      <w:pPr>
        <w:spacing w:after="0" w:line="117" w:lineRule="exact"/>
        <w:rPr>
          <w:rFonts w:ascii="Arial" w:cs="Arial" w:eastAsia="Arial" w:hAnsi="Arial"/>
          <w:sz w:val="18"/>
          <w:szCs w:val="18"/>
          <w:color w:val="auto"/>
        </w:rPr>
      </w:pPr>
    </w:p>
    <w:p>
      <w:pPr>
        <w:jc w:val="both"/>
        <w:ind w:left="460" w:right="459" w:firstLine="426"/>
        <w:spacing w:after="0" w:line="269" w:lineRule="auto"/>
        <w:tabs>
          <w:tab w:leader="none" w:pos="1451" w:val="left"/>
        </w:tabs>
        <w:numPr>
          <w:ilvl w:val="1"/>
          <w:numId w:val="463"/>
        </w:numPr>
        <w:rPr>
          <w:rFonts w:ascii="Arial" w:cs="Arial" w:eastAsia="Arial" w:hAnsi="Arial"/>
          <w:sz w:val="17"/>
          <w:szCs w:val="17"/>
          <w:color w:val="auto"/>
        </w:rPr>
      </w:pPr>
      <w:r>
        <w:rPr>
          <w:rFonts w:ascii="Arial" w:cs="Arial" w:eastAsia="Arial" w:hAnsi="Arial"/>
          <w:sz w:val="17"/>
          <w:szCs w:val="17"/>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17" w:lineRule="exact"/>
        <w:rPr>
          <w:rFonts w:ascii="Arial" w:cs="Arial" w:eastAsia="Arial" w:hAnsi="Arial"/>
          <w:sz w:val="17"/>
          <w:szCs w:val="17"/>
          <w:color w:val="auto"/>
        </w:rPr>
      </w:pPr>
    </w:p>
    <w:p>
      <w:pPr>
        <w:jc w:val="both"/>
        <w:ind w:left="460" w:right="459" w:firstLine="426"/>
        <w:spacing w:after="0" w:line="286" w:lineRule="auto"/>
        <w:tabs>
          <w:tab w:leader="none" w:pos="1326" w:val="left"/>
        </w:tabs>
        <w:numPr>
          <w:ilvl w:val="1"/>
          <w:numId w:val="463"/>
        </w:numPr>
        <w:rPr>
          <w:rFonts w:ascii="Arial" w:cs="Arial" w:eastAsia="Arial" w:hAnsi="Arial"/>
          <w:sz w:val="17"/>
          <w:szCs w:val="17"/>
          <w:color w:val="auto"/>
        </w:rPr>
      </w:pPr>
      <w:r>
        <w:rPr>
          <w:rFonts w:ascii="Arial" w:cs="Arial" w:eastAsia="Arial" w:hAnsi="Arial"/>
          <w:sz w:val="17"/>
          <w:szCs w:val="17"/>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8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SECTION 6. Advancement of Expenses to Officers and Non-Officer Employees Prior to Final Disposition.</w:t>
      </w:r>
    </w:p>
    <w:p>
      <w:pPr>
        <w:spacing w:after="0" w:line="103" w:lineRule="exact"/>
        <w:rPr>
          <w:sz w:val="20"/>
          <w:szCs w:val="20"/>
          <w:color w:val="auto"/>
        </w:rPr>
      </w:pPr>
    </w:p>
    <w:p>
      <w:pPr>
        <w:jc w:val="both"/>
        <w:ind w:left="460" w:right="459" w:firstLine="426"/>
        <w:spacing w:after="0" w:line="270" w:lineRule="auto"/>
        <w:tabs>
          <w:tab w:leader="none" w:pos="1435"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13" w:lineRule="exact"/>
        <w:rPr>
          <w:rFonts w:ascii="Arial" w:cs="Arial" w:eastAsia="Arial" w:hAnsi="Arial"/>
          <w:sz w:val="17"/>
          <w:szCs w:val="17"/>
          <w:color w:val="auto"/>
        </w:rPr>
      </w:pPr>
    </w:p>
    <w:p>
      <w:pPr>
        <w:jc w:val="both"/>
        <w:ind w:left="460" w:right="459" w:firstLine="426"/>
        <w:spacing w:after="0" w:line="259" w:lineRule="auto"/>
        <w:tabs>
          <w:tab w:leader="none" w:pos="1298"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2" w:name="page483"/>
    <w:bookmarkEnd w:id="48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Contractual Nature of Rights.</w:t>
      </w:r>
    </w:p>
    <w:p>
      <w:pPr>
        <w:spacing w:after="0" w:line="158" w:lineRule="exact"/>
        <w:rPr>
          <w:sz w:val="20"/>
          <w:szCs w:val="20"/>
          <w:color w:val="auto"/>
        </w:rPr>
      </w:pPr>
    </w:p>
    <w:p>
      <w:pPr>
        <w:jc w:val="both"/>
        <w:ind w:left="460" w:right="459" w:firstLine="426"/>
        <w:spacing w:after="0" w:line="286" w:lineRule="auto"/>
        <w:tabs>
          <w:tab w:leader="none" w:pos="1336" w:val="left"/>
        </w:tabs>
        <w:numPr>
          <w:ilvl w:val="0"/>
          <w:numId w:val="465"/>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 deemed to be a contract between the Corporation and each Director and Officer entitled to the benefits hereof at any time while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in effect, in consideration of such person’s past or current and any future performance of services for the Corporation. Neither amendment, repeal or modification of any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nor the adoption of any provision of the Certificate of Incorporation inconsistent with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eliminate or reduce any right conferred by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03" w:lineRule="exact"/>
        <w:rPr>
          <w:rFonts w:ascii="Arial" w:cs="Arial" w:eastAsia="Arial" w:hAnsi="Arial"/>
          <w:sz w:val="16"/>
          <w:szCs w:val="16"/>
          <w:color w:val="auto"/>
        </w:rPr>
      </w:pPr>
    </w:p>
    <w:p>
      <w:pPr>
        <w:jc w:val="both"/>
        <w:ind w:left="460" w:right="459" w:firstLine="426"/>
        <w:spacing w:after="0" w:line="287" w:lineRule="auto"/>
        <w:tabs>
          <w:tab w:leader="none" w:pos="1342" w:val="left"/>
        </w:tabs>
        <w:numPr>
          <w:ilvl w:val="0"/>
          <w:numId w:val="465"/>
        </w:numPr>
        <w:rPr>
          <w:rFonts w:ascii="Arial" w:cs="Arial" w:eastAsia="Arial" w:hAnsi="Arial"/>
          <w:sz w:val="16"/>
          <w:szCs w:val="16"/>
          <w:color w:val="auto"/>
        </w:rPr>
      </w:pPr>
      <w:r>
        <w:rPr>
          <w:rFonts w:ascii="Arial" w:cs="Arial" w:eastAsia="Arial" w:hAnsi="Arial"/>
          <w:sz w:val="16"/>
          <w:szCs w:val="16"/>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90" w:lineRule="exact"/>
        <w:rPr>
          <w:rFonts w:ascii="Arial" w:cs="Arial" w:eastAsia="Arial" w:hAnsi="Arial"/>
          <w:sz w:val="16"/>
          <w:szCs w:val="16"/>
          <w:color w:val="auto"/>
        </w:rPr>
      </w:pPr>
    </w:p>
    <w:p>
      <w:pPr>
        <w:jc w:val="both"/>
        <w:ind w:left="460" w:right="459" w:firstLine="426"/>
        <w:spacing w:after="0" w:line="263" w:lineRule="auto"/>
        <w:tabs>
          <w:tab w:leader="none" w:pos="135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SECTION 8. Non-Exclusivity of Rights. The rights to indemnification and to advancement of Expenses set forth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SECTION 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SECTION 10. Other Indemnification.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Arial" w:cs="Arial" w:eastAsia="Arial" w:hAnsi="Arial"/>
          <w:sz w:val="17"/>
          <w:szCs w:val="17"/>
          <w:u w:val="single" w:color="auto"/>
          <w:color w:val="auto"/>
        </w:rPr>
        <w:t>Primary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Indemnitor</w:t>
      </w:r>
      <w:r>
        <w:rPr>
          <w:rFonts w:ascii="Arial" w:cs="Arial" w:eastAsia="Arial" w:hAnsi="Arial"/>
          <w:sz w:val="17"/>
          <w:szCs w:val="17"/>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3" w:name="page484"/>
    <w:bookmarkEnd w:id="48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SECTION 1. Fiscal Year. The fiscal year of the Corporation shall be determined by the Board of Directors.</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SECTION 2. Seal. The Board of Directors shall have power to adopt and alter the seal of the Corporation.</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SECTION 3. Execution of Instruments.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0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SECTION 4. Voting of Securities.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SECTION 5. Resident Agent. The Board of Directors may appoint a resident agent upon whom legal process may be served in any action or proceeding against the Corporation.</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SECTION 6. Corporate Records.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1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SECTION 7. Certificate. All references in these By-laws to the Certificate shall be deemed to refer to the Amended and Restated Certificate of Incorporation of the Corporation, as amended and/or restated and in effect from time to time.</w:t>
      </w:r>
    </w:p>
    <w:p>
      <w:pPr>
        <w:spacing w:after="0" w:line="11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SECTION 8. Exclusive Jurisdiction.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17"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color w:val="auto"/>
        </w:rPr>
        <w:t>Amendment of By-laws.</w:t>
      </w:r>
    </w:p>
    <w:p>
      <w:pPr>
        <w:spacing w:after="0" w:line="144" w:lineRule="exact"/>
        <w:rPr>
          <w:sz w:val="20"/>
          <w:szCs w:val="20"/>
          <w:color w:val="auto"/>
        </w:rPr>
      </w:pPr>
    </w:p>
    <w:p>
      <w:pPr>
        <w:jc w:val="both"/>
        <w:ind w:left="460" w:right="459" w:firstLine="426"/>
        <w:spacing w:after="0" w:line="263" w:lineRule="auto"/>
        <w:tabs>
          <w:tab w:leader="none" w:pos="1330"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16" w:lineRule="exact"/>
        <w:rPr>
          <w:rFonts w:ascii="Arial" w:cs="Arial" w:eastAsia="Arial" w:hAnsi="Arial"/>
          <w:sz w:val="18"/>
          <w:szCs w:val="18"/>
          <w:color w:val="auto"/>
        </w:rPr>
      </w:pPr>
    </w:p>
    <w:p>
      <w:pPr>
        <w:jc w:val="both"/>
        <w:ind w:left="460" w:right="479" w:firstLine="426"/>
        <w:spacing w:after="0" w:line="255" w:lineRule="auto"/>
        <w:tabs>
          <w:tab w:leader="none" w:pos="1322"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4" w:name="page485"/>
    <w:bookmarkEnd w:id="48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SECTION 10. Notices.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20"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SECTION 11. 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5" w:name="page486"/>
    <w:bookmarkEnd w:id="48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Annex 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Arial" w:cs="Arial" w:eastAsia="Arial" w:hAnsi="Arial"/>
          <w:sz w:val="18"/>
          <w:szCs w:val="18"/>
          <w:b w:val="1"/>
          <w:bCs w:val="1"/>
          <w:color w:val="auto"/>
        </w:rPr>
        <w:t xml:space="preserve">2020 STOCK OPTION AND INCENTIVE PLAN </w:t>
      </w: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performing the functions of the compensation committee and which is comprised of not less than two Non Employee Directors who are independent.</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16"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Award granted under the Plan. Each Award Certificate is subject to the terms and conditions of the Plan.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 xml:space="preserve">“Cash-Based Award” </w:t>
      </w:r>
      <w:r>
        <w:rPr>
          <w:rFonts w:ascii="Arial" w:cs="Arial" w:eastAsia="Arial" w:hAnsi="Arial"/>
          <w:sz w:val="17"/>
          <w:szCs w:val="17"/>
          <w:color w:val="auto"/>
        </w:rPr>
        <w:t>means an Award entitling the recipient to receive a cash-denominated payment.</w:t>
      </w:r>
    </w:p>
    <w:p>
      <w:pPr>
        <w:spacing w:after="0" w:line="169"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Date</w:t>
      </w:r>
      <w:r>
        <w:rPr>
          <w:rFonts w:ascii="Arial" w:cs="Arial" w:eastAsia="Arial" w:hAnsi="Arial"/>
          <w:sz w:val="17"/>
          <w:szCs w:val="17"/>
          <w:color w:val="auto"/>
        </w:rPr>
        <w:t>” means the date of the closing of the transactions contemplated by that certain Merger Agreement, dated as of October 15, 2020, by and among the Company and the other parties thereto.</w:t>
      </w:r>
    </w:p>
    <w:p>
      <w:pPr>
        <w:spacing w:after="0" w:line="6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Code,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rules, regulations and interpretations.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as an independent contractor and who qualifies as a consultant or advisor under Instruction A.1.(a)(1) of Form S-8 under the Act.</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means an Award entitling the grantee to receive credits based on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6" w:name="page487"/>
    <w:bookmarkEnd w:id="48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market quotations. If there are no market quotations for such date, the determination shall be made by reference to the last date preceding such date for which there are market quotations.</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Section 422 of the Code.</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or</w:t>
      </w:r>
      <w:r>
        <w:rPr>
          <w:rFonts w:ascii="Arial" w:cs="Arial" w:eastAsia="Arial" w:hAnsi="Arial"/>
          <w:sz w:val="16"/>
          <w:szCs w:val="16"/>
          <w:i w:val="1"/>
          <w:iCs w:val="1"/>
          <w:color w:val="auto"/>
        </w:rPr>
        <w:t xml:space="preserve"> “Stock Option” </w:t>
      </w:r>
      <w:r>
        <w:rPr>
          <w:rFonts w:ascii="Arial" w:cs="Arial" w:eastAsia="Arial" w:hAnsi="Arial"/>
          <w:sz w:val="16"/>
          <w:szCs w:val="16"/>
          <w:color w:val="auto"/>
        </w:rPr>
        <w:t>means any option to purchase shares of Stock granted pursuant to Section 5.</w:t>
      </w:r>
    </w:p>
    <w:p>
      <w:pPr>
        <w:spacing w:after="0" w:line="18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risk of forfeiture or the Company’s right of repurchase.</w:t>
      </w:r>
    </w:p>
    <w:p>
      <w:pPr>
        <w:spacing w:after="0" w:line="8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Administrator may determine at the time of grant.</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determine at the time of grant.</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means (i) the sale of all or substantially all of the assets of the Company on a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i w:val="1"/>
          <w:iCs w:val="1"/>
          <w:color w:val="auto"/>
        </w:rPr>
        <w:t xml:space="preserve">“Service Relationship” </w:t>
      </w:r>
      <w:r>
        <w:rPr>
          <w:rFonts w:ascii="Arial" w:cs="Arial" w:eastAsia="Arial" w:hAnsi="Arial"/>
          <w:sz w:val="17"/>
          <w:szCs w:val="17"/>
          <w:color w:val="auto"/>
        </w:rPr>
        <w:t>means any relationship as an employee, director or Consultant of the Company or</w:t>
      </w:r>
      <w:r>
        <w:rPr>
          <w:rFonts w:ascii="Arial" w:cs="Arial" w:eastAsia="Arial" w:hAnsi="Arial"/>
          <w:sz w:val="17"/>
          <w:szCs w:val="17"/>
          <w:i w:val="1"/>
          <w:iCs w:val="1"/>
          <w:color w:val="auto"/>
        </w:rPr>
        <w:t xml:space="preserve"> </w:t>
      </w:r>
      <w:r>
        <w:rPr>
          <w:rFonts w:ascii="Arial" w:cs="Arial" w:eastAsia="Arial" w:hAnsi="Arial"/>
          <w:sz w:val="17"/>
          <w:szCs w:val="17"/>
          <w:color w:val="auto"/>
        </w:rPr>
        <w:t>any Affiliate (e.g., a Service Relationship shall be deemed to continue without interruption in the event an individual’s status changes from full-time employee to part-time employee or Consultant).</w:t>
      </w:r>
    </w:p>
    <w:p>
      <w:pPr>
        <w:spacing w:after="0" w:line="8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3.</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(or cash,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2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a 50 percent interest, either directly or indirectly.</w:t>
      </w:r>
    </w:p>
    <w:p>
      <w:pPr>
        <w:spacing w:after="0" w:line="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rules of Section 424(d) of the Code) more than 10 percent of the combined voting power of all classes of stock of the Company or any parent or subsidiary corporation.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8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7" w:name="page488"/>
    <w:bookmarkEnd w:id="48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640" w:right="479" w:hanging="1187"/>
        <w:spacing w:after="0" w:line="277" w:lineRule="auto"/>
        <w:tabs>
          <w:tab w:leader="none" w:pos="16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u w:val="single" w:color="auto"/>
          <w:color w:val="auto"/>
        </w:rPr>
        <w:t>ADMINISTRATION OF PLAN; ADMINISTRATOR AUTHORITY TO SELECT GRANTEES AND DETERMINE AWARDS</w:t>
      </w:r>
    </w:p>
    <w:p>
      <w:pPr>
        <w:spacing w:after="0" w:line="103" w:lineRule="exact"/>
        <w:rPr>
          <w:sz w:val="20"/>
          <w:szCs w:val="20"/>
          <w:color w:val="auto"/>
        </w:rPr>
      </w:pPr>
    </w:p>
    <w:p>
      <w:pPr>
        <w:ind w:left="1260" w:hanging="374"/>
        <w:spacing w:after="0"/>
        <w:tabs>
          <w:tab w:leader="none" w:pos="1260"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57" w:lineRule="exact"/>
        <w:rPr>
          <w:rFonts w:ascii="Arial" w:cs="Arial" w:eastAsia="Arial" w:hAnsi="Arial"/>
          <w:sz w:val="18"/>
          <w:szCs w:val="18"/>
          <w:color w:val="auto"/>
        </w:rPr>
      </w:pPr>
    </w:p>
    <w:p>
      <w:pPr>
        <w:ind w:left="460" w:right="479" w:firstLine="426"/>
        <w:spacing w:after="0" w:line="277" w:lineRule="auto"/>
        <w:tabs>
          <w:tab w:leader="none" w:pos="1363"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89" w:lineRule="exact"/>
        <w:rPr>
          <w:rFonts w:ascii="Arial" w:cs="Arial" w:eastAsia="Arial" w:hAnsi="Arial"/>
          <w:sz w:val="18"/>
          <w:szCs w:val="18"/>
          <w:color w:val="auto"/>
        </w:rPr>
      </w:pPr>
    </w:p>
    <w:p>
      <w:pPr>
        <w:ind w:left="1660" w:hanging="342"/>
        <w:spacing w:after="0"/>
        <w:tabs>
          <w:tab w:leader="none" w:pos="166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57" w:lineRule="exact"/>
        <w:rPr>
          <w:rFonts w:ascii="Arial" w:cs="Arial" w:eastAsia="Arial" w:hAnsi="Arial"/>
          <w:sz w:val="18"/>
          <w:szCs w:val="18"/>
          <w:color w:val="auto"/>
        </w:rPr>
      </w:pPr>
    </w:p>
    <w:p>
      <w:pPr>
        <w:jc w:val="both"/>
        <w:ind w:left="460" w:right="459" w:firstLine="858"/>
        <w:spacing w:after="0" w:line="259" w:lineRule="auto"/>
        <w:tabs>
          <w:tab w:leader="none" w:pos="1802"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9" w:lineRule="exact"/>
        <w:rPr>
          <w:rFonts w:ascii="Arial" w:cs="Arial" w:eastAsia="Arial" w:hAnsi="Arial"/>
          <w:sz w:val="18"/>
          <w:szCs w:val="18"/>
          <w:color w:val="auto"/>
        </w:rPr>
      </w:pPr>
    </w:p>
    <w:p>
      <w:pPr>
        <w:ind w:left="1760" w:hanging="442"/>
        <w:spacing w:after="0"/>
        <w:tabs>
          <w:tab w:leader="none" w:pos="176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44" w:lineRule="exact"/>
        <w:rPr>
          <w:rFonts w:ascii="Arial" w:cs="Arial" w:eastAsia="Arial" w:hAnsi="Arial"/>
          <w:sz w:val="18"/>
          <w:szCs w:val="18"/>
          <w:color w:val="auto"/>
        </w:rPr>
      </w:pPr>
    </w:p>
    <w:p>
      <w:pPr>
        <w:jc w:val="both"/>
        <w:ind w:left="460" w:right="459" w:firstLine="858"/>
        <w:spacing w:after="0" w:line="263" w:lineRule="auto"/>
        <w:tabs>
          <w:tab w:leader="none" w:pos="1821"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16" w:lineRule="exact"/>
        <w:rPr>
          <w:rFonts w:ascii="Arial" w:cs="Arial" w:eastAsia="Arial" w:hAnsi="Arial"/>
          <w:sz w:val="18"/>
          <w:szCs w:val="18"/>
          <w:color w:val="auto"/>
        </w:rPr>
      </w:pPr>
    </w:p>
    <w:p>
      <w:pPr>
        <w:ind w:left="1700" w:hanging="382"/>
        <w:spacing w:after="0"/>
        <w:tabs>
          <w:tab w:leader="none" w:pos="1700" w:val="left"/>
        </w:tabs>
        <w:numPr>
          <w:ilvl w:val="1"/>
          <w:numId w:val="467"/>
        </w:numPr>
        <w:rPr>
          <w:rFonts w:ascii="Arial" w:cs="Arial" w:eastAsia="Arial" w:hAnsi="Arial"/>
          <w:sz w:val="17"/>
          <w:szCs w:val="17"/>
          <w:color w:val="auto"/>
        </w:rPr>
      </w:pPr>
      <w:r>
        <w:rPr>
          <w:rFonts w:ascii="Arial" w:cs="Arial" w:eastAsia="Arial" w:hAnsi="Arial"/>
          <w:sz w:val="17"/>
          <w:szCs w:val="17"/>
          <w:color w:val="auto"/>
        </w:rPr>
        <w:t>to accelerate at any time the exercisability or vesting of all or any portion of any Award;</w:t>
      </w:r>
    </w:p>
    <w:p>
      <w:pPr>
        <w:spacing w:after="0" w:line="169" w:lineRule="exact"/>
        <w:rPr>
          <w:rFonts w:ascii="Arial" w:cs="Arial" w:eastAsia="Arial" w:hAnsi="Arial"/>
          <w:sz w:val="17"/>
          <w:szCs w:val="17"/>
          <w:color w:val="auto"/>
        </w:rPr>
      </w:pPr>
    </w:p>
    <w:p>
      <w:pPr>
        <w:ind w:left="460" w:right="459" w:firstLine="858"/>
        <w:spacing w:after="0" w:line="277" w:lineRule="auto"/>
        <w:tabs>
          <w:tab w:leader="none" w:pos="185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 and</w:t>
      </w:r>
    </w:p>
    <w:p>
      <w:pPr>
        <w:spacing w:after="0" w:line="89" w:lineRule="exact"/>
        <w:rPr>
          <w:rFonts w:ascii="Arial" w:cs="Arial" w:eastAsia="Arial" w:hAnsi="Arial"/>
          <w:sz w:val="18"/>
          <w:szCs w:val="18"/>
          <w:color w:val="auto"/>
        </w:rPr>
      </w:pPr>
    </w:p>
    <w:p>
      <w:pPr>
        <w:jc w:val="both"/>
        <w:ind w:left="460" w:right="459" w:firstLine="858"/>
        <w:spacing w:after="0" w:line="257" w:lineRule="auto"/>
        <w:tabs>
          <w:tab w:leader="none" w:pos="1856" w:val="left"/>
        </w:tabs>
        <w:numPr>
          <w:ilvl w:val="1"/>
          <w:numId w:val="467"/>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2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03" w:lineRule="exact"/>
        <w:rPr>
          <w:sz w:val="20"/>
          <w:szCs w:val="20"/>
          <w:color w:val="auto"/>
        </w:rPr>
      </w:pPr>
    </w:p>
    <w:p>
      <w:pPr>
        <w:jc w:val="both"/>
        <w:ind w:left="460" w:right="459" w:firstLine="426"/>
        <w:spacing w:after="0" w:line="269" w:lineRule="auto"/>
        <w:tabs>
          <w:tab w:leader="none" w:pos="1420"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Delegation of Authority to Grant Awards</w:t>
      </w:r>
      <w:r>
        <w:rPr>
          <w:rFonts w:ascii="Arial" w:cs="Arial" w:eastAsia="Arial" w:hAnsi="Arial"/>
          <w:sz w:val="17"/>
          <w:szCs w:val="17"/>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04" w:lineRule="exact"/>
        <w:rPr>
          <w:rFonts w:ascii="Arial" w:cs="Arial" w:eastAsia="Arial" w:hAnsi="Arial"/>
          <w:sz w:val="17"/>
          <w:szCs w:val="17"/>
          <w:color w:val="auto"/>
        </w:rPr>
      </w:pPr>
    </w:p>
    <w:p>
      <w:pPr>
        <w:jc w:val="both"/>
        <w:ind w:left="460" w:right="479" w:firstLine="426"/>
        <w:spacing w:after="0" w:line="263" w:lineRule="auto"/>
        <w:tabs>
          <w:tab w:leader="none" w:pos="1295"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16" w:lineRule="exact"/>
        <w:rPr>
          <w:rFonts w:ascii="Arial" w:cs="Arial" w:eastAsia="Arial" w:hAnsi="Arial"/>
          <w:sz w:val="18"/>
          <w:szCs w:val="18"/>
          <w:color w:val="auto"/>
        </w:rPr>
      </w:pPr>
    </w:p>
    <w:p>
      <w:pPr>
        <w:jc w:val="both"/>
        <w:ind w:left="460" w:right="459" w:firstLine="426"/>
        <w:spacing w:after="0" w:line="271" w:lineRule="auto"/>
        <w:tabs>
          <w:tab w:leader="none" w:pos="1285"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10" w:lineRule="exact"/>
        <w:rPr>
          <w:rFonts w:ascii="Arial" w:cs="Arial" w:eastAsia="Arial" w:hAnsi="Arial"/>
          <w:sz w:val="17"/>
          <w:szCs w:val="17"/>
          <w:color w:val="auto"/>
        </w:rPr>
      </w:pPr>
    </w:p>
    <w:p>
      <w:pPr>
        <w:jc w:val="both"/>
        <w:ind w:left="460" w:right="479" w:firstLine="426"/>
        <w:spacing w:after="0" w:line="259" w:lineRule="auto"/>
        <w:tabs>
          <w:tab w:leader="none" w:pos="1319"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Foreign Award Recipients</w:t>
      </w:r>
      <w:r>
        <w:rPr>
          <w:rFonts w:ascii="Arial" w:cs="Arial" w:eastAsia="Arial" w:hAnsi="Arial"/>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8" w:name="page489"/>
    <w:bookmarkEnd w:id="48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0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STOCK ISSUABLE UNDER THE PLAN; MERGERS; SUBSTITUTION</w:t>
      </w:r>
    </w:p>
    <w:p>
      <w:pPr>
        <w:spacing w:after="0" w:line="158" w:lineRule="exact"/>
        <w:rPr>
          <w:sz w:val="20"/>
          <w:szCs w:val="20"/>
          <w:color w:val="auto"/>
        </w:rPr>
      </w:pPr>
    </w:p>
    <w:p>
      <w:pPr>
        <w:jc w:val="both"/>
        <w:ind w:left="460" w:right="459" w:firstLine="426"/>
        <w:spacing w:after="0" w:line="283" w:lineRule="auto"/>
        <w:tabs>
          <w:tab w:leader="none" w:pos="1298" w:val="left"/>
        </w:tabs>
        <w:numPr>
          <w:ilvl w:val="1"/>
          <w:numId w:val="469"/>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_____</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307" w:lineRule="exact"/>
        <w:rPr>
          <w:rFonts w:ascii="Arial" w:cs="Arial" w:eastAsia="Arial" w:hAnsi="Arial"/>
          <w:sz w:val="16"/>
          <w:szCs w:val="16"/>
          <w:color w:val="auto"/>
        </w:rPr>
      </w:pPr>
    </w:p>
    <w:p>
      <w:pPr>
        <w:jc w:val="both"/>
        <w:ind w:left="460" w:right="459" w:firstLine="426"/>
        <w:spacing w:after="0" w:line="283" w:lineRule="auto"/>
        <w:tabs>
          <w:tab w:leader="none" w:pos="1525" w:val="left"/>
        </w:tabs>
        <w:numPr>
          <w:ilvl w:val="1"/>
          <w:numId w:val="469"/>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4" w:lineRule="exact"/>
        <w:rPr>
          <w:rFonts w:ascii="Arial" w:cs="Arial" w:eastAsia="Arial" w:hAnsi="Arial"/>
          <w:sz w:val="16"/>
          <w:szCs w:val="16"/>
          <w:color w:val="auto"/>
        </w:rPr>
      </w:pPr>
    </w:p>
    <w:p>
      <w:pPr>
        <w:ind w:left="740" w:hanging="286"/>
        <w:spacing w:after="0"/>
        <w:tabs>
          <w:tab w:leader="none" w:pos="74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the number and kind of shares or other securities subject to any then outstanding Awards under the Plan,</w:t>
      </w:r>
    </w:p>
    <w:p>
      <w:pPr>
        <w:spacing w:after="0" w:line="32" w:lineRule="exact"/>
        <w:rPr>
          <w:rFonts w:ascii="Arial" w:cs="Arial" w:eastAsia="Arial" w:hAnsi="Arial"/>
          <w:sz w:val="16"/>
          <w:szCs w:val="16"/>
          <w:color w:val="auto"/>
        </w:rPr>
      </w:pPr>
    </w:p>
    <w:p>
      <w:pPr>
        <w:jc w:val="both"/>
        <w:ind w:left="460" w:right="459" w:hanging="6"/>
        <w:spacing w:after="0" w:line="281" w:lineRule="auto"/>
        <w:tabs>
          <w:tab w:leader="none" w:pos="80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____________</w:t>
      </w:r>
    </w:p>
    <w:p>
      <w:pPr>
        <w:spacing w:after="0" w:line="103" w:lineRule="exact"/>
        <w:rPr>
          <w:sz w:val="20"/>
          <w:szCs w:val="20"/>
          <w:color w:val="auto"/>
        </w:rPr>
      </w:pPr>
    </w:p>
    <w:p>
      <w:pPr>
        <w:jc w:val="both"/>
        <w:ind w:left="880" w:right="459" w:hanging="426"/>
        <w:spacing w:after="0" w:line="254" w:lineRule="auto"/>
        <w:tabs>
          <w:tab w:leader="none" w:pos="1015" w:val="left"/>
        </w:tabs>
        <w:numPr>
          <w:ilvl w:val="0"/>
          <w:numId w:val="471"/>
        </w:numPr>
        <w:rPr>
          <w:rFonts w:ascii="Arial" w:cs="Arial" w:eastAsia="Arial" w:hAnsi="Arial"/>
          <w:sz w:val="19"/>
          <w:szCs w:val="19"/>
          <w:color w:val="auto"/>
          <w:vertAlign w:val="superscript"/>
        </w:rPr>
      </w:pPr>
      <w:r>
        <w:rPr>
          <w:rFonts w:ascii="Arial" w:cs="Arial" w:eastAsia="Arial" w:hAnsi="Arial"/>
          <w:sz w:val="16"/>
          <w:szCs w:val="16"/>
          <w:color w:val="auto"/>
        </w:rPr>
        <w:t xml:space="preserve">Size of initial share reserve to represent 9% of the fully-diluted pool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number of shares subject to rollover under the Company’s 2015 Employee, Director and Consultant Stock Option Plan and the Company’s 2017 Stock Option and Grant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89" w:name="page490"/>
    <w:bookmarkEnd w:id="48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84" w:lineRule="auto"/>
        <w:tabs>
          <w:tab w:leader="none" w:pos="1271" w:val="left"/>
        </w:tabs>
        <w:numPr>
          <w:ilvl w:val="0"/>
          <w:numId w:val="472"/>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325" w:lineRule="exact"/>
        <w:rPr>
          <w:rFonts w:ascii="Arial" w:cs="Arial" w:eastAsia="Arial" w:hAnsi="Arial"/>
          <w:sz w:val="16"/>
          <w:szCs w:val="16"/>
          <w:color w:val="auto"/>
        </w:rPr>
      </w:pPr>
    </w:p>
    <w:p>
      <w:pPr>
        <w:jc w:val="both"/>
        <w:ind w:left="460" w:right="459" w:firstLine="426"/>
        <w:spacing w:after="0" w:line="291" w:lineRule="auto"/>
        <w:tabs>
          <w:tab w:leader="none" w:pos="1363" w:val="left"/>
        </w:tabs>
        <w:numPr>
          <w:ilvl w:val="0"/>
          <w:numId w:val="472"/>
        </w:numPr>
        <w:rPr>
          <w:rFonts w:ascii="Arial" w:cs="Arial" w:eastAsia="Arial" w:hAnsi="Arial"/>
          <w:sz w:val="16"/>
          <w:szCs w:val="16"/>
          <w:color w:val="auto"/>
        </w:rPr>
      </w:pPr>
      <w:r>
        <w:rPr>
          <w:rFonts w:ascii="Arial" w:cs="Arial" w:eastAsia="Arial" w:hAnsi="Arial"/>
          <w:sz w:val="16"/>
          <w:szCs w:val="16"/>
          <w:u w:val="single" w:color="auto"/>
          <w:color w:val="auto"/>
        </w:rPr>
        <w:t>Maximum Awards to Non-Employee Directors</w:t>
      </w:r>
      <w:r>
        <w:rPr>
          <w:rFonts w:ascii="Arial" w:cs="Arial" w:eastAsia="Arial" w:hAnsi="Arial"/>
          <w:sz w:val="16"/>
          <w:szCs w:val="16"/>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$_____, provided, however that such amount shall be $_____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99"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u w:val="single" w:color="auto"/>
          <w:color w:val="auto"/>
        </w:rPr>
        <w:t>ELIGIBILITY</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7"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STOCK OPTIONS</w:t>
      </w:r>
    </w:p>
    <w:p>
      <w:pPr>
        <w:spacing w:after="0" w:line="158" w:lineRule="exact"/>
        <w:rPr>
          <w:sz w:val="20"/>
          <w:szCs w:val="20"/>
          <w:color w:val="auto"/>
        </w:rPr>
      </w:pPr>
    </w:p>
    <w:p>
      <w:pPr>
        <w:ind w:left="460" w:right="479" w:firstLine="426"/>
        <w:spacing w:after="0" w:line="308" w:lineRule="auto"/>
        <w:tabs>
          <w:tab w:leader="none" w:pos="1339"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Award of Stock Options</w:t>
      </w:r>
      <w:r>
        <w:rPr>
          <w:rFonts w:ascii="Arial" w:cs="Arial" w:eastAsia="Arial" w:hAnsi="Arial"/>
          <w:sz w:val="17"/>
          <w:szCs w:val="17"/>
          <w:color w:val="auto"/>
        </w:rPr>
        <w:t>. The Administrator may grant Stock Options under the Plan. Any Stock Option granted under the Plan shall be in such form as the Administrator may from time to time approve.</w:t>
      </w:r>
    </w:p>
    <w:p>
      <w:pPr>
        <w:spacing w:after="0" w:line="65"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20" w:lineRule="exact"/>
        <w:rPr>
          <w:sz w:val="20"/>
          <w:szCs w:val="20"/>
          <w:color w:val="auto"/>
        </w:rPr>
      </w:pPr>
    </w:p>
    <w:p>
      <w:pPr>
        <w:jc w:val="both"/>
        <w:ind w:left="460" w:right="479" w:firstLine="426"/>
        <w:spacing w:after="0" w:line="259" w:lineRule="auto"/>
        <w:tabs>
          <w:tab w:leader="none" w:pos="1403"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0" w:name="page491"/>
    <w:bookmarkEnd w:id="49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94" w:lineRule="exact"/>
        <w:rPr>
          <w:sz w:val="20"/>
          <w:szCs w:val="20"/>
          <w:color w:val="auto"/>
        </w:rPr>
      </w:pPr>
    </w:p>
    <w:p>
      <w:pPr>
        <w:jc w:val="both"/>
        <w:ind w:left="460" w:right="459" w:firstLine="426"/>
        <w:spacing w:after="0" w:line="259" w:lineRule="auto"/>
        <w:tabs>
          <w:tab w:leader="none" w:pos="1366"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9" w:lineRule="exact"/>
        <w:rPr>
          <w:rFonts w:ascii="Arial" w:cs="Arial" w:eastAsia="Arial" w:hAnsi="Arial"/>
          <w:sz w:val="18"/>
          <w:szCs w:val="18"/>
          <w:color w:val="auto"/>
        </w:rPr>
      </w:pPr>
    </w:p>
    <w:p>
      <w:pPr>
        <w:jc w:val="both"/>
        <w:ind w:left="460" w:right="459" w:firstLine="426"/>
        <w:spacing w:after="0" w:line="257" w:lineRule="auto"/>
        <w:tabs>
          <w:tab w:leader="none" w:pos="1376"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6" w:lineRule="exact"/>
        <w:rPr>
          <w:rFonts w:ascii="Arial" w:cs="Arial" w:eastAsia="Arial" w:hAnsi="Arial"/>
          <w:sz w:val="18"/>
          <w:szCs w:val="18"/>
          <w:color w:val="auto"/>
        </w:rPr>
      </w:pPr>
    </w:p>
    <w:p>
      <w:pPr>
        <w:jc w:val="both"/>
        <w:ind w:left="460" w:right="459" w:firstLine="426"/>
        <w:spacing w:after="0" w:line="259" w:lineRule="auto"/>
        <w:tabs>
          <w:tab w:leader="none" w:pos="1379"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9" w:lineRule="exact"/>
        <w:rPr>
          <w:rFonts w:ascii="Arial" w:cs="Arial" w:eastAsia="Arial" w:hAnsi="Arial"/>
          <w:sz w:val="18"/>
          <w:szCs w:val="18"/>
          <w:color w:val="auto"/>
        </w:rPr>
      </w:pPr>
    </w:p>
    <w:p>
      <w:pPr>
        <w:ind w:left="1660" w:hanging="342"/>
        <w:spacing w:after="0"/>
        <w:tabs>
          <w:tab w:leader="none" w:pos="166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57" w:lineRule="exact"/>
        <w:rPr>
          <w:rFonts w:ascii="Arial" w:cs="Arial" w:eastAsia="Arial" w:hAnsi="Arial"/>
          <w:sz w:val="18"/>
          <w:szCs w:val="18"/>
          <w:color w:val="auto"/>
        </w:rPr>
      </w:pPr>
    </w:p>
    <w:p>
      <w:pPr>
        <w:jc w:val="both"/>
        <w:ind w:left="460" w:right="459" w:firstLine="858"/>
        <w:spacing w:after="0" w:line="263" w:lineRule="auto"/>
        <w:tabs>
          <w:tab w:leader="none" w:pos="1876"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02" w:lineRule="exact"/>
        <w:rPr>
          <w:rFonts w:ascii="Arial" w:cs="Arial" w:eastAsia="Arial" w:hAnsi="Arial"/>
          <w:sz w:val="18"/>
          <w:szCs w:val="18"/>
          <w:color w:val="auto"/>
        </w:rPr>
      </w:pPr>
    </w:p>
    <w:p>
      <w:pPr>
        <w:jc w:val="both"/>
        <w:ind w:left="460" w:right="459" w:firstLine="858"/>
        <w:spacing w:after="0" w:line="296" w:lineRule="auto"/>
        <w:tabs>
          <w:tab w:leader="none" w:pos="1796" w:val="left"/>
        </w:tabs>
        <w:numPr>
          <w:ilvl w:val="1"/>
          <w:numId w:val="475"/>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93" w:lineRule="exact"/>
        <w:rPr>
          <w:rFonts w:ascii="Arial" w:cs="Arial" w:eastAsia="Arial" w:hAnsi="Arial"/>
          <w:sz w:val="16"/>
          <w:szCs w:val="16"/>
          <w:color w:val="auto"/>
        </w:rPr>
      </w:pPr>
    </w:p>
    <w:p>
      <w:pPr>
        <w:jc w:val="both"/>
        <w:ind w:left="460" w:right="479" w:firstLine="858"/>
        <w:spacing w:after="0" w:line="259" w:lineRule="auto"/>
        <w:tabs>
          <w:tab w:leader="none" w:pos="188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9"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87" w:lineRule="exact"/>
        <w:rPr>
          <w:sz w:val="20"/>
          <w:szCs w:val="20"/>
          <w:color w:val="auto"/>
        </w:rPr>
      </w:pPr>
    </w:p>
    <w:p>
      <w:pPr>
        <w:jc w:val="both"/>
        <w:ind w:left="460" w:right="479" w:firstLine="426"/>
        <w:spacing w:after="0" w:line="255" w:lineRule="auto"/>
        <w:tabs>
          <w:tab w:leader="none" w:pos="1387"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1" w:name="page492"/>
    <w:bookmarkEnd w:id="49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STOCK APPRECIATION RIGHTS</w:t>
      </w:r>
    </w:p>
    <w:p>
      <w:pPr>
        <w:spacing w:after="0" w:line="158" w:lineRule="exact"/>
        <w:rPr>
          <w:sz w:val="20"/>
          <w:szCs w:val="20"/>
          <w:color w:val="auto"/>
        </w:rPr>
      </w:pPr>
    </w:p>
    <w:p>
      <w:pPr>
        <w:jc w:val="both"/>
        <w:ind w:left="460" w:right="459" w:firstLine="426"/>
        <w:spacing w:after="0" w:line="255" w:lineRule="auto"/>
        <w:tabs>
          <w:tab w:leader="none" w:pos="1285"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Award of Stock Appreciation Rights</w:t>
      </w:r>
      <w:r>
        <w:rPr>
          <w:rFonts w:ascii="Arial" w:cs="Arial" w:eastAsia="Arial" w:hAnsi="Arial"/>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24" w:lineRule="exact"/>
        <w:rPr>
          <w:rFonts w:ascii="Arial" w:cs="Arial" w:eastAsia="Arial" w:hAnsi="Arial"/>
          <w:sz w:val="18"/>
          <w:szCs w:val="18"/>
          <w:color w:val="auto"/>
        </w:rPr>
      </w:pPr>
    </w:p>
    <w:p>
      <w:pPr>
        <w:ind w:left="460" w:right="459" w:firstLine="426"/>
        <w:spacing w:after="0" w:line="277" w:lineRule="auto"/>
        <w:tabs>
          <w:tab w:leader="none" w:pos="1295"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89" w:lineRule="exact"/>
        <w:rPr>
          <w:rFonts w:ascii="Arial" w:cs="Arial" w:eastAsia="Arial" w:hAnsi="Arial"/>
          <w:sz w:val="18"/>
          <w:szCs w:val="18"/>
          <w:color w:val="auto"/>
        </w:rPr>
      </w:pPr>
    </w:p>
    <w:p>
      <w:pPr>
        <w:ind w:left="460" w:right="479" w:firstLine="426"/>
        <w:spacing w:after="0" w:line="308" w:lineRule="auto"/>
        <w:tabs>
          <w:tab w:leader="none" w:pos="1285" w:val="left"/>
        </w:tabs>
        <w:numPr>
          <w:ilvl w:val="0"/>
          <w:numId w:val="477"/>
        </w:numPr>
        <w:rPr>
          <w:rFonts w:ascii="Arial" w:cs="Arial" w:eastAsia="Arial" w:hAnsi="Arial"/>
          <w:sz w:val="17"/>
          <w:szCs w:val="17"/>
          <w:color w:val="auto"/>
        </w:rPr>
      </w:pPr>
      <w:r>
        <w:rPr>
          <w:rFonts w:ascii="Arial" w:cs="Arial" w:eastAsia="Arial" w:hAnsi="Arial"/>
          <w:sz w:val="17"/>
          <w:szCs w:val="17"/>
          <w:u w:val="single" w:color="auto"/>
          <w:color w:val="auto"/>
        </w:rPr>
        <w:t>Grant and Exercise of Stock Appreciation Rights</w:t>
      </w:r>
      <w:r>
        <w:rPr>
          <w:rFonts w:ascii="Arial" w:cs="Arial" w:eastAsia="Arial" w:hAnsi="Arial"/>
          <w:sz w:val="17"/>
          <w:szCs w:val="17"/>
          <w:color w:val="auto"/>
        </w:rPr>
        <w:t>. Stock Appreciation Rights may be granted by the Administrator independently of any Stock Option granted pursuant to Section 5 of the Plan.</w:t>
      </w:r>
    </w:p>
    <w:p>
      <w:pPr>
        <w:spacing w:after="0" w:line="78" w:lineRule="exact"/>
        <w:rPr>
          <w:rFonts w:ascii="Arial" w:cs="Arial" w:eastAsia="Arial" w:hAnsi="Arial"/>
          <w:sz w:val="17"/>
          <w:szCs w:val="17"/>
          <w:color w:val="auto"/>
        </w:rPr>
      </w:pPr>
    </w:p>
    <w:p>
      <w:pPr>
        <w:jc w:val="both"/>
        <w:ind w:left="460" w:right="459" w:firstLine="426"/>
        <w:spacing w:after="0" w:line="301" w:lineRule="auto"/>
        <w:tabs>
          <w:tab w:leader="none" w:pos="1322" w:val="left"/>
        </w:tabs>
        <w:numPr>
          <w:ilvl w:val="0"/>
          <w:numId w:val="477"/>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9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RESTRICTED STOCK AWARDS</w:t>
      </w:r>
    </w:p>
    <w:p>
      <w:pPr>
        <w:spacing w:after="0" w:line="144" w:lineRule="exact"/>
        <w:rPr>
          <w:sz w:val="20"/>
          <w:szCs w:val="20"/>
          <w:color w:val="auto"/>
        </w:rPr>
      </w:pPr>
    </w:p>
    <w:p>
      <w:pPr>
        <w:jc w:val="both"/>
        <w:ind w:left="460" w:right="459" w:firstLine="426"/>
        <w:spacing w:after="0" w:line="301" w:lineRule="auto"/>
        <w:tabs>
          <w:tab w:leader="none" w:pos="1271" w:val="left"/>
        </w:tabs>
        <w:numPr>
          <w:ilvl w:val="1"/>
          <w:numId w:val="478"/>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89" w:lineRule="exact"/>
        <w:rPr>
          <w:rFonts w:ascii="Arial" w:cs="Arial" w:eastAsia="Arial" w:hAnsi="Arial"/>
          <w:sz w:val="16"/>
          <w:szCs w:val="16"/>
          <w:color w:val="auto"/>
        </w:rPr>
      </w:pPr>
    </w:p>
    <w:p>
      <w:pPr>
        <w:jc w:val="both"/>
        <w:ind w:left="460" w:right="459" w:firstLine="426"/>
        <w:spacing w:after="0" w:line="284" w:lineRule="auto"/>
        <w:tabs>
          <w:tab w:leader="none" w:pos="1430" w:val="left"/>
        </w:tabs>
        <w:numPr>
          <w:ilvl w:val="1"/>
          <w:numId w:val="478"/>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4" w:lineRule="exact"/>
        <w:rPr>
          <w:rFonts w:ascii="Arial" w:cs="Arial" w:eastAsia="Arial" w:hAnsi="Arial"/>
          <w:sz w:val="16"/>
          <w:szCs w:val="16"/>
          <w:color w:val="auto"/>
        </w:rPr>
      </w:pPr>
    </w:p>
    <w:p>
      <w:pPr>
        <w:jc w:val="both"/>
        <w:ind w:left="460" w:right="459" w:hanging="6"/>
        <w:spacing w:after="0" w:line="252" w:lineRule="auto"/>
        <w:tabs>
          <w:tab w:leader="none" w:pos="69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6" w:lineRule="exact"/>
        <w:rPr>
          <w:rFonts w:ascii="Arial" w:cs="Arial" w:eastAsia="Arial" w:hAnsi="Arial"/>
          <w:sz w:val="18"/>
          <w:szCs w:val="18"/>
          <w:color w:val="auto"/>
        </w:rPr>
      </w:pPr>
    </w:p>
    <w:p>
      <w:pPr>
        <w:jc w:val="both"/>
        <w:ind w:left="460" w:right="459" w:firstLine="426"/>
        <w:spacing w:after="0" w:line="269" w:lineRule="auto"/>
        <w:tabs>
          <w:tab w:leader="none" w:pos="1460" w:val="left"/>
        </w:tabs>
        <w:numPr>
          <w:ilvl w:val="1"/>
          <w:numId w:val="479"/>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97" w:lineRule="exact"/>
        <w:rPr>
          <w:rFonts w:ascii="Arial" w:cs="Arial" w:eastAsia="Arial" w:hAnsi="Arial"/>
          <w:sz w:val="17"/>
          <w:szCs w:val="17"/>
          <w:color w:val="auto"/>
        </w:rPr>
      </w:pPr>
    </w:p>
    <w:p>
      <w:pPr>
        <w:jc w:val="both"/>
        <w:ind w:left="460" w:right="459" w:firstLine="426"/>
        <w:spacing w:after="0" w:line="255" w:lineRule="auto"/>
        <w:tabs>
          <w:tab w:leader="none" w:pos="1322" w:val="left"/>
        </w:tabs>
        <w:numPr>
          <w:ilvl w:val="1"/>
          <w:numId w:val="479"/>
        </w:numPr>
        <w:rPr>
          <w:rFonts w:ascii="Arial" w:cs="Arial" w:eastAsia="Arial" w:hAnsi="Arial"/>
          <w:sz w:val="18"/>
          <w:szCs w:val="18"/>
          <w:color w:val="auto"/>
        </w:rPr>
      </w:pPr>
      <w:r>
        <w:rPr>
          <w:rFonts w:ascii="Arial" w:cs="Arial" w:eastAsia="Arial" w:hAnsi="Arial"/>
          <w:sz w:val="18"/>
          <w:szCs w:val="18"/>
          <w:u w:val="single" w:color="auto"/>
          <w:color w:val="auto"/>
        </w:rPr>
        <w:t>Vesting of Restricted Shares</w:t>
      </w:r>
      <w:r>
        <w:rPr>
          <w:rFonts w:ascii="Arial" w:cs="Arial" w:eastAsia="Arial" w:hAnsi="Arial"/>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2" w:name="page493"/>
    <w:bookmarkEnd w:id="49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RESTRICTED STOCK UNITS</w:t>
      </w:r>
    </w:p>
    <w:p>
      <w:pPr>
        <w:spacing w:after="0" w:line="158" w:lineRule="exact"/>
        <w:rPr>
          <w:sz w:val="20"/>
          <w:szCs w:val="20"/>
          <w:color w:val="auto"/>
        </w:rPr>
      </w:pPr>
    </w:p>
    <w:p>
      <w:pPr>
        <w:jc w:val="both"/>
        <w:ind w:left="460" w:right="459" w:firstLine="426"/>
        <w:spacing w:after="0" w:line="287" w:lineRule="auto"/>
        <w:tabs>
          <w:tab w:leader="none" w:pos="1352" w:val="left"/>
        </w:tabs>
        <w:numPr>
          <w:ilvl w:val="0"/>
          <w:numId w:val="480"/>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04" w:lineRule="exact"/>
        <w:rPr>
          <w:rFonts w:ascii="Arial" w:cs="Arial" w:eastAsia="Arial" w:hAnsi="Arial"/>
          <w:sz w:val="16"/>
          <w:szCs w:val="16"/>
          <w:color w:val="auto"/>
        </w:rPr>
      </w:pPr>
    </w:p>
    <w:p>
      <w:pPr>
        <w:jc w:val="both"/>
        <w:ind w:left="460" w:right="459" w:firstLine="426"/>
        <w:spacing w:after="0" w:line="269" w:lineRule="auto"/>
        <w:tabs>
          <w:tab w:leader="none" w:pos="1309" w:val="left"/>
        </w:tabs>
        <w:numPr>
          <w:ilvl w:val="0"/>
          <w:numId w:val="480"/>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97" w:lineRule="exact"/>
        <w:rPr>
          <w:rFonts w:ascii="Arial" w:cs="Arial" w:eastAsia="Arial" w:hAnsi="Arial"/>
          <w:sz w:val="17"/>
          <w:szCs w:val="17"/>
          <w:color w:val="auto"/>
        </w:rPr>
      </w:pPr>
    </w:p>
    <w:p>
      <w:pPr>
        <w:jc w:val="both"/>
        <w:ind w:left="460" w:right="459" w:firstLine="426"/>
        <w:spacing w:after="0" w:line="257" w:lineRule="auto"/>
        <w:tabs>
          <w:tab w:leader="none" w:pos="1298"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20" w:lineRule="exact"/>
        <w:rPr>
          <w:rFonts w:ascii="Arial" w:cs="Arial" w:eastAsia="Arial" w:hAnsi="Arial"/>
          <w:sz w:val="18"/>
          <w:szCs w:val="18"/>
          <w:color w:val="auto"/>
        </w:rPr>
      </w:pPr>
    </w:p>
    <w:p>
      <w:pPr>
        <w:jc w:val="both"/>
        <w:ind w:left="460" w:right="459" w:firstLine="426"/>
        <w:spacing w:after="0" w:line="279" w:lineRule="auto"/>
        <w:tabs>
          <w:tab w:leader="none" w:pos="1430" w:val="left"/>
        </w:tabs>
        <w:numPr>
          <w:ilvl w:val="0"/>
          <w:numId w:val="48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0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UNRESTRICTED STOCK AWARDS</w:t>
      </w:r>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CASH-BASED AWARDS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u w:val="single" w:color="auto"/>
          <w:color w:val="auto"/>
        </w:rPr>
        <w:t>Grant of Cash-Based Awards</w:t>
      </w:r>
      <w:r>
        <w:rPr>
          <w:rFonts w:ascii="Arial" w:cs="Arial" w:eastAsia="Arial" w:hAnsi="Arial"/>
          <w:sz w:val="17"/>
          <w:szCs w:val="17"/>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DIVIDEND EQUIVALENT RIGHTS</w:t>
      </w:r>
    </w:p>
    <w:p>
      <w:pPr>
        <w:spacing w:after="0" w:line="158" w:lineRule="exact"/>
        <w:rPr>
          <w:sz w:val="20"/>
          <w:szCs w:val="20"/>
          <w:color w:val="auto"/>
        </w:rPr>
      </w:pPr>
    </w:p>
    <w:p>
      <w:pPr>
        <w:jc w:val="both"/>
        <w:ind w:left="460" w:right="459" w:firstLine="426"/>
        <w:spacing w:after="0" w:line="257" w:lineRule="auto"/>
        <w:tabs>
          <w:tab w:leader="none" w:pos="1352"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3" w:name="page494"/>
    <w:bookmarkEnd w:id="49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14" w:lineRule="exact"/>
        <w:rPr>
          <w:sz w:val="20"/>
          <w:szCs w:val="20"/>
          <w:color w:val="auto"/>
        </w:rPr>
      </w:pPr>
    </w:p>
    <w:p>
      <w:pPr>
        <w:jc w:val="both"/>
        <w:ind w:left="460" w:right="459" w:firstLine="426"/>
        <w:spacing w:after="0" w:line="279" w:lineRule="auto"/>
        <w:tabs>
          <w:tab w:leader="none" w:pos="1430" w:val="left"/>
        </w:tabs>
        <w:numPr>
          <w:ilvl w:val="0"/>
          <w:numId w:val="48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73" w:lineRule="auto"/>
        <w:tabs>
          <w:tab w:leader="none" w:pos="1339" w:val="left"/>
        </w:tabs>
        <w:numPr>
          <w:ilvl w:val="0"/>
          <w:numId w:val="483"/>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0" w:lineRule="exact"/>
        <w:rPr>
          <w:rFonts w:ascii="Arial" w:cs="Arial" w:eastAsia="Arial" w:hAnsi="Arial"/>
          <w:sz w:val="17"/>
          <w:szCs w:val="17"/>
          <w:color w:val="auto"/>
        </w:rPr>
      </w:pPr>
    </w:p>
    <w:p>
      <w:pPr>
        <w:jc w:val="both"/>
        <w:ind w:left="460" w:right="459" w:firstLine="426"/>
        <w:spacing w:after="0" w:line="254" w:lineRule="auto"/>
        <w:tabs>
          <w:tab w:leader="none" w:pos="1417"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7" w:lineRule="exact"/>
        <w:rPr>
          <w:rFonts w:ascii="Arial" w:cs="Arial" w:eastAsia="Arial" w:hAnsi="Arial"/>
          <w:sz w:val="18"/>
          <w:szCs w:val="18"/>
          <w:color w:val="auto"/>
        </w:rPr>
      </w:pPr>
    </w:p>
    <w:p>
      <w:pPr>
        <w:jc w:val="both"/>
        <w:ind w:left="460" w:right="459" w:firstLine="426"/>
        <w:spacing w:after="0" w:line="272" w:lineRule="auto"/>
        <w:tabs>
          <w:tab w:leader="none" w:pos="1366" w:val="left"/>
        </w:tabs>
        <w:numPr>
          <w:ilvl w:val="0"/>
          <w:numId w:val="483"/>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96" w:lineRule="exact"/>
        <w:rPr>
          <w:rFonts w:ascii="Arial" w:cs="Arial" w:eastAsia="Arial" w:hAnsi="Arial"/>
          <w:sz w:val="17"/>
          <w:szCs w:val="17"/>
          <w:color w:val="auto"/>
        </w:rPr>
      </w:pPr>
    </w:p>
    <w:p>
      <w:pPr>
        <w:jc w:val="both"/>
        <w:ind w:left="460" w:right="459" w:firstLine="426"/>
        <w:spacing w:after="0" w:line="273" w:lineRule="auto"/>
        <w:tabs>
          <w:tab w:leader="none" w:pos="1376" w:val="left"/>
        </w:tabs>
        <w:numPr>
          <w:ilvl w:val="0"/>
          <w:numId w:val="483"/>
        </w:numPr>
        <w:rPr>
          <w:rFonts w:ascii="Arial" w:cs="Arial" w:eastAsia="Arial" w:hAnsi="Arial"/>
          <w:sz w:val="17"/>
          <w:szCs w:val="17"/>
          <w:color w:val="auto"/>
        </w:rPr>
      </w:pP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71" w:lineRule="auto"/>
        <w:tabs>
          <w:tab w:leader="none" w:pos="1285" w:val="left"/>
        </w:tabs>
        <w:numPr>
          <w:ilvl w:val="0"/>
          <w:numId w:val="484"/>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4" w:name="page495"/>
    <w:bookmarkEnd w:id="49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88" w:lineRule="auto"/>
        <w:tabs>
          <w:tab w:leader="none" w:pos="1322" w:val="left"/>
        </w:tabs>
        <w:numPr>
          <w:ilvl w:val="0"/>
          <w:numId w:val="485"/>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TERMINATION OF SERVICE RELATIONSHIP, TRANSFER, LEAVE OF ABSENCE, ETC.</w:t>
      </w:r>
    </w:p>
    <w:p>
      <w:pPr>
        <w:spacing w:after="0" w:line="169" w:lineRule="exact"/>
        <w:rPr>
          <w:sz w:val="20"/>
          <w:szCs w:val="20"/>
          <w:color w:val="auto"/>
        </w:rPr>
      </w:pPr>
    </w:p>
    <w:p>
      <w:pPr>
        <w:jc w:val="both"/>
        <w:ind w:left="460" w:right="459" w:firstLine="426"/>
        <w:spacing w:after="0" w:line="263" w:lineRule="auto"/>
        <w:tabs>
          <w:tab w:leader="none" w:pos="1325"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16" w:lineRule="exact"/>
        <w:rPr>
          <w:rFonts w:ascii="Arial" w:cs="Arial" w:eastAsia="Arial" w:hAnsi="Arial"/>
          <w:sz w:val="18"/>
          <w:szCs w:val="18"/>
          <w:color w:val="auto"/>
        </w:rPr>
      </w:pPr>
    </w:p>
    <w:p>
      <w:pPr>
        <w:ind w:left="460" w:right="479" w:firstLine="426"/>
        <w:spacing w:after="0" w:line="277" w:lineRule="auto"/>
        <w:tabs>
          <w:tab w:leader="none" w:pos="1395" w:val="left"/>
        </w:tabs>
        <w:numPr>
          <w:ilvl w:val="0"/>
          <w:numId w:val="486"/>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89" w:lineRule="exact"/>
        <w:rPr>
          <w:rFonts w:ascii="Arial" w:cs="Arial" w:eastAsia="Arial" w:hAnsi="Arial"/>
          <w:sz w:val="18"/>
          <w:szCs w:val="18"/>
          <w:color w:val="auto"/>
        </w:rPr>
      </w:pPr>
    </w:p>
    <w:p>
      <w:pPr>
        <w:ind w:left="460" w:right="459" w:firstLine="858"/>
        <w:spacing w:after="0" w:line="277" w:lineRule="auto"/>
        <w:tabs>
          <w:tab w:leader="none" w:pos="1744"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an Affiliate or from the Company to an Affiliate, or from one Affiliate to another; or</w:t>
      </w:r>
    </w:p>
    <w:p>
      <w:pPr>
        <w:spacing w:after="0" w:line="102" w:lineRule="exact"/>
        <w:rPr>
          <w:rFonts w:ascii="Arial" w:cs="Arial" w:eastAsia="Arial" w:hAnsi="Arial"/>
          <w:sz w:val="18"/>
          <w:szCs w:val="18"/>
          <w:color w:val="auto"/>
        </w:rPr>
      </w:pPr>
    </w:p>
    <w:p>
      <w:pPr>
        <w:jc w:val="both"/>
        <w:ind w:left="460" w:right="479" w:firstLine="858"/>
        <w:spacing w:after="0" w:line="259" w:lineRule="auto"/>
        <w:tabs>
          <w:tab w:leader="none" w:pos="1862"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5" w:name="page496"/>
    <w:bookmarkEnd w:id="49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STATUS OF PLAN</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144" w:lineRule="exact"/>
        <w:rPr>
          <w:sz w:val="20"/>
          <w:szCs w:val="20"/>
          <w:color w:val="auto"/>
        </w:rPr>
      </w:pPr>
    </w:p>
    <w:p>
      <w:pPr>
        <w:jc w:val="both"/>
        <w:ind w:left="460" w:right="479" w:firstLine="426"/>
        <w:spacing w:after="0" w:line="263" w:lineRule="auto"/>
        <w:tabs>
          <w:tab w:leader="none" w:pos="1298"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16" w:lineRule="exact"/>
        <w:rPr>
          <w:rFonts w:ascii="Arial" w:cs="Arial" w:eastAsia="Arial" w:hAnsi="Arial"/>
          <w:sz w:val="18"/>
          <w:szCs w:val="18"/>
          <w:color w:val="auto"/>
        </w:rPr>
      </w:pPr>
    </w:p>
    <w:p>
      <w:pPr>
        <w:jc w:val="both"/>
        <w:ind w:left="460" w:right="459" w:firstLine="426"/>
        <w:spacing w:after="0" w:line="284" w:lineRule="auto"/>
        <w:tabs>
          <w:tab w:leader="none" w:pos="1336" w:val="left"/>
        </w:tabs>
        <w:numPr>
          <w:ilvl w:val="0"/>
          <w:numId w:val="487"/>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10" w:lineRule="exact"/>
        <w:rPr>
          <w:rFonts w:ascii="Arial" w:cs="Arial" w:eastAsia="Arial" w:hAnsi="Arial"/>
          <w:sz w:val="16"/>
          <w:szCs w:val="16"/>
          <w:color w:val="auto"/>
        </w:rPr>
      </w:pPr>
    </w:p>
    <w:p>
      <w:pPr>
        <w:jc w:val="both"/>
        <w:ind w:left="460" w:right="459" w:firstLine="426"/>
        <w:spacing w:after="0" w:line="259" w:lineRule="auto"/>
        <w:tabs>
          <w:tab w:leader="none" w:pos="1325"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05" w:lineRule="exact"/>
        <w:rPr>
          <w:rFonts w:ascii="Arial" w:cs="Arial" w:eastAsia="Arial" w:hAnsi="Arial"/>
          <w:sz w:val="18"/>
          <w:szCs w:val="18"/>
          <w:color w:val="auto"/>
        </w:rPr>
      </w:pPr>
    </w:p>
    <w:p>
      <w:pPr>
        <w:jc w:val="both"/>
        <w:ind w:left="460" w:right="459" w:firstLine="426"/>
        <w:spacing w:after="0" w:line="257" w:lineRule="auto"/>
        <w:tabs>
          <w:tab w:leader="none" w:pos="1336"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20" w:lineRule="exact"/>
        <w:rPr>
          <w:rFonts w:ascii="Arial" w:cs="Arial" w:eastAsia="Arial" w:hAnsi="Arial"/>
          <w:sz w:val="18"/>
          <w:szCs w:val="18"/>
          <w:color w:val="auto"/>
        </w:rPr>
      </w:pPr>
    </w:p>
    <w:p>
      <w:pPr>
        <w:ind w:left="460" w:right="479" w:firstLine="426"/>
        <w:spacing w:after="0" w:line="277" w:lineRule="auto"/>
        <w:tabs>
          <w:tab w:leader="none" w:pos="1271"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02" w:lineRule="exact"/>
        <w:rPr>
          <w:rFonts w:ascii="Arial" w:cs="Arial" w:eastAsia="Arial" w:hAnsi="Arial"/>
          <w:sz w:val="18"/>
          <w:szCs w:val="18"/>
          <w:color w:val="auto"/>
        </w:rPr>
      </w:pPr>
    </w:p>
    <w:p>
      <w:pPr>
        <w:ind w:left="460" w:right="479" w:firstLine="426"/>
        <w:spacing w:after="0" w:line="277" w:lineRule="auto"/>
        <w:tabs>
          <w:tab w:leader="none" w:pos="1306"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6" w:name="page497"/>
    <w:bookmarkEnd w:id="49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EFFECTIVE DATE OF PLAN</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APPROVED BY BOARD OF DIRECTORS: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APPROVED BY STOCKHOLDERS: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7" w:name="page498"/>
    <w:bookmarkEnd w:id="49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Annex 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Francisco, California 94111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connection with the proposed business combination (the “</w:t>
      </w:r>
      <w:r>
        <w:rPr>
          <w:rFonts w:ascii="Arial" w:cs="Arial" w:eastAsia="Arial" w:hAnsi="Arial"/>
          <w:sz w:val="16"/>
          <w:szCs w:val="16"/>
          <w:u w:val="single" w:color="auto"/>
          <w:color w:val="auto"/>
        </w:rPr>
        <w:t>Transaction</w:t>
      </w:r>
      <w:r>
        <w:rPr>
          <w:rFonts w:ascii="Arial" w:cs="Arial" w:eastAsia="Arial" w:hAnsi="Arial"/>
          <w:sz w:val="16"/>
          <w:szCs w:val="16"/>
          <w:color w:val="auto"/>
        </w:rPr>
        <w:t>”) between FS Development Corp., a Delaware corporation (“</w:t>
      </w:r>
      <w:r>
        <w:rPr>
          <w:rFonts w:ascii="Arial" w:cs="Arial" w:eastAsia="Arial" w:hAnsi="Arial"/>
          <w:sz w:val="16"/>
          <w:szCs w:val="16"/>
          <w:u w:val="single" w:color="auto"/>
          <w:color w:val="auto"/>
        </w:rPr>
        <w:t>FSD</w:t>
      </w:r>
      <w:r>
        <w:rPr>
          <w:rFonts w:ascii="Arial" w:cs="Arial" w:eastAsia="Arial" w:hAnsi="Arial"/>
          <w:sz w:val="16"/>
          <w:szCs w:val="16"/>
          <w:color w:val="auto"/>
        </w:rPr>
        <w:t>”), and Gemini Therapeutics, Inc., a Delaware corporation (“</w:t>
      </w:r>
      <w:r>
        <w:rPr>
          <w:rFonts w:ascii="Arial" w:cs="Arial" w:eastAsia="Arial" w:hAnsi="Arial"/>
          <w:sz w:val="16"/>
          <w:szCs w:val="16"/>
          <w:u w:val="single" w:color="auto"/>
          <w:color w:val="auto"/>
        </w:rPr>
        <w:t>Target</w:t>
      </w:r>
      <w:r>
        <w:rPr>
          <w:rFonts w:ascii="Arial" w:cs="Arial" w:eastAsia="Arial" w:hAnsi="Arial"/>
          <w:sz w:val="16"/>
          <w:szCs w:val="16"/>
          <w:color w:val="auto"/>
        </w:rPr>
        <w:t>”), pursuant to a merger agreement to be entered into among FSD, Target, and the other parties thereto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FSD is seeking commitments from interested investors to purchase shares of Class A common stock, par value $0.0001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of FSD, for a purchase price of $10.00 per share (the “</w:t>
      </w:r>
      <w:r>
        <w:rPr>
          <w:rFonts w:ascii="Arial" w:cs="Arial" w:eastAsia="Arial" w:hAnsi="Arial"/>
          <w:sz w:val="16"/>
          <w:szCs w:val="16"/>
          <w:u w:val="single" w:color="auto"/>
          <w:color w:val="auto"/>
        </w:rPr>
        <w:t>Per Share Purchase Price</w:t>
      </w:r>
      <w:r>
        <w:rPr>
          <w:rFonts w:ascii="Arial" w:cs="Arial" w:eastAsia="Arial" w:hAnsi="Arial"/>
          <w:sz w:val="16"/>
          <w:szCs w:val="16"/>
          <w:color w:val="auto"/>
        </w:rPr>
        <w:t>”). The aggregate purchase price to be paid by the undersigned (the “</w:t>
      </w:r>
      <w:r>
        <w:rPr>
          <w:rFonts w:ascii="Arial" w:cs="Arial" w:eastAsia="Arial" w:hAnsi="Arial"/>
          <w:sz w:val="16"/>
          <w:szCs w:val="16"/>
          <w:u w:val="single" w:color="auto"/>
          <w:color w:val="auto"/>
        </w:rPr>
        <w:t>Investor</w:t>
      </w:r>
      <w:r>
        <w:rPr>
          <w:rFonts w:ascii="Arial" w:cs="Arial" w:eastAsia="Arial" w:hAnsi="Arial"/>
          <w:sz w:val="16"/>
          <w:szCs w:val="16"/>
          <w:color w:val="auto"/>
        </w:rPr>
        <w:t>”) for the subscribed Shares (as set forth on the signature page hereto) is referred to herein as the “</w:t>
      </w:r>
      <w:r>
        <w:rPr>
          <w:rFonts w:ascii="Arial" w:cs="Arial" w:eastAsia="Arial" w:hAnsi="Arial"/>
          <w:sz w:val="16"/>
          <w:szCs w:val="16"/>
          <w:u w:val="single" w:color="auto"/>
          <w:color w:val="auto"/>
        </w:rPr>
        <w:t>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On or about the date of this Subscription Agreement, FSD is entering into subscription agreements (the “</w:t>
      </w:r>
      <w:r>
        <w:rPr>
          <w:rFonts w:ascii="Arial" w:cs="Arial" w:eastAsia="Arial" w:hAnsi="Arial"/>
          <w:sz w:val="16"/>
          <w:szCs w:val="16"/>
          <w:u w:val="single" w:color="auto"/>
          <w:color w:val="auto"/>
        </w:rPr>
        <w:t>Other Subscription Agreements</w:t>
      </w:r>
      <w:r>
        <w:rPr>
          <w:rFonts w:ascii="Arial" w:cs="Arial" w:eastAsia="Arial" w:hAnsi="Arial"/>
          <w:sz w:val="16"/>
          <w:szCs w:val="16"/>
          <w:color w:val="auto"/>
        </w:rPr>
        <w:t>” and together with this Subscription Agreement, the “</w:t>
      </w:r>
      <w:r>
        <w:rPr>
          <w:rFonts w:ascii="Arial" w:cs="Arial" w:eastAsia="Arial" w:hAnsi="Arial"/>
          <w:sz w:val="16"/>
          <w:szCs w:val="16"/>
          <w:u w:val="single" w:color="auto"/>
          <w:color w:val="auto"/>
        </w:rPr>
        <w:t>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with certain other investors (the “</w:t>
      </w:r>
      <w:r>
        <w:rPr>
          <w:rFonts w:ascii="Arial" w:cs="Arial" w:eastAsia="Arial" w:hAnsi="Arial"/>
          <w:sz w:val="16"/>
          <w:szCs w:val="16"/>
          <w:u w:val="single" w:color="auto"/>
          <w:color w:val="auto"/>
        </w:rPr>
        <w:t>Other Investors</w:t>
      </w:r>
      <w:r>
        <w:rPr>
          <w:rFonts w:ascii="Arial" w:cs="Arial" w:eastAsia="Arial" w:hAnsi="Arial"/>
          <w:sz w:val="16"/>
          <w:szCs w:val="16"/>
          <w:color w:val="auto"/>
        </w:rPr>
        <w:t>” and together with the Investor, the “</w:t>
      </w:r>
      <w:r>
        <w:rPr>
          <w:rFonts w:ascii="Arial" w:cs="Arial" w:eastAsia="Arial" w:hAnsi="Arial"/>
          <w:sz w:val="16"/>
          <w:szCs w:val="16"/>
          <w:u w:val="single" w:color="auto"/>
          <w:color w:val="auto"/>
        </w:rPr>
        <w:t>Investors</w:t>
      </w:r>
      <w:r>
        <w:rPr>
          <w:rFonts w:ascii="Arial" w:cs="Arial" w:eastAsia="Arial" w:hAnsi="Arial"/>
          <w:sz w:val="16"/>
          <w:szCs w:val="16"/>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0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16" w:lineRule="exact"/>
        <w:rPr>
          <w:sz w:val="20"/>
          <w:szCs w:val="20"/>
          <w:color w:val="auto"/>
        </w:rPr>
      </w:pPr>
    </w:p>
    <w:p>
      <w:pPr>
        <w:jc w:val="both"/>
        <w:ind w:left="460" w:right="459" w:firstLine="426"/>
        <w:spacing w:after="0" w:line="263" w:lineRule="auto"/>
        <w:tabs>
          <w:tab w:leader="none" w:pos="122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102" w:lineRule="exact"/>
        <w:rPr>
          <w:rFonts w:ascii="Arial" w:cs="Arial" w:eastAsia="Arial" w:hAnsi="Arial"/>
          <w:sz w:val="18"/>
          <w:szCs w:val="18"/>
          <w:color w:val="auto"/>
        </w:rPr>
      </w:pPr>
    </w:p>
    <w:p>
      <w:pPr>
        <w:jc w:val="both"/>
        <w:ind w:left="460" w:right="459" w:firstLine="426"/>
        <w:spacing w:after="0" w:line="284" w:lineRule="auto"/>
        <w:tabs>
          <w:tab w:leader="none" w:pos="1207" w:val="left"/>
        </w:tabs>
        <w:numPr>
          <w:ilvl w:val="0"/>
          <w:numId w:val="488"/>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sale of the Shares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Subscription Agreement and (ii) delivery of written notice from (or on behalf of) FSD to the Investor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8" w:name="page499"/>
    <w:bookmarkEnd w:id="49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200" w:hanging="314"/>
        <w:spacing w:after="0"/>
        <w:tabs>
          <w:tab w:leader="none" w:pos="1200"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479" w:firstLine="858"/>
        <w:spacing w:after="0" w:line="277" w:lineRule="auto"/>
        <w:tabs>
          <w:tab w:leader="none" w:pos="1631"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obligation of the parties hereto to consummate the purchase and sale of the Shares pursuant to this Subscription Agreement is subject to the following conditions:</w:t>
      </w:r>
    </w:p>
    <w:p>
      <w:pPr>
        <w:spacing w:after="0" w:line="102" w:lineRule="exact"/>
        <w:rPr>
          <w:rFonts w:ascii="Arial" w:cs="Arial" w:eastAsia="Arial" w:hAnsi="Arial"/>
          <w:sz w:val="18"/>
          <w:szCs w:val="18"/>
          <w:color w:val="auto"/>
        </w:rPr>
      </w:pPr>
    </w:p>
    <w:p>
      <w:pPr>
        <w:jc w:val="both"/>
        <w:ind w:left="460" w:right="459" w:firstLine="1290"/>
        <w:spacing w:after="0" w:line="301" w:lineRule="auto"/>
        <w:tabs>
          <w:tab w:leader="none" w:pos="2147" w:val="left"/>
        </w:tabs>
        <w:numPr>
          <w:ilvl w:val="2"/>
          <w:numId w:val="489"/>
        </w:numPr>
        <w:rPr>
          <w:rFonts w:ascii="Arial" w:cs="Arial" w:eastAsia="Arial" w:hAnsi="Arial"/>
          <w:sz w:val="16"/>
          <w:szCs w:val="16"/>
          <w:color w:val="auto"/>
        </w:rPr>
      </w:pPr>
      <w:r>
        <w:rPr>
          <w:rFonts w:ascii="Arial" w:cs="Arial" w:eastAsia="Arial" w:hAnsi="Arial"/>
          <w:sz w:val="16"/>
          <w:szCs w:val="16"/>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76" w:lineRule="exact"/>
        <w:rPr>
          <w:rFonts w:ascii="Arial" w:cs="Arial" w:eastAsia="Arial" w:hAnsi="Arial"/>
          <w:sz w:val="16"/>
          <w:szCs w:val="16"/>
          <w:color w:val="auto"/>
        </w:rPr>
      </w:pPr>
    </w:p>
    <w:p>
      <w:pPr>
        <w:jc w:val="both"/>
        <w:ind w:left="460" w:right="479" w:firstLine="1290"/>
        <w:spacing w:after="0" w:line="263" w:lineRule="auto"/>
        <w:tabs>
          <w:tab w:leader="none" w:pos="2172" w:val="left"/>
        </w:tabs>
        <w:numPr>
          <w:ilvl w:val="2"/>
          <w:numId w:val="489"/>
        </w:numPr>
        <w:rPr>
          <w:rFonts w:ascii="Arial" w:cs="Arial" w:eastAsia="Arial" w:hAnsi="Arial"/>
          <w:sz w:val="18"/>
          <w:szCs w:val="18"/>
          <w:color w:val="auto"/>
        </w:rPr>
      </w:pPr>
      <w:r>
        <w:rPr>
          <w:rFonts w:ascii="Arial" w:cs="Arial" w:eastAsia="Arial" w:hAnsi="Arial"/>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16" w:lineRule="exact"/>
        <w:rPr>
          <w:rFonts w:ascii="Arial" w:cs="Arial" w:eastAsia="Arial" w:hAnsi="Arial"/>
          <w:sz w:val="18"/>
          <w:szCs w:val="18"/>
          <w:color w:val="auto"/>
        </w:rPr>
      </w:pPr>
    </w:p>
    <w:p>
      <w:pPr>
        <w:jc w:val="both"/>
        <w:ind w:left="460" w:right="459" w:firstLine="1290"/>
        <w:spacing w:after="0" w:line="263" w:lineRule="auto"/>
        <w:tabs>
          <w:tab w:leader="none" w:pos="2257" w:val="left"/>
        </w:tabs>
        <w:numPr>
          <w:ilvl w:val="2"/>
          <w:numId w:val="489"/>
        </w:numPr>
        <w:rPr>
          <w:rFonts w:ascii="Arial" w:cs="Arial" w:eastAsia="Arial" w:hAnsi="Arial"/>
          <w:sz w:val="18"/>
          <w:szCs w:val="18"/>
          <w:color w:val="auto"/>
        </w:rPr>
      </w:pPr>
      <w:r>
        <w:rPr>
          <w:rFonts w:ascii="Arial" w:cs="Arial" w:eastAsia="Arial" w:hAnsi="Arial"/>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16" w:lineRule="exact"/>
        <w:rPr>
          <w:rFonts w:ascii="Arial" w:cs="Arial" w:eastAsia="Arial" w:hAnsi="Arial"/>
          <w:sz w:val="18"/>
          <w:szCs w:val="18"/>
          <w:color w:val="auto"/>
        </w:rPr>
      </w:pPr>
    </w:p>
    <w:p>
      <w:pPr>
        <w:ind w:left="2060" w:hanging="310"/>
        <w:spacing w:after="0"/>
        <w:tabs>
          <w:tab w:leader="none" w:pos="206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the Shares shall have been approved for listing on the Nasdaq Capital Market.</w:t>
      </w:r>
    </w:p>
    <w:p>
      <w:pPr>
        <w:spacing w:after="0" w:line="144" w:lineRule="exact"/>
        <w:rPr>
          <w:rFonts w:ascii="Arial" w:cs="Arial" w:eastAsia="Arial" w:hAnsi="Arial"/>
          <w:sz w:val="18"/>
          <w:szCs w:val="18"/>
          <w:color w:val="auto"/>
        </w:rPr>
      </w:pPr>
    </w:p>
    <w:p>
      <w:pPr>
        <w:jc w:val="both"/>
        <w:ind w:left="460" w:right="459" w:firstLine="858"/>
        <w:spacing w:after="0" w:line="291" w:lineRule="auto"/>
        <w:tabs>
          <w:tab w:leader="none" w:pos="1735" w:val="left"/>
        </w:tabs>
        <w:numPr>
          <w:ilvl w:val="1"/>
          <w:numId w:val="489"/>
        </w:numPr>
        <w:rPr>
          <w:rFonts w:ascii="Arial" w:cs="Arial" w:eastAsia="Arial" w:hAnsi="Arial"/>
          <w:sz w:val="16"/>
          <w:szCs w:val="16"/>
          <w:color w:val="auto"/>
        </w:rPr>
      </w:pPr>
      <w:r>
        <w:rPr>
          <w:rFonts w:ascii="Arial" w:cs="Arial" w:eastAsia="Arial" w:hAnsi="Arial"/>
          <w:sz w:val="16"/>
          <w:szCs w:val="16"/>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98" w:lineRule="exact"/>
        <w:rPr>
          <w:rFonts w:ascii="Arial" w:cs="Arial" w:eastAsia="Arial" w:hAnsi="Arial"/>
          <w:sz w:val="16"/>
          <w:szCs w:val="16"/>
          <w:color w:val="auto"/>
        </w:rPr>
      </w:pPr>
    </w:p>
    <w:p>
      <w:pPr>
        <w:ind w:left="460" w:right="479" w:firstLine="858"/>
        <w:spacing w:after="0" w:line="277" w:lineRule="auto"/>
        <w:tabs>
          <w:tab w:leader="none" w:pos="1749"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obligation of the Investor to consummate the purchase of the Shares pursuant to this Subscription Agreement shall be subject to the following conditions:</w:t>
      </w:r>
    </w:p>
    <w:p>
      <w:pPr>
        <w:spacing w:after="0" w:line="102" w:lineRule="exact"/>
        <w:rPr>
          <w:rFonts w:ascii="Arial" w:cs="Arial" w:eastAsia="Arial" w:hAnsi="Arial"/>
          <w:sz w:val="18"/>
          <w:szCs w:val="18"/>
          <w:color w:val="auto"/>
        </w:rPr>
      </w:pPr>
    </w:p>
    <w:p>
      <w:pPr>
        <w:jc w:val="both"/>
        <w:ind w:left="460" w:right="459" w:firstLine="1290"/>
        <w:spacing w:after="0" w:line="255" w:lineRule="auto"/>
        <w:tabs>
          <w:tab w:leader="none" w:pos="2117" w:val="left"/>
        </w:tabs>
        <w:numPr>
          <w:ilvl w:val="2"/>
          <w:numId w:val="489"/>
        </w:numPr>
        <w:rPr>
          <w:rFonts w:ascii="Arial" w:cs="Arial" w:eastAsia="Arial" w:hAnsi="Arial"/>
          <w:sz w:val="18"/>
          <w:szCs w:val="18"/>
          <w:color w:val="auto"/>
        </w:rPr>
      </w:pPr>
      <w:r>
        <w:rPr>
          <w:rFonts w:ascii="Arial" w:cs="Arial" w:eastAsia="Arial" w:hAnsi="Arial"/>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11" w:lineRule="exact"/>
        <w:rPr>
          <w:rFonts w:ascii="Arial" w:cs="Arial" w:eastAsia="Arial" w:hAnsi="Arial"/>
          <w:sz w:val="18"/>
          <w:szCs w:val="18"/>
          <w:color w:val="auto"/>
        </w:rPr>
      </w:pPr>
    </w:p>
    <w:p>
      <w:pPr>
        <w:jc w:val="both"/>
        <w:ind w:left="460" w:right="459" w:firstLine="1290"/>
        <w:spacing w:after="0" w:line="263" w:lineRule="auto"/>
        <w:tabs>
          <w:tab w:leader="none" w:pos="2291" w:val="left"/>
        </w:tabs>
        <w:numPr>
          <w:ilvl w:val="2"/>
          <w:numId w:val="489"/>
        </w:numPr>
        <w:rPr>
          <w:rFonts w:ascii="Arial" w:cs="Arial" w:eastAsia="Arial" w:hAnsi="Arial"/>
          <w:sz w:val="18"/>
          <w:szCs w:val="18"/>
          <w:color w:val="auto"/>
        </w:rPr>
      </w:pPr>
      <w:r>
        <w:rPr>
          <w:rFonts w:ascii="Arial" w:cs="Arial" w:eastAsia="Arial" w:hAnsi="Arial"/>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16" w:lineRule="exact"/>
        <w:rPr>
          <w:rFonts w:ascii="Arial" w:cs="Arial" w:eastAsia="Arial" w:hAnsi="Arial"/>
          <w:sz w:val="18"/>
          <w:szCs w:val="18"/>
          <w:color w:val="auto"/>
        </w:rPr>
      </w:pPr>
    </w:p>
    <w:p>
      <w:pPr>
        <w:jc w:val="both"/>
        <w:ind w:left="460" w:right="459" w:firstLine="1290"/>
        <w:spacing w:after="0" w:line="263" w:lineRule="auto"/>
        <w:tabs>
          <w:tab w:leader="none" w:pos="2242" w:val="left"/>
        </w:tabs>
        <w:numPr>
          <w:ilvl w:val="2"/>
          <w:numId w:val="489"/>
        </w:numPr>
        <w:rPr>
          <w:rFonts w:ascii="Arial" w:cs="Arial" w:eastAsia="Arial" w:hAnsi="Arial"/>
          <w:sz w:val="18"/>
          <w:szCs w:val="18"/>
          <w:color w:val="auto"/>
        </w:rPr>
      </w:pPr>
      <w:r>
        <w:rPr>
          <w:rFonts w:ascii="Arial" w:cs="Arial" w:eastAsia="Arial" w:hAnsi="Arial"/>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116" w:lineRule="exact"/>
        <w:rPr>
          <w:rFonts w:ascii="Arial" w:cs="Arial" w:eastAsia="Arial" w:hAnsi="Arial"/>
          <w:sz w:val="18"/>
          <w:szCs w:val="18"/>
          <w:color w:val="auto"/>
        </w:rPr>
      </w:pPr>
    </w:p>
    <w:p>
      <w:pPr>
        <w:jc w:val="both"/>
        <w:ind w:left="460" w:right="479" w:firstLine="1290"/>
        <w:spacing w:after="0" w:line="263" w:lineRule="auto"/>
        <w:tabs>
          <w:tab w:leader="none" w:pos="2229" w:val="left"/>
        </w:tabs>
        <w:numPr>
          <w:ilvl w:val="2"/>
          <w:numId w:val="489"/>
        </w:numPr>
        <w:rPr>
          <w:rFonts w:ascii="Arial" w:cs="Arial" w:eastAsia="Arial" w:hAnsi="Arial"/>
          <w:sz w:val="18"/>
          <w:szCs w:val="18"/>
          <w:color w:val="auto"/>
        </w:rPr>
      </w:pPr>
      <w:r>
        <w:rPr>
          <w:rFonts w:ascii="Arial" w:cs="Arial" w:eastAsia="Arial" w:hAnsi="Arial"/>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02" w:lineRule="exact"/>
        <w:rPr>
          <w:rFonts w:ascii="Arial" w:cs="Arial" w:eastAsia="Arial" w:hAnsi="Arial"/>
          <w:sz w:val="18"/>
          <w:szCs w:val="18"/>
          <w:color w:val="auto"/>
        </w:rPr>
      </w:pPr>
    </w:p>
    <w:p>
      <w:pPr>
        <w:jc w:val="both"/>
        <w:ind w:left="460" w:right="459" w:firstLine="426"/>
        <w:spacing w:after="0" w:line="286" w:lineRule="auto"/>
        <w:tabs>
          <w:tab w:leader="none" w:pos="1328" w:val="left"/>
        </w:tabs>
        <w:numPr>
          <w:ilvl w:val="0"/>
          <w:numId w:val="489"/>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97" w:lineRule="exact"/>
        <w:rPr>
          <w:rFonts w:ascii="Arial" w:cs="Arial" w:eastAsia="Arial" w:hAnsi="Arial"/>
          <w:sz w:val="17"/>
          <w:szCs w:val="17"/>
          <w:color w:val="auto"/>
        </w:rPr>
      </w:pPr>
    </w:p>
    <w:p>
      <w:pPr>
        <w:ind w:left="460" w:right="459" w:firstLine="426"/>
        <w:spacing w:after="0" w:line="277" w:lineRule="auto"/>
        <w:tabs>
          <w:tab w:leader="none" w:pos="1288"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FSD Representations and Warranties</w:t>
      </w:r>
      <w:r>
        <w:rPr>
          <w:rFonts w:ascii="Arial" w:cs="Arial" w:eastAsia="Arial" w:hAnsi="Arial"/>
          <w:sz w:val="18"/>
          <w:szCs w:val="18"/>
          <w:color w:val="auto"/>
        </w:rPr>
        <w:t>. FSD represents and warrants to the Investor, as of the date hereof and as of the Closing Date that:</w:t>
      </w:r>
    </w:p>
    <w:p>
      <w:pPr>
        <w:spacing w:after="0" w:line="102" w:lineRule="exact"/>
        <w:rPr>
          <w:rFonts w:ascii="Arial" w:cs="Arial" w:eastAsia="Arial" w:hAnsi="Arial"/>
          <w:sz w:val="18"/>
          <w:szCs w:val="18"/>
          <w:color w:val="auto"/>
        </w:rPr>
      </w:pPr>
    </w:p>
    <w:p>
      <w:pPr>
        <w:jc w:val="both"/>
        <w:ind w:left="460" w:right="479" w:firstLine="858"/>
        <w:spacing w:after="0" w:line="259" w:lineRule="auto"/>
        <w:tabs>
          <w:tab w:leader="none" w:pos="1691" w:val="left"/>
        </w:tabs>
        <w:numPr>
          <w:ilvl w:val="1"/>
          <w:numId w:val="489"/>
        </w:numPr>
        <w:rPr>
          <w:rFonts w:ascii="Arial" w:cs="Arial" w:eastAsia="Arial" w:hAnsi="Arial"/>
          <w:sz w:val="18"/>
          <w:szCs w:val="18"/>
          <w:color w:val="auto"/>
        </w:rPr>
      </w:pPr>
      <w:r>
        <w:rPr>
          <w:rFonts w:ascii="Arial" w:cs="Arial" w:eastAsia="Arial" w:hAnsi="Arial"/>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499" w:name="page500"/>
    <w:bookmarkEnd w:id="49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75" w:lineRule="auto"/>
        <w:tabs>
          <w:tab w:leader="none" w:pos="1678" w:val="left"/>
        </w:tabs>
        <w:numPr>
          <w:ilvl w:val="0"/>
          <w:numId w:val="490"/>
        </w:numPr>
        <w:rPr>
          <w:rFonts w:ascii="Arial" w:cs="Arial" w:eastAsia="Arial" w:hAnsi="Arial"/>
          <w:sz w:val="17"/>
          <w:szCs w:val="17"/>
          <w:color w:val="auto"/>
        </w:rPr>
      </w:pPr>
      <w:r>
        <w:rPr>
          <w:rFonts w:ascii="Arial" w:cs="Arial" w:eastAsia="Arial" w:hAnsi="Arial"/>
          <w:sz w:val="17"/>
          <w:szCs w:val="17"/>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08" w:lineRule="exact"/>
        <w:rPr>
          <w:rFonts w:ascii="Arial" w:cs="Arial" w:eastAsia="Arial" w:hAnsi="Arial"/>
          <w:sz w:val="17"/>
          <w:szCs w:val="17"/>
          <w:color w:val="auto"/>
        </w:rPr>
      </w:pPr>
    </w:p>
    <w:p>
      <w:pPr>
        <w:jc w:val="both"/>
        <w:ind w:left="460" w:right="479" w:firstLine="858"/>
        <w:spacing w:after="0" w:line="255" w:lineRule="auto"/>
        <w:tabs>
          <w:tab w:leader="none" w:pos="169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24" w:lineRule="exact"/>
        <w:rPr>
          <w:rFonts w:ascii="Arial" w:cs="Arial" w:eastAsia="Arial" w:hAnsi="Arial"/>
          <w:sz w:val="18"/>
          <w:szCs w:val="18"/>
          <w:color w:val="auto"/>
        </w:rPr>
      </w:pPr>
    </w:p>
    <w:p>
      <w:pPr>
        <w:jc w:val="both"/>
        <w:ind w:left="460" w:right="459" w:firstLine="858"/>
        <w:spacing w:after="0" w:line="285" w:lineRule="auto"/>
        <w:tabs>
          <w:tab w:leader="none" w:pos="1654"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95" w:lineRule="exact"/>
        <w:rPr>
          <w:rFonts w:ascii="Arial" w:cs="Arial" w:eastAsia="Arial" w:hAnsi="Arial"/>
          <w:sz w:val="16"/>
          <w:szCs w:val="16"/>
          <w:color w:val="auto"/>
        </w:rPr>
      </w:pPr>
    </w:p>
    <w:p>
      <w:pPr>
        <w:jc w:val="both"/>
        <w:ind w:left="460" w:right="459" w:firstLine="858"/>
        <w:spacing w:after="0" w:line="285" w:lineRule="auto"/>
        <w:tabs>
          <w:tab w:leader="none" w:pos="1739" w:val="left"/>
        </w:tabs>
        <w:numPr>
          <w:ilvl w:val="0"/>
          <w:numId w:val="490"/>
        </w:numPr>
        <w:rPr>
          <w:rFonts w:ascii="Arial" w:cs="Arial" w:eastAsia="Arial" w:hAnsi="Arial"/>
          <w:sz w:val="16"/>
          <w:szCs w:val="16"/>
          <w:color w:val="auto"/>
        </w:rPr>
      </w:pPr>
      <w:r>
        <w:rPr>
          <w:rFonts w:ascii="Arial" w:cs="Arial" w:eastAsia="Arial" w:hAnsi="Arial"/>
          <w:sz w:val="16"/>
          <w:szCs w:val="16"/>
          <w:color w:val="auto"/>
        </w:rPr>
        <w:t>FSD has made all filings required to be filed by it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As of their respective dates, all reports, the Registration Statement of FSD filed on Form S-1 dated July 24, 2020 (as amended), and the prospectus of FSD dated August 11, 2020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required to be filed or actually filed by FSD with the SEC complied in all material respects with the applicable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08" w:lineRule="exact"/>
        <w:rPr>
          <w:rFonts w:ascii="Arial" w:cs="Arial" w:eastAsia="Arial" w:hAnsi="Arial"/>
          <w:sz w:val="16"/>
          <w:szCs w:val="16"/>
          <w:color w:val="auto"/>
        </w:rPr>
      </w:pPr>
    </w:p>
    <w:p>
      <w:pPr>
        <w:jc w:val="both"/>
        <w:ind w:left="460" w:right="479" w:firstLine="858"/>
        <w:spacing w:after="0" w:line="273" w:lineRule="auto"/>
        <w:tabs>
          <w:tab w:leader="none" w:pos="1671" w:val="left"/>
        </w:tabs>
        <w:numPr>
          <w:ilvl w:val="0"/>
          <w:numId w:val="490"/>
        </w:numPr>
        <w:rPr>
          <w:rFonts w:ascii="Arial" w:cs="Arial" w:eastAsia="Arial" w:hAnsi="Arial"/>
          <w:sz w:val="17"/>
          <w:szCs w:val="17"/>
          <w:color w:val="auto"/>
        </w:rPr>
      </w:pPr>
      <w:r>
        <w:rPr>
          <w:rFonts w:ascii="Arial" w:cs="Arial" w:eastAsia="Arial" w:hAnsi="Arial"/>
          <w:sz w:val="17"/>
          <w:szCs w:val="17"/>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0" w:lineRule="exact"/>
        <w:rPr>
          <w:rFonts w:ascii="Arial" w:cs="Arial" w:eastAsia="Arial" w:hAnsi="Arial"/>
          <w:sz w:val="17"/>
          <w:szCs w:val="17"/>
          <w:color w:val="auto"/>
        </w:rPr>
      </w:pPr>
    </w:p>
    <w:p>
      <w:pPr>
        <w:jc w:val="both"/>
        <w:ind w:left="460" w:right="459" w:firstLine="858"/>
        <w:spacing w:after="0" w:line="255" w:lineRule="auto"/>
        <w:tabs>
          <w:tab w:leader="none" w:pos="165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0" w:name="page501"/>
    <w:bookmarkEnd w:id="50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stock exchange on which FSD’s Class A common stock is then listed (the “</w:t>
      </w:r>
      <w:r>
        <w:rPr>
          <w:rFonts w:ascii="Arial" w:cs="Arial" w:eastAsia="Arial" w:hAnsi="Arial"/>
          <w:sz w:val="17"/>
          <w:szCs w:val="17"/>
          <w:u w:val="single" w:color="auto"/>
          <w:color w:val="auto"/>
        </w:rPr>
        <w:t>Stock Exchange</w:t>
      </w:r>
      <w:r>
        <w:rPr>
          <w:rFonts w:ascii="Arial" w:cs="Arial" w:eastAsia="Arial" w:hAnsi="Arial"/>
          <w:sz w:val="17"/>
          <w:szCs w:val="17"/>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98" w:lineRule="exact"/>
        <w:rPr>
          <w:sz w:val="20"/>
          <w:szCs w:val="20"/>
          <w:color w:val="auto"/>
        </w:rPr>
      </w:pPr>
    </w:p>
    <w:p>
      <w:pPr>
        <w:jc w:val="both"/>
        <w:ind w:left="460" w:right="459" w:firstLine="858"/>
        <w:spacing w:after="0" w:line="268" w:lineRule="auto"/>
        <w:tabs>
          <w:tab w:leader="none" w:pos="1693" w:val="left"/>
        </w:tabs>
        <w:numPr>
          <w:ilvl w:val="1"/>
          <w:numId w:val="491"/>
        </w:numPr>
        <w:rPr>
          <w:rFonts w:ascii="Arial" w:cs="Arial" w:eastAsia="Arial" w:hAnsi="Arial"/>
          <w:sz w:val="17"/>
          <w:szCs w:val="17"/>
          <w:color w:val="auto"/>
        </w:rPr>
      </w:pPr>
      <w:r>
        <w:rPr>
          <w:rFonts w:ascii="Arial" w:cs="Arial" w:eastAsia="Arial" w:hAnsi="Arial"/>
          <w:sz w:val="17"/>
          <w:szCs w:val="17"/>
          <w:color w:val="auto"/>
        </w:rPr>
        <w:t>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14" w:lineRule="exact"/>
        <w:rPr>
          <w:rFonts w:ascii="Arial" w:cs="Arial" w:eastAsia="Arial" w:hAnsi="Arial"/>
          <w:sz w:val="17"/>
          <w:szCs w:val="17"/>
          <w:color w:val="auto"/>
        </w:rPr>
      </w:pPr>
    </w:p>
    <w:p>
      <w:pPr>
        <w:jc w:val="both"/>
        <w:ind w:left="460" w:right="479" w:firstLine="858"/>
        <w:spacing w:after="0" w:line="257" w:lineRule="auto"/>
        <w:tabs>
          <w:tab w:leader="none" w:pos="1599"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06" w:lineRule="exact"/>
        <w:rPr>
          <w:rFonts w:ascii="Arial" w:cs="Arial" w:eastAsia="Arial" w:hAnsi="Arial"/>
          <w:sz w:val="18"/>
          <w:szCs w:val="18"/>
          <w:color w:val="auto"/>
        </w:rPr>
      </w:pPr>
    </w:p>
    <w:p>
      <w:pPr>
        <w:jc w:val="both"/>
        <w:ind w:left="460" w:right="479" w:firstLine="858"/>
        <w:spacing w:after="0" w:line="257" w:lineRule="auto"/>
        <w:tabs>
          <w:tab w:leader="none" w:pos="1592" w:val="left"/>
        </w:tabs>
        <w:numPr>
          <w:ilvl w:val="1"/>
          <w:numId w:val="491"/>
        </w:numPr>
        <w:rPr>
          <w:rFonts w:ascii="Arial" w:cs="Arial" w:eastAsia="Arial" w:hAnsi="Arial"/>
          <w:sz w:val="18"/>
          <w:szCs w:val="18"/>
          <w:color w:val="auto"/>
        </w:rPr>
      </w:pPr>
      <w:r>
        <w:rPr>
          <w:rFonts w:ascii="Arial" w:cs="Arial" w:eastAsia="Arial" w:hAnsi="Arial"/>
          <w:sz w:val="18"/>
          <w:szCs w:val="18"/>
          <w:color w:val="auto"/>
        </w:rPr>
        <w:t xml:space="preserve">Assuming the accuracy of the Investor’s representations and warranties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20" w:lineRule="exact"/>
        <w:rPr>
          <w:rFonts w:ascii="Arial" w:cs="Arial" w:eastAsia="Arial" w:hAnsi="Arial"/>
          <w:sz w:val="18"/>
          <w:szCs w:val="18"/>
          <w:color w:val="auto"/>
        </w:rPr>
      </w:pPr>
    </w:p>
    <w:p>
      <w:pPr>
        <w:jc w:val="both"/>
        <w:ind w:left="460" w:right="459" w:firstLine="858"/>
        <w:spacing w:after="0" w:line="257" w:lineRule="auto"/>
        <w:tabs>
          <w:tab w:leader="none" w:pos="1821" w:val="left"/>
        </w:tabs>
        <w:numPr>
          <w:ilvl w:val="1"/>
          <w:numId w:val="491"/>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20" w:lineRule="exact"/>
        <w:rPr>
          <w:rFonts w:ascii="Arial" w:cs="Arial" w:eastAsia="Arial" w:hAnsi="Arial"/>
          <w:sz w:val="18"/>
          <w:szCs w:val="18"/>
          <w:color w:val="auto"/>
        </w:rPr>
      </w:pPr>
    </w:p>
    <w:p>
      <w:pPr>
        <w:jc w:val="both"/>
        <w:ind w:left="460" w:right="459" w:firstLine="858"/>
        <w:spacing w:after="0" w:line="311" w:lineRule="auto"/>
        <w:tabs>
          <w:tab w:leader="none" w:pos="1670" w:val="left"/>
        </w:tabs>
        <w:numPr>
          <w:ilvl w:val="1"/>
          <w:numId w:val="491"/>
        </w:numPr>
        <w:rPr>
          <w:rFonts w:ascii="Arial" w:cs="Arial" w:eastAsia="Arial" w:hAnsi="Arial"/>
          <w:sz w:val="16"/>
          <w:szCs w:val="16"/>
          <w:color w:val="auto"/>
        </w:rPr>
      </w:pPr>
      <w:r>
        <w:rPr>
          <w:rFonts w:ascii="Arial" w:cs="Arial" w:eastAsia="Arial" w:hAnsi="Arial"/>
          <w:sz w:val="16"/>
          <w:szCs w:val="16"/>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67" w:lineRule="exact"/>
        <w:rPr>
          <w:rFonts w:ascii="Arial" w:cs="Arial" w:eastAsia="Arial" w:hAnsi="Arial"/>
          <w:sz w:val="16"/>
          <w:szCs w:val="16"/>
          <w:color w:val="auto"/>
        </w:rPr>
      </w:pPr>
    </w:p>
    <w:p>
      <w:pPr>
        <w:ind w:left="460" w:right="459" w:firstLine="858"/>
        <w:spacing w:after="0" w:line="277" w:lineRule="auto"/>
        <w:tabs>
          <w:tab w:leader="none" w:pos="171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FSD is not under any obligation to pay any broker’s fee or commission in connection with the sale of the Shares hereunder other than to the Placement Agents (as defined herein).</w:t>
      </w:r>
    </w:p>
    <w:p>
      <w:pPr>
        <w:spacing w:after="0" w:line="102" w:lineRule="exact"/>
        <w:rPr>
          <w:rFonts w:ascii="Arial" w:cs="Arial" w:eastAsia="Arial" w:hAnsi="Arial"/>
          <w:sz w:val="18"/>
          <w:szCs w:val="18"/>
          <w:color w:val="auto"/>
        </w:rPr>
      </w:pPr>
    </w:p>
    <w:p>
      <w:pPr>
        <w:jc w:val="both"/>
        <w:ind w:left="460" w:right="459" w:firstLine="858"/>
        <w:spacing w:after="0" w:line="293" w:lineRule="auto"/>
        <w:tabs>
          <w:tab w:leader="none" w:pos="1652" w:val="left"/>
        </w:tabs>
        <w:numPr>
          <w:ilvl w:val="1"/>
          <w:numId w:val="491"/>
        </w:numPr>
        <w:rPr>
          <w:rFonts w:ascii="Arial" w:cs="Arial" w:eastAsia="Arial" w:hAnsi="Arial"/>
          <w:sz w:val="16"/>
          <w:szCs w:val="16"/>
          <w:color w:val="auto"/>
        </w:rPr>
      </w:pPr>
      <w:r>
        <w:rPr>
          <w:rFonts w:ascii="Arial" w:cs="Arial" w:eastAsia="Arial" w:hAnsi="Arial"/>
          <w:sz w:val="16"/>
          <w:szCs w:val="16"/>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96" w:lineRule="exact"/>
        <w:rPr>
          <w:rFonts w:ascii="Arial" w:cs="Arial" w:eastAsia="Arial" w:hAnsi="Arial"/>
          <w:sz w:val="16"/>
          <w:szCs w:val="16"/>
          <w:color w:val="auto"/>
        </w:rPr>
      </w:pPr>
    </w:p>
    <w:p>
      <w:pPr>
        <w:ind w:left="1200" w:hanging="314"/>
        <w:spacing w:after="0"/>
        <w:tabs>
          <w:tab w:leader="none" w:pos="1200"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Investor Representations and Warranties</w:t>
      </w:r>
      <w:r>
        <w:rPr>
          <w:rFonts w:ascii="Arial" w:cs="Arial" w:eastAsia="Arial" w:hAnsi="Arial"/>
          <w:sz w:val="17"/>
          <w:szCs w:val="17"/>
          <w:color w:val="auto"/>
        </w:rPr>
        <w:t>. The Investor represents and warrants to FSD that:</w:t>
      </w:r>
    </w:p>
    <w:p>
      <w:pPr>
        <w:spacing w:after="0" w:line="155" w:lineRule="exact"/>
        <w:rPr>
          <w:rFonts w:ascii="Arial" w:cs="Arial" w:eastAsia="Arial" w:hAnsi="Arial"/>
          <w:sz w:val="17"/>
          <w:szCs w:val="17"/>
          <w:color w:val="auto"/>
        </w:rPr>
      </w:pPr>
    </w:p>
    <w:p>
      <w:pPr>
        <w:jc w:val="both"/>
        <w:ind w:left="460" w:right="459" w:firstLine="858"/>
        <w:spacing w:after="0" w:line="254" w:lineRule="auto"/>
        <w:tabs>
          <w:tab w:leader="none" w:pos="1788" w:val="left"/>
        </w:tabs>
        <w:numPr>
          <w:ilvl w:val="1"/>
          <w:numId w:val="492"/>
        </w:numPr>
        <w:rPr>
          <w:rFonts w:ascii="Arial" w:cs="Arial" w:eastAsia="Arial" w:hAnsi="Arial"/>
          <w:sz w:val="18"/>
          <w:szCs w:val="18"/>
          <w:color w:val="auto"/>
        </w:rPr>
      </w:pPr>
      <w:r>
        <w:rPr>
          <w:rFonts w:ascii="Arial" w:cs="Arial" w:eastAsia="Arial" w:hAnsi="Arial"/>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1" w:name="page502"/>
    <w:bookmarkEnd w:id="50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acknowledgements, representations and agreements herein on behalf of each owner of each such account, and</w:t>
      </w:r>
    </w:p>
    <w:p>
      <w:pPr>
        <w:spacing w:after="0" w:line="46" w:lineRule="exact"/>
        <w:rPr>
          <w:sz w:val="20"/>
          <w:szCs w:val="20"/>
          <w:color w:val="auto"/>
        </w:rPr>
      </w:pPr>
    </w:p>
    <w:p>
      <w:pPr>
        <w:jc w:val="both"/>
        <w:ind w:left="460" w:right="459" w:hanging="6"/>
        <w:spacing w:after="0" w:line="255" w:lineRule="auto"/>
        <w:tabs>
          <w:tab w:leader="none" w:pos="767"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is not acquiring the Shares with a view to, or for offer or sale in connection with, any distribution thereof in violation of the Securities Act (and shall provide the requested information on </w:t>
      </w:r>
      <w:r>
        <w:rPr>
          <w:rFonts w:ascii="Arial" w:cs="Arial" w:eastAsia="Arial" w:hAnsi="Arial"/>
          <w:sz w:val="18"/>
          <w:szCs w:val="18"/>
          <w:u w:val="single" w:color="auto"/>
          <w:color w:val="auto"/>
        </w:rPr>
        <w:t>Schedule A</w:t>
      </w:r>
      <w:r>
        <w:rPr>
          <w:rFonts w:ascii="Arial" w:cs="Arial" w:eastAsia="Arial" w:hAnsi="Arial"/>
          <w:sz w:val="18"/>
          <w:szCs w:val="18"/>
          <w:color w:val="auto"/>
        </w:rPr>
        <w:t>). The Investor is not an entity formed for the specific purpose of acquiring the Shares.</w:t>
      </w:r>
    </w:p>
    <w:p>
      <w:pPr>
        <w:spacing w:after="0" w:line="122" w:lineRule="exact"/>
        <w:rPr>
          <w:rFonts w:ascii="Arial" w:cs="Arial" w:eastAsia="Arial" w:hAnsi="Arial"/>
          <w:sz w:val="18"/>
          <w:szCs w:val="18"/>
          <w:color w:val="auto"/>
        </w:rPr>
      </w:pPr>
    </w:p>
    <w:p>
      <w:pPr>
        <w:jc w:val="both"/>
        <w:ind w:left="460" w:right="459" w:firstLine="858"/>
        <w:spacing w:after="0" w:line="286" w:lineRule="auto"/>
        <w:tabs>
          <w:tab w:leader="none" w:pos="1696" w:val="left"/>
        </w:tabs>
        <w:numPr>
          <w:ilvl w:val="1"/>
          <w:numId w:val="493"/>
        </w:numPr>
        <w:rPr>
          <w:rFonts w:ascii="Arial" w:cs="Arial" w:eastAsia="Arial" w:hAnsi="Arial"/>
          <w:sz w:val="16"/>
          <w:szCs w:val="16"/>
          <w:color w:val="auto"/>
        </w:rPr>
      </w:pPr>
      <w:r>
        <w:rPr>
          <w:rFonts w:ascii="Arial" w:cs="Arial" w:eastAsia="Arial" w:hAnsi="Arial"/>
          <w:sz w:val="16"/>
          <w:szCs w:val="16"/>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99" w:lineRule="exact"/>
        <w:rPr>
          <w:rFonts w:ascii="Arial" w:cs="Arial" w:eastAsia="Arial" w:hAnsi="Arial"/>
          <w:sz w:val="16"/>
          <w:szCs w:val="16"/>
          <w:color w:val="auto"/>
        </w:rPr>
      </w:pPr>
    </w:p>
    <w:p>
      <w:pPr>
        <w:jc w:val="both"/>
        <w:ind w:left="460" w:right="459" w:firstLine="858"/>
        <w:spacing w:after="0" w:line="301" w:lineRule="auto"/>
        <w:tabs>
          <w:tab w:leader="none" w:pos="1662" w:val="left"/>
        </w:tabs>
        <w:numPr>
          <w:ilvl w:val="1"/>
          <w:numId w:val="493"/>
        </w:numPr>
        <w:rPr>
          <w:rFonts w:ascii="Arial" w:cs="Arial" w:eastAsia="Arial" w:hAnsi="Arial"/>
          <w:sz w:val="16"/>
          <w:szCs w:val="16"/>
          <w:color w:val="auto"/>
        </w:rPr>
      </w:pPr>
      <w:r>
        <w:rPr>
          <w:rFonts w:ascii="Arial" w:cs="Arial" w:eastAsia="Arial" w:hAnsi="Arial"/>
          <w:sz w:val="16"/>
          <w:szCs w:val="16"/>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76" w:lineRule="exact"/>
        <w:rPr>
          <w:rFonts w:ascii="Arial" w:cs="Arial" w:eastAsia="Arial" w:hAnsi="Arial"/>
          <w:sz w:val="16"/>
          <w:szCs w:val="16"/>
          <w:color w:val="auto"/>
        </w:rPr>
      </w:pPr>
    </w:p>
    <w:p>
      <w:pPr>
        <w:jc w:val="both"/>
        <w:ind w:left="460" w:right="479" w:firstLine="858"/>
        <w:spacing w:after="0" w:line="311" w:lineRule="auto"/>
        <w:tabs>
          <w:tab w:leader="none" w:pos="1738" w:val="left"/>
        </w:tabs>
        <w:numPr>
          <w:ilvl w:val="1"/>
          <w:numId w:val="493"/>
        </w:numPr>
        <w:rPr>
          <w:rFonts w:ascii="Arial" w:cs="Arial" w:eastAsia="Arial" w:hAnsi="Arial"/>
          <w:sz w:val="16"/>
          <w:szCs w:val="16"/>
          <w:color w:val="auto"/>
        </w:rPr>
      </w:pPr>
      <w:r>
        <w:rPr>
          <w:rFonts w:ascii="Arial" w:cs="Arial" w:eastAsia="Arial" w:hAnsi="Arial"/>
          <w:sz w:val="16"/>
          <w:szCs w:val="16"/>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81" w:lineRule="exact"/>
        <w:rPr>
          <w:rFonts w:ascii="Arial" w:cs="Arial" w:eastAsia="Arial" w:hAnsi="Arial"/>
          <w:sz w:val="16"/>
          <w:szCs w:val="16"/>
          <w:color w:val="auto"/>
        </w:rPr>
      </w:pPr>
    </w:p>
    <w:p>
      <w:pPr>
        <w:jc w:val="both"/>
        <w:ind w:left="460" w:right="459" w:firstLine="858"/>
        <w:spacing w:after="0" w:line="270" w:lineRule="auto"/>
        <w:tabs>
          <w:tab w:leader="none" w:pos="1686" w:val="left"/>
        </w:tabs>
        <w:numPr>
          <w:ilvl w:val="1"/>
          <w:numId w:val="493"/>
        </w:numPr>
        <w:rPr>
          <w:rFonts w:ascii="Arial" w:cs="Arial" w:eastAsia="Arial" w:hAnsi="Arial"/>
          <w:sz w:val="17"/>
          <w:szCs w:val="17"/>
          <w:color w:val="auto"/>
        </w:rPr>
      </w:pPr>
      <w:r>
        <w:rPr>
          <w:rFonts w:ascii="Arial" w:cs="Arial" w:eastAsia="Arial" w:hAnsi="Arial"/>
          <w:sz w:val="17"/>
          <w:szCs w:val="17"/>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13" w:lineRule="exact"/>
        <w:rPr>
          <w:rFonts w:ascii="Arial" w:cs="Arial" w:eastAsia="Arial" w:hAnsi="Arial"/>
          <w:sz w:val="17"/>
          <w:szCs w:val="17"/>
          <w:color w:val="auto"/>
        </w:rPr>
      </w:pPr>
    </w:p>
    <w:p>
      <w:pPr>
        <w:jc w:val="both"/>
        <w:ind w:left="460" w:right="459" w:firstLine="858"/>
        <w:spacing w:after="0" w:line="268" w:lineRule="auto"/>
        <w:tabs>
          <w:tab w:leader="none" w:pos="1699" w:val="left"/>
        </w:tabs>
        <w:numPr>
          <w:ilvl w:val="1"/>
          <w:numId w:val="493"/>
        </w:numPr>
        <w:rPr>
          <w:rFonts w:ascii="Arial" w:cs="Arial" w:eastAsia="Arial" w:hAnsi="Arial"/>
          <w:sz w:val="17"/>
          <w:szCs w:val="17"/>
          <w:color w:val="auto"/>
        </w:rPr>
      </w:pPr>
      <w:r>
        <w:rPr>
          <w:rFonts w:ascii="Arial" w:cs="Arial" w:eastAsia="Arial" w:hAnsi="Arial"/>
          <w:sz w:val="17"/>
          <w:szCs w:val="17"/>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Arial" w:cs="Arial" w:eastAsia="Arial" w:hAnsi="Arial"/>
          <w:sz w:val="17"/>
          <w:szCs w:val="17"/>
          <w:u w:val="single" w:color="auto"/>
          <w:color w:val="auto"/>
        </w:rPr>
        <w:t>Placement Agent</w:t>
      </w:r>
      <w:r>
        <w:rPr>
          <w:rFonts w:ascii="Arial" w:cs="Arial" w:eastAsia="Arial" w:hAnsi="Arial"/>
          <w:sz w:val="17"/>
          <w:szCs w:val="17"/>
          <w:color w:val="auto"/>
        </w:rPr>
        <w:t>”, and together, the “</w:t>
      </w:r>
      <w:r>
        <w:rPr>
          <w:rFonts w:ascii="Arial" w:cs="Arial" w:eastAsia="Arial" w:hAnsi="Arial"/>
          <w:sz w:val="17"/>
          <w:szCs w:val="17"/>
          <w:u w:val="single" w:color="auto"/>
          <w:color w:val="auto"/>
        </w:rPr>
        <w:t>Placement Agents</w:t>
      </w:r>
      <w:r>
        <w:rPr>
          <w:rFonts w:ascii="Arial" w:cs="Arial" w:eastAsia="Arial" w:hAnsi="Arial"/>
          <w:sz w:val="17"/>
          <w:szCs w:val="17"/>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05" w:lineRule="exact"/>
        <w:rPr>
          <w:rFonts w:ascii="Arial" w:cs="Arial" w:eastAsia="Arial" w:hAnsi="Arial"/>
          <w:sz w:val="17"/>
          <w:szCs w:val="17"/>
          <w:color w:val="auto"/>
        </w:rPr>
      </w:pPr>
    </w:p>
    <w:p>
      <w:pPr>
        <w:jc w:val="both"/>
        <w:ind w:left="460" w:right="479" w:firstLine="858"/>
        <w:spacing w:after="0" w:line="275" w:lineRule="auto"/>
        <w:tabs>
          <w:tab w:leader="none" w:pos="1765" w:val="left"/>
        </w:tabs>
        <w:numPr>
          <w:ilvl w:val="1"/>
          <w:numId w:val="493"/>
        </w:numPr>
        <w:rPr>
          <w:rFonts w:ascii="Arial" w:cs="Arial" w:eastAsia="Arial" w:hAnsi="Arial"/>
          <w:sz w:val="17"/>
          <w:szCs w:val="17"/>
          <w:color w:val="auto"/>
        </w:rPr>
      </w:pPr>
      <w:r>
        <w:rPr>
          <w:rFonts w:ascii="Arial" w:cs="Arial" w:eastAsia="Arial" w:hAnsi="Arial"/>
          <w:sz w:val="17"/>
          <w:szCs w:val="17"/>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2" w:name="page503"/>
    <w:bookmarkEnd w:id="50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9" w:lineRule="auto"/>
        <w:tabs>
          <w:tab w:leader="none" w:pos="1683"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19" w:lineRule="exact"/>
        <w:rPr>
          <w:rFonts w:ascii="Arial" w:cs="Arial" w:eastAsia="Arial" w:hAnsi="Arial"/>
          <w:sz w:val="18"/>
          <w:szCs w:val="18"/>
          <w:color w:val="auto"/>
        </w:rPr>
      </w:pPr>
    </w:p>
    <w:p>
      <w:pPr>
        <w:jc w:val="both"/>
        <w:ind w:left="460" w:right="459" w:firstLine="858"/>
        <w:spacing w:after="0" w:line="293" w:lineRule="auto"/>
        <w:tabs>
          <w:tab w:leader="none" w:pos="1647" w:val="left"/>
        </w:tabs>
        <w:numPr>
          <w:ilvl w:val="0"/>
          <w:numId w:val="494"/>
        </w:numPr>
        <w:rPr>
          <w:rFonts w:ascii="Arial" w:cs="Arial" w:eastAsia="Arial" w:hAnsi="Arial"/>
          <w:sz w:val="16"/>
          <w:szCs w:val="16"/>
          <w:color w:val="auto"/>
        </w:rPr>
      </w:pPr>
      <w:r>
        <w:rPr>
          <w:rFonts w:ascii="Arial" w:cs="Arial" w:eastAsia="Arial" w:hAnsi="Arial"/>
          <w:sz w:val="16"/>
          <w:szCs w:val="16"/>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96" w:lineRule="exact"/>
        <w:rPr>
          <w:rFonts w:ascii="Arial" w:cs="Arial" w:eastAsia="Arial" w:hAnsi="Arial"/>
          <w:sz w:val="16"/>
          <w:szCs w:val="16"/>
          <w:color w:val="auto"/>
        </w:rPr>
      </w:pPr>
    </w:p>
    <w:p>
      <w:pPr>
        <w:jc w:val="both"/>
        <w:ind w:left="460" w:right="479" w:firstLine="858"/>
        <w:spacing w:after="0" w:line="263" w:lineRule="auto"/>
        <w:tabs>
          <w:tab w:leader="none" w:pos="1598"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102" w:lineRule="exact"/>
        <w:rPr>
          <w:rFonts w:ascii="Arial" w:cs="Arial" w:eastAsia="Arial" w:hAnsi="Arial"/>
          <w:sz w:val="18"/>
          <w:szCs w:val="18"/>
          <w:color w:val="auto"/>
        </w:rPr>
      </w:pPr>
    </w:p>
    <w:p>
      <w:pPr>
        <w:jc w:val="both"/>
        <w:ind w:left="460" w:right="479" w:firstLine="858"/>
        <w:spacing w:after="0" w:line="263" w:lineRule="auto"/>
        <w:tabs>
          <w:tab w:leader="none" w:pos="17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16" w:lineRule="exact"/>
        <w:rPr>
          <w:rFonts w:ascii="Arial" w:cs="Arial" w:eastAsia="Arial" w:hAnsi="Arial"/>
          <w:sz w:val="18"/>
          <w:szCs w:val="18"/>
          <w:color w:val="auto"/>
        </w:rPr>
      </w:pPr>
    </w:p>
    <w:p>
      <w:pPr>
        <w:jc w:val="both"/>
        <w:ind w:left="460" w:right="459" w:firstLine="858"/>
        <w:spacing w:after="0" w:line="268" w:lineRule="auto"/>
        <w:tabs>
          <w:tab w:leader="none" w:pos="1599" w:val="left"/>
        </w:tabs>
        <w:numPr>
          <w:ilvl w:val="0"/>
          <w:numId w:val="494"/>
        </w:numPr>
        <w:rPr>
          <w:rFonts w:ascii="Arial" w:cs="Arial" w:eastAsia="Arial" w:hAnsi="Arial"/>
          <w:sz w:val="17"/>
          <w:szCs w:val="17"/>
          <w:color w:val="auto"/>
        </w:rPr>
      </w:pPr>
      <w:r>
        <w:rPr>
          <w:rFonts w:ascii="Arial" w:cs="Arial" w:eastAsia="Arial" w:hAnsi="Arial"/>
          <w:sz w:val="17"/>
          <w:szCs w:val="17"/>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16" w:lineRule="exact"/>
        <w:rPr>
          <w:rFonts w:ascii="Arial" w:cs="Arial" w:eastAsia="Arial" w:hAnsi="Arial"/>
          <w:sz w:val="17"/>
          <w:szCs w:val="17"/>
          <w:color w:val="auto"/>
        </w:rPr>
      </w:pPr>
    </w:p>
    <w:p>
      <w:pPr>
        <w:jc w:val="both"/>
        <w:ind w:left="460" w:right="459" w:firstLine="858"/>
        <w:spacing w:after="0" w:line="268" w:lineRule="auto"/>
        <w:tabs>
          <w:tab w:leader="none" w:pos="1814" w:val="left"/>
        </w:tabs>
        <w:numPr>
          <w:ilvl w:val="0"/>
          <w:numId w:val="494"/>
        </w:numPr>
        <w:rPr>
          <w:rFonts w:ascii="Arial" w:cs="Arial" w:eastAsia="Arial" w:hAnsi="Arial"/>
          <w:sz w:val="17"/>
          <w:szCs w:val="17"/>
          <w:color w:val="auto"/>
        </w:rPr>
      </w:pPr>
      <w:r>
        <w:rPr>
          <w:rFonts w:ascii="Arial" w:cs="Arial" w:eastAsia="Arial" w:hAnsi="Arial"/>
          <w:sz w:val="17"/>
          <w:szCs w:val="17"/>
          <w:color w:val="auto"/>
        </w:rPr>
        <w:t>The undersigned is not (i) a person or entity named on the List of Specially Designated Nationals and Blocked Persons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or in any Executive Order issued by the President of the United States and administered by OFAC (“</w:t>
      </w:r>
      <w:r>
        <w:rPr>
          <w:rFonts w:ascii="Arial" w:cs="Arial" w:eastAsia="Arial" w:hAnsi="Arial"/>
          <w:sz w:val="17"/>
          <w:szCs w:val="17"/>
          <w:u w:val="single" w:color="auto"/>
          <w:color w:val="auto"/>
        </w:rPr>
        <w:t>OFAC List</w:t>
      </w:r>
      <w:r>
        <w:rPr>
          <w:rFonts w:ascii="Arial" w:cs="Arial" w:eastAsia="Arial" w:hAnsi="Arial"/>
          <w:sz w:val="17"/>
          <w:szCs w:val="17"/>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Arial" w:cs="Arial" w:eastAsia="Arial" w:hAnsi="Arial"/>
          <w:sz w:val="17"/>
          <w:szCs w:val="17"/>
          <w:u w:val="single" w:color="auto"/>
          <w:color w:val="auto"/>
        </w:rPr>
        <w:t>Prohibited Investor</w:t>
      </w:r>
      <w:r>
        <w:rPr>
          <w:rFonts w:ascii="Arial" w:cs="Arial" w:eastAsia="Arial" w:hAnsi="Arial"/>
          <w:sz w:val="17"/>
          <w:szCs w:val="17"/>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 Act</w:t>
      </w:r>
      <w:r>
        <w:rPr>
          <w:rFonts w:ascii="Arial" w:cs="Arial" w:eastAsia="Arial" w:hAnsi="Arial"/>
          <w:sz w:val="17"/>
          <w:szCs w:val="17"/>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98" w:lineRule="exact"/>
        <w:rPr>
          <w:rFonts w:ascii="Arial" w:cs="Arial" w:eastAsia="Arial" w:hAnsi="Arial"/>
          <w:sz w:val="17"/>
          <w:szCs w:val="17"/>
          <w:color w:val="auto"/>
        </w:rPr>
      </w:pPr>
    </w:p>
    <w:p>
      <w:pPr>
        <w:ind w:left="460" w:right="479" w:firstLine="858"/>
        <w:spacing w:after="0" w:line="277" w:lineRule="auto"/>
        <w:tabs>
          <w:tab w:leader="none" w:pos="164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No disclosure or offering document has been prepared by either of the Placement Agents or any of their respective affiliates in connection with the offer and sale of the Shares.</w:t>
      </w:r>
    </w:p>
    <w:p>
      <w:pPr>
        <w:spacing w:after="0" w:line="102" w:lineRule="exact"/>
        <w:rPr>
          <w:rFonts w:ascii="Arial" w:cs="Arial" w:eastAsia="Arial" w:hAnsi="Arial"/>
          <w:sz w:val="18"/>
          <w:szCs w:val="18"/>
          <w:color w:val="auto"/>
        </w:rPr>
      </w:pPr>
    </w:p>
    <w:p>
      <w:pPr>
        <w:jc w:val="both"/>
        <w:ind w:left="460" w:right="459" w:firstLine="858"/>
        <w:spacing w:after="0" w:line="286" w:lineRule="auto"/>
        <w:tabs>
          <w:tab w:leader="none" w:pos="1801" w:val="left"/>
        </w:tabs>
        <w:numPr>
          <w:ilvl w:val="0"/>
          <w:numId w:val="494"/>
        </w:numPr>
        <w:rPr>
          <w:rFonts w:ascii="Arial" w:cs="Arial" w:eastAsia="Arial" w:hAnsi="Arial"/>
          <w:sz w:val="17"/>
          <w:szCs w:val="17"/>
          <w:color w:val="auto"/>
        </w:rPr>
      </w:pPr>
      <w:r>
        <w:rPr>
          <w:rFonts w:ascii="Arial" w:cs="Arial" w:eastAsia="Arial" w:hAnsi="Arial"/>
          <w:sz w:val="17"/>
          <w:szCs w:val="17"/>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97" w:lineRule="exact"/>
        <w:rPr>
          <w:rFonts w:ascii="Arial" w:cs="Arial" w:eastAsia="Arial" w:hAnsi="Arial"/>
          <w:sz w:val="17"/>
          <w:szCs w:val="17"/>
          <w:color w:val="auto"/>
        </w:rPr>
      </w:pPr>
    </w:p>
    <w:p>
      <w:pPr>
        <w:ind w:left="460" w:right="479" w:firstLine="858"/>
        <w:spacing w:after="0" w:line="277" w:lineRule="auto"/>
        <w:tabs>
          <w:tab w:leader="none" w:pos="16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 connection with the issue and purchase of the Shares, the Placement Agents have not acted as the Investor’s financial advisor or fiduciary.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3" w:name="page504"/>
    <w:bookmarkEnd w:id="50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3" w:lineRule="auto"/>
        <w:tabs>
          <w:tab w:leader="none" w:pos="1675" w:val="left"/>
        </w:tabs>
        <w:numPr>
          <w:ilvl w:val="1"/>
          <w:numId w:val="495"/>
        </w:numPr>
        <w:rPr>
          <w:rFonts w:ascii="Arial" w:cs="Arial" w:eastAsia="Arial" w:hAnsi="Arial"/>
          <w:sz w:val="18"/>
          <w:szCs w:val="18"/>
          <w:color w:val="auto"/>
        </w:rPr>
      </w:pPr>
      <w:r>
        <w:rPr>
          <w:rFonts w:ascii="Arial" w:cs="Arial" w:eastAsia="Arial" w:hAnsi="Arial"/>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16" w:lineRule="exact"/>
        <w:rPr>
          <w:rFonts w:ascii="Arial" w:cs="Arial" w:eastAsia="Arial" w:hAnsi="Arial"/>
          <w:sz w:val="18"/>
          <w:szCs w:val="18"/>
          <w:color w:val="auto"/>
        </w:rPr>
      </w:pPr>
    </w:p>
    <w:p>
      <w:pPr>
        <w:jc w:val="both"/>
        <w:ind w:left="460" w:right="479" w:firstLine="858"/>
        <w:spacing w:after="0" w:line="263" w:lineRule="auto"/>
        <w:tabs>
          <w:tab w:leader="none" w:pos="171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16" w:lineRule="exact"/>
        <w:rPr>
          <w:rFonts w:ascii="Arial" w:cs="Arial" w:eastAsia="Arial" w:hAnsi="Arial"/>
          <w:sz w:val="18"/>
          <w:szCs w:val="18"/>
          <w:color w:val="auto"/>
        </w:rPr>
      </w:pPr>
    </w:p>
    <w:p>
      <w:pPr>
        <w:ind w:left="1200" w:hanging="314"/>
        <w:spacing w:after="0"/>
        <w:tabs>
          <w:tab w:leader="none" w:pos="1200"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460" w:right="459" w:firstLine="858"/>
        <w:spacing w:after="0" w:line="282" w:lineRule="auto"/>
        <w:tabs>
          <w:tab w:leader="none" w:pos="1725" w:val="left"/>
        </w:tabs>
        <w:numPr>
          <w:ilvl w:val="1"/>
          <w:numId w:val="496"/>
        </w:numPr>
        <w:rPr>
          <w:rFonts w:ascii="Arial" w:cs="Arial" w:eastAsia="Arial" w:hAnsi="Arial"/>
          <w:sz w:val="16"/>
          <w:szCs w:val="16"/>
          <w:color w:val="auto"/>
        </w:rPr>
      </w:pPr>
      <w:r>
        <w:rPr>
          <w:rFonts w:ascii="Arial" w:cs="Arial" w:eastAsia="Arial" w:hAnsi="Arial"/>
          <w:sz w:val="16"/>
          <w:szCs w:val="16"/>
          <w:color w:val="auto"/>
        </w:rPr>
        <w:t>In the event that the Shares are not registered in connection with the consummation of the Transaction, FSD agrees that, within thirty (30) calendar days after the consummation of the Transaction (the “</w:t>
      </w:r>
      <w:r>
        <w:rPr>
          <w:rFonts w:ascii="Arial" w:cs="Arial" w:eastAsia="Arial" w:hAnsi="Arial"/>
          <w:sz w:val="16"/>
          <w:szCs w:val="16"/>
          <w:u w:val="single" w:color="auto"/>
          <w:color w:val="auto"/>
        </w:rPr>
        <w:t>Filing Deadline</w:t>
      </w:r>
      <w:r>
        <w:rPr>
          <w:rFonts w:ascii="Arial" w:cs="Arial" w:eastAsia="Arial" w:hAnsi="Arial"/>
          <w:sz w:val="16"/>
          <w:szCs w:val="16"/>
          <w:color w:val="auto"/>
        </w:rPr>
        <w:t>”), it will file with the SEC (at the its sole cost and expense) a registration statement registering the resale of such Shares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it shall use its commercially reasonable efforts to have the Registration Statement declared effective as soon as practicable after the filing thereof, but no later than the earlier of (1) the 90th calendar day after the consummation of the Transaction (or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4" w:name="page505"/>
    <w:bookmarkEnd w:id="50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7" w:lineRule="auto"/>
        <w:tabs>
          <w:tab w:leader="none" w:pos="1683" w:val="left"/>
        </w:tabs>
        <w:numPr>
          <w:ilvl w:val="0"/>
          <w:numId w:val="49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Arial" w:cs="Arial" w:eastAsia="Arial" w:hAnsi="Arial"/>
          <w:sz w:val="17"/>
          <w:szCs w:val="17"/>
          <w:u w:val="single" w:color="auto"/>
          <w:color w:val="auto"/>
        </w:rPr>
        <w:t>Suspension Event</w:t>
      </w:r>
      <w:r>
        <w:rPr>
          <w:rFonts w:ascii="Arial" w:cs="Arial" w:eastAsia="Arial" w:hAnsi="Arial"/>
          <w:sz w:val="17"/>
          <w:szCs w:val="17"/>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2" w:lineRule="exact"/>
        <w:rPr>
          <w:rFonts w:ascii="Arial" w:cs="Arial" w:eastAsia="Arial" w:hAnsi="Arial"/>
          <w:sz w:val="17"/>
          <w:szCs w:val="17"/>
          <w:color w:val="auto"/>
        </w:rPr>
      </w:pPr>
    </w:p>
    <w:p>
      <w:pPr>
        <w:jc w:val="both"/>
        <w:ind w:left="460" w:right="459" w:firstLine="858"/>
        <w:spacing w:after="0" w:line="283" w:lineRule="auto"/>
        <w:tabs>
          <w:tab w:leader="none" w:pos="1792" w:val="left"/>
        </w:tabs>
        <w:numPr>
          <w:ilvl w:val="0"/>
          <w:numId w:val="497"/>
        </w:numPr>
        <w:rPr>
          <w:rFonts w:ascii="Arial" w:cs="Arial" w:eastAsia="Arial" w:hAnsi="Arial"/>
          <w:sz w:val="16"/>
          <w:szCs w:val="16"/>
          <w:color w:val="auto"/>
        </w:rPr>
      </w:pPr>
      <w:r>
        <w:rPr>
          <w:rFonts w:ascii="Arial" w:cs="Arial" w:eastAsia="Arial" w:hAnsi="Arial"/>
          <w:sz w:val="16"/>
          <w:szCs w:val="16"/>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333" w:lineRule="exact"/>
        <w:rPr>
          <w:rFonts w:ascii="Arial" w:cs="Arial" w:eastAsia="Arial" w:hAnsi="Arial"/>
          <w:sz w:val="16"/>
          <w:szCs w:val="16"/>
          <w:color w:val="auto"/>
        </w:rPr>
      </w:pPr>
    </w:p>
    <w:p>
      <w:pPr>
        <w:jc w:val="both"/>
        <w:ind w:left="460" w:right="459" w:firstLine="858"/>
        <w:spacing w:after="0" w:line="275" w:lineRule="auto"/>
        <w:tabs>
          <w:tab w:leader="none" w:pos="1646" w:val="left"/>
        </w:tabs>
        <w:numPr>
          <w:ilvl w:val="0"/>
          <w:numId w:val="497"/>
        </w:numPr>
        <w:rPr>
          <w:rFonts w:ascii="Arial" w:cs="Arial" w:eastAsia="Arial" w:hAnsi="Arial"/>
          <w:sz w:val="17"/>
          <w:szCs w:val="17"/>
          <w:color w:val="auto"/>
        </w:rPr>
      </w:pPr>
      <w:r>
        <w:rPr>
          <w:rFonts w:ascii="Arial" w:cs="Arial" w:eastAsia="Arial" w:hAnsi="Arial"/>
          <w:sz w:val="17"/>
          <w:szCs w:val="17"/>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5" w:name="page506"/>
    <w:bookmarkEnd w:id="50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8" w:lineRule="auto"/>
        <w:tabs>
          <w:tab w:leader="none" w:pos="1683" w:val="left"/>
        </w:tabs>
        <w:numPr>
          <w:ilvl w:val="0"/>
          <w:numId w:val="498"/>
        </w:numPr>
        <w:rPr>
          <w:rFonts w:ascii="Arial" w:cs="Arial" w:eastAsia="Arial" w:hAnsi="Arial"/>
          <w:sz w:val="17"/>
          <w:szCs w:val="17"/>
          <w:color w:val="auto"/>
        </w:rPr>
      </w:pPr>
      <w:r>
        <w:rPr>
          <w:rFonts w:ascii="Arial" w:cs="Arial" w:eastAsia="Arial" w:hAnsi="Arial"/>
          <w:sz w:val="17"/>
          <w:szCs w:val="17"/>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16" w:lineRule="exact"/>
        <w:rPr>
          <w:rFonts w:ascii="Arial" w:cs="Arial" w:eastAsia="Arial" w:hAnsi="Arial"/>
          <w:sz w:val="17"/>
          <w:szCs w:val="17"/>
          <w:color w:val="auto"/>
        </w:rPr>
      </w:pPr>
    </w:p>
    <w:p>
      <w:pPr>
        <w:jc w:val="both"/>
        <w:ind w:left="460" w:right="459" w:firstLine="858"/>
        <w:spacing w:after="0" w:line="286" w:lineRule="auto"/>
        <w:tabs>
          <w:tab w:leader="none" w:pos="1653" w:val="left"/>
        </w:tabs>
        <w:numPr>
          <w:ilvl w:val="0"/>
          <w:numId w:val="498"/>
        </w:numPr>
        <w:rPr>
          <w:rFonts w:ascii="Arial" w:cs="Arial" w:eastAsia="Arial" w:hAnsi="Arial"/>
          <w:sz w:val="16"/>
          <w:szCs w:val="16"/>
          <w:color w:val="auto"/>
        </w:rPr>
      </w:pPr>
      <w:r>
        <w:rPr>
          <w:rFonts w:ascii="Arial" w:cs="Arial" w:eastAsia="Arial" w:hAnsi="Arial"/>
          <w:sz w:val="16"/>
          <w:szCs w:val="16"/>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03" w:lineRule="exact"/>
        <w:rPr>
          <w:rFonts w:ascii="Arial" w:cs="Arial" w:eastAsia="Arial" w:hAnsi="Arial"/>
          <w:sz w:val="16"/>
          <w:szCs w:val="16"/>
          <w:color w:val="auto"/>
        </w:rPr>
      </w:pPr>
    </w:p>
    <w:p>
      <w:pPr>
        <w:jc w:val="both"/>
        <w:ind w:left="460" w:right="459" w:firstLine="858"/>
        <w:spacing w:after="0" w:line="285" w:lineRule="auto"/>
        <w:tabs>
          <w:tab w:leader="none" w:pos="1652" w:val="left"/>
        </w:tabs>
        <w:numPr>
          <w:ilvl w:val="0"/>
          <w:numId w:val="498"/>
        </w:numPr>
        <w:rPr>
          <w:rFonts w:ascii="Arial" w:cs="Arial" w:eastAsia="Arial" w:hAnsi="Arial"/>
          <w:sz w:val="16"/>
          <w:szCs w:val="16"/>
          <w:color w:val="auto"/>
        </w:rPr>
      </w:pPr>
      <w:r>
        <w:rPr>
          <w:rFonts w:ascii="Arial" w:cs="Arial" w:eastAsia="Arial" w:hAnsi="Arial"/>
          <w:sz w:val="16"/>
          <w:szCs w:val="16"/>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88" w:lineRule="exact"/>
        <w:rPr>
          <w:sz w:val="20"/>
          <w:szCs w:val="20"/>
          <w:color w:val="auto"/>
        </w:rPr>
      </w:pPr>
    </w:p>
    <w:p>
      <w:pPr>
        <w:jc w:val="both"/>
        <w:ind w:left="460" w:right="459" w:firstLine="858"/>
        <w:spacing w:after="0" w:line="269" w:lineRule="auto"/>
        <w:tabs>
          <w:tab w:leader="none" w:pos="1666" w:val="left"/>
        </w:tabs>
        <w:numPr>
          <w:ilvl w:val="0"/>
          <w:numId w:val="49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will relieve any party from liability for any willful breach hereof prior to the time of termination,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6" w:name="page507"/>
    <w:bookmarkEnd w:id="50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16" w:lineRule="exact"/>
        <w:rPr>
          <w:sz w:val="20"/>
          <w:szCs w:val="20"/>
          <w:color w:val="auto"/>
        </w:rPr>
      </w:pPr>
    </w:p>
    <w:p>
      <w:pPr>
        <w:jc w:val="both"/>
        <w:ind w:left="460" w:right="459" w:firstLine="858"/>
        <w:spacing w:after="0" w:line="284" w:lineRule="auto"/>
        <w:tabs>
          <w:tab w:leader="none" w:pos="1733" w:val="left"/>
        </w:tabs>
        <w:numPr>
          <w:ilvl w:val="1"/>
          <w:numId w:val="500"/>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Investor hereby acknowledges that FSD has established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containing the proceeds of its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6"/>
          <w:szCs w:val="16"/>
          <w:u w:val="single" w:color="auto"/>
          <w:color w:val="auto"/>
        </w:rPr>
        <w:t>Released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12" w:lineRule="exact"/>
        <w:rPr>
          <w:rFonts w:ascii="Arial" w:cs="Arial" w:eastAsia="Arial" w:hAnsi="Arial"/>
          <w:sz w:val="16"/>
          <w:szCs w:val="16"/>
          <w:color w:val="auto"/>
        </w:rPr>
      </w:pPr>
    </w:p>
    <w:p>
      <w:pPr>
        <w:ind w:left="1300" w:hanging="414"/>
        <w:spacing w:after="0"/>
        <w:tabs>
          <w:tab w:leader="none" w:pos="1300" w:val="left"/>
        </w:tabs>
        <w:numPr>
          <w:ilvl w:val="0"/>
          <w:numId w:val="50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858"/>
        <w:spacing w:after="0" w:line="311" w:lineRule="auto"/>
        <w:tabs>
          <w:tab w:leader="none" w:pos="1676" w:val="left"/>
        </w:tabs>
        <w:numPr>
          <w:ilvl w:val="0"/>
          <w:numId w:val="502"/>
        </w:numPr>
        <w:rPr>
          <w:rFonts w:ascii="Arial" w:cs="Arial" w:eastAsia="Arial" w:hAnsi="Arial"/>
          <w:sz w:val="16"/>
          <w:szCs w:val="16"/>
          <w:color w:val="auto"/>
        </w:rPr>
      </w:pPr>
      <w:r>
        <w:rPr>
          <w:rFonts w:ascii="Arial" w:cs="Arial" w:eastAsia="Arial" w:hAnsi="Arial"/>
          <w:sz w:val="16"/>
          <w:szCs w:val="16"/>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81" w:lineRule="exact"/>
        <w:rPr>
          <w:rFonts w:ascii="Arial" w:cs="Arial" w:eastAsia="Arial" w:hAnsi="Arial"/>
          <w:sz w:val="16"/>
          <w:szCs w:val="16"/>
          <w:color w:val="auto"/>
        </w:rPr>
      </w:pPr>
    </w:p>
    <w:p>
      <w:pPr>
        <w:jc w:val="both"/>
        <w:ind w:left="460" w:right="459" w:firstLine="858"/>
        <w:spacing w:after="0" w:line="293" w:lineRule="auto"/>
        <w:tabs>
          <w:tab w:leader="none" w:pos="1651" w:val="left"/>
        </w:tabs>
        <w:numPr>
          <w:ilvl w:val="0"/>
          <w:numId w:val="502"/>
        </w:numPr>
        <w:rPr>
          <w:rFonts w:ascii="Arial" w:cs="Arial" w:eastAsia="Arial" w:hAnsi="Arial"/>
          <w:sz w:val="16"/>
          <w:szCs w:val="16"/>
          <w:color w:val="auto"/>
        </w:rPr>
      </w:pPr>
      <w:r>
        <w:rPr>
          <w:rFonts w:ascii="Arial" w:cs="Arial" w:eastAsia="Arial" w:hAnsi="Arial"/>
          <w:sz w:val="16"/>
          <w:szCs w:val="16"/>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96" w:lineRule="exact"/>
        <w:rPr>
          <w:rFonts w:ascii="Arial" w:cs="Arial" w:eastAsia="Arial" w:hAnsi="Arial"/>
          <w:sz w:val="16"/>
          <w:szCs w:val="16"/>
          <w:color w:val="auto"/>
        </w:rPr>
      </w:pPr>
    </w:p>
    <w:p>
      <w:pPr>
        <w:jc w:val="both"/>
        <w:ind w:left="460" w:right="459" w:firstLine="858"/>
        <w:spacing w:after="0" w:line="272" w:lineRule="auto"/>
        <w:tabs>
          <w:tab w:leader="none" w:pos="1784"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96" w:lineRule="exact"/>
        <w:rPr>
          <w:rFonts w:ascii="Arial" w:cs="Arial" w:eastAsia="Arial" w:hAnsi="Arial"/>
          <w:sz w:val="17"/>
          <w:szCs w:val="17"/>
          <w:color w:val="auto"/>
        </w:rPr>
      </w:pPr>
    </w:p>
    <w:p>
      <w:pPr>
        <w:jc w:val="both"/>
        <w:ind w:left="460" w:right="459" w:firstLine="858"/>
        <w:spacing w:after="0" w:line="259" w:lineRule="auto"/>
        <w:tabs>
          <w:tab w:leader="none" w:pos="1711" w:val="left"/>
        </w:tabs>
        <w:numPr>
          <w:ilvl w:val="0"/>
          <w:numId w:val="502"/>
        </w:numPr>
        <w:rPr>
          <w:rFonts w:ascii="Arial" w:cs="Arial" w:eastAsia="Arial" w:hAnsi="Arial"/>
          <w:sz w:val="18"/>
          <w:szCs w:val="18"/>
          <w:color w:val="auto"/>
        </w:rPr>
      </w:pPr>
      <w:r>
        <w:rPr>
          <w:rFonts w:ascii="Arial" w:cs="Arial" w:eastAsia="Arial" w:hAnsi="Arial"/>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19" w:lineRule="exact"/>
        <w:rPr>
          <w:rFonts w:ascii="Arial" w:cs="Arial" w:eastAsia="Arial" w:hAnsi="Arial"/>
          <w:sz w:val="18"/>
          <w:szCs w:val="18"/>
          <w:color w:val="auto"/>
        </w:rPr>
      </w:pPr>
    </w:p>
    <w:p>
      <w:pPr>
        <w:ind w:left="460" w:right="459" w:firstLine="858"/>
        <w:spacing w:after="0" w:line="277" w:lineRule="auto"/>
        <w:tabs>
          <w:tab w:leader="none" w:pos="1778"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All of the agreements, representations and warranties made by each party hereto in this Subscription Agreement shall survive the Closing.</w:t>
      </w:r>
    </w:p>
    <w:p>
      <w:pPr>
        <w:spacing w:after="0" w:line="102" w:lineRule="exact"/>
        <w:rPr>
          <w:rFonts w:ascii="Arial" w:cs="Arial" w:eastAsia="Arial" w:hAnsi="Arial"/>
          <w:sz w:val="18"/>
          <w:szCs w:val="18"/>
          <w:color w:val="auto"/>
        </w:rPr>
      </w:pPr>
    </w:p>
    <w:p>
      <w:pPr>
        <w:jc w:val="both"/>
        <w:ind w:left="460" w:right="459" w:firstLine="858"/>
        <w:spacing w:after="0" w:line="254" w:lineRule="auto"/>
        <w:tabs>
          <w:tab w:leader="none" w:pos="178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7" w:name="page508"/>
    <w:bookmarkEnd w:id="50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72" w:lineRule="auto"/>
        <w:tabs>
          <w:tab w:leader="none" w:pos="1678" w:val="left"/>
        </w:tabs>
        <w:numPr>
          <w:ilvl w:val="0"/>
          <w:numId w:val="503"/>
        </w:numPr>
        <w:rPr>
          <w:rFonts w:ascii="Arial" w:cs="Arial" w:eastAsia="Arial" w:hAnsi="Arial"/>
          <w:sz w:val="17"/>
          <w:szCs w:val="17"/>
          <w:color w:val="auto"/>
        </w:rPr>
      </w:pPr>
      <w:r>
        <w:rPr>
          <w:rFonts w:ascii="Arial" w:cs="Arial" w:eastAsia="Arial" w:hAnsi="Arial"/>
          <w:sz w:val="17"/>
          <w:szCs w:val="17"/>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Arial" w:cs="Arial" w:eastAsia="Arial" w:hAnsi="Arial"/>
          <w:sz w:val="17"/>
          <w:szCs w:val="17"/>
          <w:u w:val="single" w:color="auto"/>
          <w:color w:val="auto"/>
        </w:rPr>
        <w:t>Sections 10(c)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10(d)</w:t>
      </w:r>
      <w:r>
        <w:rPr>
          <w:rFonts w:ascii="Arial" w:cs="Arial" w:eastAsia="Arial" w:hAnsi="Arial"/>
          <w:sz w:val="17"/>
          <w:szCs w:val="17"/>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09" w:lineRule="exact"/>
        <w:rPr>
          <w:rFonts w:ascii="Arial" w:cs="Arial" w:eastAsia="Arial" w:hAnsi="Arial"/>
          <w:sz w:val="17"/>
          <w:szCs w:val="17"/>
          <w:color w:val="auto"/>
        </w:rPr>
      </w:pPr>
    </w:p>
    <w:p>
      <w:pPr>
        <w:jc w:val="both"/>
        <w:ind w:left="460" w:right="459" w:firstLine="858"/>
        <w:spacing w:after="0" w:line="275" w:lineRule="auto"/>
        <w:tabs>
          <w:tab w:leader="none" w:pos="169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08" w:lineRule="exact"/>
        <w:rPr>
          <w:rFonts w:ascii="Arial" w:cs="Arial" w:eastAsia="Arial" w:hAnsi="Arial"/>
          <w:sz w:val="17"/>
          <w:szCs w:val="17"/>
          <w:color w:val="auto"/>
        </w:rPr>
      </w:pPr>
    </w:p>
    <w:p>
      <w:pPr>
        <w:jc w:val="both"/>
        <w:ind w:left="460" w:right="459" w:firstLine="858"/>
        <w:spacing w:after="0" w:line="259" w:lineRule="auto"/>
        <w:tabs>
          <w:tab w:leader="none" w:pos="166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05" w:lineRule="exact"/>
        <w:rPr>
          <w:rFonts w:ascii="Arial" w:cs="Arial" w:eastAsia="Arial" w:hAnsi="Arial"/>
          <w:sz w:val="18"/>
          <w:szCs w:val="18"/>
          <w:color w:val="auto"/>
        </w:rPr>
      </w:pPr>
    </w:p>
    <w:p>
      <w:pPr>
        <w:jc w:val="both"/>
        <w:ind w:left="460" w:right="459" w:firstLine="858"/>
        <w:spacing w:after="0" w:line="259" w:lineRule="auto"/>
        <w:tabs>
          <w:tab w:leader="none" w:pos="1731"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9" w:lineRule="exact"/>
        <w:rPr>
          <w:rFonts w:ascii="Arial" w:cs="Arial" w:eastAsia="Arial" w:hAnsi="Arial"/>
          <w:sz w:val="18"/>
          <w:szCs w:val="18"/>
          <w:color w:val="auto"/>
        </w:rPr>
      </w:pPr>
    </w:p>
    <w:p>
      <w:pPr>
        <w:jc w:val="both"/>
        <w:ind w:left="460" w:right="479" w:firstLine="858"/>
        <w:spacing w:after="0" w:line="293" w:lineRule="auto"/>
        <w:tabs>
          <w:tab w:leader="none" w:pos="1749"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96" w:lineRule="exact"/>
        <w:rPr>
          <w:rFonts w:ascii="Arial" w:cs="Arial" w:eastAsia="Arial" w:hAnsi="Arial"/>
          <w:sz w:val="16"/>
          <w:szCs w:val="16"/>
          <w:color w:val="auto"/>
        </w:rPr>
      </w:pPr>
    </w:p>
    <w:p>
      <w:pPr>
        <w:jc w:val="both"/>
        <w:ind w:left="460" w:right="459" w:firstLine="858"/>
        <w:spacing w:after="0" w:line="251" w:lineRule="auto"/>
        <w:tabs>
          <w:tab w:leader="none" w:pos="1489"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8"/>
          <w:szCs w:val="18"/>
          <w:u w:val="single" w:color="auto"/>
          <w:color w:val="auto"/>
        </w:rPr>
        <w:t>SECTION 10(m)</w:t>
      </w:r>
      <w:r>
        <w:rPr>
          <w:rFonts w:ascii="Arial" w:cs="Arial" w:eastAsia="Arial" w:hAnsi="Arial"/>
          <w:sz w:val="18"/>
          <w:szCs w:val="18"/>
          <w:color w:val="auto"/>
        </w:rPr>
        <w:t>OF THIS SUBSCRIPTION AGREEMENT OR IN SUCH OTHER MANNER AS MAY BE PERMITTED BY LAW SHALL BE VALID AND SUFFICIENT SERVICE THEREOF.</w:t>
      </w:r>
    </w:p>
    <w:p>
      <w:pPr>
        <w:spacing w:after="0" w:line="126"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8" w:name="page509"/>
    <w:bookmarkEnd w:id="50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 xml:space="preserve">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8"/>
          <w:szCs w:val="18"/>
          <w:u w:val="single" w:color="auto"/>
          <w:color w:val="auto"/>
        </w:rPr>
        <w:t>SECTION 10(l)</w:t>
      </w:r>
      <w:r>
        <w:rPr>
          <w:rFonts w:ascii="Arial" w:cs="Arial" w:eastAsia="Arial" w:hAnsi="Arial"/>
          <w:sz w:val="18"/>
          <w:szCs w:val="18"/>
          <w:color w:val="auto"/>
        </w:rPr>
        <w:t>.</w:t>
      </w:r>
    </w:p>
    <w:p>
      <w:pPr>
        <w:spacing w:after="0" w:line="125" w:lineRule="exact"/>
        <w:rPr>
          <w:sz w:val="20"/>
          <w:szCs w:val="20"/>
          <w:color w:val="auto"/>
        </w:rPr>
      </w:pPr>
    </w:p>
    <w:p>
      <w:pPr>
        <w:jc w:val="both"/>
        <w:ind w:left="460" w:right="459" w:firstLine="858"/>
        <w:spacing w:after="0" w:line="283" w:lineRule="auto"/>
        <w:tabs>
          <w:tab w:leader="none" w:pos="1830" w:val="left"/>
        </w:tabs>
        <w:numPr>
          <w:ilvl w:val="2"/>
          <w:numId w:val="504"/>
        </w:numPr>
        <w:rPr>
          <w:rFonts w:ascii="Arial" w:cs="Arial" w:eastAsia="Arial" w:hAnsi="Arial"/>
          <w:sz w:val="16"/>
          <w:szCs w:val="16"/>
          <w:color w:val="auto"/>
        </w:rPr>
      </w:pPr>
      <w:r>
        <w:rPr>
          <w:rFonts w:ascii="Arial" w:cs="Arial" w:eastAsia="Arial" w:hAnsi="Arial"/>
          <w:sz w:val="16"/>
          <w:szCs w:val="16"/>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notice, request, demand, claim or other communication is also sent to the recipient pursuant to clauses (i), (iii) or (iv) of this </w:t>
      </w:r>
      <w:r>
        <w:rPr>
          <w:rFonts w:ascii="Arial" w:cs="Arial" w:eastAsia="Arial" w:hAnsi="Arial"/>
          <w:sz w:val="16"/>
          <w:szCs w:val="16"/>
          <w:u w:val="single" w:color="auto"/>
          <w:color w:val="auto"/>
        </w:rPr>
        <w:t>Section 10(m)</w:t>
      </w:r>
      <w:r>
        <w:rPr>
          <w:rFonts w:ascii="Arial" w:cs="Arial" w:eastAsia="Arial" w:hAnsi="Arial"/>
          <w:sz w:val="16"/>
          <w:szCs w:val="16"/>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6"/>
          <w:szCs w:val="16"/>
          <w:u w:val="single" w:color="auto"/>
          <w:color w:val="auto"/>
        </w:rPr>
        <w:t>Section 10(m)</w:t>
      </w:r>
      <w:r>
        <w:rPr>
          <w:rFonts w:ascii="Arial" w:cs="Arial" w:eastAsia="Arial" w:hAnsi="Arial"/>
          <w:sz w:val="16"/>
          <w:szCs w:val="16"/>
          <w:color w:val="auto"/>
        </w:rPr>
        <w:t>. All communications sent to FSD shall be sent to: FS Development Corp., 600 Montgomery Street, Suite 4500, San Francisco, California 94111, Attn: Jim Tananbaum, email: jim@foresitecapital.com, with a copy to: White</w:t>
      </w:r>
    </w:p>
    <w:p>
      <w:pPr>
        <w:spacing w:after="0" w:line="3" w:lineRule="exact"/>
        <w:rPr>
          <w:rFonts w:ascii="Arial" w:cs="Arial" w:eastAsia="Arial" w:hAnsi="Arial"/>
          <w:sz w:val="16"/>
          <w:szCs w:val="16"/>
          <w:color w:val="auto"/>
        </w:rPr>
      </w:pPr>
    </w:p>
    <w:p>
      <w:pPr>
        <w:ind w:left="460" w:right="479" w:hanging="6"/>
        <w:spacing w:after="0" w:line="260" w:lineRule="auto"/>
        <w:tabs>
          <w:tab w:leader="none" w:pos="649" w:val="left"/>
        </w:tabs>
        <w:numPr>
          <w:ilvl w:val="0"/>
          <w:numId w:val="504"/>
        </w:numPr>
        <w:rPr>
          <w:rFonts w:ascii="Arial" w:cs="Arial" w:eastAsia="Arial" w:hAnsi="Arial"/>
          <w:sz w:val="18"/>
          <w:szCs w:val="18"/>
          <w:color w:val="auto"/>
        </w:rPr>
      </w:pPr>
      <w:r>
        <w:rPr>
          <w:rFonts w:ascii="Arial" w:cs="Arial" w:eastAsia="Arial" w:hAnsi="Arial"/>
          <w:sz w:val="18"/>
          <w:szCs w:val="18"/>
          <w:color w:val="auto"/>
        </w:rPr>
        <w:t>Case LLP, 1221 Avenue of the Americas, New York, New York 10020, Attn: Joel L. Rubinstein, Esq., email: joel.rubinstein@whitecase.com.</w:t>
      </w:r>
    </w:p>
    <w:p>
      <w:pPr>
        <w:spacing w:after="0" w:line="117" w:lineRule="exact"/>
        <w:rPr>
          <w:rFonts w:ascii="Arial" w:cs="Arial" w:eastAsia="Arial" w:hAnsi="Arial"/>
          <w:sz w:val="18"/>
          <w:szCs w:val="18"/>
          <w:color w:val="auto"/>
        </w:rPr>
      </w:pPr>
    </w:p>
    <w:p>
      <w:pPr>
        <w:jc w:val="both"/>
        <w:ind w:left="460" w:right="459" w:firstLine="426"/>
        <w:spacing w:after="0" w:line="286" w:lineRule="auto"/>
        <w:tabs>
          <w:tab w:leader="none" w:pos="1371" w:val="left"/>
        </w:tabs>
        <w:numPr>
          <w:ilvl w:val="1"/>
          <w:numId w:val="505"/>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86" w:lineRule="exact"/>
        <w:rPr>
          <w:rFonts w:ascii="Arial" w:cs="Arial" w:eastAsia="Arial" w:hAnsi="Arial"/>
          <w:sz w:val="16"/>
          <w:szCs w:val="16"/>
          <w:color w:val="auto"/>
        </w:rPr>
      </w:pPr>
    </w:p>
    <w:p>
      <w:pPr>
        <w:jc w:val="both"/>
        <w:ind w:left="460" w:right="459" w:firstLine="426"/>
        <w:spacing w:after="0" w:line="255" w:lineRule="auto"/>
        <w:tabs>
          <w:tab w:leader="none" w:pos="1472" w:val="left"/>
        </w:tabs>
        <w:numPr>
          <w:ilvl w:val="1"/>
          <w:numId w:val="505"/>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09" w:name="page510"/>
    <w:bookmarkEnd w:id="50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Investor has executed or caused this Subscription Agreement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its duly authorized representative as of the date set forth below.</w:t>
      </w:r>
    </w:p>
    <w:p>
      <w:pPr>
        <w:spacing w:after="0" w:line="139" w:lineRule="exact"/>
        <w:rPr>
          <w:sz w:val="20"/>
          <w:szCs w:val="20"/>
          <w:color w:val="auto"/>
        </w:rPr>
      </w:pPr>
    </w:p>
    <w:p>
      <w:pPr>
        <w:ind w:left="460"/>
        <w:spacing w:after="0"/>
        <w:tabs>
          <w:tab w:leader="none" w:pos="5200" w:val="left"/>
        </w:tabs>
        <w:rPr>
          <w:sz w:val="20"/>
          <w:szCs w:val="20"/>
          <w:color w:val="auto"/>
        </w:rPr>
      </w:pPr>
      <w:r>
        <w:rPr>
          <w:rFonts w:ascii="Arial" w:cs="Arial" w:eastAsia="Arial" w:hAnsi="Arial"/>
          <w:sz w:val="18"/>
          <w:szCs w:val="18"/>
          <w:color w:val="auto"/>
        </w:rPr>
        <w:t>Name of Investor:</w:t>
      </w:r>
      <w:r>
        <w:rPr>
          <w:sz w:val="20"/>
          <w:szCs w:val="20"/>
          <w:color w:val="auto"/>
        </w:rPr>
        <w:tab/>
      </w:r>
      <w:r>
        <w:rPr>
          <w:rFonts w:ascii="Arial" w:cs="Arial" w:eastAsia="Arial" w:hAnsi="Arial"/>
          <w:sz w:val="16"/>
          <w:szCs w:val="16"/>
          <w:color w:val="auto"/>
        </w:rPr>
        <w:t>State/Country of Formation or Domicile:</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40640</wp:posOffset>
            </wp:positionV>
            <wp:extent cx="244284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40640</wp:posOffset>
            </wp:positionV>
            <wp:extent cx="244284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40640</wp:posOffset>
            </wp:positionV>
            <wp:extent cx="244284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9"/>
              </w:rPr>
              <w:t>Name in which Shares are to be registered (if different):</w:t>
            </w:r>
          </w:p>
        </w:tc>
        <w:tc>
          <w:tcPr>
            <w:tcW w:w="3700" w:type="dxa"/>
            <w:vAlign w:val="bottom"/>
            <w:gridSpan w:val="3"/>
          </w:tcPr>
          <w:p>
            <w:pPr>
              <w:ind w:left="360"/>
              <w:spacing w:after="0"/>
              <w:rPr>
                <w:sz w:val="20"/>
                <w:szCs w:val="20"/>
                <w:color w:val="auto"/>
              </w:rPr>
            </w:pPr>
            <w:r>
              <w:rPr>
                <w:rFonts w:ascii="Arial" w:cs="Arial" w:eastAsia="Arial" w:hAnsi="Arial"/>
                <w:sz w:val="18"/>
                <w:szCs w:val="18"/>
                <w:color w:val="auto"/>
              </w:rPr>
              <w:t>Date: ________, 2020</w:t>
            </w:r>
          </w:p>
        </w:tc>
      </w:tr>
      <w:tr>
        <w:trPr>
          <w:trHeight w:val="567"/>
        </w:trPr>
        <w:tc>
          <w:tcPr>
            <w:tcW w:w="4400" w:type="dxa"/>
            <w:vAlign w:val="bottom"/>
            <w:gridSpan w:val="2"/>
          </w:tcPr>
          <w:p>
            <w:pPr>
              <w:spacing w:after="0"/>
              <w:rPr>
                <w:sz w:val="20"/>
                <w:szCs w:val="20"/>
                <w:color w:val="auto"/>
              </w:rPr>
            </w:pPr>
            <w:r>
              <w:rPr>
                <w:rFonts w:ascii="Arial" w:cs="Arial" w:eastAsia="Arial" w:hAnsi="Arial"/>
                <w:sz w:val="18"/>
                <w:szCs w:val="18"/>
                <w:color w:val="auto"/>
              </w:rPr>
              <w:t>Investor’s EIN:</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Arial" w:cs="Arial" w:eastAsia="Arial" w:hAnsi="Arial"/>
                <w:sz w:val="18"/>
                <w:szCs w:val="18"/>
                <w:color w:val="auto"/>
              </w:rPr>
              <w:t>Business Address-Street:</w:t>
            </w:r>
          </w:p>
        </w:tc>
        <w:tc>
          <w:tcPr>
            <w:tcW w:w="3700" w:type="dxa"/>
            <w:vAlign w:val="bottom"/>
            <w:gridSpan w:val="3"/>
          </w:tcPr>
          <w:p>
            <w:pPr>
              <w:ind w:left="360"/>
              <w:spacing w:after="0"/>
              <w:rPr>
                <w:sz w:val="20"/>
                <w:szCs w:val="20"/>
                <w:color w:val="auto"/>
              </w:rPr>
            </w:pPr>
            <w:r>
              <w:rPr>
                <w:rFonts w:ascii="Arial" w:cs="Arial" w:eastAsia="Arial" w:hAnsi="Arial"/>
                <w:sz w:val="18"/>
                <w:szCs w:val="18"/>
                <w:color w:val="auto"/>
              </w:rPr>
              <w:t>Mailing Address-Street (if different):</w:t>
            </w:r>
          </w:p>
        </w:tc>
      </w:tr>
      <w:tr>
        <w:trPr>
          <w:trHeight w:val="540"/>
        </w:trPr>
        <w:tc>
          <w:tcPr>
            <w:tcW w:w="4400" w:type="dxa"/>
            <w:vAlign w:val="bottom"/>
            <w:gridSpan w:val="2"/>
          </w:tcPr>
          <w:p>
            <w:pPr>
              <w:spacing w:after="0"/>
              <w:rPr>
                <w:sz w:val="20"/>
                <w:szCs w:val="20"/>
                <w:color w:val="auto"/>
              </w:rPr>
            </w:pPr>
            <w:r>
              <w:rPr>
                <w:rFonts w:ascii="Arial" w:cs="Arial" w:eastAsia="Arial" w:hAnsi="Arial"/>
                <w:sz w:val="18"/>
                <w:szCs w:val="18"/>
                <w:color w:val="auto"/>
              </w:rPr>
              <w:t>City, State, Zip:</w:t>
            </w:r>
          </w:p>
        </w:tc>
        <w:tc>
          <w:tcPr>
            <w:tcW w:w="3700" w:type="dxa"/>
            <w:vAlign w:val="bottom"/>
            <w:gridSpan w:val="3"/>
          </w:tcPr>
          <w:p>
            <w:pPr>
              <w:ind w:left="360"/>
              <w:spacing w:after="0"/>
              <w:rPr>
                <w:sz w:val="20"/>
                <w:szCs w:val="20"/>
                <w:color w:val="auto"/>
              </w:rPr>
            </w:pPr>
            <w:r>
              <w:rPr>
                <w:rFonts w:ascii="Arial" w:cs="Arial" w:eastAsia="Arial" w:hAnsi="Arial"/>
                <w:sz w:val="18"/>
                <w:szCs w:val="18"/>
                <w:color w:val="auto"/>
              </w:rPr>
              <w:t>City, State, Zip:</w:t>
            </w:r>
          </w:p>
        </w:tc>
      </w:tr>
      <w:tr>
        <w:trPr>
          <w:trHeight w:val="567"/>
        </w:trPr>
        <w:tc>
          <w:tcPr>
            <w:tcW w:w="4400" w:type="dxa"/>
            <w:vAlign w:val="bottom"/>
            <w:gridSpan w:val="2"/>
          </w:tcPr>
          <w:p>
            <w:pPr>
              <w:spacing w:after="0"/>
              <w:rPr>
                <w:sz w:val="20"/>
                <w:szCs w:val="20"/>
                <w:color w:val="auto"/>
              </w:rPr>
            </w:pPr>
            <w:r>
              <w:rPr>
                <w:rFonts w:ascii="Arial" w:cs="Arial" w:eastAsia="Arial" w:hAnsi="Arial"/>
                <w:sz w:val="18"/>
                <w:szCs w:val="18"/>
                <w:color w:val="auto"/>
              </w:rPr>
              <w:t>Attn:</w:t>
            </w:r>
          </w:p>
        </w:tc>
        <w:tc>
          <w:tcPr>
            <w:tcW w:w="3700" w:type="dxa"/>
            <w:vAlign w:val="bottom"/>
            <w:gridSpan w:val="3"/>
          </w:tcPr>
          <w:p>
            <w:pPr>
              <w:ind w:left="360"/>
              <w:spacing w:after="0"/>
              <w:rPr>
                <w:sz w:val="20"/>
                <w:szCs w:val="20"/>
                <w:color w:val="auto"/>
              </w:rPr>
            </w:pPr>
            <w:r>
              <w:rPr>
                <w:rFonts w:ascii="Arial" w:cs="Arial" w:eastAsia="Arial" w:hAnsi="Arial"/>
                <w:sz w:val="18"/>
                <w:szCs w:val="18"/>
                <w:color w:val="auto"/>
              </w:rPr>
              <w:t>Attn:</w:t>
            </w:r>
          </w:p>
        </w:tc>
      </w:tr>
      <w:tr>
        <w:trPr>
          <w:trHeight w:val="40"/>
        </w:trPr>
        <w:tc>
          <w:tcPr>
            <w:tcW w:w="80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480"/>
        </w:trPr>
        <w:tc>
          <w:tcPr>
            <w:tcW w:w="4400" w:type="dxa"/>
            <w:vAlign w:val="bottom"/>
            <w:gridSpan w:val="2"/>
          </w:tcPr>
          <w:p>
            <w:pPr>
              <w:spacing w:after="0"/>
              <w:rPr>
                <w:sz w:val="20"/>
                <w:szCs w:val="20"/>
                <w:color w:val="auto"/>
              </w:rPr>
            </w:pPr>
            <w:r>
              <w:rPr>
                <w:rFonts w:ascii="Arial" w:cs="Arial" w:eastAsia="Arial" w:hAnsi="Arial"/>
                <w:sz w:val="18"/>
                <w:szCs w:val="18"/>
                <w:color w:val="auto"/>
              </w:rPr>
              <w:t>Telephone No.:</w:t>
            </w:r>
          </w:p>
        </w:tc>
        <w:tc>
          <w:tcPr>
            <w:tcW w:w="3700" w:type="dxa"/>
            <w:vAlign w:val="bottom"/>
            <w:gridSpan w:val="3"/>
          </w:tcPr>
          <w:p>
            <w:pPr>
              <w:ind w:left="360"/>
              <w:spacing w:after="0"/>
              <w:rPr>
                <w:sz w:val="20"/>
                <w:szCs w:val="20"/>
                <w:color w:val="auto"/>
              </w:rPr>
            </w:pPr>
            <w:r>
              <w:rPr>
                <w:rFonts w:ascii="Arial" w:cs="Arial" w:eastAsia="Arial" w:hAnsi="Arial"/>
                <w:sz w:val="18"/>
                <w:szCs w:val="18"/>
                <w:color w:val="auto"/>
              </w:rPr>
              <w:t>Telephone No.:</w:t>
            </w:r>
          </w:p>
        </w:tc>
      </w:tr>
      <w:tr>
        <w:trPr>
          <w:trHeight w:val="540"/>
        </w:trPr>
        <w:tc>
          <w:tcPr>
            <w:tcW w:w="4400" w:type="dxa"/>
            <w:vAlign w:val="bottom"/>
            <w:gridSpan w:val="2"/>
          </w:tcPr>
          <w:p>
            <w:pPr>
              <w:spacing w:after="0"/>
              <w:rPr>
                <w:sz w:val="20"/>
                <w:szCs w:val="20"/>
                <w:color w:val="auto"/>
              </w:rPr>
            </w:pPr>
            <w:r>
              <w:rPr>
                <w:rFonts w:ascii="Arial" w:cs="Arial" w:eastAsia="Arial" w:hAnsi="Arial"/>
                <w:sz w:val="18"/>
                <w:szCs w:val="18"/>
                <w:color w:val="auto"/>
              </w:rPr>
              <w:t>Facsimile No.:</w:t>
            </w:r>
          </w:p>
        </w:tc>
        <w:tc>
          <w:tcPr>
            <w:tcW w:w="3700" w:type="dxa"/>
            <w:vAlign w:val="bottom"/>
            <w:gridSpan w:val="3"/>
          </w:tcPr>
          <w:p>
            <w:pPr>
              <w:ind w:left="360"/>
              <w:spacing w:after="0"/>
              <w:rPr>
                <w:sz w:val="20"/>
                <w:szCs w:val="20"/>
                <w:color w:val="auto"/>
              </w:rPr>
            </w:pPr>
            <w:r>
              <w:rPr>
                <w:rFonts w:ascii="Arial" w:cs="Arial" w:eastAsia="Arial" w:hAnsi="Arial"/>
                <w:sz w:val="18"/>
                <w:szCs w:val="18"/>
                <w:color w:val="auto"/>
              </w:rPr>
              <w:t>Facsimile No.:</w:t>
            </w:r>
          </w:p>
        </w:tc>
      </w:tr>
      <w:tr>
        <w:trPr>
          <w:trHeight w:val="567"/>
        </w:trPr>
        <w:tc>
          <w:tcPr>
            <w:tcW w:w="4400" w:type="dxa"/>
            <w:vAlign w:val="bottom"/>
            <w:gridSpan w:val="2"/>
          </w:tcPr>
          <w:p>
            <w:pPr>
              <w:spacing w:after="0"/>
              <w:rPr>
                <w:sz w:val="20"/>
                <w:szCs w:val="20"/>
                <w:color w:val="auto"/>
              </w:rPr>
            </w:pPr>
            <w:r>
              <w:rPr>
                <w:rFonts w:ascii="Arial" w:cs="Arial" w:eastAsia="Arial" w:hAnsi="Arial"/>
                <w:sz w:val="18"/>
                <w:szCs w:val="18"/>
                <w:color w:val="auto"/>
              </w:rPr>
              <w:t>Number of Shares subscribed for:</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Arial" w:cs="Arial" w:eastAsia="Arial" w:hAnsi="Arial"/>
                <w:sz w:val="18"/>
                <w:szCs w:val="18"/>
                <w:color w:val="auto"/>
              </w:rPr>
              <w:t>Aggregate Subscription Amount:$</w:t>
            </w:r>
          </w:p>
        </w:tc>
        <w:tc>
          <w:tcPr>
            <w:tcW w:w="3700" w:type="dxa"/>
            <w:vAlign w:val="bottom"/>
            <w:gridSpan w:val="3"/>
          </w:tcPr>
          <w:p>
            <w:pPr>
              <w:ind w:left="360"/>
              <w:spacing w:after="0"/>
              <w:rPr>
                <w:sz w:val="20"/>
                <w:szCs w:val="20"/>
                <w:color w:val="auto"/>
              </w:rPr>
            </w:pPr>
            <w:r>
              <w:rPr>
                <w:rFonts w:ascii="Arial" w:cs="Arial" w:eastAsia="Arial" w:hAnsi="Arial"/>
                <w:sz w:val="18"/>
                <w:szCs w:val="18"/>
                <w:color w:val="auto"/>
              </w:rPr>
              <w:t>Price Per Share: $10</w:t>
            </w:r>
          </w:p>
        </w:tc>
      </w:tr>
    </w:tbl>
    <w:p>
      <w:pPr>
        <w:spacing w:after="0" w:line="20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You must pay the Subscription Amount by wire transfer of United States dollars in immediately available funds to the account specified by FSD in the Closing Notice.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0" w:name="page511"/>
    <w:bookmarkEnd w:id="51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FSD has accepted this Subscription Agreement as of the date set forth below.</w:t>
      </w:r>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40640</wp:posOffset>
            </wp:positionV>
            <wp:extent cx="18084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w:t>
      </w:r>
    </w:p>
    <w:p>
      <w:pPr>
        <w:spacing w:after="0" w:line="360"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1" w:name="page512"/>
    <w:bookmarkEnd w:id="511"/>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REPRESENTATIONS OF THE INVESTOR</w:t>
      </w:r>
    </w:p>
    <w:p>
      <w:pPr>
        <w:spacing w:after="0" w:line="148" w:lineRule="exact"/>
        <w:rPr>
          <w:sz w:val="20"/>
          <w:szCs w:val="20"/>
          <w:color w:val="auto"/>
        </w:rPr>
      </w:pPr>
    </w:p>
    <w:p>
      <w:pPr>
        <w:ind w:left="880" w:right="4439" w:hanging="426"/>
        <w:spacing w:after="0" w:line="308" w:lineRule="auto"/>
        <w:tabs>
          <w:tab w:leader="none" w:pos="848" w:val="left"/>
        </w:tabs>
        <w:numPr>
          <w:ilvl w:val="0"/>
          <w:numId w:val="506"/>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78" w:lineRule="exact"/>
        <w:rPr>
          <w:rFonts w:ascii="Arial" w:cs="Arial" w:eastAsia="Arial" w:hAnsi="Arial"/>
          <w:sz w:val="17"/>
          <w:szCs w:val="17"/>
          <w:color w:val="auto"/>
        </w:rPr>
      </w:pPr>
    </w:p>
    <w:p>
      <w:pPr>
        <w:ind w:left="1020" w:hanging="134"/>
        <w:spacing w:after="0"/>
        <w:tabs>
          <w:tab w:leader="none" w:pos="102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We are a “qualified institutional buyer” (as defined in Rule 144A under the Securities Act (a “</w:t>
      </w:r>
      <w:r>
        <w:rPr>
          <w:rFonts w:ascii="Arial" w:cs="Arial" w:eastAsia="Arial" w:hAnsi="Arial"/>
          <w:sz w:val="17"/>
          <w:szCs w:val="17"/>
          <w:u w:val="single" w:color="auto"/>
          <w:color w:val="auto"/>
        </w:rPr>
        <w:t>QIB</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840" w:hanging="386"/>
        <w:spacing w:after="0"/>
        <w:tabs>
          <w:tab w:leader="none" w:pos="84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INSTITUTIONAL ACCREDITED INVESTOR STATUS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(Please check the applicable subparagraphs):</w:t>
      </w:r>
    </w:p>
    <w:p>
      <w:pPr>
        <w:spacing w:after="0" w:line="130" w:lineRule="exact"/>
        <w:rPr>
          <w:sz w:val="20"/>
          <w:szCs w:val="20"/>
          <w:color w:val="auto"/>
        </w:rPr>
      </w:pPr>
    </w:p>
    <w:p>
      <w:pPr>
        <w:jc w:val="both"/>
        <w:ind w:left="1320" w:right="459" w:hanging="434"/>
        <w:spacing w:after="0" w:line="279" w:lineRule="auto"/>
        <w:tabs>
          <w:tab w:leader="none" w:pos="1275" w:val="left"/>
        </w:tabs>
        <w:numPr>
          <w:ilvl w:val="0"/>
          <w:numId w:val="507"/>
        </w:numPr>
        <w:rPr>
          <w:rFonts w:ascii="Arial" w:cs="Arial" w:eastAsia="Arial" w:hAnsi="Arial"/>
          <w:sz w:val="17"/>
          <w:szCs w:val="17"/>
          <w:color w:val="auto"/>
        </w:rPr>
      </w:pPr>
      <w:r>
        <w:rPr>
          <w:rFonts w:ascii="Arial" w:cs="Arial" w:eastAsia="Arial" w:hAnsi="Arial"/>
          <w:sz w:val="17"/>
          <w:szCs w:val="17"/>
          <w:color w:val="auto"/>
        </w:rPr>
        <w:t>£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3" w:lineRule="exact"/>
        <w:rPr>
          <w:rFonts w:ascii="Arial" w:cs="Arial" w:eastAsia="Arial" w:hAnsi="Arial"/>
          <w:sz w:val="17"/>
          <w:szCs w:val="17"/>
          <w:color w:val="auto"/>
        </w:rPr>
      </w:pPr>
    </w:p>
    <w:p>
      <w:pPr>
        <w:ind w:left="1240" w:hanging="354"/>
        <w:spacing w:after="0"/>
        <w:tabs>
          <w:tab w:leader="none" w:pos="12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We are not a natural person.</w:t>
      </w:r>
    </w:p>
    <w:p>
      <w:pPr>
        <w:spacing w:after="0" w:line="158" w:lineRule="exact"/>
        <w:rPr>
          <w:sz w:val="20"/>
          <w:szCs w:val="20"/>
          <w:color w:val="auto"/>
        </w:rPr>
      </w:pPr>
    </w:p>
    <w:p>
      <w:pPr>
        <w:ind w:left="460" w:right="619"/>
        <w:spacing w:after="0" w:line="257"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7" w:lineRule="exact"/>
        <w:rPr>
          <w:sz w:val="20"/>
          <w:szCs w:val="20"/>
          <w:color w:val="auto"/>
        </w:rPr>
      </w:pPr>
    </w:p>
    <w:p>
      <w:pPr>
        <w:ind w:left="1320" w:right="479" w:hanging="2"/>
        <w:spacing w:after="0" w:line="277" w:lineRule="auto"/>
        <w:tabs>
          <w:tab w:leader="none" w:pos="1505"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102" w:lineRule="exact"/>
        <w:rPr>
          <w:rFonts w:ascii="Arial" w:cs="Arial" w:eastAsia="Arial" w:hAnsi="Arial"/>
          <w:sz w:val="18"/>
          <w:szCs w:val="18"/>
          <w:color w:val="auto"/>
        </w:rPr>
      </w:pPr>
    </w:p>
    <w:p>
      <w:pPr>
        <w:jc w:val="both"/>
        <w:ind w:left="1320" w:right="459" w:hanging="2"/>
        <w:spacing w:after="0" w:line="263" w:lineRule="auto"/>
        <w:tabs>
          <w:tab w:leader="none" w:pos="1494"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Arial" w:cs="Arial" w:eastAsia="Arial" w:hAnsi="Arial"/>
          <w:sz w:val="18"/>
          <w:szCs w:val="18"/>
          <w:color w:val="auto"/>
        </w:rPr>
      </w:pPr>
    </w:p>
    <w:p>
      <w:pPr>
        <w:jc w:val="both"/>
        <w:ind w:left="1320" w:right="459" w:hanging="2"/>
        <w:spacing w:after="0" w:line="263" w:lineRule="auto"/>
        <w:tabs>
          <w:tab w:leader="none" w:pos="1459"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02" w:lineRule="exact"/>
        <w:rPr>
          <w:rFonts w:ascii="Arial" w:cs="Arial" w:eastAsia="Arial" w:hAnsi="Arial"/>
          <w:sz w:val="18"/>
          <w:szCs w:val="18"/>
          <w:color w:val="auto"/>
        </w:rPr>
      </w:pPr>
    </w:p>
    <w:p>
      <w:pPr>
        <w:jc w:val="both"/>
        <w:ind w:left="1320" w:right="479" w:hanging="2"/>
        <w:spacing w:after="0" w:line="263" w:lineRule="auto"/>
        <w:tabs>
          <w:tab w:leader="none" w:pos="1496"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16" w:lineRule="exact"/>
        <w:rPr>
          <w:rFonts w:ascii="Arial" w:cs="Arial" w:eastAsia="Arial" w:hAnsi="Arial"/>
          <w:sz w:val="18"/>
          <w:szCs w:val="18"/>
          <w:color w:val="auto"/>
        </w:rPr>
      </w:pPr>
    </w:p>
    <w:p>
      <w:pPr>
        <w:ind w:left="1320" w:right="479" w:hanging="2"/>
        <w:spacing w:after="0" w:line="277" w:lineRule="auto"/>
        <w:tabs>
          <w:tab w:leader="none" w:pos="1461"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trust with assets in excess of $5,000,000, not formed to acquire the securities offered, whose purchase is directed by a sophisticated person; or</w:t>
      </w:r>
    </w:p>
    <w:p>
      <w:pPr>
        <w:spacing w:after="0" w:line="102" w:lineRule="exact"/>
        <w:rPr>
          <w:rFonts w:ascii="Arial" w:cs="Arial" w:eastAsia="Arial" w:hAnsi="Arial"/>
          <w:sz w:val="18"/>
          <w:szCs w:val="18"/>
          <w:color w:val="auto"/>
        </w:rPr>
      </w:pPr>
    </w:p>
    <w:p>
      <w:pPr>
        <w:ind w:left="1320" w:right="479" w:hanging="2"/>
        <w:spacing w:after="0" w:line="277" w:lineRule="auto"/>
        <w:tabs>
          <w:tab w:leader="none" w:pos="1465"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89" w:lineRule="exact"/>
        <w:rPr>
          <w:rFonts w:ascii="Arial" w:cs="Arial" w:eastAsia="Arial" w:hAnsi="Arial"/>
          <w:sz w:val="18"/>
          <w:szCs w:val="18"/>
          <w:color w:val="auto"/>
        </w:rPr>
      </w:pPr>
    </w:p>
    <w:p>
      <w:pPr>
        <w:ind w:left="840" w:hanging="386"/>
        <w:spacing w:after="0"/>
        <w:tabs>
          <w:tab w:leader="none" w:pos="8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INSTITUTIONAL ACCOUNTS STATUS</w:t>
      </w:r>
    </w:p>
    <w:p>
      <w:pPr>
        <w:spacing w:after="0" w:line="157" w:lineRule="exact"/>
        <w:rPr>
          <w:rFonts w:ascii="Arial" w:cs="Arial" w:eastAsia="Arial" w:hAnsi="Arial"/>
          <w:sz w:val="18"/>
          <w:szCs w:val="18"/>
          <w:color w:val="auto"/>
        </w:rPr>
      </w:pPr>
    </w:p>
    <w:p>
      <w:pPr>
        <w:ind w:left="1460" w:hanging="142"/>
        <w:spacing w:after="0"/>
        <w:tabs>
          <w:tab w:leader="none" w:pos="146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We are an “institutional account” (as defined in FINRA RULE 4512(c)).</w:t>
      </w:r>
    </w:p>
    <w:p>
      <w:pPr>
        <w:spacing w:after="0" w:line="157" w:lineRule="exact"/>
        <w:rPr>
          <w:rFonts w:ascii="Arial" w:cs="Arial" w:eastAsia="Arial" w:hAnsi="Arial"/>
          <w:sz w:val="18"/>
          <w:szCs w:val="18"/>
          <w:color w:val="auto"/>
        </w:rPr>
      </w:pPr>
    </w:p>
    <w:p>
      <w:pPr>
        <w:ind w:left="840" w:hanging="386"/>
        <w:spacing w:after="0"/>
        <w:tabs>
          <w:tab w:leader="none" w:pos="8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ACCREDITED INVESTOR STATUS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(Please check the applicable subparagraphs):</w:t>
      </w:r>
    </w:p>
    <w:p>
      <w:pPr>
        <w:spacing w:after="0" w:line="158" w:lineRule="exact"/>
        <w:rPr>
          <w:sz w:val="20"/>
          <w:szCs w:val="20"/>
          <w:color w:val="auto"/>
        </w:rPr>
      </w:pPr>
    </w:p>
    <w:p>
      <w:pPr>
        <w:jc w:val="both"/>
        <w:ind w:left="1320" w:right="459" w:hanging="434"/>
        <w:spacing w:after="0" w:line="259" w:lineRule="auto"/>
        <w:tabs>
          <w:tab w:leader="none" w:pos="131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5" w:lineRule="exact"/>
        <w:rPr>
          <w:rFonts w:ascii="Arial" w:cs="Arial" w:eastAsia="Arial" w:hAnsi="Arial"/>
          <w:sz w:val="18"/>
          <w:szCs w:val="18"/>
          <w:color w:val="auto"/>
        </w:rPr>
      </w:pPr>
    </w:p>
    <w:p>
      <w:pPr>
        <w:ind w:left="1240" w:hanging="354"/>
        <w:spacing w:after="0"/>
        <w:tabs>
          <w:tab w:leader="none" w:pos="124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I am a natural person.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2" w:name="page513"/>
    <w:bookmarkEnd w:id="512"/>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57"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20" w:lineRule="exact"/>
        <w:rPr>
          <w:sz w:val="20"/>
          <w:szCs w:val="20"/>
          <w:color w:val="auto"/>
        </w:rPr>
      </w:pPr>
    </w:p>
    <w:p>
      <w:pPr>
        <w:ind w:left="1320" w:right="479" w:hanging="2"/>
        <w:spacing w:after="0" w:line="308" w:lineRule="auto"/>
        <w:tabs>
          <w:tab w:leader="none" w:pos="1469" w:val="left"/>
        </w:tabs>
        <w:numPr>
          <w:ilvl w:val="0"/>
          <w:numId w:val="510"/>
        </w:numPr>
        <w:rPr>
          <w:rFonts w:ascii="Arial" w:cs="Arial" w:eastAsia="Arial" w:hAnsi="Arial"/>
          <w:sz w:val="17"/>
          <w:szCs w:val="17"/>
          <w:color w:val="auto"/>
        </w:rPr>
      </w:pPr>
      <w:r>
        <w:rPr>
          <w:rFonts w:ascii="Arial" w:cs="Arial" w:eastAsia="Arial" w:hAnsi="Arial"/>
          <w:sz w:val="17"/>
          <w:szCs w:val="17"/>
          <w:color w:val="auto"/>
        </w:rPr>
        <w:t>Any director, executive officer, or general partner of the issuer of the securities being offered or sold, or any director, executive officer, or general partner of a general partner of that issuer;</w:t>
      </w:r>
    </w:p>
    <w:p>
      <w:pPr>
        <w:spacing w:after="0" w:line="78" w:lineRule="exact"/>
        <w:rPr>
          <w:rFonts w:ascii="Arial" w:cs="Arial" w:eastAsia="Arial" w:hAnsi="Arial"/>
          <w:sz w:val="17"/>
          <w:szCs w:val="17"/>
          <w:color w:val="auto"/>
        </w:rPr>
      </w:pPr>
    </w:p>
    <w:p>
      <w:pPr>
        <w:jc w:val="both"/>
        <w:ind w:left="1320" w:right="459" w:hanging="2"/>
        <w:spacing w:after="0" w:line="291" w:lineRule="auto"/>
        <w:tabs>
          <w:tab w:leader="none" w:pos="1456" w:val="left"/>
        </w:tabs>
        <w:numPr>
          <w:ilvl w:val="0"/>
          <w:numId w:val="510"/>
        </w:numPr>
        <w:rPr>
          <w:rFonts w:ascii="Arial" w:cs="Arial" w:eastAsia="Arial" w:hAnsi="Arial"/>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w:t>
      </w:r>
    </w:p>
    <w:p>
      <w:pPr>
        <w:jc w:val="both"/>
        <w:ind w:left="1320" w:right="459"/>
        <w:spacing w:after="0" w:line="281" w:lineRule="auto"/>
        <w:rPr>
          <w:rFonts w:ascii="Arial" w:cs="Arial" w:eastAsia="Arial" w:hAnsi="Arial"/>
          <w:sz w:val="16"/>
          <w:szCs w:val="16"/>
          <w:color w:val="auto"/>
        </w:rPr>
      </w:pPr>
      <w:r>
        <w:rPr>
          <w:rFonts w:ascii="Arial" w:cs="Arial" w:eastAsia="Arial" w:hAnsi="Arial"/>
          <w:sz w:val="16"/>
          <w:szCs w:val="16"/>
          <w:color w:val="auto"/>
        </w:rPr>
        <w:t>(a)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w:t>
      </w:r>
    </w:p>
    <w:p>
      <w:pPr>
        <w:spacing w:after="0" w:line="2" w:lineRule="exact"/>
        <w:rPr>
          <w:rFonts w:ascii="Arial" w:cs="Arial" w:eastAsia="Arial" w:hAnsi="Arial"/>
          <w:sz w:val="16"/>
          <w:szCs w:val="16"/>
          <w:color w:val="auto"/>
        </w:rPr>
      </w:pPr>
    </w:p>
    <w:p>
      <w:pPr>
        <w:ind w:left="1320" w:right="459"/>
        <w:spacing w:after="0" w:line="260" w:lineRule="auto"/>
        <w:rPr>
          <w:rFonts w:ascii="Arial" w:cs="Arial" w:eastAsia="Arial" w:hAnsi="Arial"/>
          <w:sz w:val="16"/>
          <w:szCs w:val="16"/>
          <w:color w:val="auto"/>
        </w:rPr>
      </w:pPr>
      <w:r>
        <w:rPr>
          <w:rFonts w:ascii="Arial" w:cs="Arial" w:eastAsia="Arial" w:hAnsi="Arial"/>
          <w:sz w:val="18"/>
          <w:szCs w:val="18"/>
          <w:color w:val="auto"/>
        </w:rPr>
        <w:t>(c) indebtedness that is secured by the person’s primary residence in excess of the estimated fair market value of the residence must be included as a liability; or</w:t>
      </w:r>
    </w:p>
    <w:p>
      <w:pPr>
        <w:spacing w:after="0" w:line="104" w:lineRule="exact"/>
        <w:rPr>
          <w:rFonts w:ascii="Arial" w:cs="Arial" w:eastAsia="Arial" w:hAnsi="Arial"/>
          <w:sz w:val="16"/>
          <w:szCs w:val="16"/>
          <w:color w:val="auto"/>
        </w:rPr>
      </w:pPr>
    </w:p>
    <w:p>
      <w:pPr>
        <w:jc w:val="both"/>
        <w:ind w:left="1320" w:right="459" w:hanging="2"/>
        <w:spacing w:after="0" w:line="311" w:lineRule="auto"/>
        <w:tabs>
          <w:tab w:leader="none" w:pos="1463" w:val="left"/>
        </w:tabs>
        <w:numPr>
          <w:ilvl w:val="0"/>
          <w:numId w:val="510"/>
        </w:numPr>
        <w:rPr>
          <w:rFonts w:ascii="Arial" w:cs="Arial" w:eastAsia="Arial" w:hAnsi="Arial"/>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the Investor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3" w:name="page514"/>
    <w:bookmarkEnd w:id="513"/>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58" w:lineRule="exact"/>
        <w:rPr>
          <w:sz w:val="20"/>
          <w:szCs w:val="20"/>
          <w:color w:val="auto"/>
        </w:rPr>
      </w:pPr>
    </w:p>
    <w:p>
      <w:pPr>
        <w:jc w:val="both"/>
        <w:ind w:left="1320" w:right="459" w:hanging="434"/>
        <w:spacing w:after="0" w:line="268" w:lineRule="auto"/>
        <w:tabs>
          <w:tab w:leader="none" w:pos="1311"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98" w:lineRule="exact"/>
        <w:rPr>
          <w:rFonts w:ascii="Arial" w:cs="Arial" w:eastAsia="Arial" w:hAnsi="Arial"/>
          <w:sz w:val="17"/>
          <w:szCs w:val="17"/>
          <w:color w:val="auto"/>
        </w:rPr>
      </w:pPr>
    </w:p>
    <w:p>
      <w:pPr>
        <w:jc w:val="both"/>
        <w:ind w:left="1320" w:right="459" w:hanging="434"/>
        <w:spacing w:after="0" w:line="286" w:lineRule="auto"/>
        <w:tabs>
          <w:tab w:leader="none" w:pos="128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3" w:lineRule="exact"/>
        <w:rPr>
          <w:rFonts w:ascii="Arial" w:cs="Arial" w:eastAsia="Arial" w:hAnsi="Arial"/>
          <w:sz w:val="16"/>
          <w:szCs w:val="16"/>
          <w:color w:val="auto"/>
        </w:rPr>
      </w:pPr>
    </w:p>
    <w:p>
      <w:pPr>
        <w:jc w:val="both"/>
        <w:ind w:left="1320" w:right="459" w:hanging="434"/>
        <w:spacing w:after="0" w:line="257" w:lineRule="auto"/>
        <w:tabs>
          <w:tab w:leader="none" w:pos="1333"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20" w:lineRule="exact"/>
        <w:rPr>
          <w:rFonts w:ascii="Arial" w:cs="Arial" w:eastAsia="Arial" w:hAnsi="Arial"/>
          <w:sz w:val="18"/>
          <w:szCs w:val="18"/>
          <w:color w:val="auto"/>
        </w:rPr>
      </w:pPr>
    </w:p>
    <w:p>
      <w:pPr>
        <w:jc w:val="both"/>
        <w:ind w:left="1320" w:right="459" w:hanging="434"/>
        <w:spacing w:after="0" w:line="305" w:lineRule="auto"/>
        <w:tabs>
          <w:tab w:leader="none" w:pos="1273" w:val="left"/>
        </w:tabs>
        <w:numPr>
          <w:ilvl w:val="0"/>
          <w:numId w:val="511"/>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jc w:val="both"/>
        <w:ind w:left="1320" w:right="479" w:hanging="2"/>
        <w:spacing w:after="0" w:line="281" w:lineRule="auto"/>
        <w:tabs>
          <w:tab w:leader="none" w:pos="1589" w:val="left"/>
        </w:tabs>
        <w:numPr>
          <w:ilvl w:val="1"/>
          <w:numId w:val="511"/>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2" w:lineRule="exact"/>
        <w:rPr>
          <w:rFonts w:ascii="Arial" w:cs="Arial" w:eastAsia="Arial" w:hAnsi="Arial"/>
          <w:sz w:val="16"/>
          <w:szCs w:val="16"/>
          <w:color w:val="auto"/>
        </w:rPr>
      </w:pPr>
    </w:p>
    <w:p>
      <w:pPr>
        <w:ind w:left="1320" w:right="479"/>
        <w:spacing w:after="0" w:line="260" w:lineRule="auto"/>
        <w:rPr>
          <w:rFonts w:ascii="Arial" w:cs="Arial" w:eastAsia="Arial" w:hAnsi="Arial"/>
          <w:sz w:val="16"/>
          <w:szCs w:val="16"/>
          <w:color w:val="auto"/>
        </w:rPr>
      </w:pPr>
      <w:r>
        <w:rPr>
          <w:rFonts w:ascii="Arial" w:cs="Arial" w:eastAsia="Arial" w:hAnsi="Arial"/>
          <w:sz w:val="18"/>
          <w:szCs w:val="18"/>
          <w:color w:val="auto"/>
        </w:rPr>
        <w:t>(3) if there are no such directors, or if such directors so direct, by independent legal counsel in a written opinion, or (4) by the stockholders.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4" w:name="page515"/>
    <w:bookmarkEnd w:id="514"/>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4" w:lineRule="auto"/>
        <w:tabs>
          <w:tab w:leader="none" w:pos="1463" w:val="left"/>
        </w:tabs>
        <w:numPr>
          <w:ilvl w:val="0"/>
          <w:numId w:val="512"/>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Arial" w:cs="Arial" w:eastAsia="Arial" w:hAnsi="Arial"/>
          <w:sz w:val="18"/>
          <w:szCs w:val="18"/>
          <w:color w:val="auto"/>
        </w:rPr>
      </w:pPr>
    </w:p>
    <w:p>
      <w:pPr>
        <w:jc w:val="both"/>
        <w:ind w:left="1320" w:right="459" w:hanging="434"/>
        <w:spacing w:after="0" w:line="269" w:lineRule="auto"/>
        <w:tabs>
          <w:tab w:leader="none" w:pos="1376"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14" w:lineRule="exact"/>
        <w:rPr>
          <w:rFonts w:ascii="Arial" w:cs="Arial" w:eastAsia="Arial" w:hAnsi="Arial"/>
          <w:sz w:val="17"/>
          <w:szCs w:val="17"/>
          <w:color w:val="auto"/>
        </w:rPr>
      </w:pPr>
    </w:p>
    <w:p>
      <w:pPr>
        <w:jc w:val="both"/>
        <w:ind w:left="1320" w:right="459" w:hanging="434"/>
        <w:spacing w:after="0" w:line="293" w:lineRule="auto"/>
        <w:tabs>
          <w:tab w:leader="none" w:pos="130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3" w:lineRule="exact"/>
        <w:rPr>
          <w:rFonts w:ascii="Arial" w:cs="Arial" w:eastAsia="Arial" w:hAnsi="Arial"/>
          <w:sz w:val="16"/>
          <w:szCs w:val="16"/>
          <w:color w:val="auto"/>
        </w:rPr>
      </w:pPr>
    </w:p>
    <w:p>
      <w:pPr>
        <w:jc w:val="both"/>
        <w:ind w:left="1320" w:right="459" w:hanging="434"/>
        <w:spacing w:after="0" w:line="289" w:lineRule="auto"/>
        <w:tabs>
          <w:tab w:leader="none" w:pos="1283" w:val="left"/>
        </w:tabs>
        <w:numPr>
          <w:ilvl w:val="0"/>
          <w:numId w:val="512"/>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98" w:lineRule="exact"/>
        <w:rPr>
          <w:rFonts w:ascii="Arial" w:cs="Arial" w:eastAsia="Arial" w:hAnsi="Arial"/>
          <w:sz w:val="16"/>
          <w:szCs w:val="16"/>
          <w:color w:val="auto"/>
        </w:rPr>
      </w:pPr>
    </w:p>
    <w:p>
      <w:pPr>
        <w:jc w:val="both"/>
        <w:ind w:left="1320" w:right="459" w:hanging="434"/>
        <w:spacing w:after="0" w:line="270" w:lineRule="auto"/>
        <w:tabs>
          <w:tab w:leader="none" w:pos="1324" w:val="left"/>
        </w:tabs>
        <w:numPr>
          <w:ilvl w:val="0"/>
          <w:numId w:val="512"/>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13" w:lineRule="exact"/>
        <w:rPr>
          <w:rFonts w:ascii="Arial" w:cs="Arial" w:eastAsia="Arial" w:hAnsi="Arial"/>
          <w:sz w:val="17"/>
          <w:szCs w:val="17"/>
          <w:color w:val="auto"/>
        </w:rPr>
      </w:pPr>
    </w:p>
    <w:p>
      <w:pPr>
        <w:jc w:val="both"/>
        <w:ind w:left="1320" w:right="479" w:hanging="434"/>
        <w:spacing w:after="0" w:line="259" w:lineRule="auto"/>
        <w:tabs>
          <w:tab w:leader="none" w:pos="1317"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05" w:lineRule="exact"/>
        <w:rPr>
          <w:rFonts w:ascii="Arial" w:cs="Arial" w:eastAsia="Arial" w:hAnsi="Arial"/>
          <w:sz w:val="18"/>
          <w:szCs w:val="18"/>
          <w:color w:val="auto"/>
        </w:rPr>
      </w:pPr>
    </w:p>
    <w:p>
      <w:pPr>
        <w:jc w:val="both"/>
        <w:ind w:left="1320" w:right="459" w:hanging="434"/>
        <w:spacing w:after="0" w:line="301" w:lineRule="auto"/>
        <w:tabs>
          <w:tab w:leader="none" w:pos="1289" w:val="left"/>
        </w:tabs>
        <w:numPr>
          <w:ilvl w:val="0"/>
          <w:numId w:val="512"/>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9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5" w:name="page516"/>
    <w:bookmarkEnd w:id="515"/>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1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9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1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Notwithstanding the foregoing, a person eligible for indemnification pursuant to our Current Charter will be indemnified by us in connection with a proceeding initiated by such person only if such proceeding was authorized by our board of directors, except for proceedings to enforce rights to indemnification.</w:t>
      </w:r>
    </w:p>
    <w:p>
      <w:pPr>
        <w:spacing w:after="0" w:line="9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96"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The rights to indemnification and advancement of expenses will not be deemed exclusive of any other rights which any person covered by our Current Charter may have or hereafter acquire under law, our Current Charter, our Current By-laws, an agreement, vote of stockholders or disinterested directors, or otherwise.</w:t>
      </w:r>
    </w:p>
    <w:p>
      <w:pPr>
        <w:spacing w:after="0" w:line="8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6" w:name="page517"/>
    <w:bookmarkEnd w:id="516"/>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Current By-laws include the provisions relating to advancement of expenses and indemnification rights consistent with those which are set forth in our Current Charter. In addition, our Current By-laws provide for a right of indemnity to bring a suit in the event a claim for indemnification or advancement of expenses is not paid in full by us within a specified period of time. Our Current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1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Any repeal or amendment of provisions of our Current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9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entered into indemnification agreements with each of our officers and directors a form that was filed as Exhibit 10.5 of our Registration Statement on Form S-1, filed with the SEC on April 16, 2020.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7" w:name="page518"/>
    <w:bookmarkEnd w:id="517"/>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40" w:type="dxa"/>
            <w:vAlign w:val="bottom"/>
            <w:gridSpan w:val="5"/>
          </w:tcPr>
          <w:p>
            <w:pPr>
              <w:ind w:left="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46"/>
        </w:trPr>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8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100" w:type="dxa"/>
            <w:vAlign w:val="bottom"/>
            <w:gridSpan w:val="13"/>
            <w:shd w:val="clear" w:color="auto" w:fill="CCEEFF"/>
          </w:tcPr>
          <w:p>
            <w:pPr>
              <w:spacing w:after="0" w:line="169" w:lineRule="exact"/>
              <w:rPr>
                <w:rFonts w:ascii="Arial" w:cs="Arial" w:eastAsia="Arial" w:hAnsi="Arial"/>
                <w:sz w:val="18"/>
                <w:szCs w:val="18"/>
                <w:color w:val="0000EE"/>
                <w:w w:val="92"/>
              </w:rPr>
            </w:pPr>
            <w:hyperlink w:anchor="page276">
              <w:r>
                <w:rPr>
                  <w:rFonts w:ascii="Arial" w:cs="Arial" w:eastAsia="Arial" w:hAnsi="Arial"/>
                  <w:sz w:val="18"/>
                  <w:szCs w:val="18"/>
                  <w:color w:val="0000EE"/>
                  <w:w w:val="92"/>
                </w:rPr>
                <w:t>Merger Agreement, dated as of October 15, 2020, by and between FS Development Corp., FSG</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8"/>
              </w:rPr>
            </w:pPr>
            <w:hyperlink w:anchor="page276">
              <w:r>
                <w:rPr>
                  <w:rFonts w:ascii="Arial" w:cs="Arial" w:eastAsia="Arial" w:hAnsi="Arial"/>
                  <w:sz w:val="18"/>
                  <w:szCs w:val="18"/>
                  <w:color w:val="0000EE"/>
                  <w:w w:val="98"/>
                </w:rPr>
                <w:t>Merger Sub Inc., Gemini Therapeutics, Inc. and Shareholder Representative Services,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rPr>
            </w:pPr>
            <w:hyperlink w:anchor="page276">
              <w:r>
                <w:rPr>
                  <w:rFonts w:ascii="Arial" w:cs="Arial" w:eastAsia="Arial" w:hAnsi="Arial"/>
                  <w:sz w:val="18"/>
                  <w:szCs w:val="18"/>
                  <w:color w:val="0000EE"/>
                </w:rPr>
                <w:t>(included as Annex A to the proxy statement/prospectus forming a part of this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4"/>
            <w:shd w:val="clear" w:color="auto" w:fill="CCEEFF"/>
          </w:tcPr>
          <w:p>
            <w:pPr>
              <w:spacing w:after="0" w:line="196" w:lineRule="exact"/>
              <w:rPr>
                <w:rFonts w:ascii="Arial" w:cs="Arial" w:eastAsia="Arial" w:hAnsi="Arial"/>
                <w:sz w:val="18"/>
                <w:szCs w:val="18"/>
                <w:color w:val="0000EE"/>
              </w:rPr>
            </w:pPr>
            <w:hyperlink w:anchor="page276">
              <w:r>
                <w:rPr>
                  <w:rFonts w:ascii="Arial" w:cs="Arial" w:eastAsia="Arial" w:hAnsi="Arial"/>
                  <w:sz w:val="18"/>
                  <w:szCs w:val="18"/>
                  <w:color w:val="0000EE"/>
                </w:rPr>
                <w:t>statement).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4"/>
          </w:tcPr>
          <w:p>
            <w:pPr>
              <w:spacing w:after="0" w:line="176" w:lineRule="exact"/>
              <w:rPr>
                <w:rFonts w:ascii="Arial" w:cs="Arial" w:eastAsia="Arial" w:hAnsi="Arial"/>
                <w:sz w:val="18"/>
                <w:szCs w:val="18"/>
                <w:color w:val="0000EE"/>
                <w:w w:val="94"/>
              </w:rPr>
            </w:pPr>
            <w:hyperlink r:id="rId617">
              <w:r>
                <w:rPr>
                  <w:rFonts w:ascii="Arial" w:cs="Arial" w:eastAsia="Arial" w:hAnsi="Arial"/>
                  <w:sz w:val="18"/>
                  <w:szCs w:val="18"/>
                  <w:color w:val="0000EE"/>
                  <w:w w:val="94"/>
                </w:rPr>
                <w:t>Amended and Restated Certificate of Incorporation of FS Development Corp.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5"/>
          </w:tcPr>
          <w:p>
            <w:pPr>
              <w:spacing w:after="0" w:line="196" w:lineRule="exact"/>
              <w:rPr>
                <w:rFonts w:ascii="Arial" w:cs="Arial" w:eastAsia="Arial" w:hAnsi="Arial"/>
                <w:sz w:val="18"/>
                <w:szCs w:val="18"/>
                <w:color w:val="0000EE"/>
                <w:w w:val="94"/>
              </w:rPr>
            </w:pPr>
            <w:hyperlink r:id="rId617">
              <w:r>
                <w:rPr>
                  <w:rFonts w:ascii="Arial" w:cs="Arial" w:eastAsia="Arial" w:hAnsi="Arial"/>
                  <w:sz w:val="18"/>
                  <w:szCs w:val="18"/>
                  <w:color w:val="0000EE"/>
                  <w:w w:val="94"/>
                </w:rPr>
                <w:t>reference to Exhibit 3.1 of FS Development Corp.’s Form 8-K, filed with the SEC on August 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00" w:type="dxa"/>
            <w:vAlign w:val="bottom"/>
            <w:gridSpan w:val="4"/>
          </w:tcPr>
          <w:p>
            <w:pPr>
              <w:ind w:left="100"/>
              <w:spacing w:after="0" w:line="196" w:lineRule="exact"/>
              <w:rPr>
                <w:rFonts w:ascii="Arial" w:cs="Arial" w:eastAsia="Arial" w:hAnsi="Arial"/>
                <w:sz w:val="18"/>
                <w:szCs w:val="18"/>
                <w:color w:val="0000EE"/>
              </w:rPr>
            </w:pPr>
            <w:hyperlink r:id="rId617">
              <w:r>
                <w:rPr>
                  <w:rFonts w:ascii="Arial" w:cs="Arial" w:eastAsia="Arial" w:hAnsi="Arial"/>
                  <w:sz w:val="18"/>
                  <w:szCs w:val="18"/>
                  <w:color w:val="0000EE"/>
                </w:rPr>
                <w:t>2020).</w:t>
              </w:r>
            </w:hyperlink>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7120" w:type="dxa"/>
            <w:vAlign w:val="bottom"/>
            <w:gridSpan w:val="14"/>
            <w:shd w:val="clear" w:color="auto" w:fill="CCEEFF"/>
          </w:tcPr>
          <w:p>
            <w:pPr>
              <w:spacing w:after="0" w:line="176" w:lineRule="exact"/>
              <w:rPr>
                <w:rFonts w:ascii="Arial" w:cs="Arial" w:eastAsia="Arial" w:hAnsi="Arial"/>
                <w:sz w:val="18"/>
                <w:szCs w:val="18"/>
                <w:color w:val="0000EE"/>
                <w:w w:val="93"/>
              </w:rPr>
            </w:pPr>
            <w:hyperlink r:id="rId618">
              <w:r>
                <w:rPr>
                  <w:rFonts w:ascii="Arial" w:cs="Arial" w:eastAsia="Arial" w:hAnsi="Arial"/>
                  <w:sz w:val="18"/>
                  <w:szCs w:val="18"/>
                  <w:color w:val="0000EE"/>
                  <w:w w:val="93"/>
                </w:rPr>
                <w:t>By-laws of FS Development Corp. (incorporated by reference to Exhibit 3.4 of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618">
              <w:r>
                <w:rPr>
                  <w:rFonts w:ascii="Arial" w:cs="Arial" w:eastAsia="Arial" w:hAnsi="Arial"/>
                  <w:sz w:val="18"/>
                  <w:szCs w:val="18"/>
                  <w:color w:val="0000EE"/>
                </w:rPr>
                <w:t>Corp.’s Form S-1/A, filed with the SEC on August 7,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7120" w:type="dxa"/>
            <w:vAlign w:val="bottom"/>
            <w:gridSpan w:val="14"/>
          </w:tcPr>
          <w:p>
            <w:pPr>
              <w:spacing w:after="0" w:line="176" w:lineRule="exact"/>
              <w:rPr>
                <w:rFonts w:ascii="Arial" w:cs="Arial" w:eastAsia="Arial" w:hAnsi="Arial"/>
                <w:sz w:val="18"/>
                <w:szCs w:val="18"/>
                <w:color w:val="0000EE"/>
                <w:w w:val="95"/>
              </w:rPr>
            </w:pPr>
            <w:hyperlink w:anchor="page465">
              <w:r>
                <w:rPr>
                  <w:rFonts w:ascii="Arial" w:cs="Arial" w:eastAsia="Arial" w:hAnsi="Arial"/>
                  <w:sz w:val="18"/>
                  <w:szCs w:val="18"/>
                  <w:color w:val="0000EE"/>
                  <w:w w:val="95"/>
                </w:rPr>
                <w:t>Form of Amended and Restated Certificate of Incorporation (included as Annex B to the proxy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65">
              <w:r>
                <w:rPr>
                  <w:rFonts w:ascii="Arial" w:cs="Arial" w:eastAsia="Arial" w:hAnsi="Arial"/>
                  <w:sz w:val="18"/>
                  <w:szCs w:val="18"/>
                  <w:color w:val="0000EE"/>
                </w:rPr>
                <w:t>statement/prospectus forming a part of this registration statement).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w:anchor="page470">
              <w:r>
                <w:rPr>
                  <w:rFonts w:ascii="Arial" w:cs="Arial" w:eastAsia="Arial" w:hAnsi="Arial"/>
                  <w:sz w:val="18"/>
                  <w:szCs w:val="18"/>
                  <w:color w:val="0000EE"/>
                  <w:w w:val="91"/>
                </w:rPr>
                <w:t>Form of Amended and Restated By-laws (Included as Annex C to the proxy statement/prospectus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4"/>
            <w:shd w:val="clear" w:color="auto" w:fill="CCEEFF"/>
          </w:tcPr>
          <w:p>
            <w:pPr>
              <w:spacing w:after="0" w:line="196" w:lineRule="exact"/>
              <w:rPr>
                <w:rFonts w:ascii="Arial" w:cs="Arial" w:eastAsia="Arial" w:hAnsi="Arial"/>
                <w:sz w:val="18"/>
                <w:szCs w:val="18"/>
                <w:color w:val="0000EE"/>
              </w:rPr>
            </w:pPr>
            <w:hyperlink w:anchor="page470">
              <w:r>
                <w:rPr>
                  <w:rFonts w:ascii="Arial" w:cs="Arial" w:eastAsia="Arial" w:hAnsi="Arial"/>
                  <w:sz w:val="18"/>
                  <w:szCs w:val="18"/>
                  <w:color w:val="0000EE"/>
                </w:rPr>
                <w:t>forming part of this registration statement).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7120" w:type="dxa"/>
            <w:vAlign w:val="bottom"/>
            <w:gridSpan w:val="14"/>
          </w:tcPr>
          <w:p>
            <w:pPr>
              <w:spacing w:after="0"/>
              <w:rPr>
                <w:sz w:val="20"/>
                <w:szCs w:val="20"/>
                <w:color w:val="auto"/>
              </w:rPr>
            </w:pPr>
            <w:r>
              <w:rPr>
                <w:rFonts w:ascii="Arial" w:cs="Arial" w:eastAsia="Arial" w:hAnsi="Arial"/>
                <w:sz w:val="18"/>
                <w:szCs w:val="18"/>
                <w:color w:val="auto"/>
              </w:rPr>
              <w:t>Specimen Common Stock Certificate of the Combined Entity.</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7120" w:type="dxa"/>
            <w:vAlign w:val="bottom"/>
            <w:gridSpan w:val="14"/>
            <w:shd w:val="clear" w:color="auto" w:fill="CCEEFF"/>
          </w:tcPr>
          <w:p>
            <w:pPr>
              <w:spacing w:after="0" w:line="201" w:lineRule="exact"/>
              <w:rPr>
                <w:sz w:val="20"/>
                <w:szCs w:val="20"/>
                <w:color w:val="auto"/>
              </w:rPr>
            </w:pPr>
            <w:r>
              <w:rPr>
                <w:rFonts w:ascii="Arial" w:cs="Arial" w:eastAsia="Arial" w:hAnsi="Arial"/>
                <w:sz w:val="18"/>
                <w:szCs w:val="18"/>
                <w:color w:val="auto"/>
              </w:rPr>
              <w:t>Opinion of White &amp; Case LLP as to the validity of the shares of Common Stock of FS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Development Corp.</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4"/>
          </w:tcPr>
          <w:p>
            <w:pPr>
              <w:spacing w:after="0" w:line="176" w:lineRule="exact"/>
              <w:rPr>
                <w:rFonts w:ascii="Arial" w:cs="Arial" w:eastAsia="Arial" w:hAnsi="Arial"/>
                <w:sz w:val="18"/>
                <w:szCs w:val="18"/>
                <w:color w:val="0000EE"/>
                <w:w w:val="99"/>
              </w:rPr>
            </w:pPr>
            <w:hyperlink w:anchor="page486">
              <w:r>
                <w:rPr>
                  <w:rFonts w:ascii="Arial" w:cs="Arial" w:eastAsia="Arial" w:hAnsi="Arial"/>
                  <w:sz w:val="18"/>
                  <w:szCs w:val="18"/>
                  <w:color w:val="0000EE"/>
                  <w:w w:val="99"/>
                </w:rPr>
                <w:t>Form  of  2020  Stock  Option  and  Incentive  Plan  (included  as  Annex  D  to  the  proxy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5"/>
          </w:tcPr>
          <w:p>
            <w:pPr>
              <w:spacing w:after="0" w:line="196" w:lineRule="exact"/>
              <w:rPr>
                <w:rFonts w:ascii="Arial" w:cs="Arial" w:eastAsia="Arial" w:hAnsi="Arial"/>
                <w:sz w:val="18"/>
                <w:szCs w:val="18"/>
                <w:color w:val="0000EE"/>
              </w:rPr>
            </w:pPr>
            <w:hyperlink w:anchor="page486">
              <w:r>
                <w:rPr>
                  <w:rFonts w:ascii="Arial" w:cs="Arial" w:eastAsia="Arial" w:hAnsi="Arial"/>
                  <w:sz w:val="18"/>
                  <w:szCs w:val="18"/>
                  <w:color w:val="0000EE"/>
                </w:rPr>
                <w:t>statement/prospectus forming a part of this registration statement).</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5"/>
                <w:szCs w:val="15"/>
                <w:color w:val="auto"/>
              </w:rPr>
            </w:pPr>
          </w:p>
        </w:tc>
        <w:tc>
          <w:tcPr>
            <w:tcW w:w="7120" w:type="dxa"/>
            <w:vAlign w:val="bottom"/>
            <w:gridSpan w:val="14"/>
            <w:shd w:val="clear" w:color="auto" w:fill="CCEEFF"/>
          </w:tcPr>
          <w:p>
            <w:pPr>
              <w:spacing w:after="0" w:line="176" w:lineRule="exact"/>
              <w:rPr>
                <w:rFonts w:ascii="Arial" w:cs="Arial" w:eastAsia="Arial" w:hAnsi="Arial"/>
                <w:sz w:val="18"/>
                <w:szCs w:val="18"/>
                <w:color w:val="0000EE"/>
                <w:w w:val="91"/>
              </w:rPr>
            </w:pPr>
            <w:hyperlink w:anchor="page498">
              <w:r>
                <w:rPr>
                  <w:rFonts w:ascii="Arial" w:cs="Arial" w:eastAsia="Arial" w:hAnsi="Arial"/>
                  <w:sz w:val="18"/>
                  <w:szCs w:val="18"/>
                  <w:color w:val="0000EE"/>
                  <w:w w:val="91"/>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w:anchor="page498">
              <w:r>
                <w:rPr>
                  <w:rFonts w:ascii="Arial" w:cs="Arial" w:eastAsia="Arial" w:hAnsi="Arial"/>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7120" w:type="dxa"/>
            <w:vAlign w:val="bottom"/>
            <w:tcBorders>
              <w:bottom w:val="single" w:sz="8" w:color="0000EE"/>
            </w:tcBorders>
            <w:gridSpan w:val="14"/>
          </w:tcPr>
          <w:p>
            <w:pPr>
              <w:spacing w:after="0" w:line="176" w:lineRule="exact"/>
              <w:rPr>
                <w:rFonts w:ascii="Arial" w:cs="Arial" w:eastAsia="Arial" w:hAnsi="Arial"/>
                <w:sz w:val="18"/>
                <w:szCs w:val="18"/>
                <w:color w:val="0000EE"/>
                <w:w w:val="95"/>
              </w:rPr>
            </w:pPr>
            <w:hyperlink r:id="rId619">
              <w:r>
                <w:rPr>
                  <w:rFonts w:ascii="Arial" w:cs="Arial" w:eastAsia="Arial" w:hAnsi="Arial"/>
                  <w:sz w:val="18"/>
                  <w:szCs w:val="18"/>
                  <w:color w:val="0000EE"/>
                  <w:w w:val="95"/>
                </w:rPr>
                <w:t>Company Support Agreement, dated as of October 15, 2020, by and among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19">
              <w:r>
                <w:rPr>
                  <w:rFonts w:ascii="Arial" w:cs="Arial" w:eastAsia="Arial" w:hAnsi="Arial"/>
                  <w:sz w:val="18"/>
                  <w:szCs w:val="18"/>
                  <w:color w:val="0000EE"/>
                  <w:w w:val="91"/>
                </w:rPr>
                <w:t>Corp. and certain supporting stockholders of Gemini Therapeutics, Inc.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619">
              <w:r>
                <w:rPr>
                  <w:rFonts w:ascii="Arial" w:cs="Arial" w:eastAsia="Arial" w:hAnsi="Arial"/>
                  <w:sz w:val="18"/>
                  <w:szCs w:val="18"/>
                  <w:color w:val="0000EE"/>
                  <w:w w:val="93"/>
                </w:rPr>
                <w:t>to Exhibit 10.3 of FS Development Corp.’s Current Report on Form 8-K/A,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5"/>
          </w:tcPr>
          <w:p>
            <w:pPr>
              <w:spacing w:after="0" w:line="196" w:lineRule="exact"/>
              <w:rPr>
                <w:rFonts w:ascii="Arial" w:cs="Arial" w:eastAsia="Arial" w:hAnsi="Arial"/>
                <w:sz w:val="18"/>
                <w:szCs w:val="18"/>
                <w:color w:val="0000EE"/>
              </w:rPr>
            </w:pPr>
            <w:hyperlink r:id="rId619">
              <w:r>
                <w:rPr>
                  <w:rFonts w:ascii="Arial" w:cs="Arial" w:eastAsia="Arial" w:hAnsi="Arial"/>
                  <w:sz w:val="18"/>
                  <w:szCs w:val="18"/>
                  <w:color w:val="0000EE"/>
                </w:rPr>
                <w:t>October 20, 2020).</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6"/>
              </w:rPr>
            </w:pPr>
            <w:hyperlink r:id="rId619">
              <w:r>
                <w:rPr>
                  <w:rFonts w:ascii="Arial" w:cs="Arial" w:eastAsia="Arial" w:hAnsi="Arial"/>
                  <w:sz w:val="18"/>
                  <w:szCs w:val="18"/>
                  <w:color w:val="0000EE"/>
                  <w:w w:val="96"/>
                </w:rPr>
                <w:t>FS Development Corp. Support Agreement, dated as of October 15, 2020, by and among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7"/>
              </w:rPr>
            </w:pPr>
            <w:hyperlink r:id="rId619">
              <w:r>
                <w:rPr>
                  <w:rFonts w:ascii="Arial" w:cs="Arial" w:eastAsia="Arial" w:hAnsi="Arial"/>
                  <w:sz w:val="18"/>
                  <w:szCs w:val="18"/>
                  <w:color w:val="0000EE"/>
                  <w:w w:val="97"/>
                </w:rPr>
                <w:t>Development Corp., Gemini Therapeutics, Inc., FS Development Holdings, LLC and certain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4"/>
              </w:rPr>
            </w:pPr>
            <w:hyperlink r:id="rId619">
              <w:r>
                <w:rPr>
                  <w:rFonts w:ascii="Arial" w:cs="Arial" w:eastAsia="Arial" w:hAnsi="Arial"/>
                  <w:sz w:val="18"/>
                  <w:szCs w:val="18"/>
                  <w:color w:val="0000EE"/>
                  <w:w w:val="94"/>
                </w:rPr>
                <w:t>supporting stockholders of FS Development Corp. (incorporated by reference to Exhibit 10.3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120" w:type="dxa"/>
            <w:vAlign w:val="bottom"/>
            <w:gridSpan w:val="14"/>
            <w:shd w:val="clear" w:color="auto" w:fill="CCEEFF"/>
          </w:tcPr>
          <w:p>
            <w:pPr>
              <w:spacing w:after="0"/>
              <w:rPr>
                <w:rFonts w:ascii="Arial" w:cs="Arial" w:eastAsia="Arial" w:hAnsi="Arial"/>
                <w:sz w:val="18"/>
                <w:szCs w:val="18"/>
                <w:u w:val="single" w:color="auto"/>
                <w:color w:val="0000EE"/>
                <w:w w:val="98"/>
              </w:rPr>
            </w:pPr>
            <w:hyperlink r:id="rId619">
              <w:r>
                <w:rPr>
                  <w:rFonts w:ascii="Arial" w:cs="Arial" w:eastAsia="Arial" w:hAnsi="Arial"/>
                  <w:sz w:val="18"/>
                  <w:szCs w:val="18"/>
                  <w:u w:val="single" w:color="auto"/>
                  <w:color w:val="0000EE"/>
                  <w:w w:val="98"/>
                </w:rPr>
                <w:t>FS Development Corp.’s Current Report on Form 8-K/A, filed with the SEC on October 20,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ind w:left="100"/>
              <w:spacing w:after="0"/>
              <w:rPr>
                <w:rFonts w:ascii="Arial" w:cs="Arial" w:eastAsia="Arial" w:hAnsi="Arial"/>
                <w:sz w:val="18"/>
                <w:szCs w:val="18"/>
                <w:u w:val="single" w:color="auto"/>
                <w:color w:val="0000EE"/>
              </w:rPr>
            </w:pPr>
            <w:hyperlink r:id="rId619">
              <w:r>
                <w:rPr>
                  <w:rFonts w:ascii="Arial" w:cs="Arial" w:eastAsia="Arial" w:hAnsi="Arial"/>
                  <w:sz w:val="18"/>
                  <w:szCs w:val="18"/>
                  <w:u w:val="single" w:color="auto"/>
                  <w:color w:val="0000EE"/>
                </w:rPr>
                <w:t>2020).</w:t>
              </w:r>
            </w:hyperlink>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7120" w:type="dxa"/>
            <w:vAlign w:val="bottom"/>
            <w:gridSpan w:val="14"/>
          </w:tcPr>
          <w:p>
            <w:pPr>
              <w:spacing w:after="0"/>
              <w:rPr>
                <w:rFonts w:ascii="Arial" w:cs="Arial" w:eastAsia="Arial" w:hAnsi="Arial"/>
                <w:sz w:val="18"/>
                <w:szCs w:val="18"/>
                <w:u w:val="single" w:color="auto"/>
                <w:color w:val="0000EE"/>
              </w:rPr>
            </w:pPr>
            <w:hyperlink w:anchor="page522">
              <w:r>
                <w:rPr>
                  <w:rFonts w:ascii="Arial" w:cs="Arial" w:eastAsia="Arial" w:hAnsi="Arial"/>
                  <w:sz w:val="18"/>
                  <w:szCs w:val="18"/>
                  <w:u w:val="single" w:color="auto"/>
                  <w:color w:val="0000EE"/>
                </w:rPr>
                <w:t>Form of Non-Redemption Agreement.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5"/>
                <w:szCs w:val="15"/>
                <w:color w:val="auto"/>
              </w:rPr>
            </w:pPr>
          </w:p>
        </w:tc>
        <w:tc>
          <w:tcPr>
            <w:tcW w:w="7120" w:type="dxa"/>
            <w:vAlign w:val="bottom"/>
            <w:gridSpan w:val="14"/>
            <w:shd w:val="clear" w:color="auto" w:fill="CCEEFF"/>
          </w:tcPr>
          <w:p>
            <w:pPr>
              <w:spacing w:after="0" w:line="176" w:lineRule="exact"/>
              <w:rPr>
                <w:rFonts w:ascii="Arial" w:cs="Arial" w:eastAsia="Arial" w:hAnsi="Arial"/>
                <w:sz w:val="18"/>
                <w:szCs w:val="18"/>
                <w:color w:val="0000EE"/>
                <w:w w:val="91"/>
              </w:rPr>
            </w:pPr>
            <w:hyperlink w:anchor="page498">
              <w:r>
                <w:rPr>
                  <w:rFonts w:ascii="Arial" w:cs="Arial" w:eastAsia="Arial" w:hAnsi="Arial"/>
                  <w:sz w:val="18"/>
                  <w:szCs w:val="18"/>
                  <w:color w:val="0000EE"/>
                  <w:w w:val="91"/>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w:anchor="page498">
              <w:r>
                <w:rPr>
                  <w:rFonts w:ascii="Arial" w:cs="Arial" w:eastAsia="Arial" w:hAnsi="Arial"/>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4"/>
          </w:tcPr>
          <w:p>
            <w:pPr>
              <w:spacing w:after="0" w:line="176" w:lineRule="exact"/>
              <w:rPr>
                <w:rFonts w:ascii="Arial" w:cs="Arial" w:eastAsia="Arial" w:hAnsi="Arial"/>
                <w:sz w:val="18"/>
                <w:szCs w:val="18"/>
                <w:color w:val="0000EE"/>
                <w:w w:val="98"/>
              </w:rPr>
            </w:pPr>
            <w:hyperlink w:anchor="page527">
              <w:r>
                <w:rPr>
                  <w:rFonts w:ascii="Arial" w:cs="Arial" w:eastAsia="Arial" w:hAnsi="Arial"/>
                  <w:sz w:val="18"/>
                  <w:szCs w:val="18"/>
                  <w:color w:val="0000EE"/>
                  <w:w w:val="98"/>
                </w:rPr>
                <w:t>Consent of Withum Smith+Brown, PC, independent registered public accounting firm of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5"/>
          </w:tcPr>
          <w:p>
            <w:pPr>
              <w:spacing w:after="0" w:line="196" w:lineRule="exact"/>
              <w:rPr>
                <w:rFonts w:ascii="Arial" w:cs="Arial" w:eastAsia="Arial" w:hAnsi="Arial"/>
                <w:sz w:val="18"/>
                <w:szCs w:val="18"/>
                <w:color w:val="0000EE"/>
              </w:rPr>
            </w:pPr>
            <w:hyperlink w:anchor="page527">
              <w:r>
                <w:rPr>
                  <w:rFonts w:ascii="Arial" w:cs="Arial" w:eastAsia="Arial" w:hAnsi="Arial"/>
                  <w:sz w:val="18"/>
                  <w:szCs w:val="18"/>
                  <w:color w:val="0000EE"/>
                </w:rPr>
                <w:t>Development Corp.</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5"/>
                <w:szCs w:val="15"/>
                <w:color w:val="auto"/>
              </w:rPr>
            </w:pPr>
          </w:p>
        </w:tc>
        <w:tc>
          <w:tcPr>
            <w:tcW w:w="7120" w:type="dxa"/>
            <w:vAlign w:val="bottom"/>
            <w:gridSpan w:val="14"/>
            <w:shd w:val="clear" w:color="auto" w:fill="CCEEFF"/>
          </w:tcPr>
          <w:p>
            <w:pPr>
              <w:spacing w:after="0" w:line="176" w:lineRule="exact"/>
              <w:rPr>
                <w:rFonts w:ascii="Arial" w:cs="Arial" w:eastAsia="Arial" w:hAnsi="Arial"/>
                <w:sz w:val="18"/>
                <w:szCs w:val="18"/>
                <w:color w:val="0000EE"/>
              </w:rPr>
            </w:pPr>
            <w:hyperlink w:anchor="page528">
              <w:r>
                <w:rPr>
                  <w:rFonts w:ascii="Arial" w:cs="Arial" w:eastAsia="Arial" w:hAnsi="Arial"/>
                  <w:sz w:val="18"/>
                  <w:szCs w:val="18"/>
                  <w:color w:val="0000EE"/>
                </w:rPr>
                <w:t>Consent of Ernst &amp; Young LLP, independent registered public accounting firm of Gemini</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w:anchor="page528">
              <w:r>
                <w:rPr>
                  <w:rFonts w:ascii="Arial" w:cs="Arial" w:eastAsia="Arial" w:hAnsi="Arial"/>
                  <w:sz w:val="18"/>
                  <w:szCs w:val="18"/>
                  <w:color w:val="0000EE"/>
                </w:rPr>
                <w:t>Therapeutics, Inc.</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line="201" w:lineRule="exact"/>
              <w:rPr>
                <w:sz w:val="20"/>
                <w:szCs w:val="20"/>
                <w:color w:val="auto"/>
              </w:rPr>
            </w:pPr>
            <w:r>
              <w:rPr>
                <w:rFonts w:ascii="Arial" w:cs="Arial" w:eastAsia="Arial" w:hAnsi="Arial"/>
                <w:sz w:val="18"/>
                <w:szCs w:val="18"/>
                <w:color w:val="auto"/>
              </w:rPr>
              <w:t>23.3**</w:t>
            </w:r>
          </w:p>
        </w:tc>
        <w:tc>
          <w:tcPr>
            <w:tcW w:w="100" w:type="dxa"/>
            <w:vAlign w:val="bottom"/>
          </w:tcPr>
          <w:p>
            <w:pPr>
              <w:spacing w:after="0"/>
              <w:rPr>
                <w:sz w:val="17"/>
                <w:szCs w:val="17"/>
                <w:color w:val="auto"/>
              </w:rPr>
            </w:pPr>
          </w:p>
        </w:tc>
        <w:tc>
          <w:tcPr>
            <w:tcW w:w="7120" w:type="dxa"/>
            <w:vAlign w:val="bottom"/>
            <w:gridSpan w:val="14"/>
          </w:tcPr>
          <w:p>
            <w:pPr>
              <w:spacing w:after="0" w:line="201" w:lineRule="exact"/>
              <w:rPr>
                <w:sz w:val="20"/>
                <w:szCs w:val="20"/>
                <w:color w:val="auto"/>
              </w:rPr>
            </w:pPr>
            <w:r>
              <w:rPr>
                <w:rFonts w:ascii="Arial" w:cs="Arial" w:eastAsia="Arial" w:hAnsi="Arial"/>
                <w:sz w:val="18"/>
                <w:szCs w:val="18"/>
                <w:color w:val="auto"/>
                <w:w w:val="96"/>
              </w:rPr>
              <w:t>Consent of White &amp; Case LLP (included as part of the opinion filed as Exhibit 5.1 hereto and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40" w:type="dxa"/>
            <w:vAlign w:val="bottom"/>
            <w:gridSpan w:val="15"/>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w:anchor="page521">
              <w:r>
                <w:rPr>
                  <w:rFonts w:ascii="Arial" w:cs="Arial" w:eastAsia="Arial" w:hAnsi="Arial"/>
                  <w:sz w:val="18"/>
                  <w:szCs w:val="18"/>
                  <w:color w:val="0000EE"/>
                  <w:w w:val="91"/>
                </w:rPr>
                <w:t>Power of Attorney (contained on signature page to the proxy statement/prospectus forming part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4"/>
            <w:shd w:val="clear" w:color="auto" w:fill="CCEEFF"/>
          </w:tcPr>
          <w:p>
            <w:pPr>
              <w:spacing w:after="0" w:line="196" w:lineRule="exact"/>
              <w:rPr>
                <w:rFonts w:ascii="Arial" w:cs="Arial" w:eastAsia="Arial" w:hAnsi="Arial"/>
                <w:sz w:val="18"/>
                <w:szCs w:val="18"/>
                <w:color w:val="0000EE"/>
              </w:rPr>
            </w:pPr>
            <w:hyperlink w:anchor="page521">
              <w:r>
                <w:rPr>
                  <w:rFonts w:ascii="Arial" w:cs="Arial" w:eastAsia="Arial" w:hAnsi="Arial"/>
                  <w:sz w:val="18"/>
                  <w:szCs w:val="18"/>
                  <w:color w:val="0000EE"/>
                </w:rPr>
                <w:t>this registration statement).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3" w:right="1440" w:bottom="1440" w:gutter="0" w:footer="0" w:header="0"/>
        </w:sectPr>
      </w:pPr>
    </w:p>
    <w:p>
      <w:pPr>
        <w:ind w:left="460"/>
        <w:spacing w:after="0"/>
        <w:rPr>
          <w:sz w:val="20"/>
          <w:szCs w:val="20"/>
          <w:color w:val="auto"/>
        </w:rPr>
      </w:pPr>
      <w:r>
        <w:rPr>
          <w:rFonts w:ascii="Arial" w:cs="Arial" w:eastAsia="Arial" w:hAnsi="Arial"/>
          <w:sz w:val="18"/>
          <w:szCs w:val="18"/>
          <w:color w:val="auto"/>
        </w:rPr>
        <w:t>99.1**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101.INS**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101.CAL**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101.SCH**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101.DEF**</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101.LAB**</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101.PRE**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of Preliminary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40640</wp:posOffset>
            </wp:positionV>
            <wp:extent cx="5143500" cy="1797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55245</wp:posOffset>
            </wp:positionV>
            <wp:extent cx="5143500" cy="1797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47625</wp:posOffset>
            </wp:positionV>
            <wp:extent cx="5143500" cy="1803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Labels Linkbase Document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337" w:lineRule="exact"/>
        <w:rPr>
          <w:sz w:val="20"/>
          <w:szCs w:val="20"/>
          <w:color w:val="auto"/>
        </w:rPr>
      </w:pPr>
    </w:p>
    <w:p>
      <w:pPr>
        <w:sectPr>
          <w:pgSz w:w="11900" w:h="16838" w:orient="portrait"/>
          <w:cols w:equalWidth="0" w:num="2">
            <w:col w:w="1420" w:space="20"/>
            <w:col w:w="7579"/>
          </w:cols>
          <w:pgMar w:left="1440" w:top="273" w:right="1440" w:bottom="1440" w:gutter="0" w:footer="0" w:header="0"/>
          <w:type w:val="continuous"/>
        </w:sectPr>
      </w:pPr>
    </w:p>
    <w:p>
      <w:pPr>
        <w:jc w:val="both"/>
        <w:ind w:left="880" w:right="459" w:hanging="426"/>
        <w:spacing w:after="0" w:line="264" w:lineRule="auto"/>
        <w:tabs>
          <w:tab w:leader="none" w:pos="90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The annexes, schedules, and certain exhibits to the Merger Agreement have been omitted pursuant to Item 601(b)(2) of Regulation S-K. FS Development hereby agrees to furnish supplementally a copy of any omitted annex, schedule or exhibit to the Commission upon request.</w:t>
      </w:r>
    </w:p>
    <w:p>
      <w:pPr>
        <w:ind w:left="860" w:hanging="406"/>
        <w:spacing w:after="0"/>
        <w:tabs>
          <w:tab w:leader="none" w:pos="86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19" w:lineRule="exact"/>
        <w:rPr>
          <w:sz w:val="20"/>
          <w:szCs w:val="20"/>
          <w:color w:val="auto"/>
        </w:rPr>
      </w:pPr>
    </w:p>
    <w:p>
      <w:pPr>
        <w:ind w:left="860" w:hanging="406"/>
        <w:spacing w:after="0"/>
        <w:tabs>
          <w:tab w:leader="none" w:pos="86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ectPr>
          <w:pgSz w:w="11900" w:h="16838" w:orient="portrait"/>
          <w:cols w:equalWidth="0" w:num="1">
            <w:col w:w="9019"/>
          </w:cols>
          <w:pgMar w:left="1440" w:top="273" w:right="1440"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type w:val="continuous"/>
        </w:sectPr>
      </w:pPr>
    </w:p>
    <w:bookmarkStart w:id="518" w:name="page519"/>
    <w:bookmarkEnd w:id="518"/>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22. Undertakings.</w:t>
      </w:r>
    </w:p>
    <w:p>
      <w:pPr>
        <w:spacing w:after="0" w:line="148" w:lineRule="exact"/>
        <w:rPr>
          <w:sz w:val="20"/>
          <w:szCs w:val="20"/>
          <w:color w:val="auto"/>
        </w:rPr>
      </w:pPr>
    </w:p>
    <w:p>
      <w:pPr>
        <w:ind w:left="1300" w:hanging="414"/>
        <w:spacing w:after="0"/>
        <w:tabs>
          <w:tab w:leader="none" w:pos="13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157" w:lineRule="exact"/>
        <w:rPr>
          <w:rFonts w:ascii="Arial" w:cs="Arial" w:eastAsia="Arial" w:hAnsi="Arial"/>
          <w:sz w:val="18"/>
          <w:szCs w:val="18"/>
          <w:color w:val="auto"/>
        </w:rPr>
      </w:pPr>
    </w:p>
    <w:p>
      <w:pPr>
        <w:ind w:left="1760" w:right="479" w:hanging="442"/>
        <w:spacing w:after="0" w:line="277" w:lineRule="auto"/>
        <w:tabs>
          <w:tab w:leader="none" w:pos="1726"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2160" w:hanging="410"/>
        <w:spacing w:after="0"/>
        <w:tabs>
          <w:tab w:leader="none" w:pos="2160" w:val="left"/>
        </w:tabs>
        <w:numPr>
          <w:ilvl w:val="2"/>
          <w:numId w:val="516"/>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55" w:lineRule="exact"/>
        <w:rPr>
          <w:rFonts w:ascii="Arial" w:cs="Arial" w:eastAsia="Arial" w:hAnsi="Arial"/>
          <w:sz w:val="17"/>
          <w:szCs w:val="17"/>
          <w:color w:val="auto"/>
        </w:rPr>
      </w:pPr>
    </w:p>
    <w:p>
      <w:pPr>
        <w:jc w:val="both"/>
        <w:ind w:left="2180" w:right="459" w:hanging="430"/>
        <w:spacing w:after="0" w:line="269" w:lineRule="auto"/>
        <w:tabs>
          <w:tab w:leader="none" w:pos="2271" w:val="left"/>
        </w:tabs>
        <w:numPr>
          <w:ilvl w:val="2"/>
          <w:numId w:val="51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14" w:lineRule="exact"/>
        <w:rPr>
          <w:rFonts w:ascii="Arial" w:cs="Arial" w:eastAsia="Arial" w:hAnsi="Arial"/>
          <w:sz w:val="17"/>
          <w:szCs w:val="17"/>
          <w:color w:val="auto"/>
        </w:rPr>
      </w:pPr>
    </w:p>
    <w:p>
      <w:pPr>
        <w:jc w:val="both"/>
        <w:ind w:left="2180" w:right="479" w:hanging="430"/>
        <w:spacing w:after="0" w:line="263" w:lineRule="auto"/>
        <w:tabs>
          <w:tab w:leader="none" w:pos="2375" w:val="left"/>
        </w:tabs>
        <w:numPr>
          <w:ilvl w:val="2"/>
          <w:numId w:val="5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jc w:val="both"/>
        <w:ind w:left="1760" w:right="459" w:hanging="442"/>
        <w:spacing w:after="0" w:line="259" w:lineRule="auto"/>
        <w:tabs>
          <w:tab w:leader="none" w:pos="1746" w:val="left"/>
        </w:tabs>
        <w:numPr>
          <w:ilvl w:val="1"/>
          <w:numId w:val="51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05" w:lineRule="exact"/>
        <w:rPr>
          <w:rFonts w:ascii="Arial" w:cs="Arial" w:eastAsia="Arial" w:hAnsi="Arial"/>
          <w:sz w:val="18"/>
          <w:szCs w:val="18"/>
          <w:color w:val="auto"/>
        </w:rPr>
      </w:pPr>
    </w:p>
    <w:p>
      <w:pPr>
        <w:ind w:left="1760" w:right="459" w:hanging="442"/>
        <w:spacing w:after="0" w:line="277" w:lineRule="auto"/>
        <w:tabs>
          <w:tab w:leader="none" w:pos="180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jc w:val="both"/>
        <w:ind w:left="1760" w:right="459" w:hanging="442"/>
        <w:spacing w:after="0" w:line="252" w:lineRule="auto"/>
        <w:tabs>
          <w:tab w:leader="none" w:pos="1882"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2" w:lineRule="exact"/>
        <w:rPr>
          <w:rFonts w:ascii="Arial" w:cs="Arial" w:eastAsia="Arial" w:hAnsi="Arial"/>
          <w:sz w:val="18"/>
          <w:szCs w:val="18"/>
          <w:color w:val="auto"/>
        </w:rPr>
      </w:pPr>
    </w:p>
    <w:p>
      <w:pPr>
        <w:jc w:val="both"/>
        <w:ind w:left="1760" w:right="459" w:hanging="442"/>
        <w:spacing w:after="0" w:line="272" w:lineRule="auto"/>
        <w:tabs>
          <w:tab w:leader="none" w:pos="1808" w:val="left"/>
        </w:tabs>
        <w:numPr>
          <w:ilvl w:val="1"/>
          <w:numId w:val="516"/>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6" w:lineRule="exact"/>
        <w:rPr>
          <w:rFonts w:ascii="Arial" w:cs="Arial" w:eastAsia="Arial" w:hAnsi="Arial"/>
          <w:sz w:val="17"/>
          <w:szCs w:val="17"/>
          <w:color w:val="auto"/>
        </w:rPr>
      </w:pPr>
    </w:p>
    <w:p>
      <w:pPr>
        <w:ind w:left="2180" w:right="459" w:hanging="430"/>
        <w:spacing w:after="0" w:line="277" w:lineRule="auto"/>
        <w:tabs>
          <w:tab w:leader="none" w:pos="2237" w:val="left"/>
        </w:tabs>
        <w:numPr>
          <w:ilvl w:val="2"/>
          <w:numId w:val="51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2180" w:right="459" w:hanging="430"/>
        <w:spacing w:after="0" w:line="277" w:lineRule="auto"/>
        <w:tabs>
          <w:tab w:leader="none" w:pos="2287" w:val="left"/>
        </w:tabs>
        <w:numPr>
          <w:ilvl w:val="2"/>
          <w:numId w:val="51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19" w:name="page520"/>
    <w:bookmarkEnd w:id="519"/>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2220" w:right="459" w:hanging="434"/>
        <w:spacing w:after="0" w:line="263" w:lineRule="auto"/>
        <w:tabs>
          <w:tab w:leader="none" w:pos="2328" w:val="left"/>
        </w:tabs>
        <w:numPr>
          <w:ilvl w:val="3"/>
          <w:numId w:val="5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459" w:hanging="430"/>
        <w:spacing w:after="0" w:line="277" w:lineRule="auto"/>
        <w:tabs>
          <w:tab w:leader="none" w:pos="2330" w:val="left"/>
        </w:tabs>
        <w:numPr>
          <w:ilvl w:val="2"/>
          <w:numId w:val="51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jc w:val="both"/>
        <w:ind w:left="1760" w:right="459" w:hanging="442"/>
        <w:spacing w:after="0" w:line="272" w:lineRule="auto"/>
        <w:tabs>
          <w:tab w:leader="none" w:pos="1718" w:val="left"/>
        </w:tabs>
        <w:numPr>
          <w:ilvl w:val="1"/>
          <w:numId w:val="519"/>
        </w:numPr>
        <w:rPr>
          <w:rFonts w:ascii="Arial" w:cs="Arial" w:eastAsia="Arial" w:hAnsi="Arial"/>
          <w:sz w:val="17"/>
          <w:szCs w:val="17"/>
          <w:color w:val="auto"/>
        </w:rPr>
      </w:pPr>
      <w:r>
        <w:rPr>
          <w:rFonts w:ascii="Arial" w:cs="Arial" w:eastAsia="Arial" w:hAnsi="Arial"/>
          <w:sz w:val="17"/>
          <w:szCs w:val="17"/>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6" w:lineRule="exact"/>
        <w:rPr>
          <w:rFonts w:ascii="Arial" w:cs="Arial" w:eastAsia="Arial" w:hAnsi="Arial"/>
          <w:sz w:val="17"/>
          <w:szCs w:val="17"/>
          <w:color w:val="auto"/>
        </w:rPr>
      </w:pPr>
    </w:p>
    <w:p>
      <w:pPr>
        <w:jc w:val="both"/>
        <w:ind w:left="1760" w:right="459" w:hanging="442"/>
        <w:spacing w:after="0" w:line="271" w:lineRule="auto"/>
        <w:tabs>
          <w:tab w:leader="none" w:pos="1873" w:val="left"/>
        </w:tabs>
        <w:numPr>
          <w:ilvl w:val="1"/>
          <w:numId w:val="519"/>
        </w:numPr>
        <w:rPr>
          <w:rFonts w:ascii="Arial" w:cs="Arial" w:eastAsia="Arial" w:hAnsi="Arial"/>
          <w:sz w:val="17"/>
          <w:szCs w:val="17"/>
          <w:color w:val="auto"/>
        </w:rPr>
      </w:pPr>
      <w:r>
        <w:rPr>
          <w:rFonts w:ascii="Arial" w:cs="Arial" w:eastAsia="Arial" w:hAnsi="Arial"/>
          <w:sz w:val="17"/>
          <w:szCs w:val="17"/>
          <w:color w:val="auto"/>
        </w:rPr>
        <w:t xml:space="preserve">The registrant hereby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10" w:lineRule="exact"/>
        <w:rPr>
          <w:rFonts w:ascii="Arial" w:cs="Arial" w:eastAsia="Arial" w:hAnsi="Arial"/>
          <w:sz w:val="17"/>
          <w:szCs w:val="17"/>
          <w:color w:val="auto"/>
        </w:rPr>
      </w:pPr>
    </w:p>
    <w:p>
      <w:pPr>
        <w:jc w:val="both"/>
        <w:ind w:left="1760" w:right="459" w:hanging="442"/>
        <w:spacing w:after="0" w:line="269" w:lineRule="auto"/>
        <w:tabs>
          <w:tab w:leader="none" w:pos="1835" w:val="left"/>
        </w:tabs>
        <w:numPr>
          <w:ilvl w:val="1"/>
          <w:numId w:val="51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rFonts w:ascii="Arial" w:cs="Arial" w:eastAsia="Arial" w:hAnsi="Arial"/>
          <w:sz w:val="17"/>
          <w:szCs w:val="17"/>
          <w:color w:val="auto"/>
        </w:rPr>
      </w:pPr>
    </w:p>
    <w:p>
      <w:pPr>
        <w:jc w:val="both"/>
        <w:ind w:left="1320" w:right="459" w:hanging="434"/>
        <w:spacing w:after="0" w:line="255" w:lineRule="auto"/>
        <w:tabs>
          <w:tab w:leader="none" w:pos="1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1" w:lineRule="exact"/>
        <w:rPr>
          <w:rFonts w:ascii="Arial" w:cs="Arial" w:eastAsia="Arial" w:hAnsi="Arial"/>
          <w:sz w:val="18"/>
          <w:szCs w:val="18"/>
          <w:color w:val="auto"/>
        </w:rPr>
      </w:pPr>
    </w:p>
    <w:p>
      <w:pPr>
        <w:jc w:val="both"/>
        <w:ind w:left="1320" w:right="479" w:hanging="434"/>
        <w:spacing w:after="0" w:line="311" w:lineRule="auto"/>
        <w:tabs>
          <w:tab w:leader="none" w:pos="1322"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520" w:name="page521"/>
    <w:bookmarkEnd w:id="520"/>
    <w:p>
      <w:pPr>
        <w:ind w:left="4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San Francisco, California, on October 30, 2020.</w:t>
      </w:r>
    </w:p>
    <w:p>
      <w:pPr>
        <w:spacing w:after="0" w:line="18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FS DEVELOPMENT CORP.</w:t>
      </w:r>
    </w:p>
    <w:p>
      <w:pPr>
        <w:spacing w:after="0" w:line="18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48895</wp:posOffset>
            </wp:positionV>
            <wp:extent cx="20828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Jim Tananbaum</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Dennis Ryan, his or her true and lawful attorney-in-fact, with full power of substitution and resubstitution for him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may lawfully do or cause to be done by virtue thereof.</w:t>
      </w:r>
    </w:p>
    <w:p>
      <w:pPr>
        <w:spacing w:after="0" w:line="12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228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120" w:type="dxa"/>
            <w:vAlign w:val="bottom"/>
          </w:tcPr>
          <w:p>
            <w:pPr>
              <w:spacing w:after="0"/>
              <w:rPr>
                <w:sz w:val="20"/>
                <w:szCs w:val="20"/>
                <w:color w:val="auto"/>
              </w:rPr>
            </w:pPr>
          </w:p>
        </w:tc>
        <w:tc>
          <w:tcPr>
            <w:tcW w:w="4200" w:type="dxa"/>
            <w:vAlign w:val="bottom"/>
            <w:gridSpan w:val="2"/>
          </w:tcPr>
          <w:p>
            <w:pPr>
              <w:ind w:left="1880"/>
              <w:spacing w:after="0"/>
              <w:rPr>
                <w:sz w:val="20"/>
                <w:szCs w:val="20"/>
                <w:color w:val="auto"/>
              </w:rPr>
            </w:pPr>
            <w:r>
              <w:rPr>
                <w:rFonts w:ascii="Arial" w:cs="Arial" w:eastAsia="Arial" w:hAnsi="Arial"/>
                <w:sz w:val="16"/>
                <w:szCs w:val="16"/>
                <w:b w:val="1"/>
                <w:bCs w:val="1"/>
                <w:color w:val="auto"/>
              </w:rPr>
              <w:t>Title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
        </w:trPr>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280" w:type="dxa"/>
            <w:vAlign w:val="bottom"/>
          </w:tcPr>
          <w:p>
            <w:pPr>
              <w:spacing w:after="0"/>
              <w:rPr>
                <w:sz w:val="20"/>
                <w:szCs w:val="20"/>
                <w:color w:val="auto"/>
              </w:rPr>
            </w:pPr>
            <w:r>
              <w:rPr>
                <w:rFonts w:ascii="Arial" w:cs="Arial" w:eastAsia="Arial" w:hAnsi="Arial"/>
                <w:sz w:val="18"/>
                <w:szCs w:val="18"/>
                <w:color w:val="auto"/>
              </w:rPr>
              <w:t>/s/ Dr. Jim Tananbaum</w:t>
            </w: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30,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Dr. Jim Tananbaum</w:t>
            </w:r>
          </w:p>
        </w:tc>
        <w:tc>
          <w:tcPr>
            <w:tcW w:w="12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/s/ Dennis Ryan</w:t>
            </w: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30,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Dennis Ryan</w:t>
            </w:r>
          </w:p>
        </w:tc>
        <w:tc>
          <w:tcPr>
            <w:tcW w:w="12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/s/ Dr. Michael Rome</w:t>
            </w: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Vice President and 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30,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Dr. Michael Rome</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/s/ Dr. Vikram Bajaj</w:t>
            </w: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30,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Dr. Vikram Bajaj</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/s/ Robert Carey</w:t>
            </w: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30,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Robert Carey</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/s/ Dr. Dan Dubin</w:t>
            </w: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30,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Dr. Dan Dubin</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/s/ Dr. Deepa Pakianathan</w:t>
            </w:r>
          </w:p>
        </w:tc>
        <w:tc>
          <w:tcPr>
            <w:tcW w:w="1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30, 2020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Dr. Deepa Pakianathan</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II-8</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3" w:right="1440" w:bottom="1440" w:gutter="0" w:footer="0" w:header="0"/>
        </w:sectPr>
      </w:pPr>
    </w:p>
    <w:bookmarkStart w:id="521" w:name="page522"/>
    <w:bookmarkEnd w:id="521"/>
    <w:p>
      <w:pPr>
        <w:jc w:val="right"/>
        <w:spacing w:after="0"/>
        <w:rPr>
          <w:sz w:val="20"/>
          <w:szCs w:val="20"/>
          <w:color w:val="auto"/>
        </w:rPr>
      </w:pPr>
      <w:r>
        <w:rPr>
          <w:rFonts w:ascii="Arial" w:cs="Arial" w:eastAsia="Arial" w:hAnsi="Arial"/>
          <w:sz w:val="22"/>
          <w:szCs w:val="22"/>
          <w:b w:val="1"/>
          <w:bCs w:val="1"/>
          <w:color w:val="auto"/>
        </w:rPr>
        <w:t>Exhibit 10.5</w:t>
      </w:r>
    </w:p>
    <w:p>
      <w:pPr>
        <w:spacing w:after="0" w:line="24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600 Montgomery Street, Suite 4500</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San Francisco, California 94111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FS Development Corp,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has proposed to enter into a definitive agreement (the “</w:t>
      </w:r>
      <w:r>
        <w:rPr>
          <w:rFonts w:ascii="Arial" w:cs="Arial" w:eastAsia="Arial" w:hAnsi="Arial"/>
          <w:sz w:val="18"/>
          <w:szCs w:val="18"/>
          <w:u w:val="single" w:color="auto"/>
          <w:color w:val="auto"/>
        </w:rPr>
        <w:t>Definitive Agreement</w:t>
      </w:r>
      <w:r>
        <w:rPr>
          <w:rFonts w:ascii="Arial" w:cs="Arial" w:eastAsia="Arial" w:hAnsi="Arial"/>
          <w:sz w:val="18"/>
          <w:szCs w:val="18"/>
          <w:color w:val="auto"/>
        </w:rPr>
        <w:t>”) for a business combination with Gemini Therapeutics, Inc. (the “</w:t>
      </w:r>
      <w:r>
        <w:rPr>
          <w:rFonts w:ascii="Arial" w:cs="Arial" w:eastAsia="Arial" w:hAnsi="Arial"/>
          <w:sz w:val="18"/>
          <w:szCs w:val="18"/>
          <w:u w:val="single" w:color="auto"/>
          <w:color w:val="auto"/>
        </w:rPr>
        <w:t>Target</w:t>
      </w:r>
      <w:r>
        <w:rPr>
          <w:rFonts w:ascii="Arial" w:cs="Arial" w:eastAsia="Arial" w:hAnsi="Arial"/>
          <w:sz w:val="18"/>
          <w:szCs w:val="18"/>
          <w:color w:val="auto"/>
        </w:rPr>
        <w:t>”), pursuant to which the Issuer will acquire the Target on the terms and subject to the conditions set forth therein (the “</w:t>
      </w:r>
      <w:r>
        <w:rPr>
          <w:rFonts w:ascii="Arial" w:cs="Arial" w:eastAsia="Arial" w:hAnsi="Arial"/>
          <w:sz w:val="18"/>
          <w:szCs w:val="18"/>
          <w:u w:val="single" w:color="auto"/>
          <w:color w:val="auto"/>
        </w:rPr>
        <w:t>Transaction</w:t>
      </w:r>
      <w:r>
        <w:rPr>
          <w:rFonts w:ascii="Arial" w:cs="Arial" w:eastAsia="Arial" w:hAnsi="Arial"/>
          <w:sz w:val="18"/>
          <w:szCs w:val="18"/>
          <w:color w:val="auto"/>
        </w:rPr>
        <w:t>”). As a condition to its willingness to enter into the Definitive Agreement, the Issuer has required the holder of the Issuer’s Class A common stock, par value $0.0001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named on the signature page hereof (“</w:t>
      </w:r>
      <w:r>
        <w:rPr>
          <w:rFonts w:ascii="Arial" w:cs="Arial" w:eastAsia="Arial" w:hAnsi="Arial"/>
          <w:sz w:val="18"/>
          <w:szCs w:val="18"/>
          <w:u w:val="single" w:color="auto"/>
          <w:color w:val="auto"/>
        </w:rPr>
        <w:t>Holder</w:t>
      </w:r>
      <w:r>
        <w:rPr>
          <w:rFonts w:ascii="Arial" w:cs="Arial" w:eastAsia="Arial" w:hAnsi="Arial"/>
          <w:sz w:val="18"/>
          <w:szCs w:val="18"/>
          <w:color w:val="auto"/>
        </w:rPr>
        <w:t>”) to execute and deliver this Letter Agreement.</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consideration of the foregoing and the mutual acknowledgments, understandings, and agreements contained in this Letter Agreement and for other good and valuable consideration, the receipt and adequacy of which are hereby acknowledged, the Issuer and Holder hereby agree as follows:</w:t>
      </w:r>
    </w:p>
    <w:p>
      <w:pPr>
        <w:spacing w:after="0" w:line="124" w:lineRule="exact"/>
        <w:rPr>
          <w:sz w:val="20"/>
          <w:szCs w:val="20"/>
          <w:color w:val="auto"/>
        </w:rPr>
      </w:pPr>
    </w:p>
    <w:p>
      <w:pPr>
        <w:jc w:val="both"/>
        <w:ind w:firstLine="656"/>
        <w:spacing w:after="0" w:line="259" w:lineRule="auto"/>
        <w:tabs>
          <w:tab w:leader="none" w:pos="868"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Holder</w:t>
      </w:r>
      <w:r>
        <w:rPr>
          <w:rFonts w:ascii="Arial" w:cs="Arial" w:eastAsia="Arial" w:hAnsi="Arial"/>
          <w:sz w:val="18"/>
          <w:szCs w:val="18"/>
          <w:color w:val="auto"/>
        </w:rPr>
        <w:t>. Holder represents and warrants that it [and/or certain of its controlled affiliates own][owns] beneficially[, or holds through its prime broker,] as of the date hereof, and have the [sole][shared] power to vote [along with the investment manager of Holder] (or sole power to direct the voting of), the number of shares of Class A Common Stock that are set forth below Holder’s signature on the signature page hereto (the “</w:t>
      </w:r>
      <w:r>
        <w:rPr>
          <w:rFonts w:ascii="Arial" w:cs="Arial" w:eastAsia="Arial" w:hAnsi="Arial"/>
          <w:sz w:val="18"/>
          <w:szCs w:val="18"/>
          <w:u w:val="single" w:color="auto"/>
          <w:color w:val="auto"/>
        </w:rPr>
        <w:t>Public Shares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828"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Pre-Closing Lock-up and Waiver of Redemption Rights</w:t>
      </w:r>
      <w:r>
        <w:rPr>
          <w:rFonts w:ascii="Arial" w:cs="Arial" w:eastAsia="Arial" w:hAnsi="Arial"/>
          <w:sz w:val="18"/>
          <w:szCs w:val="18"/>
          <w:color w:val="auto"/>
        </w:rPr>
        <w:t>. Holder acknowledges that it has certain rights with respect to the redemption of the Public Shares pursuant to the Amended and Restated Certificate of Incorporation of the Issuer (the “</w:t>
      </w:r>
      <w:r>
        <w:rPr>
          <w:rFonts w:ascii="Arial" w:cs="Arial" w:eastAsia="Arial" w:hAnsi="Arial"/>
          <w:sz w:val="18"/>
          <w:szCs w:val="18"/>
          <w:u w:val="single" w:color="auto"/>
          <w:color w:val="auto"/>
        </w:rPr>
        <w:t>Charter</w:t>
      </w:r>
      <w:r>
        <w:rPr>
          <w:rFonts w:ascii="Arial" w:cs="Arial" w:eastAsia="Arial" w:hAnsi="Arial"/>
          <w:sz w:val="18"/>
          <w:szCs w:val="18"/>
          <w:color w:val="auto"/>
        </w:rPr>
        <w:t>”) and in connection with the Transaction. Holder covenants and agrees that neither it [nor any of its controlled affiliates] shall:</w:t>
      </w:r>
    </w:p>
    <w:p>
      <w:pPr>
        <w:spacing w:after="0" w:line="184" w:lineRule="exact"/>
        <w:rPr>
          <w:sz w:val="20"/>
          <w:szCs w:val="20"/>
          <w:color w:val="auto"/>
        </w:rPr>
      </w:pPr>
    </w:p>
    <w:p>
      <w:pPr>
        <w:jc w:val="both"/>
        <w:ind w:left="980" w:hanging="324"/>
        <w:spacing w:after="0" w:line="259" w:lineRule="auto"/>
        <w:tabs>
          <w:tab w:leader="none" w:pos="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directly or indirectly Transfer (other than to any fund or account managed by the same investment manager as Holder) any of the Public Shares, or any voting or economic interest therein, as of and following the date hereof through the earlier of (x) the date of the consummation of the Transaction (the “</w:t>
      </w:r>
      <w:r>
        <w:rPr>
          <w:rFonts w:ascii="Arial" w:cs="Arial" w:eastAsia="Arial" w:hAnsi="Arial"/>
          <w:sz w:val="18"/>
          <w:szCs w:val="18"/>
          <w:u w:val="single" w:color="auto"/>
          <w:color w:val="auto"/>
        </w:rPr>
        <w:t>Closing Date</w:t>
      </w:r>
      <w:r>
        <w:rPr>
          <w:rFonts w:ascii="Arial" w:cs="Arial" w:eastAsia="Arial" w:hAnsi="Arial"/>
          <w:sz w:val="18"/>
          <w:szCs w:val="18"/>
          <w:color w:val="auto"/>
        </w:rPr>
        <w:t>”) and (y) the termination of the Definitive Agreement in accordance with its terms [and (z) May 15, 2021]; or</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elect to redeem or tender or submit for redemption any of the Public Shares, or otherwise exercise all or any portion of the redemption rights under the Charter with respect to the Public Shares, in connection with the Transaction or the special meeting of the stockholders of the Issuer to take place in connection with the Transaction (the “</w:t>
      </w:r>
      <w:r>
        <w:rPr>
          <w:rFonts w:ascii="Arial" w:cs="Arial" w:eastAsia="Arial" w:hAnsi="Arial"/>
          <w:sz w:val="18"/>
          <w:szCs w:val="18"/>
          <w:u w:val="single" w:color="auto"/>
          <w:color w:val="auto"/>
        </w:rPr>
        <w:t>Redemption Rights</w:t>
      </w:r>
      <w:r>
        <w:rPr>
          <w:rFonts w:ascii="Arial" w:cs="Arial" w:eastAsia="Arial" w:hAnsi="Arial"/>
          <w:sz w:val="18"/>
          <w:szCs w:val="18"/>
          <w:color w:val="auto"/>
        </w:rPr>
        <w: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Transfer</w:t>
      </w:r>
      <w:r>
        <w:rPr>
          <w:rFonts w:ascii="Arial" w:cs="Arial" w:eastAsia="Arial" w:hAnsi="Arial"/>
          <w:sz w:val="18"/>
          <w:szCs w:val="18"/>
          <w:color w:val="auto"/>
        </w:rPr>
        <w:t>” shall mean, with respect to Public Shares, the transfer, sale, offer, exchange, assignment, pledge (other than pursuant to standardized pledge arrangements with Holder’s prime brokers) or other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22" w:name="page523"/>
    <w:bookmarkEnd w:id="522"/>
    <w:p>
      <w:pPr>
        <w:jc w:val="both"/>
        <w:ind w:firstLine="648"/>
        <w:spacing w:after="0" w:line="270" w:lineRule="auto"/>
        <w:rPr>
          <w:sz w:val="20"/>
          <w:szCs w:val="20"/>
          <w:color w:val="auto"/>
        </w:rPr>
      </w:pPr>
      <w:r>
        <w:rPr>
          <w:rFonts w:ascii="Arial" w:cs="Arial" w:eastAsia="Arial" w:hAnsi="Arial"/>
          <w:sz w:val="17"/>
          <w:szCs w:val="17"/>
          <w:color w:val="auto"/>
        </w:rPr>
        <w:t>In furtherance of the foregoing: (x) Holder hereby irrevocably waives[, on behalf of itself and its controlled affiliates,] the Redemption Rights and irrevocably constitutes and appoints the Issuer and the Target and their respective designees, with full power of substitution, as its [(and its controlled affiliates)] true and lawful agent and attorney-in-fact, with full power and authority in its name, place and stead, to revoke any redemption election made in contravention of paragraph 2(b) above with respect to any Public Shares and to cause the Issuer’s transfer agent to fail to redeem such Public Shares in connection with the Transaction, and (y) in the event of a breach of paragraph 2(a) or 2(b) with respect to any Public Shares (the “</w:t>
      </w:r>
      <w:r>
        <w:rPr>
          <w:rFonts w:ascii="Arial" w:cs="Arial" w:eastAsia="Arial" w:hAnsi="Arial"/>
          <w:sz w:val="17"/>
          <w:szCs w:val="17"/>
          <w:u w:val="single" w:color="auto"/>
          <w:color w:val="auto"/>
        </w:rPr>
        <w:t>Transferred/Redeemed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Holder unconditionally and irrevocably agrees to, or to cause one or more of its affiliates to, [use commercially reasonable efforts to] subscribe for and purchase from the Issuer (or from its permitted assignee(s) or designee(s)) a number of shares of Class A Common Stock equal to the number of such Transferred/Redeemed Shares, for [a per share][aggregate] purchase price equal to the amount to be received by public stockholders of the Issuer exercising their redemption rights under the Charter in connection with the Transaction.</w:t>
      </w:r>
    </w:p>
    <w:p>
      <w:pPr>
        <w:spacing w:after="0" w:line="181" w:lineRule="exact"/>
        <w:rPr>
          <w:sz w:val="20"/>
          <w:szCs w:val="20"/>
          <w:color w:val="auto"/>
        </w:rPr>
      </w:pPr>
    </w:p>
    <w:p>
      <w:pPr>
        <w:ind w:left="840" w:hanging="184"/>
        <w:spacing w:after="0"/>
        <w:tabs>
          <w:tab w:leader="none" w:pos="84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jc w:val="both"/>
        <w:ind w:firstLine="980"/>
        <w:spacing w:after="0" w:line="279" w:lineRule="auto"/>
        <w:tabs>
          <w:tab w:leader="none" w:pos="1227" w:val="left"/>
        </w:tabs>
        <w:numPr>
          <w:ilvl w:val="1"/>
          <w:numId w:val="523"/>
        </w:numPr>
        <w:rPr>
          <w:rFonts w:ascii="Arial" w:cs="Arial" w:eastAsia="Arial" w:hAnsi="Arial"/>
          <w:sz w:val="17"/>
          <w:szCs w:val="17"/>
          <w:color w:val="auto"/>
        </w:rPr>
      </w:pPr>
      <w:r>
        <w:rPr>
          <w:rFonts w:ascii="Arial" w:cs="Arial" w:eastAsia="Arial" w:hAnsi="Arial"/>
          <w:sz w:val="17"/>
          <w:szCs w:val="17"/>
          <w:color w:val="auto"/>
        </w:rPr>
        <w:t>Holder acknowledges that the Issuer and others (including the Target) will rely on the representations, warranties, acknowledgments, understandings and agreements contained in this Letter Agreement and that this Letter Agreement is being delivered to Target to induce Target to enter into the Definitive Agreement. [Holder agrees to promptly notify the Issuer, who shall promptly notify the Target, if any of the representations, warranties, acknowledgments, understandings or agreements set forth herein are no longer accurate in all material respects.]</w:t>
      </w:r>
    </w:p>
    <w:p>
      <w:pPr>
        <w:spacing w:after="0" w:line="171" w:lineRule="exact"/>
        <w:rPr>
          <w:rFonts w:ascii="Arial" w:cs="Arial" w:eastAsia="Arial" w:hAnsi="Arial"/>
          <w:sz w:val="17"/>
          <w:szCs w:val="17"/>
          <w:color w:val="auto"/>
        </w:rPr>
      </w:pPr>
    </w:p>
    <w:p>
      <w:pPr>
        <w:ind w:firstLine="980"/>
        <w:spacing w:after="0" w:line="342" w:lineRule="auto"/>
        <w:tabs>
          <w:tab w:leader="none" w:pos="1224" w:val="left"/>
        </w:tabs>
        <w:numPr>
          <w:ilvl w:val="1"/>
          <w:numId w:val="523"/>
        </w:numPr>
        <w:rPr>
          <w:rFonts w:ascii="Arial" w:cs="Arial" w:eastAsia="Arial" w:hAnsi="Arial"/>
          <w:sz w:val="16"/>
          <w:szCs w:val="16"/>
          <w:color w:val="auto"/>
        </w:rPr>
      </w:pPr>
      <w:r>
        <w:rPr>
          <w:rFonts w:ascii="Arial" w:cs="Arial" w:eastAsia="Arial" w:hAnsi="Arial"/>
          <w:sz w:val="16"/>
          <w:szCs w:val="16"/>
          <w:color w:val="auto"/>
        </w:rPr>
        <w:t>Each of the Issuer, Holder and Target is entitled to rely upon this Letter Agreement and is irrevocably authorized to produce this Letter Agreement or a copy hereof to any interested party in any administrative or legal proceeding or official inquiry with respect to the matters covered hereby.</w:t>
      </w:r>
    </w:p>
    <w:p>
      <w:pPr>
        <w:spacing w:after="0" w:line="123" w:lineRule="exact"/>
        <w:rPr>
          <w:rFonts w:ascii="Arial" w:cs="Arial" w:eastAsia="Arial" w:hAnsi="Arial"/>
          <w:sz w:val="16"/>
          <w:szCs w:val="16"/>
          <w:color w:val="auto"/>
        </w:rPr>
      </w:pPr>
    </w:p>
    <w:p>
      <w:pPr>
        <w:ind w:right="20" w:firstLine="980"/>
        <w:spacing w:after="0" w:line="277" w:lineRule="auto"/>
        <w:tabs>
          <w:tab w:leader="none" w:pos="1227" w:val="left"/>
        </w:tabs>
        <w:numPr>
          <w:ilvl w:val="1"/>
          <w:numId w:val="523"/>
        </w:numPr>
        <w:rPr>
          <w:rFonts w:ascii="Arial" w:cs="Arial" w:eastAsia="Arial" w:hAnsi="Arial"/>
          <w:sz w:val="18"/>
          <w:szCs w:val="18"/>
          <w:color w:val="auto"/>
        </w:rPr>
      </w:pPr>
      <w:r>
        <w:rPr>
          <w:rFonts w:ascii="Arial" w:cs="Arial" w:eastAsia="Arial" w:hAnsi="Arial"/>
          <w:sz w:val="18"/>
          <w:szCs w:val="18"/>
          <w:color w:val="auto"/>
        </w:rPr>
        <w:t>Neither this Letter Agreement nor any rights that may accrue to Holder hereunder may be transferred or assigned. Neither this Letter Agreement nor any rights that may accrue to the Issuer hereunder may be transferred or assigned.</w:t>
      </w:r>
    </w:p>
    <w:p>
      <w:pPr>
        <w:spacing w:after="0" w:line="170" w:lineRule="exact"/>
        <w:rPr>
          <w:rFonts w:ascii="Arial" w:cs="Arial" w:eastAsia="Arial" w:hAnsi="Arial"/>
          <w:sz w:val="18"/>
          <w:szCs w:val="18"/>
          <w:color w:val="auto"/>
        </w:rPr>
      </w:pPr>
    </w:p>
    <w:p>
      <w:pPr>
        <w:ind w:right="20" w:firstLine="980"/>
        <w:spacing w:after="0" w:line="277" w:lineRule="auto"/>
        <w:tabs>
          <w:tab w:leader="none" w:pos="121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This Letter Agreement may not be modified, waived or terminated except by an instrument in writing, signed by the Target and the party against whom enforcement of such modification, waiver, or termination is sought.</w:t>
      </w:r>
    </w:p>
    <w:p>
      <w:pPr>
        <w:spacing w:after="0" w:line="170" w:lineRule="exact"/>
        <w:rPr>
          <w:rFonts w:ascii="Arial" w:cs="Arial" w:eastAsia="Arial" w:hAnsi="Arial"/>
          <w:sz w:val="18"/>
          <w:szCs w:val="18"/>
          <w:color w:val="auto"/>
        </w:rPr>
      </w:pPr>
    </w:p>
    <w:p>
      <w:pPr>
        <w:ind w:firstLine="980"/>
        <w:spacing w:after="0" w:line="277" w:lineRule="auto"/>
        <w:tabs>
          <w:tab w:leader="none" w:pos="1214"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This Letter Agreement constitutes the entire agreement, and supersedes all other prior agreements, understandings, representations and warranties, both written and oral, among the parties, with respect to the subject matter hereof.</w:t>
      </w:r>
    </w:p>
    <w:p>
      <w:pPr>
        <w:spacing w:after="0" w:line="170" w:lineRule="exact"/>
        <w:rPr>
          <w:rFonts w:ascii="Arial" w:cs="Arial" w:eastAsia="Arial" w:hAnsi="Arial"/>
          <w:sz w:val="18"/>
          <w:szCs w:val="18"/>
          <w:color w:val="auto"/>
        </w:rPr>
      </w:pPr>
    </w:p>
    <w:p>
      <w:pPr>
        <w:jc w:val="both"/>
        <w:ind w:firstLine="980"/>
        <w:spacing w:after="0" w:line="259" w:lineRule="auto"/>
        <w:tabs>
          <w:tab w:leader="none" w:pos="118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Except as otherwise provided herein, this Letter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3" w:name="page524"/>
    <w:bookmarkEnd w:id="523"/>
    <w:p>
      <w:pPr>
        <w:ind w:left="-8" w:firstLine="980"/>
        <w:spacing w:after="0" w:line="277" w:lineRule="auto"/>
        <w:tabs>
          <w:tab w:leader="none" w:pos="1216"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Target is a third party beneficiary of this Letter Agreement and is entitled to the rights and benefits hereunder and may enforce the provisions hereof as if it were a party to this Letter Agreement.</w:t>
      </w:r>
    </w:p>
    <w:p>
      <w:pPr>
        <w:spacing w:after="0" w:line="170" w:lineRule="exact"/>
        <w:rPr>
          <w:rFonts w:ascii="Arial" w:cs="Arial" w:eastAsia="Arial" w:hAnsi="Arial"/>
          <w:sz w:val="18"/>
          <w:szCs w:val="18"/>
          <w:color w:val="auto"/>
        </w:rPr>
      </w:pPr>
    </w:p>
    <w:p>
      <w:pPr>
        <w:ind w:left="-8" w:firstLine="980"/>
        <w:spacing w:after="0" w:line="277" w:lineRule="auto"/>
        <w:tabs>
          <w:tab w:leader="none" w:pos="1189" w:val="left"/>
        </w:tabs>
        <w:numPr>
          <w:ilvl w:val="1"/>
          <w:numId w:val="524"/>
        </w:numPr>
        <w:rPr>
          <w:rFonts w:ascii="Arial" w:cs="Arial" w:eastAsia="Arial" w:hAnsi="Arial"/>
          <w:sz w:val="18"/>
          <w:szCs w:val="18"/>
          <w:color w:val="auto"/>
        </w:rPr>
      </w:pPr>
      <w:r>
        <w:rPr>
          <w:rFonts w:ascii="Arial" w:cs="Arial" w:eastAsia="Arial" w:hAnsi="Arial"/>
          <w:sz w:val="18"/>
          <w:szCs w:val="18"/>
          <w:color w:val="auto"/>
        </w:rPr>
        <w:t>If any provision of this Letter Agreement shall be invalid, illegal or unenforceable, the validity, legality or enforceability of the remaining provisions of this Letter Agreement shall not in any way be affected or impaired thereby and shall continue in full force and effect.</w:t>
      </w:r>
    </w:p>
    <w:p>
      <w:pPr>
        <w:spacing w:after="0" w:line="170" w:lineRule="exact"/>
        <w:rPr>
          <w:rFonts w:ascii="Arial" w:cs="Arial" w:eastAsia="Arial" w:hAnsi="Arial"/>
          <w:sz w:val="18"/>
          <w:szCs w:val="18"/>
          <w:color w:val="auto"/>
        </w:rPr>
      </w:pPr>
    </w:p>
    <w:p>
      <w:pPr>
        <w:jc w:val="both"/>
        <w:ind w:left="-8" w:firstLine="980"/>
        <w:spacing w:after="0" w:line="263" w:lineRule="auto"/>
        <w:tabs>
          <w:tab w:leader="none" w:pos="1162"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This Letter Agreement may be executed in two (2) or more counterparts (including by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83" w:lineRule="exact"/>
        <w:rPr>
          <w:rFonts w:ascii="Arial" w:cs="Arial" w:eastAsia="Arial" w:hAnsi="Arial"/>
          <w:sz w:val="18"/>
          <w:szCs w:val="18"/>
          <w:color w:val="auto"/>
        </w:rPr>
      </w:pPr>
    </w:p>
    <w:p>
      <w:pPr>
        <w:ind w:left="1152" w:hanging="180"/>
        <w:spacing w:after="0"/>
        <w:tabs>
          <w:tab w:leader="none" w:pos="1152" w:val="left"/>
        </w:tabs>
        <w:numPr>
          <w:ilvl w:val="1"/>
          <w:numId w:val="524"/>
        </w:numPr>
        <w:rPr>
          <w:rFonts w:ascii="Arial" w:cs="Arial" w:eastAsia="Arial" w:hAnsi="Arial"/>
          <w:sz w:val="18"/>
          <w:szCs w:val="18"/>
          <w:color w:val="auto"/>
        </w:rPr>
      </w:pPr>
      <w:r>
        <w:rPr>
          <w:rFonts w:ascii="Arial" w:cs="Arial" w:eastAsia="Arial" w:hAnsi="Arial"/>
          <w:sz w:val="18"/>
          <w:szCs w:val="18"/>
          <w:color w:val="auto"/>
        </w:rPr>
        <w:t>Holder shall pay all of its own expenses in connection with this Letter Agreement and the transactions contemplated hereby.</w:t>
      </w:r>
    </w:p>
    <w:p>
      <w:pPr>
        <w:spacing w:after="0" w:line="225" w:lineRule="exact"/>
        <w:rPr>
          <w:rFonts w:ascii="Arial" w:cs="Arial" w:eastAsia="Arial" w:hAnsi="Arial"/>
          <w:sz w:val="18"/>
          <w:szCs w:val="18"/>
          <w:color w:val="auto"/>
        </w:rPr>
      </w:pPr>
    </w:p>
    <w:p>
      <w:pPr>
        <w:jc w:val="both"/>
        <w:ind w:left="-8" w:firstLine="980"/>
        <w:spacing w:after="0" w:line="274" w:lineRule="auto"/>
        <w:tabs>
          <w:tab w:leader="none" w:pos="1243" w:val="left"/>
        </w:tabs>
        <w:numPr>
          <w:ilvl w:val="1"/>
          <w:numId w:val="524"/>
        </w:numPr>
        <w:rPr>
          <w:rFonts w:ascii="Arial" w:cs="Arial" w:eastAsia="Arial" w:hAnsi="Arial"/>
          <w:sz w:val="17"/>
          <w:szCs w:val="17"/>
          <w:color w:val="auto"/>
        </w:rPr>
      </w:pPr>
      <w:r>
        <w:rPr>
          <w:rFonts w:ascii="Arial" w:cs="Arial" w:eastAsia="Arial" w:hAnsi="Arial"/>
          <w:sz w:val="17"/>
          <w:szCs w:val="17"/>
          <w:color w:val="auto"/>
        </w:rPr>
        <w:t>Any notice or communication required or permitted hereunder shall be in writing and either delivered personally, emailed, sent by overnight mail via a reputable overnight carrier, or sent by certified or registered mail, postage prepaid, and shall be deemed to be given and received</w:t>
      </w:r>
    </w:p>
    <w:p>
      <w:pPr>
        <w:ind w:left="-8" w:right="20" w:firstLine="8"/>
        <w:spacing w:after="0" w:line="323" w:lineRule="auto"/>
        <w:tabs>
          <w:tab w:leader="none" w:pos="238" w:val="left"/>
        </w:tabs>
        <w:numPr>
          <w:ilvl w:val="0"/>
          <w:numId w:val="525"/>
        </w:numPr>
        <w:rPr>
          <w:rFonts w:ascii="Arial" w:cs="Arial" w:eastAsia="Arial" w:hAnsi="Arial"/>
          <w:sz w:val="16"/>
          <w:szCs w:val="16"/>
          <w:color w:val="auto"/>
        </w:rPr>
      </w:pPr>
      <w:r>
        <w:rPr>
          <w:rFonts w:ascii="Arial" w:cs="Arial" w:eastAsia="Arial" w:hAnsi="Arial"/>
          <w:sz w:val="16"/>
          <w:szCs w:val="16"/>
          <w:color w:val="auto"/>
        </w:rPr>
        <w:t>when so delivered personally, (b) when sent, with no mail undeliverable or other rejection notice, if sent by email, or (c) five (5) business days after the date of mailing to the address below or to such other address or addresses as such person may hereafter designate by notice given hereunder:</w:t>
      </w:r>
    </w:p>
    <w:p>
      <w:pPr>
        <w:spacing w:after="0" w:line="138" w:lineRule="exact"/>
        <w:rPr>
          <w:rFonts w:ascii="Arial" w:cs="Arial" w:eastAsia="Arial" w:hAnsi="Arial"/>
          <w:sz w:val="16"/>
          <w:szCs w:val="16"/>
          <w:color w:val="auto"/>
        </w:rPr>
      </w:pPr>
    </w:p>
    <w:p>
      <w:pPr>
        <w:ind w:left="2152" w:hanging="208"/>
        <w:spacing w:after="0"/>
        <w:tabs>
          <w:tab w:leader="none" w:pos="2152" w:val="left"/>
        </w:tabs>
        <w:numPr>
          <w:ilvl w:val="2"/>
          <w:numId w:val="525"/>
        </w:numPr>
        <w:rPr>
          <w:rFonts w:ascii="Arial" w:cs="Arial" w:eastAsia="Arial" w:hAnsi="Arial"/>
          <w:sz w:val="18"/>
          <w:szCs w:val="18"/>
          <w:color w:val="auto"/>
        </w:rPr>
      </w:pPr>
      <w:r>
        <w:rPr>
          <w:rFonts w:ascii="Arial" w:cs="Arial" w:eastAsia="Arial" w:hAnsi="Arial"/>
          <w:sz w:val="18"/>
          <w:szCs w:val="18"/>
          <w:color w:val="auto"/>
        </w:rPr>
        <w:t>if to Holder, to such address or addresses set forth on the signature page hereto;</w:t>
      </w:r>
    </w:p>
    <w:p>
      <w:pPr>
        <w:spacing w:after="0" w:line="225" w:lineRule="exact"/>
        <w:rPr>
          <w:rFonts w:ascii="Arial" w:cs="Arial" w:eastAsia="Arial" w:hAnsi="Arial"/>
          <w:sz w:val="18"/>
          <w:szCs w:val="18"/>
          <w:color w:val="auto"/>
        </w:rPr>
      </w:pPr>
    </w:p>
    <w:p>
      <w:pPr>
        <w:ind w:left="2212" w:hanging="268"/>
        <w:spacing w:after="0"/>
        <w:tabs>
          <w:tab w:leader="none" w:pos="2212" w:val="left"/>
        </w:tabs>
        <w:numPr>
          <w:ilvl w:val="2"/>
          <w:numId w:val="525"/>
        </w:numPr>
        <w:rPr>
          <w:rFonts w:ascii="Arial" w:cs="Arial" w:eastAsia="Arial" w:hAnsi="Arial"/>
          <w:sz w:val="18"/>
          <w:szCs w:val="18"/>
          <w:color w:val="auto"/>
        </w:rPr>
      </w:pPr>
      <w:r>
        <w:rPr>
          <w:rFonts w:ascii="Arial" w:cs="Arial" w:eastAsia="Arial" w:hAnsi="Arial"/>
          <w:sz w:val="18"/>
          <w:szCs w:val="18"/>
          <w:color w:val="auto"/>
        </w:rPr>
        <w:t>if to the Issuer, to:</w:t>
      </w:r>
    </w:p>
    <w:p>
      <w:pPr>
        <w:spacing w:after="0" w:line="225"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Attention: Jim Tananbaum</w:t>
      </w:r>
    </w:p>
    <w:p>
      <w:pPr>
        <w:spacing w:after="0" w:line="9"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Email: jim@foresitecapital.com</w:t>
      </w:r>
    </w:p>
    <w:p>
      <w:pPr>
        <w:spacing w:after="0" w:line="211"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225"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2592"/>
        <w:spacing w:after="0"/>
        <w:tabs>
          <w:tab w:leader="none" w:pos="3872"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Joel Rubinstein</w:t>
      </w:r>
    </w:p>
    <w:p>
      <w:pPr>
        <w:spacing w:after="0" w:line="9" w:lineRule="exact"/>
        <w:rPr>
          <w:sz w:val="20"/>
          <w:szCs w:val="20"/>
          <w:color w:val="auto"/>
        </w:rPr>
      </w:pPr>
    </w:p>
    <w:p>
      <w:pPr>
        <w:ind w:left="2592"/>
        <w:spacing w:after="0"/>
        <w:tabs>
          <w:tab w:leader="none" w:pos="3872"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joel.rubinstein@whitecase.com</w:t>
      </w: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24" w:name="page525"/>
    <w:bookmarkEnd w:id="524"/>
    <w:p>
      <w:pPr>
        <w:jc w:val="both"/>
        <w:ind w:firstLine="980"/>
        <w:spacing w:after="0" w:line="287" w:lineRule="auto"/>
        <w:tabs>
          <w:tab w:leader="none" w:pos="1157" w:val="left"/>
        </w:tabs>
        <w:numPr>
          <w:ilvl w:val="0"/>
          <w:numId w:val="526"/>
        </w:numPr>
        <w:rPr>
          <w:rFonts w:ascii="Arial" w:cs="Arial" w:eastAsia="Arial" w:hAnsi="Arial"/>
          <w:sz w:val="16"/>
          <w:szCs w:val="16"/>
          <w:color w:val="auto"/>
        </w:rPr>
      </w:pPr>
      <w:r>
        <w:rPr>
          <w:rFonts w:ascii="Arial" w:cs="Arial" w:eastAsia="Arial" w:hAnsi="Arial"/>
          <w:sz w:val="16"/>
          <w:szCs w:val="16"/>
          <w:color w:val="auto"/>
        </w:rPr>
        <w:t>The parties agree that irreparable damage for which monetary damages, even if available, would not be an adequate remedy, would occur in the event that any of the parties do not perform their obligations under the provisions of this Letter Agreement (including failing to take such actions as are required of them hereunder to consummate this Letter Agreement) in accordance with its specified terms or otherwise breach such provisions. The parties acknowledge and agree that (i) the parties shall be entitled to an injunction, specific performance or other equitable relief to prevent breaches of this Letter Agreement and to enforce specifically the terms and provisions hereof, without proof of damages, this being in addition to any other remedy to which they are entitled under this Letter Agreement, and (ii) the right of specific enforcement is an integral part of the transactions contemplated by this Letter Agreement and without that right, none of the parties would have entered into this Letter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Letter Agreement and to enforce specifically the terms and provisions of this Letter Agreement in accordance with this paragraph 3(l) shall not be required to provide any bond or other security in connection with any such injunction.</w:t>
      </w:r>
    </w:p>
    <w:p>
      <w:pPr>
        <w:spacing w:after="0" w:line="171" w:lineRule="exact"/>
        <w:rPr>
          <w:rFonts w:ascii="Arial" w:cs="Arial" w:eastAsia="Arial" w:hAnsi="Arial"/>
          <w:sz w:val="16"/>
          <w:szCs w:val="16"/>
          <w:color w:val="auto"/>
        </w:rPr>
      </w:pPr>
    </w:p>
    <w:p>
      <w:pPr>
        <w:jc w:val="both"/>
        <w:ind w:firstLine="980"/>
        <w:spacing w:after="0" w:line="286" w:lineRule="auto"/>
        <w:tabs>
          <w:tab w:leader="none" w:pos="1247" w:val="left"/>
        </w:tabs>
        <w:numPr>
          <w:ilvl w:val="0"/>
          <w:numId w:val="526"/>
        </w:numPr>
        <w:rPr>
          <w:rFonts w:ascii="Arial" w:cs="Arial" w:eastAsia="Arial" w:hAnsi="Arial"/>
          <w:sz w:val="17"/>
          <w:szCs w:val="17"/>
          <w:color w:val="auto"/>
        </w:rPr>
      </w:pPr>
      <w:r>
        <w:rPr>
          <w:rFonts w:ascii="Arial" w:cs="Arial" w:eastAsia="Arial" w:hAnsi="Arial"/>
          <w:sz w:val="17"/>
          <w:szCs w:val="17"/>
          <w:color w:val="auto"/>
        </w:rPr>
        <w:t>This Letter Agreement, and all claims or causes of action based upon, arising out of, or related to this Letter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65" w:lineRule="exact"/>
        <w:rPr>
          <w:rFonts w:ascii="Arial" w:cs="Arial" w:eastAsia="Arial" w:hAnsi="Arial"/>
          <w:sz w:val="17"/>
          <w:szCs w:val="17"/>
          <w:color w:val="auto"/>
        </w:rPr>
      </w:pPr>
    </w:p>
    <w:p>
      <w:pPr>
        <w:jc w:val="both"/>
        <w:ind w:firstLine="980"/>
        <w:spacing w:after="0" w:line="287" w:lineRule="auto"/>
        <w:tabs>
          <w:tab w:leader="none" w:pos="1251" w:val="left"/>
        </w:tabs>
        <w:numPr>
          <w:ilvl w:val="0"/>
          <w:numId w:val="526"/>
        </w:numPr>
        <w:rPr>
          <w:rFonts w:ascii="Arial" w:cs="Arial" w:eastAsia="Arial" w:hAnsi="Arial"/>
          <w:sz w:val="16"/>
          <w:szCs w:val="16"/>
          <w:color w:val="auto"/>
        </w:rPr>
      </w:pPr>
      <w:r>
        <w:rPr>
          <w:rFonts w:ascii="Arial" w:cs="Arial" w:eastAsia="Arial" w:hAnsi="Arial"/>
          <w:sz w:val="16"/>
          <w:szCs w:val="16"/>
          <w:color w:val="auto"/>
        </w:rPr>
        <w:t>Any claim, action, suit, assessment, arbitration or proceeding based upon, arising out of or related to this Letter Agreement, or the transactions contemplated hereby, shall be brought in the Court of Chancery of the State of Delaware or, if such court declines to exercise jurisdiction, any federal or state court located in the State of Delaware, and each of the parties irrevocably submits to the exclusive jurisdiction of each such court in any such claim, action, suit, assessment, arbitration or proceeding, waives any objection it may now or hereafter have to personal jurisdiction, venue or to convenience of forum, agrees that all claims in respect of such claim, action, suit, assessment, arbitration or proceeding shall be heard and determined only in any such court, and agrees not to bring any claim, action, suit, assessment, arbitration or proceeding arising out of or relating to this Letter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claim, action, suit, assessment, arbitration or proceeding brought pursuant to this paragraph 3(n). EACH OF THE PARTIES HERETO HEREBY IRREVOCABLY WAIVES ANY AND ALL RIGHT TO TRIAL BY JURY IN ANY ACTION BASED UPON, ARISING OUT OF OR RELATED TO THIS LETTER AGREEMENT OR THE TRANSACTIONS CONTEMPLATED HEREBY.</w:t>
      </w:r>
    </w:p>
    <w:p>
      <w:pPr>
        <w:spacing w:after="0" w:line="171" w:lineRule="exact"/>
        <w:rPr>
          <w:rFonts w:ascii="Arial" w:cs="Arial" w:eastAsia="Arial" w:hAnsi="Arial"/>
          <w:sz w:val="16"/>
          <w:szCs w:val="16"/>
          <w:color w:val="auto"/>
        </w:rPr>
      </w:pPr>
    </w:p>
    <w:p>
      <w:pPr>
        <w:jc w:val="both"/>
        <w:ind w:left="80" w:firstLine="900"/>
        <w:spacing w:after="0" w:line="263" w:lineRule="auto"/>
        <w:tabs>
          <w:tab w:leader="none" w:pos="122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[Neither Issuer nor Target, nor any of their respective affiliates, shall issue any press release or marketing material that uses the names, trademarks, or logos of Holder or any affiliate thereof (including, for the avoidance of doubt, the names “[●]” or “[●]” and their respective trademarks and logos) without the prior written consent of Holder.]</w:t>
      </w:r>
    </w:p>
    <w:p>
      <w:pPr>
        <w:spacing w:after="0" w:line="183" w:lineRule="exact"/>
        <w:rPr>
          <w:rFonts w:ascii="Arial" w:cs="Arial" w:eastAsia="Arial" w:hAnsi="Arial"/>
          <w:sz w:val="18"/>
          <w:szCs w:val="18"/>
          <w:color w:val="auto"/>
        </w:rPr>
      </w:pPr>
    </w:p>
    <w:p>
      <w:pPr>
        <w:ind w:firstLine="980"/>
        <w:spacing w:after="0" w:line="277" w:lineRule="auto"/>
        <w:tabs>
          <w:tab w:leader="none" w:pos="1197"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[This Agreement shall terminate on the earlier of (x) the Closing Date, (y) the termination of the Definitive Agreement in accordance with its terms and (z) May 15,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5" w:name="page526"/>
    <w:bookmarkEnd w:id="525"/>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Holder has executed or caused this Letter Agreement to be executed by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as of the date set forth above.</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ISSUER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6350</wp:posOffset>
            </wp:positionV>
            <wp:extent cx="170561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56286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Class A Common Stock Beneficially Owned by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6350</wp:posOffset>
            </wp:positionV>
            <wp:extent cx="163703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6350</wp:posOffset>
            </wp:positionV>
            <wp:extent cx="2280285"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6350</wp:posOffset>
            </wp:positionV>
            <wp:extent cx="2545715"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Non-Redemption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6" w:name="page527"/>
    <w:bookmarkEnd w:id="52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use in this Registration Statement on Form S-4, of our report dated August 11, 2020, relating to the balance sheet of FS Development Corp. as of June 30, 2020, and the related statements of operations, changes in stockholder’s equity and cash flows for the period from June 25, 2020 (inception) through June 30, 2020, and to the reference to our Firm under the caption “Experts” in the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2020</w:t>
      </w:r>
    </w:p>
    <w:p>
      <w:pPr>
        <w:sectPr>
          <w:pgSz w:w="11900" w:h="16838" w:orient="portrait"/>
          <w:cols w:equalWidth="0" w:num="1">
            <w:col w:w="11240"/>
          </w:cols>
          <w:pgMar w:left="320" w:top="121" w:right="339" w:bottom="1440" w:gutter="0" w:footer="0" w:header="0"/>
        </w:sectPr>
      </w:pPr>
    </w:p>
    <w:bookmarkStart w:id="527" w:name="page528"/>
    <w:bookmarkEnd w:id="527"/>
    <w:p>
      <w:pPr>
        <w:ind w:left="10120"/>
        <w:spacing w:after="0"/>
        <w:rPr>
          <w:sz w:val="20"/>
          <w:szCs w:val="20"/>
          <w:color w:val="auto"/>
        </w:rPr>
      </w:pPr>
      <w:r>
        <w:rPr>
          <w:rFonts w:ascii="Arial" w:cs="Arial" w:eastAsia="Arial" w:hAnsi="Arial"/>
          <w:sz w:val="19"/>
          <w:szCs w:val="19"/>
          <w:b w:val="1"/>
          <w:bCs w:val="1"/>
          <w:color w:val="auto"/>
        </w:rPr>
        <w:t>Exhibit 23.2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October 30, 2020 with respect to the financial statements of Gemini Therapeutics, Inc. included in the Proxy Statement of FS Development Corp. that is made a part of the Registration Statement (Form S-4) and Prospectus of FS Development Corp. for the registration of 21,500,000 shares of its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2020</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A27AA6"/>
    <w:multiLevelType w:val="hybridMultilevel"/>
    <w:lvl w:ilvl="0">
      <w:lvlJc w:val="left"/>
      <w:lvlText w:val="(%1)"/>
      <w:numFmt w:val="decimal"/>
      <w:start w:val="1"/>
    </w:lvl>
  </w:abstractNum>
  <w:abstractNum w:abstractNumId="1">
    <w:nsid w:val="613183F2"/>
    <w:multiLevelType w:val="hybridMultilevel"/>
    <w:lvl w:ilvl="0">
      <w:lvlJc w:val="left"/>
      <w:lvlText w:val="."/>
      <w:numFmt w:val="bullet"/>
      <w:start w:val="1"/>
    </w:lvl>
  </w:abstractNum>
  <w:abstractNum w:abstractNumId="2">
    <w:nsid w:val="634102B4"/>
    <w:multiLevelType w:val="hybridMultilevel"/>
    <w:lvl w:ilvl="0">
      <w:lvlJc w:val="left"/>
      <w:lvlText w:val="(%1)"/>
      <w:numFmt w:val="decimal"/>
      <w:start w:val="1"/>
    </w:lvl>
  </w:abstractNum>
  <w:abstractNum w:abstractNumId="3">
    <w:nsid w:val="65BF9DA8"/>
    <w:multiLevelType w:val="hybridMultilevel"/>
    <w:lvl w:ilvl="0">
      <w:lvlJc w:val="left"/>
      <w:lvlText w:val="(%1)"/>
      <w:numFmt w:val="lowerLetter"/>
      <w:start w:val="1"/>
    </w:lvl>
  </w:abstractNum>
  <w:abstractNum w:abstractNumId="4">
    <w:nsid w:val="21A2ECCA"/>
    <w:multiLevelType w:val="hybridMultilevel"/>
    <w:lvl w:ilvl="0">
      <w:lvlJc w:val="left"/>
      <w:lvlText w:val="(%1)"/>
      <w:numFmt w:val="lowerLetter"/>
      <w:start w:val="2"/>
    </w:lvl>
  </w:abstractNum>
  <w:abstractNum w:abstractNumId="5">
    <w:nsid w:val="4D5C4899"/>
    <w:multiLevelType w:val="hybridMultilevel"/>
    <w:lvl w:ilvl="0">
      <w:lvlJc w:val="left"/>
      <w:lvlText w:val="%1"/>
      <w:numFmt w:val="decimal"/>
      <w:start w:val="1"/>
    </w:lvl>
    <w:lvl w:ilvl="1">
      <w:lvlJc w:val="left"/>
      <w:lvlText w:val="(%2)"/>
      <w:numFmt w:val="lowerLetter"/>
      <w:start w:val="3"/>
    </w:lvl>
  </w:abstractNum>
  <w:abstractNum w:abstractNumId="6">
    <w:nsid w:val="3C3B72B2"/>
    <w:multiLevelType w:val="hybridMultilevel"/>
    <w:lvl w:ilvl="0">
      <w:lvlJc w:val="left"/>
      <w:lvlText w:val="(%1)"/>
      <w:numFmt w:val="decimal"/>
      <w:start w:val="5"/>
    </w:lvl>
    <w:lvl w:ilvl="1">
      <w:lvlJc w:val="left"/>
      <w:lvlText w:val="%2"/>
      <w:numFmt w:val="lowerLetter"/>
      <w:start w:val="1"/>
    </w:lvl>
  </w:abstractNum>
  <w:abstractNum w:abstractNumId="7">
    <w:nsid w:val="155EC4C2"/>
    <w:multiLevelType w:val="hybridMultilevel"/>
    <w:lvl w:ilvl="0">
      <w:lvlJc w:val="left"/>
      <w:lvlText w:val="(%1)"/>
      <w:numFmt w:val="lowerRoman"/>
      <w:start w:val="1"/>
    </w:lvl>
  </w:abstractNum>
  <w:abstractNum w:abstractNumId="8">
    <w:nsid w:val="65D2A137"/>
    <w:multiLevelType w:val="hybridMultilevel"/>
    <w:lvl w:ilvl="0">
      <w:lvlJc w:val="left"/>
      <w:lvlText w:val="%1."/>
      <w:numFmt w:val="decimal"/>
      <w:start w:val="1"/>
    </w:lvl>
    <w:lvl w:ilvl="1">
      <w:lvlJc w:val="left"/>
      <w:lvlText w:val="(%2)"/>
      <w:numFmt w:val="lowerRoman"/>
      <w:start w:val="1"/>
    </w:lvl>
  </w:abstractNum>
  <w:abstractNum w:abstractNumId="9">
    <w:nsid w:val="6EBB1F2A"/>
    <w:multiLevelType w:val="hybridMultilevel"/>
    <w:lvl w:ilvl="0">
      <w:lvlJc w:val="left"/>
      <w:lvlText w:val="%1."/>
      <w:numFmt w:val="decimal"/>
      <w:start w:val="2"/>
    </w:lvl>
  </w:abstractNum>
  <w:abstractNum w:abstractNumId="10">
    <w:nsid w:val="6FBF29CB"/>
    <w:multiLevelType w:val="hybridMultilevel"/>
    <w:lvl w:ilvl="0">
      <w:lvlJc w:val="left"/>
      <w:lvlText w:val="%1."/>
      <w:numFmt w:val="decimal"/>
      <w:start w:val="4"/>
    </w:lvl>
    <w:lvl w:ilvl="1">
      <w:lvlJc w:val="left"/>
      <w:lvlText w:val="(%2)"/>
      <w:numFmt w:val="lowerLetter"/>
      <w:start w:val="1"/>
    </w:lvl>
  </w:abstractNum>
  <w:abstractNum w:abstractNumId="11">
    <w:nsid w:val="550B8808"/>
    <w:multiLevelType w:val="hybridMultilevel"/>
    <w:lvl w:ilvl="0">
      <w:lvlJc w:val="left"/>
      <w:lvlText w:val="(%1)"/>
      <w:numFmt w:val="lowerLetter"/>
      <w:start w:val="2"/>
    </w:lvl>
  </w:abstractNum>
  <w:abstractNum w:abstractNumId="12">
    <w:nsid w:val="34CC3ACF"/>
    <w:multiLevelType w:val="hybridMultilevel"/>
    <w:lvl w:ilvl="0">
      <w:lvlJc w:val="left"/>
      <w:lvlText w:val="(%1)"/>
      <w:numFmt w:val="lowerLetter"/>
      <w:start w:val="4"/>
    </w:lvl>
  </w:abstractNum>
  <w:abstractNum w:abstractNumId="13">
    <w:nsid w:val="4E556261"/>
    <w:multiLevelType w:val="hybridMultilevel"/>
    <w:lvl w:ilvl="0">
      <w:lvlJc w:val="left"/>
      <w:lvlText w:val="%1."/>
      <w:numFmt w:val="upperLetter"/>
      <w:start w:val="17"/>
    </w:lvl>
  </w:abstractNum>
  <w:abstractNum w:abstractNumId="14">
    <w:nsid w:val="4C672FC9"/>
    <w:multiLevelType w:val="hybridMultilevel"/>
    <w:lvl w:ilvl="0">
      <w:lvlJc w:val="left"/>
      <w:lvlText w:val="%1."/>
      <w:numFmt w:val="upperLetter"/>
      <w:start w:val="1"/>
    </w:lvl>
  </w:abstractNum>
  <w:abstractNum w:abstractNumId="15">
    <w:nsid w:val="52A311C3"/>
    <w:multiLevelType w:val="hybridMultilevel"/>
    <w:lvl w:ilvl="0">
      <w:lvlJc w:val="left"/>
      <w:lvlText w:val="%1:"/>
      <w:numFmt w:val="upperLetter"/>
      <w:start w:val="17"/>
    </w:lvl>
  </w:abstractNum>
  <w:abstractNum w:abstractNumId="16">
    <w:nsid w:val="44EF6B80"/>
    <w:multiLevelType w:val="hybridMultilevel"/>
    <w:lvl w:ilvl="0">
      <w:lvlJc w:val="left"/>
      <w:lvlText w:val="%1:"/>
      <w:numFmt w:val="upperLetter"/>
      <w:start w:val="1"/>
    </w:lvl>
  </w:abstractNum>
  <w:abstractNum w:abstractNumId="17">
    <w:nsid w:val="12FCDE5E"/>
    <w:multiLevelType w:val="hybridMultilevel"/>
    <w:lvl w:ilvl="0">
      <w:lvlJc w:val="left"/>
      <w:lvlText w:val="%1:"/>
      <w:numFmt w:val="upperLetter"/>
      <w:start w:val="17"/>
    </w:lvl>
  </w:abstractNum>
  <w:abstractNum w:abstractNumId="18">
    <w:nsid w:val="4A1D606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9">
    <w:nsid w:val="438250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0">
    <w:nsid w:val="59B76E28"/>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1">
    <w:nsid w:val="4252C2DA"/>
    <w:multiLevelType w:val="hybridMultilevel"/>
    <w:lvl w:ilvl="0">
      <w:lvlJc w:val="left"/>
      <w:lvlText w:val="%1:"/>
      <w:numFmt w:val="upperLetter"/>
      <w:start w:val="17"/>
    </w:lvl>
    <w:lvl w:ilvl="1">
      <w:lvlJc w:val="left"/>
      <w:lvlText w:val="%2"/>
      <w:numFmt w:val="decimal"/>
      <w:start w:val="1"/>
    </w:lvl>
    <w:lvl w:ilvl="2">
      <w:lvlJc w:val="left"/>
      <w:lvlText w:val="%3"/>
      <w:numFmt w:val="lowerLetter"/>
      <w:start w:val="1"/>
    </w:lvl>
  </w:abstractNum>
  <w:abstractNum w:abstractNumId="22">
    <w:nsid w:val="6A92EF4C"/>
    <w:multiLevelType w:val="hybridMultilevel"/>
    <w:lvl w:ilvl="0">
      <w:lvlJc w:val="left"/>
      <w:lvlText w:val="%1:"/>
      <w:numFmt w:val="upperLetter"/>
      <w:start w:val="17"/>
    </w:lvl>
  </w:abstractNum>
  <w:abstractNum w:abstractNumId="23">
    <w:nsid w:val="41ED20D7"/>
    <w:multiLevelType w:val="hybridMultilevel"/>
    <w:lvl w:ilvl="0">
      <w:lvlJc w:val="left"/>
      <w:lvlText w:val="%1:"/>
      <w:numFmt w:val="upperLetter"/>
      <w:start w:val="1"/>
    </w:lvl>
  </w:abstractNum>
  <w:abstractNum w:abstractNumId="24">
    <w:nsid w:val="E6B3F6A"/>
    <w:multiLevelType w:val="hybridMultilevel"/>
    <w:lvl w:ilvl="0">
      <w:lvlJc w:val="left"/>
      <w:lvlText w:val="%1:"/>
      <w:numFmt w:val="upperLetter"/>
      <w:start w:val="17"/>
    </w:lvl>
  </w:abstractNum>
  <w:abstractNum w:abstractNumId="25">
    <w:nsid w:val="3EB21819"/>
    <w:multiLevelType w:val="hybridMultilevel"/>
    <w:lvl w:ilvl="0">
      <w:lvlJc w:val="left"/>
      <w:lvlText w:val="%1:"/>
      <w:numFmt w:val="upperLetter"/>
      <w:start w:val="1"/>
    </w:lvl>
  </w:abstractNum>
  <w:abstractNum w:abstractNumId="26">
    <w:nsid w:val="41531DED"/>
    <w:multiLevelType w:val="hybridMultilevel"/>
    <w:lvl w:ilvl="0">
      <w:lvlJc w:val="left"/>
      <w:lvlText w:val="%1:"/>
      <w:numFmt w:val="upperLetter"/>
      <w:start w:val="17"/>
    </w:lvl>
  </w:abstractNum>
  <w:abstractNum w:abstractNumId="27">
    <w:nsid w:val="6353CD2"/>
    <w:multiLevelType w:val="hybridMultilevel"/>
    <w:lvl w:ilvl="0">
      <w:lvlJc w:val="left"/>
      <w:lvlText w:val="%1:"/>
      <w:numFmt w:val="upperLetter"/>
      <w:start w:val="1"/>
    </w:lvl>
  </w:abstractNum>
  <w:abstractNum w:abstractNumId="28">
    <w:nsid w:val="683CAAD3"/>
    <w:multiLevelType w:val="hybridMultilevel"/>
    <w:lvl w:ilvl="0">
      <w:lvlJc w:val="left"/>
      <w:lvlText w:val="%1:"/>
      <w:numFmt w:val="upperLetter"/>
      <w:start w:val="17"/>
    </w:lvl>
  </w:abstractNum>
  <w:abstractNum w:abstractNumId="29">
    <w:nsid w:val="313C7C99"/>
    <w:multiLevelType w:val="hybridMultilevel"/>
    <w:lvl w:ilvl="0">
      <w:lvlJc w:val="left"/>
      <w:lvlText w:val="%1:"/>
      <w:numFmt w:val="upperLetter"/>
      <w:start w:val="1"/>
    </w:lvl>
  </w:abstractNum>
  <w:abstractNum w:abstractNumId="30">
    <w:nsid w:val="519EB94C"/>
    <w:multiLevelType w:val="hybridMultilevel"/>
    <w:lvl w:ilvl="0">
      <w:lvlJc w:val="left"/>
      <w:lvlText w:val="%1:"/>
      <w:numFmt w:val="upperLetter"/>
      <w:start w:val="17"/>
    </w:lvl>
  </w:abstractNum>
  <w:abstractNum w:abstractNumId="31">
    <w:nsid w:val="39DF2579"/>
    <w:multiLevelType w:val="hybridMultilevel"/>
    <w:lvl w:ilvl="0">
      <w:lvlJc w:val="left"/>
      <w:lvlText w:val="%1:"/>
      <w:numFmt w:val="upperLetter"/>
      <w:start w:val="1"/>
    </w:lvl>
  </w:abstractNum>
  <w:abstractNum w:abstractNumId="32">
    <w:nsid w:val="126E008B"/>
    <w:multiLevelType w:val="hybridMultilevel"/>
    <w:lvl w:ilvl="0">
      <w:lvlJc w:val="left"/>
      <w:lvlText w:val="%1:"/>
      <w:numFmt w:val="upperLetter"/>
      <w:start w:val="17"/>
    </w:lvl>
  </w:abstractNum>
  <w:abstractNum w:abstractNumId="33">
    <w:nsid w:val="34DFBC00"/>
    <w:multiLevelType w:val="hybridMultilevel"/>
    <w:lvl w:ilvl="0">
      <w:lvlJc w:val="left"/>
      <w:lvlText w:val="%1:"/>
      <w:numFmt w:val="upperLetter"/>
      <w:start w:val="1"/>
    </w:lvl>
    <w:lvl w:ilvl="1">
      <w:lvlJc w:val="left"/>
      <w:lvlText w:val="(%2)"/>
      <w:numFmt w:val="lowerRoman"/>
      <w:start w:val="5"/>
    </w:lvl>
  </w:abstractNum>
  <w:abstractNum w:abstractNumId="34">
    <w:nsid w:val="1F9EC322"/>
    <w:multiLevelType w:val="hybridMultilevel"/>
    <w:lvl w:ilvl="0">
      <w:lvlJc w:val="left"/>
      <w:lvlText w:val="%1:"/>
      <w:numFmt w:val="upperLetter"/>
      <w:start w:val="17"/>
    </w:lvl>
  </w:abstractNum>
  <w:abstractNum w:abstractNumId="35">
    <w:nsid w:val="3410ED56"/>
    <w:multiLevelType w:val="hybridMultilevel"/>
    <w:lvl w:ilvl="0">
      <w:lvlJc w:val="left"/>
      <w:lvlText w:val="%1:"/>
      <w:numFmt w:val="upperLetter"/>
      <w:start w:val="1"/>
    </w:lvl>
  </w:abstractNum>
  <w:abstractNum w:abstractNumId="36">
    <w:nsid w:val="23C049A"/>
    <w:multiLevelType w:val="hybridMultilevel"/>
    <w:lvl w:ilvl="0">
      <w:lvlJc w:val="left"/>
      <w:lvlText w:val="%1."/>
      <w:numFmt w:val="upperLetter"/>
      <w:start w:val="17"/>
    </w:lvl>
  </w:abstractNum>
  <w:abstractNum w:abstractNumId="37">
    <w:nsid w:val="5BDA35D4"/>
    <w:multiLevelType w:val="hybridMultilevel"/>
    <w:lvl w:ilvl="0">
      <w:lvlJc w:val="left"/>
      <w:lvlText w:val="%1."/>
      <w:numFmt w:val="upperLetter"/>
      <w:start w:val="1"/>
    </w:lvl>
  </w:abstractNum>
  <w:abstractNum w:abstractNumId="38">
    <w:nsid w:val="496FB218"/>
    <w:multiLevelType w:val="hybridMultilevel"/>
    <w:lvl w:ilvl="0">
      <w:lvlJc w:val="left"/>
      <w:lvlText w:val="%1:"/>
      <w:numFmt w:val="upperLetter"/>
      <w:start w:val="17"/>
    </w:lvl>
  </w:abstractNum>
  <w:abstractNum w:abstractNumId="39">
    <w:nsid w:val="680EA5D1"/>
    <w:multiLevelType w:val="hybridMultilevel"/>
    <w:lvl w:ilvl="0">
      <w:lvlJc w:val="left"/>
      <w:lvlText w:val="%1:"/>
      <w:numFmt w:val="upperLetter"/>
      <w:start w:val="1"/>
    </w:lvl>
  </w:abstractNum>
  <w:abstractNum w:abstractNumId="40">
    <w:nsid w:val="4A9554FE"/>
    <w:multiLevelType w:val="hybridMultilevel"/>
    <w:lvl w:ilvl="0">
      <w:lvlJc w:val="left"/>
      <w:lvlText w:val="%1:"/>
      <w:numFmt w:val="upperLetter"/>
      <w:start w:val="17"/>
    </w:lvl>
  </w:abstractNum>
  <w:abstractNum w:abstractNumId="41">
    <w:nsid w:val="392EDBE4"/>
    <w:multiLevelType w:val="hybridMultilevel"/>
    <w:lvl w:ilvl="0">
      <w:lvlJc w:val="left"/>
      <w:lvlText w:val="%1:"/>
      <w:numFmt w:val="upperLetter"/>
      <w:start w:val="1"/>
    </w:lvl>
  </w:abstractNum>
  <w:abstractNum w:abstractNumId="42">
    <w:nsid w:val="3D1A2DD9"/>
    <w:multiLevelType w:val="hybridMultilevel"/>
    <w:lvl w:ilvl="0">
      <w:lvlJc w:val="left"/>
      <w:lvlText w:val="%1:"/>
      <w:numFmt w:val="upperLetter"/>
      <w:start w:val="17"/>
    </w:lvl>
  </w:abstractNum>
  <w:abstractNum w:abstractNumId="43">
    <w:nsid w:val="7F618FCD"/>
    <w:multiLevelType w:val="hybridMultilevel"/>
    <w:lvl w:ilvl="0">
      <w:lvlJc w:val="left"/>
      <w:lvlText w:val="%1:"/>
      <w:numFmt w:val="upperLetter"/>
      <w:start w:val="1"/>
    </w:lvl>
  </w:abstractNum>
  <w:abstractNum w:abstractNumId="44">
    <w:nsid w:val="7843E45"/>
    <w:multiLevelType w:val="hybridMultilevel"/>
    <w:lvl w:ilvl="0">
      <w:lvlJc w:val="left"/>
      <w:lvlText w:val="%1:"/>
      <w:numFmt w:val="upperLetter"/>
      <w:start w:val="17"/>
    </w:lvl>
  </w:abstractNum>
  <w:abstractNum w:abstractNumId="45">
    <w:nsid w:val="9815DA3"/>
    <w:multiLevelType w:val="hybridMultilevel"/>
    <w:lvl w:ilvl="0">
      <w:lvlJc w:val="left"/>
      <w:lvlText w:val="%1:"/>
      <w:numFmt w:val="upperLetter"/>
      <w:start w:val="1"/>
    </w:lvl>
  </w:abstractNum>
  <w:abstractNum w:abstractNumId="46">
    <w:nsid w:val="5204A191"/>
    <w:multiLevelType w:val="hybridMultilevel"/>
    <w:lvl w:ilvl="0">
      <w:lvlJc w:val="left"/>
      <w:lvlText w:val="%1:"/>
      <w:numFmt w:val="upperLetter"/>
      <w:start w:val="17"/>
    </w:lvl>
  </w:abstractNum>
  <w:abstractNum w:abstractNumId="47">
    <w:nsid w:val="4C73A9C6"/>
    <w:multiLevelType w:val="hybridMultilevel"/>
    <w:lvl w:ilvl="0">
      <w:lvlJc w:val="left"/>
      <w:lvlText w:val="%1:"/>
      <w:numFmt w:val="upperLetter"/>
      <w:start w:val="1"/>
    </w:lvl>
  </w:abstractNum>
  <w:abstractNum w:abstractNumId="48">
    <w:nsid w:val="1C7E3C01"/>
    <w:multiLevelType w:val="hybridMultilevel"/>
    <w:lvl w:ilvl="0">
      <w:lvlJc w:val="left"/>
      <w:lvlText w:val="%1:"/>
      <w:numFmt w:val="upperLetter"/>
      <w:start w:val="17"/>
    </w:lvl>
  </w:abstractNum>
  <w:abstractNum w:abstractNumId="49">
    <w:nsid w:val="1C2201FF"/>
    <w:multiLevelType w:val="hybridMultilevel"/>
    <w:lvl w:ilvl="0">
      <w:lvlJc w:val="left"/>
      <w:lvlText w:val="%1:"/>
      <w:numFmt w:val="upperLetter"/>
      <w:start w:val="1"/>
    </w:lvl>
  </w:abstractNum>
  <w:abstractNum w:abstractNumId="50">
    <w:nsid w:val="50ABCEC9"/>
    <w:multiLevelType w:val="hybridMultilevel"/>
    <w:lvl w:ilvl="0">
      <w:lvlJc w:val="left"/>
      <w:lvlText w:val="%1:"/>
      <w:numFmt w:val="upperLetter"/>
      <w:start w:val="17"/>
    </w:lvl>
  </w:abstractNum>
  <w:abstractNum w:abstractNumId="51">
    <w:nsid w:val="7635AA2A"/>
    <w:multiLevelType w:val="hybridMultilevel"/>
    <w:lvl w:ilvl="0">
      <w:lvlJc w:val="left"/>
      <w:lvlText w:val="%1:"/>
      <w:numFmt w:val="upperLetter"/>
      <w:start w:val="1"/>
    </w:lvl>
    <w:lvl w:ilvl="1">
      <w:lvlJc w:val="left"/>
      <w:lvlText w:val="•"/>
      <w:numFmt w:val="bullet"/>
      <w:start w:val="1"/>
    </w:lvl>
  </w:abstractNum>
  <w:abstractNum w:abstractNumId="52">
    <w:nsid w:val="5E74C4D9"/>
    <w:multiLevelType w:val="hybridMultilevel"/>
    <w:lvl w:ilvl="0">
      <w:lvlJc w:val="left"/>
      <w:lvlText w:val="•"/>
      <w:numFmt w:val="bullet"/>
      <w:start w:val="1"/>
    </w:lvl>
  </w:abstractNum>
  <w:abstractNum w:abstractNumId="53">
    <w:nsid w:val="3B3EBE15"/>
    <w:multiLevelType w:val="hybridMultilevel"/>
    <w:lvl w:ilvl="0">
      <w:lvlJc w:val="left"/>
      <w:lvlText w:val="•"/>
      <w:numFmt w:val="bullet"/>
      <w:start w:val="1"/>
    </w:lvl>
  </w:abstractNum>
  <w:abstractNum w:abstractNumId="54">
    <w:nsid w:val="3822CB01"/>
    <w:multiLevelType w:val="hybridMultilevel"/>
    <w:lvl w:ilvl="0">
      <w:lvlJc w:val="left"/>
      <w:lvlText w:val="%1:"/>
      <w:numFmt w:val="upperLetter"/>
      <w:start w:val="17"/>
    </w:lvl>
  </w:abstractNum>
  <w:abstractNum w:abstractNumId="55">
    <w:nsid w:val="6CE00443"/>
    <w:multiLevelType w:val="hybridMultilevel"/>
    <w:lvl w:ilvl="0">
      <w:lvlJc w:val="left"/>
      <w:lvlText w:val="%1:"/>
      <w:numFmt w:val="upperLetter"/>
      <w:start w:val="1"/>
    </w:lvl>
  </w:abstractNum>
  <w:abstractNum w:abstractNumId="56">
    <w:nsid w:val="79F0D62F"/>
    <w:multiLevelType w:val="hybridMultilevel"/>
    <w:lvl w:ilvl="0">
      <w:lvlJc w:val="left"/>
      <w:lvlText w:val="%1:"/>
      <w:numFmt w:val="upperLetter"/>
      <w:start w:val="17"/>
    </w:lvl>
  </w:abstractNum>
  <w:abstractNum w:abstractNumId="57">
    <w:nsid w:val="7975E8EE"/>
    <w:multiLevelType w:val="hybridMultilevel"/>
    <w:lvl w:ilvl="0">
      <w:lvlJc w:val="left"/>
      <w:lvlText w:val="%1:"/>
      <w:numFmt w:val="upperLetter"/>
      <w:start w:val="17"/>
    </w:lvl>
  </w:abstractNum>
  <w:abstractNum w:abstractNumId="58">
    <w:nsid w:val="73154115"/>
    <w:multiLevelType w:val="hybridMultilevel"/>
    <w:lvl w:ilvl="0">
      <w:lvlJc w:val="left"/>
      <w:lvlText w:val="%1:"/>
      <w:numFmt w:val="upperLetter"/>
      <w:start w:val="1"/>
    </w:lvl>
  </w:abstractNum>
  <w:abstractNum w:abstractNumId="59">
    <w:nsid w:val="622D8102"/>
    <w:multiLevelType w:val="hybridMultilevel"/>
    <w:lvl w:ilvl="0">
      <w:lvlJc w:val="left"/>
      <w:lvlText w:val="%1:"/>
      <w:numFmt w:val="upperLetter"/>
      <w:start w:val="17"/>
    </w:lvl>
  </w:abstractNum>
  <w:abstractNum w:abstractNumId="60">
    <w:nsid w:val="2AB26587"/>
    <w:multiLevelType w:val="hybridMultilevel"/>
    <w:lvl w:ilvl="0">
      <w:lvlJc w:val="left"/>
      <w:lvlText w:val="%1:"/>
      <w:numFmt w:val="upperLetter"/>
      <w:start w:val="1"/>
    </w:lvl>
  </w:abstractNum>
  <w:abstractNum w:abstractNumId="61">
    <w:nsid w:val="44B3FA61"/>
    <w:multiLevelType w:val="hybridMultilevel"/>
    <w:lvl w:ilvl="0">
      <w:lvlJc w:val="left"/>
      <w:lvlText w:val="%1:"/>
      <w:numFmt w:val="upperLetter"/>
      <w:start w:val="17"/>
    </w:lvl>
  </w:abstractNum>
  <w:abstractNum w:abstractNumId="62">
    <w:nsid w:val="1C0CA67C"/>
    <w:multiLevelType w:val="hybridMultilevel"/>
    <w:lvl w:ilvl="0">
      <w:lvlJc w:val="left"/>
      <w:lvlText w:val="%1:"/>
      <w:numFmt w:val="upperLetter"/>
      <w:start w:val="17"/>
    </w:lvl>
  </w:abstractNum>
  <w:abstractNum w:abstractNumId="63">
    <w:nsid w:val="3D206613"/>
    <w:multiLevelType w:val="hybridMultilevel"/>
    <w:lvl w:ilvl="0">
      <w:lvlJc w:val="left"/>
      <w:lvlText w:val="%1:"/>
      <w:numFmt w:val="upperLetter"/>
      <w:start w:val="1"/>
    </w:lvl>
  </w:abstractNum>
  <w:abstractNum w:abstractNumId="64">
    <w:nsid w:val="7993B662"/>
    <w:multiLevelType w:val="hybridMultilevel"/>
    <w:lvl w:ilvl="0">
      <w:lvlJc w:val="left"/>
      <w:lvlText w:val="%1:"/>
      <w:numFmt w:val="upperLetter"/>
      <w:start w:val="17"/>
    </w:lvl>
  </w:abstractNum>
  <w:abstractNum w:abstractNumId="65">
    <w:nsid w:val="3BAB699E"/>
    <w:multiLevelType w:val="hybridMultilevel"/>
    <w:lvl w:ilvl="0">
      <w:lvlJc w:val="left"/>
      <w:lvlText w:val="%1:"/>
      <w:numFmt w:val="upperLetter"/>
      <w:start w:val="1"/>
    </w:lvl>
  </w:abstractNum>
  <w:abstractNum w:abstractNumId="66">
    <w:nsid w:val="71315369"/>
    <w:multiLevelType w:val="hybridMultilevel"/>
    <w:lvl w:ilvl="0">
      <w:lvlJc w:val="left"/>
      <w:lvlText w:val="%1:"/>
      <w:numFmt w:val="upperLetter"/>
      <w:start w:val="17"/>
    </w:lvl>
  </w:abstractNum>
  <w:abstractNum w:abstractNumId="67">
    <w:nsid w:val="7BCFBAFC"/>
    <w:multiLevelType w:val="hybridMultilevel"/>
    <w:lvl w:ilvl="0">
      <w:lvlJc w:val="left"/>
      <w:lvlText w:val="%1:"/>
      <w:numFmt w:val="upperLetter"/>
      <w:start w:val="1"/>
    </w:lvl>
    <w:lvl w:ilvl="1">
      <w:lvlJc w:val="left"/>
      <w:lvlText w:val="•"/>
      <w:numFmt w:val="bullet"/>
      <w:start w:val="1"/>
    </w:lvl>
  </w:abstractNum>
  <w:abstractNum w:abstractNumId="68">
    <w:nsid w:val="17859F72"/>
    <w:multiLevelType w:val="hybridMultilevel"/>
    <w:lvl w:ilvl="0">
      <w:lvlJc w:val="left"/>
      <w:lvlText w:val="%1:"/>
      <w:numFmt w:val="upperLetter"/>
      <w:start w:val="17"/>
    </w:lvl>
  </w:abstractNum>
  <w:abstractNum w:abstractNumId="69">
    <w:nsid w:val="3AA10581"/>
    <w:multiLevelType w:val="hybridMultilevel"/>
    <w:lvl w:ilvl="0">
      <w:lvlJc w:val="left"/>
      <w:lvlText w:val="%1:"/>
      <w:numFmt w:val="upperLetter"/>
      <w:start w:val="1"/>
    </w:lvl>
  </w:abstractNum>
  <w:abstractNum w:abstractNumId="70">
    <w:nsid w:val="63DE60CD"/>
    <w:multiLevelType w:val="hybridMultilevel"/>
    <w:lvl w:ilvl="0">
      <w:lvlJc w:val="left"/>
      <w:lvlText w:val="%1:"/>
      <w:numFmt w:val="upperLetter"/>
      <w:start w:val="17"/>
    </w:lvl>
  </w:abstractNum>
  <w:abstractNum w:abstractNumId="71">
    <w:nsid w:val="621AF471"/>
    <w:multiLevelType w:val="hybridMultilevel"/>
    <w:lvl w:ilvl="0">
      <w:lvlJc w:val="left"/>
      <w:lvlText w:val="%1:"/>
      <w:numFmt w:val="upperLetter"/>
      <w:start w:val="1"/>
    </w:lvl>
  </w:abstractNum>
  <w:abstractNum w:abstractNumId="72">
    <w:nsid w:val="73CFE165"/>
    <w:multiLevelType w:val="hybridMultilevel"/>
    <w:lvl w:ilvl="0">
      <w:lvlJc w:val="left"/>
      <w:lvlText w:val="%1:"/>
      <w:numFmt w:val="upperLetter"/>
      <w:start w:val="17"/>
    </w:lvl>
  </w:abstractNum>
  <w:abstractNum w:abstractNumId="73">
    <w:nsid w:val="20F88EA6"/>
    <w:multiLevelType w:val="hybridMultilevel"/>
    <w:lvl w:ilvl="0">
      <w:lvlJc w:val="left"/>
      <w:lvlText w:val="%1:"/>
      <w:numFmt w:val="upperLetter"/>
      <w:start w:val="1"/>
    </w:lvl>
  </w:abstractNum>
  <w:abstractNum w:abstractNumId="74">
    <w:nsid w:val="617C843E"/>
    <w:multiLevelType w:val="hybridMultilevel"/>
    <w:lvl w:ilvl="0">
      <w:lvlJc w:val="left"/>
      <w:lvlText w:val="%1:"/>
      <w:numFmt w:val="upperLetter"/>
      <w:start w:val="17"/>
    </w:lvl>
  </w:abstractNum>
  <w:abstractNum w:abstractNumId="75">
    <w:nsid w:val="7B541FAB"/>
    <w:multiLevelType w:val="hybridMultilevel"/>
    <w:lvl w:ilvl="0">
      <w:lvlJc w:val="left"/>
      <w:lvlText w:val="%1:"/>
      <w:numFmt w:val="upperLetter"/>
      <w:start w:val="1"/>
    </w:lvl>
  </w:abstractNum>
  <w:abstractNum w:abstractNumId="76">
    <w:nsid w:val="2A79EC49"/>
    <w:multiLevelType w:val="hybridMultilevel"/>
    <w:lvl w:ilvl="0">
      <w:lvlJc w:val="left"/>
      <w:lvlText w:val="%1:"/>
      <w:numFmt w:val="upperLetter"/>
      <w:start w:val="17"/>
    </w:lvl>
  </w:abstractNum>
  <w:abstractNum w:abstractNumId="77">
    <w:nsid w:val="338125CF"/>
    <w:multiLevelType w:val="hybridMultilevel"/>
    <w:lvl w:ilvl="0">
      <w:lvlJc w:val="left"/>
      <w:lvlText w:val="%1:"/>
      <w:numFmt w:val="upperLetter"/>
      <w:start w:val="1"/>
    </w:lvl>
  </w:abstractNum>
  <w:abstractNum w:abstractNumId="78">
    <w:nsid w:val="47C7C971"/>
    <w:multiLevelType w:val="hybridMultilevel"/>
    <w:lvl w:ilvl="0">
      <w:lvlJc w:val="left"/>
      <w:lvlText w:val="%1."/>
      <w:numFmt w:val="upperLetter"/>
      <w:start w:val="17"/>
    </w:lvl>
  </w:abstractNum>
  <w:abstractNum w:abstractNumId="79">
    <w:nsid w:val="46F8284B"/>
    <w:multiLevelType w:val="hybridMultilevel"/>
    <w:lvl w:ilvl="0">
      <w:lvlJc w:val="left"/>
      <w:lvlText w:val="%1:"/>
      <w:numFmt w:val="upperLetter"/>
      <w:start w:val="1"/>
    </w:lvl>
  </w:abstractNum>
  <w:abstractNum w:abstractNumId="80">
    <w:nsid w:val="4FA327CE"/>
    <w:multiLevelType w:val="hybridMultilevel"/>
    <w:lvl w:ilvl="0">
      <w:lvlJc w:val="left"/>
      <w:lvlText w:val="%1:"/>
      <w:numFmt w:val="upperLetter"/>
      <w:start w:val="17"/>
    </w:lvl>
  </w:abstractNum>
  <w:abstractNum w:abstractNumId="81">
    <w:nsid w:val="1873983A"/>
    <w:multiLevelType w:val="hybridMultilevel"/>
    <w:lvl w:ilvl="0">
      <w:lvlJc w:val="left"/>
      <w:lvlText w:val="%1:"/>
      <w:numFmt w:val="upperLetter"/>
      <w:start w:val="1"/>
    </w:lvl>
  </w:abstractNum>
  <w:abstractNum w:abstractNumId="82">
    <w:nsid w:val="3D2DD275"/>
    <w:multiLevelType w:val="hybridMultilevel"/>
    <w:lvl w:ilvl="0">
      <w:lvlJc w:val="left"/>
      <w:lvlText w:val="%1:"/>
      <w:numFmt w:val="upperLetter"/>
      <w:start w:val="17"/>
    </w:lvl>
  </w:abstractNum>
  <w:abstractNum w:abstractNumId="83">
    <w:nsid w:val="2E17ECA7"/>
    <w:multiLevelType w:val="hybridMultilevel"/>
    <w:lvl w:ilvl="0">
      <w:lvlJc w:val="left"/>
      <w:lvlText w:val="%1:"/>
      <w:numFmt w:val="upperLetter"/>
      <w:start w:val="1"/>
    </w:lvl>
    <w:lvl w:ilvl="1">
      <w:lvlJc w:val="left"/>
      <w:lvlText w:val="•"/>
      <w:numFmt w:val="bullet"/>
      <w:start w:val="1"/>
    </w:lvl>
  </w:abstractNum>
  <w:abstractNum w:abstractNumId="84">
    <w:nsid w:val="53B2564F"/>
    <w:multiLevelType w:val="hybridMultilevel"/>
    <w:lvl w:ilvl="0">
      <w:lvlJc w:val="left"/>
      <w:lvlText w:val="%1:"/>
      <w:numFmt w:val="upperLetter"/>
      <w:start w:val="17"/>
    </w:lvl>
  </w:abstractNum>
  <w:abstractNum w:abstractNumId="85">
    <w:nsid w:val="75509D76"/>
    <w:multiLevelType w:val="hybridMultilevel"/>
    <w:lvl w:ilvl="0">
      <w:lvlJc w:val="left"/>
      <w:lvlText w:val="%1:"/>
      <w:numFmt w:val="upperLetter"/>
      <w:start w:val="1"/>
    </w:lvl>
  </w:abstractNum>
  <w:abstractNum w:abstractNumId="86">
    <w:nsid w:val="1AF7F0EA"/>
    <w:multiLevelType w:val="hybridMultilevel"/>
    <w:lvl w:ilvl="0">
      <w:lvlJc w:val="left"/>
      <w:lvlText w:val="%1:"/>
      <w:numFmt w:val="upperLetter"/>
      <w:start w:val="17"/>
    </w:lvl>
  </w:abstractNum>
  <w:abstractNum w:abstractNumId="87">
    <w:nsid w:val="4DA32C7E"/>
    <w:multiLevelType w:val="hybridMultilevel"/>
    <w:lvl w:ilvl="0">
      <w:lvlJc w:val="left"/>
      <w:lvlText w:val="%1:"/>
      <w:numFmt w:val="upperLetter"/>
      <w:start w:val="1"/>
    </w:lvl>
  </w:abstractNum>
  <w:abstractNum w:abstractNumId="88">
    <w:nsid w:val="6EC68664"/>
    <w:multiLevelType w:val="hybridMultilevel"/>
    <w:lvl w:ilvl="0">
      <w:lvlJc w:val="left"/>
      <w:lvlText w:val="%1:"/>
      <w:numFmt w:val="upperLetter"/>
      <w:start w:val="17"/>
    </w:lvl>
  </w:abstractNum>
  <w:abstractNum w:abstractNumId="89">
    <w:nsid w:val="E0D31FF"/>
    <w:multiLevelType w:val="hybridMultilevel"/>
    <w:lvl w:ilvl="0">
      <w:lvlJc w:val="left"/>
      <w:lvlText w:val="%1:"/>
      <w:numFmt w:val="upperLetter"/>
      <w:start w:val="1"/>
    </w:lvl>
  </w:abstractNum>
  <w:abstractNum w:abstractNumId="90">
    <w:nsid w:val="2FD0AD81"/>
    <w:multiLevelType w:val="hybridMultilevel"/>
    <w:lvl w:ilvl="0">
      <w:lvlJc w:val="left"/>
      <w:lvlText w:val="%1:"/>
      <w:numFmt w:val="upperLetter"/>
      <w:start w:val="17"/>
    </w:lvl>
  </w:abstractNum>
  <w:abstractNum w:abstractNumId="91">
    <w:nsid w:val="1978EBEB"/>
    <w:multiLevelType w:val="hybridMultilevel"/>
    <w:lvl w:ilvl="0">
      <w:lvlJc w:val="left"/>
      <w:lvlText w:val="%1:"/>
      <w:numFmt w:val="upperLetter"/>
      <w:start w:val="1"/>
    </w:lvl>
  </w:abstractNum>
  <w:abstractNum w:abstractNumId="92">
    <w:nsid w:val="52C12C61"/>
    <w:multiLevelType w:val="hybridMultilevel"/>
    <w:lvl w:ilvl="0">
      <w:lvlJc w:val="left"/>
      <w:lvlText w:val="•"/>
      <w:numFmt w:val="bullet"/>
      <w:start w:val="1"/>
    </w:lvl>
  </w:abstractNum>
  <w:abstractNum w:abstractNumId="93">
    <w:nsid w:val="4BDD53FD"/>
    <w:multiLevelType w:val="hybridMultilevel"/>
    <w:lvl w:ilvl="0">
      <w:lvlJc w:val="left"/>
      <w:lvlText w:val="•"/>
      <w:numFmt w:val="bullet"/>
      <w:start w:val="1"/>
    </w:lvl>
  </w:abstractNum>
  <w:abstractNum w:abstractNumId="94">
    <w:nsid w:val="569951FE"/>
    <w:multiLevelType w:val="hybridMultilevel"/>
    <w:lvl w:ilvl="0">
      <w:lvlJc w:val="left"/>
      <w:lvlText w:val="%1"/>
      <w:numFmt w:val="upperLetter"/>
      <w:start w:val="61"/>
    </w:lvl>
  </w:abstractNum>
  <w:abstractNum w:abstractNumId="95">
    <w:nsid w:val="4C54E2C3"/>
    <w:multiLevelType w:val="hybridMultilevel"/>
    <w:lvl w:ilvl="0">
      <w:lvlJc w:val="left"/>
      <w:lvlText w:val="(%1)"/>
      <w:numFmt w:val="lowerLetter"/>
      <w:start w:val="1"/>
    </w:lvl>
  </w:abstractNum>
  <w:abstractNum w:abstractNumId="96">
    <w:nsid w:val="788BD9B"/>
    <w:multiLevelType w:val="hybridMultilevel"/>
    <w:lvl w:ilvl="0">
      <w:lvlJc w:val="left"/>
      <w:lvlText w:val="(%1)"/>
      <w:numFmt w:val="lowerLetter"/>
      <w:start w:val="4"/>
    </w:lvl>
  </w:abstractNum>
  <w:abstractNum w:abstractNumId="97">
    <w:nsid w:val="47CAA567"/>
    <w:multiLevelType w:val="hybridMultilevel"/>
    <w:lvl w:ilvl="0">
      <w:lvlJc w:val="left"/>
      <w:lvlText w:val="•"/>
      <w:numFmt w:val="bullet"/>
      <w:start w:val="1"/>
    </w:lvl>
  </w:abstractNum>
  <w:abstractNum w:abstractNumId="98">
    <w:nsid w:val="48249DBF"/>
    <w:multiLevelType w:val="hybridMultilevel"/>
    <w:lvl w:ilvl="0">
      <w:lvlJc w:val="left"/>
      <w:lvlText w:val="•"/>
      <w:numFmt w:val="bullet"/>
      <w:start w:val="1"/>
    </w:lvl>
  </w:abstractNum>
  <w:abstractNum w:abstractNumId="99">
    <w:nsid w:val="1F0E5D0D"/>
    <w:multiLevelType w:val="hybridMultilevel"/>
    <w:lvl w:ilvl="0">
      <w:lvlJc w:val="left"/>
      <w:lvlText w:val="•"/>
      <w:numFmt w:val="bullet"/>
      <w:start w:val="1"/>
    </w:lvl>
  </w:abstractNum>
  <w:abstractNum w:abstractNumId="100">
    <w:nsid w:val="26BAAE9"/>
    <w:multiLevelType w:val="hybridMultilevel"/>
    <w:lvl w:ilvl="0">
      <w:lvlJc w:val="left"/>
      <w:lvlText w:val="(%1)"/>
      <w:numFmt w:val="lowerRoman"/>
      <w:start w:val="1"/>
    </w:lvl>
  </w:abstractNum>
  <w:abstractNum w:abstractNumId="101">
    <w:nsid w:val="2C02FE8C"/>
    <w:multiLevelType w:val="hybridMultilevel"/>
    <w:lvl w:ilvl="0">
      <w:lvlJc w:val="left"/>
      <w:lvlText w:val="(%1)"/>
      <w:numFmt w:val="lowerLetter"/>
      <w:start w:val="1"/>
    </w:lvl>
  </w:abstractNum>
  <w:abstractNum w:abstractNumId="102">
    <w:nsid w:val="129517E"/>
    <w:multiLevelType w:val="hybridMultilevel"/>
    <w:lvl w:ilvl="0">
      <w:lvlJc w:val="left"/>
      <w:lvlText w:val="•"/>
      <w:numFmt w:val="bullet"/>
      <w:start w:val="1"/>
    </w:lvl>
  </w:abstractNum>
  <w:abstractNum w:abstractNumId="103">
    <w:nsid w:val="763B8C4E"/>
    <w:multiLevelType w:val="hybridMultilevel"/>
    <w:lvl w:ilvl="0">
      <w:lvlJc w:val="left"/>
      <w:lvlText w:val="(%1)"/>
      <w:numFmt w:val="decimal"/>
      <w:start w:val="1"/>
    </w:lvl>
  </w:abstractNum>
  <w:abstractNum w:abstractNumId="104">
    <w:nsid w:val="4CFB8D32"/>
    <w:multiLevelType w:val="hybridMultilevel"/>
    <w:lvl w:ilvl="0">
      <w:lvlJc w:val="left"/>
      <w:lvlText w:val="(%1)"/>
      <w:numFmt w:val="decimal"/>
      <w:start w:val="2"/>
    </w:lvl>
  </w:abstractNum>
  <w:abstractNum w:abstractNumId="105">
    <w:nsid w:val="62A5D5BD"/>
    <w:multiLevelType w:val="hybridMultilevel"/>
    <w:lvl w:ilvl="0">
      <w:lvlJc w:val="left"/>
      <w:lvlText w:val="(%1)"/>
      <w:numFmt w:val="decimal"/>
      <w:start w:val="1"/>
    </w:lvl>
  </w:abstractNum>
  <w:abstractNum w:abstractNumId="106">
    <w:nsid w:val="718FABF9"/>
    <w:multiLevelType w:val="hybridMultilevel"/>
    <w:lvl w:ilvl="0">
      <w:lvlJc w:val="left"/>
      <w:lvlText w:val="•"/>
      <w:numFmt w:val="bullet"/>
      <w:start w:val="1"/>
    </w:lvl>
  </w:abstractNum>
  <w:abstractNum w:abstractNumId="107">
    <w:nsid w:val="7775797C"/>
    <w:multiLevelType w:val="hybridMultilevel"/>
    <w:lvl w:ilvl="0">
      <w:lvlJc w:val="left"/>
      <w:lvlText w:val="•"/>
      <w:numFmt w:val="bullet"/>
      <w:start w:val="1"/>
    </w:lvl>
  </w:abstractNum>
  <w:abstractNum w:abstractNumId="108">
    <w:nsid w:val="1626FB8C"/>
    <w:multiLevelType w:val="hybridMultilevel"/>
    <w:lvl w:ilvl="0">
      <w:lvlJc w:val="left"/>
      <w:lvlText w:val="•"/>
      <w:numFmt w:val="bullet"/>
      <w:start w:val="1"/>
    </w:lvl>
  </w:abstractNum>
  <w:abstractNum w:abstractNumId="109">
    <w:nsid w:val="3957756A"/>
    <w:multiLevelType w:val="hybridMultilevel"/>
    <w:lvl w:ilvl="0">
      <w:lvlJc w:val="left"/>
      <w:lvlText w:val="•"/>
      <w:numFmt w:val="bullet"/>
      <w:start w:val="1"/>
    </w:lvl>
  </w:abstractNum>
  <w:abstractNum w:abstractNumId="110">
    <w:nsid w:val="3E6DA1C7"/>
    <w:multiLevelType w:val="hybridMultilevel"/>
    <w:lvl w:ilvl="0">
      <w:lvlJc w:val="left"/>
      <w:lvlText w:val="•"/>
      <w:numFmt w:val="bullet"/>
      <w:start w:val="1"/>
    </w:lvl>
  </w:abstractNum>
  <w:abstractNum w:abstractNumId="111">
    <w:nsid w:val="65CA235B"/>
    <w:multiLevelType w:val="hybridMultilevel"/>
    <w:lvl w:ilvl="0">
      <w:lvlJc w:val="left"/>
      <w:lvlText w:val="•"/>
      <w:numFmt w:val="bullet"/>
      <w:start w:val="1"/>
    </w:lvl>
  </w:abstractNum>
  <w:abstractNum w:abstractNumId="112">
    <w:nsid w:val="51CB0DA4"/>
    <w:multiLevelType w:val="hybridMultilevel"/>
    <w:lvl w:ilvl="0">
      <w:lvlJc w:val="left"/>
      <w:lvlText w:val="•"/>
      <w:numFmt w:val="bullet"/>
      <w:start w:val="1"/>
    </w:lvl>
  </w:abstractNum>
  <w:abstractNum w:abstractNumId="113">
    <w:nsid w:val="7B9B743C"/>
    <w:multiLevelType w:val="hybridMultilevel"/>
    <w:lvl w:ilvl="0">
      <w:lvlJc w:val="left"/>
      <w:lvlText w:val="•"/>
      <w:numFmt w:val="bullet"/>
      <w:start w:val="1"/>
    </w:lvl>
  </w:abstractNum>
  <w:abstractNum w:abstractNumId="114">
    <w:nsid w:val="13E21002"/>
    <w:multiLevelType w:val="hybridMultilevel"/>
    <w:lvl w:ilvl="0">
      <w:lvlJc w:val="left"/>
      <w:lvlText w:val="•"/>
      <w:numFmt w:val="bullet"/>
      <w:start w:val="1"/>
    </w:lvl>
  </w:abstractNum>
  <w:abstractNum w:abstractNumId="115">
    <w:nsid w:val="257D63F4"/>
    <w:multiLevelType w:val="hybridMultilevel"/>
    <w:lvl w:ilvl="0">
      <w:lvlJc w:val="left"/>
      <w:lvlText w:val="•"/>
      <w:numFmt w:val="bullet"/>
      <w:start w:val="1"/>
    </w:lvl>
  </w:abstractNum>
  <w:abstractNum w:abstractNumId="116">
    <w:nsid w:val="70EC11B2"/>
    <w:multiLevelType w:val="hybridMultilevel"/>
    <w:lvl w:ilvl="0">
      <w:lvlJc w:val="left"/>
      <w:lvlText w:val="•"/>
      <w:numFmt w:val="bullet"/>
      <w:start w:val="1"/>
    </w:lvl>
  </w:abstractNum>
  <w:abstractNum w:abstractNumId="117">
    <w:nsid w:val="2EDA00ED"/>
    <w:multiLevelType w:val="hybridMultilevel"/>
    <w:lvl w:ilvl="0">
      <w:lvlJc w:val="left"/>
      <w:lvlText w:val="•"/>
      <w:numFmt w:val="bullet"/>
      <w:start w:val="1"/>
    </w:lvl>
  </w:abstractNum>
  <w:abstractNum w:abstractNumId="118">
    <w:nsid w:val="73209072"/>
    <w:multiLevelType w:val="hybridMultilevel"/>
    <w:lvl w:ilvl="0">
      <w:lvlJc w:val="left"/>
      <w:lvlText w:val="•"/>
      <w:numFmt w:val="bullet"/>
      <w:start w:val="1"/>
    </w:lvl>
  </w:abstractNum>
  <w:abstractNum w:abstractNumId="119">
    <w:nsid w:val="5FB29816"/>
    <w:multiLevelType w:val="hybridMultilevel"/>
    <w:lvl w:ilvl="0">
      <w:lvlJc w:val="left"/>
      <w:lvlText w:val="•"/>
      <w:numFmt w:val="bullet"/>
      <w:start w:val="1"/>
    </w:lvl>
  </w:abstractNum>
  <w:abstractNum w:abstractNumId="120">
    <w:nsid w:val="3CE732EC"/>
    <w:multiLevelType w:val="hybridMultilevel"/>
    <w:lvl w:ilvl="0">
      <w:lvlJc w:val="left"/>
      <w:lvlText w:val="•"/>
      <w:numFmt w:val="bullet"/>
      <w:start w:val="1"/>
    </w:lvl>
  </w:abstractNum>
  <w:abstractNum w:abstractNumId="121">
    <w:nsid w:val="22F13DF3"/>
    <w:multiLevelType w:val="hybridMultilevel"/>
    <w:lvl w:ilvl="0">
      <w:lvlJc w:val="left"/>
      <w:lvlText w:val="•"/>
      <w:numFmt w:val="bullet"/>
      <w:start w:val="1"/>
    </w:lvl>
  </w:abstractNum>
  <w:abstractNum w:abstractNumId="122">
    <w:nsid w:val="792B8401"/>
    <w:multiLevelType w:val="hybridMultilevel"/>
    <w:lvl w:ilvl="0">
      <w:lvlJc w:val="left"/>
      <w:lvlText w:val="•"/>
      <w:numFmt w:val="bullet"/>
      <w:start w:val="1"/>
    </w:lvl>
  </w:abstractNum>
  <w:abstractNum w:abstractNumId="123">
    <w:nsid w:val="FA85F4D"/>
    <w:multiLevelType w:val="hybridMultilevel"/>
    <w:lvl w:ilvl="0">
      <w:lvlJc w:val="left"/>
      <w:lvlText w:val="•"/>
      <w:numFmt w:val="bullet"/>
      <w:start w:val="1"/>
    </w:lvl>
  </w:abstractNum>
  <w:abstractNum w:abstractNumId="124">
    <w:nsid w:val="6ECE91F0"/>
    <w:multiLevelType w:val="hybridMultilevel"/>
    <w:lvl w:ilvl="0">
      <w:lvlJc w:val="left"/>
      <w:lvlText w:val="•"/>
      <w:numFmt w:val="bullet"/>
      <w:start w:val="1"/>
    </w:lvl>
  </w:abstractNum>
  <w:abstractNum w:abstractNumId="125">
    <w:nsid w:val="4FC4D600"/>
    <w:multiLevelType w:val="hybridMultilevel"/>
    <w:lvl w:ilvl="0">
      <w:lvlJc w:val="left"/>
      <w:lvlText w:val="•"/>
      <w:numFmt w:val="bullet"/>
      <w:start w:val="1"/>
    </w:lvl>
  </w:abstractNum>
  <w:abstractNum w:abstractNumId="126">
    <w:nsid w:val="5BFD4210"/>
    <w:multiLevelType w:val="hybridMultilevel"/>
    <w:lvl w:ilvl="0">
      <w:lvlJc w:val="left"/>
      <w:lvlText w:val="•"/>
      <w:numFmt w:val="bullet"/>
      <w:start w:val="1"/>
    </w:lvl>
  </w:abstractNum>
  <w:abstractNum w:abstractNumId="127">
    <w:nsid w:val="76574F8B"/>
    <w:multiLevelType w:val="hybridMultilevel"/>
    <w:lvl w:ilvl="0">
      <w:lvlJc w:val="left"/>
      <w:lvlText w:val="•"/>
      <w:numFmt w:val="bullet"/>
      <w:start w:val="1"/>
    </w:lvl>
  </w:abstractNum>
  <w:abstractNum w:abstractNumId="128">
    <w:nsid w:val="178F7B67"/>
    <w:multiLevelType w:val="hybridMultilevel"/>
    <w:lvl w:ilvl="0">
      <w:lvlJc w:val="left"/>
      <w:lvlText w:val="•"/>
      <w:numFmt w:val="bullet"/>
      <w:start w:val="1"/>
    </w:lvl>
  </w:abstractNum>
  <w:abstractNum w:abstractNumId="129">
    <w:nsid w:val="2421DFCF"/>
    <w:multiLevelType w:val="hybridMultilevel"/>
    <w:lvl w:ilvl="0">
      <w:lvlJc w:val="left"/>
      <w:lvlText w:val="•"/>
      <w:numFmt w:val="bullet"/>
      <w:start w:val="1"/>
    </w:lvl>
  </w:abstractNum>
  <w:abstractNum w:abstractNumId="130">
    <w:nsid w:val="1565AC99"/>
    <w:multiLevelType w:val="hybridMultilevel"/>
    <w:lvl w:ilvl="0">
      <w:lvlJc w:val="left"/>
      <w:lvlText w:val="(%1)"/>
      <w:numFmt w:val="lowerRoman"/>
      <w:start w:val="2"/>
    </w:lvl>
  </w:abstractNum>
  <w:abstractNum w:abstractNumId="131">
    <w:nsid w:val="19FB2650"/>
    <w:multiLevelType w:val="hybridMultilevel"/>
    <w:lvl w:ilvl="0">
      <w:lvlJc w:val="left"/>
      <w:lvlText w:val="•"/>
      <w:numFmt w:val="bullet"/>
      <w:start w:val="1"/>
    </w:lvl>
  </w:abstractNum>
  <w:abstractNum w:abstractNumId="132">
    <w:nsid w:val="5024DE5B"/>
    <w:multiLevelType w:val="hybridMultilevel"/>
    <w:lvl w:ilvl="0">
      <w:lvlJc w:val="left"/>
      <w:lvlText w:val="•"/>
      <w:numFmt w:val="bullet"/>
      <w:start w:val="1"/>
    </w:lvl>
  </w:abstractNum>
  <w:abstractNum w:abstractNumId="133">
    <w:nsid w:val="168EFE17"/>
    <w:multiLevelType w:val="hybridMultilevel"/>
    <w:lvl w:ilvl="0">
      <w:lvlJc w:val="left"/>
      <w:lvlText w:val="•"/>
      <w:numFmt w:val="bullet"/>
      <w:start w:val="1"/>
    </w:lvl>
  </w:abstractNum>
  <w:abstractNum w:abstractNumId="134">
    <w:nsid w:val="1036B29F"/>
    <w:multiLevelType w:val="hybridMultilevel"/>
    <w:lvl w:ilvl="0">
      <w:lvlJc w:val="left"/>
      <w:lvlText w:val="•"/>
      <w:numFmt w:val="bullet"/>
      <w:start w:val="1"/>
    </w:lvl>
  </w:abstractNum>
  <w:abstractNum w:abstractNumId="135">
    <w:nsid w:val="1D206B8E"/>
    <w:multiLevelType w:val="hybridMultilevel"/>
    <w:lvl w:ilvl="0">
      <w:lvlJc w:val="left"/>
      <w:lvlText w:val="•"/>
      <w:numFmt w:val="bullet"/>
      <w:start w:val="1"/>
    </w:lvl>
  </w:abstractNum>
  <w:abstractNum w:abstractNumId="136">
    <w:nsid w:val="7934D3D4"/>
    <w:multiLevelType w:val="hybridMultilevel"/>
    <w:lvl w:ilvl="0">
      <w:lvlJc w:val="left"/>
      <w:lvlText w:val="•"/>
      <w:numFmt w:val="bullet"/>
      <w:start w:val="1"/>
    </w:lvl>
  </w:abstractNum>
  <w:abstractNum w:abstractNumId="137">
    <w:nsid w:val="1C65E98"/>
    <w:multiLevelType w:val="hybridMultilevel"/>
    <w:lvl w:ilvl="0">
      <w:lvlJc w:val="left"/>
      <w:lvlText w:val="•"/>
      <w:numFmt w:val="bullet"/>
      <w:start w:val="1"/>
    </w:lvl>
  </w:abstractNum>
  <w:abstractNum w:abstractNumId="138">
    <w:nsid w:val="1495E50A"/>
    <w:multiLevelType w:val="hybridMultilevel"/>
    <w:lvl w:ilvl="0">
      <w:lvlJc w:val="left"/>
      <w:lvlText w:val="•"/>
      <w:numFmt w:val="bullet"/>
      <w:start w:val="1"/>
    </w:lvl>
  </w:abstractNum>
  <w:abstractNum w:abstractNumId="139">
    <w:nsid w:val="F5BCF61"/>
    <w:multiLevelType w:val="hybridMultilevel"/>
    <w:lvl w:ilvl="0">
      <w:lvlJc w:val="left"/>
      <w:lvlText w:val="•"/>
      <w:numFmt w:val="bullet"/>
      <w:start w:val="1"/>
    </w:lvl>
  </w:abstractNum>
  <w:abstractNum w:abstractNumId="140">
    <w:nsid w:val="3B1DD403"/>
    <w:multiLevelType w:val="hybridMultilevel"/>
    <w:lvl w:ilvl="0">
      <w:lvlJc w:val="left"/>
      <w:lvlText w:val="•"/>
      <w:numFmt w:val="bullet"/>
      <w:start w:val="1"/>
    </w:lvl>
  </w:abstractNum>
  <w:abstractNum w:abstractNumId="141">
    <w:nsid w:val="530386D1"/>
    <w:multiLevelType w:val="hybridMultilevel"/>
    <w:lvl w:ilvl="0">
      <w:lvlJc w:val="left"/>
      <w:lvlText w:val="•"/>
      <w:numFmt w:val="bullet"/>
      <w:start w:val="1"/>
    </w:lvl>
  </w:abstractNum>
  <w:abstractNum w:abstractNumId="142">
    <w:nsid w:val="7525F2BC"/>
    <w:multiLevelType w:val="hybridMultilevel"/>
    <w:lvl w:ilvl="0">
      <w:lvlJc w:val="left"/>
      <w:lvlText w:val="•"/>
      <w:numFmt w:val="bullet"/>
      <w:start w:val="1"/>
    </w:lvl>
  </w:abstractNum>
  <w:abstractNum w:abstractNumId="143">
    <w:nsid w:val="CE8E1A7"/>
    <w:multiLevelType w:val="hybridMultilevel"/>
    <w:lvl w:ilvl="0">
      <w:lvlJc w:val="left"/>
      <w:lvlText w:val="•"/>
      <w:numFmt w:val="bullet"/>
      <w:start w:val="1"/>
    </w:lvl>
  </w:abstractNum>
  <w:abstractNum w:abstractNumId="144">
    <w:nsid w:val="4E9EFB0D"/>
    <w:multiLevelType w:val="hybridMultilevel"/>
    <w:lvl w:ilvl="0">
      <w:lvlJc w:val="left"/>
      <w:lvlText w:val="(%1)"/>
      <w:numFmt w:val="decimal"/>
      <w:start w:val="1"/>
    </w:lvl>
  </w:abstractNum>
  <w:abstractNum w:abstractNumId="145">
    <w:nsid w:val="90802BE"/>
    <w:multiLevelType w:val="hybridMultilevel"/>
    <w:lvl w:ilvl="0">
      <w:lvlJc w:val="left"/>
      <w:lvlText w:val="(%1)"/>
      <w:numFmt w:val="lowerLetter"/>
      <w:start w:val="1"/>
    </w:lvl>
  </w:abstractNum>
  <w:abstractNum w:abstractNumId="146">
    <w:nsid w:val="3266459B"/>
    <w:multiLevelType w:val="hybridMultilevel"/>
    <w:lvl w:ilvl="0">
      <w:lvlJc w:val="left"/>
      <w:lvlText w:val="(%1)"/>
      <w:numFmt w:val="upperLetter"/>
      <w:start w:val="1"/>
    </w:lvl>
  </w:abstractNum>
  <w:abstractNum w:abstractNumId="147">
    <w:nsid w:val="3F8B0CBF"/>
    <w:multiLevelType w:val="hybridMultilevel"/>
    <w:lvl w:ilvl="0">
      <w:lvlJc w:val="left"/>
      <w:lvlText w:val="•"/>
      <w:numFmt w:val="bullet"/>
      <w:start w:val="1"/>
    </w:lvl>
  </w:abstractNum>
  <w:abstractNum w:abstractNumId="148">
    <w:nsid w:val="37E203AB"/>
    <w:multiLevelType w:val="hybridMultilevel"/>
    <w:lvl w:ilvl="0">
      <w:lvlJc w:val="left"/>
      <w:lvlText w:val="•"/>
      <w:numFmt w:val="bullet"/>
      <w:start w:val="1"/>
    </w:lvl>
  </w:abstractNum>
  <w:abstractNum w:abstractNumId="149">
    <w:nsid w:val="2586D60E"/>
    <w:multiLevelType w:val="hybridMultilevel"/>
    <w:lvl w:ilvl="0">
      <w:lvlJc w:val="left"/>
      <w:lvlText w:val="(%1)"/>
      <w:numFmt w:val="decimal"/>
      <w:start w:val="1"/>
    </w:lvl>
  </w:abstractNum>
  <w:abstractNum w:abstractNumId="150">
    <w:nsid w:val="1F3DA4D5"/>
    <w:multiLevelType w:val="hybridMultilevel"/>
    <w:lvl w:ilvl="0">
      <w:lvlJc w:val="left"/>
      <w:lvlText w:val="%1)"/>
      <w:numFmt w:val="lowerLetter"/>
      <w:start w:val="1"/>
    </w:lvl>
  </w:abstractNum>
  <w:abstractNum w:abstractNumId="151">
    <w:nsid w:val="74C93698"/>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52">
    <w:nsid w:val="48781401"/>
    <w:multiLevelType w:val="hybridMultilevel"/>
    <w:lvl w:ilvl="0">
      <w:lvlJc w:val="left"/>
      <w:lvlText w:val="%1)"/>
      <w:numFmt w:val="lowerLetter"/>
      <w:start w:val="4"/>
    </w:lvl>
  </w:abstractNum>
  <w:abstractNum w:abstractNumId="153">
    <w:nsid w:val="186928D6"/>
    <w:multiLevelType w:val="hybridMultilevel"/>
    <w:lvl w:ilvl="0">
      <w:lvlJc w:val="left"/>
      <w:lvlText w:val="%1)"/>
      <w:numFmt w:val="lowerLetter"/>
      <w:start w:val="5"/>
    </w:lvl>
  </w:abstractNum>
  <w:abstractNum w:abstractNumId="154">
    <w:nsid w:val="47195E5"/>
    <w:multiLevelType w:val="hybridMultilevel"/>
    <w:lvl w:ilvl="0">
      <w:lvlJc w:val="left"/>
      <w:lvlText w:val="(%1)"/>
      <w:numFmt w:val="decimal"/>
      <w:start w:val="1"/>
    </w:lvl>
  </w:abstractNum>
  <w:abstractNum w:abstractNumId="155">
    <w:nsid w:val="3746A5F2"/>
    <w:multiLevelType w:val="hybridMultilevel"/>
    <w:lvl w:ilvl="0">
      <w:lvlJc w:val="left"/>
      <w:lvlText w:val="(%1)"/>
      <w:numFmt w:val="decimal"/>
      <w:start w:val="2"/>
    </w:lvl>
  </w:abstractNum>
  <w:abstractNum w:abstractNumId="156">
    <w:nsid w:val="682DFED6"/>
    <w:multiLevelType w:val="hybridMultilevel"/>
    <w:lvl w:ilvl="0">
      <w:lvlJc w:val="left"/>
      <w:lvlText w:val="•"/>
      <w:numFmt w:val="bullet"/>
      <w:start w:val="1"/>
    </w:lvl>
  </w:abstractNum>
  <w:abstractNum w:abstractNumId="157">
    <w:nsid w:val="606ED7F6"/>
    <w:multiLevelType w:val="hybridMultilevel"/>
    <w:lvl w:ilvl="0">
      <w:lvlJc w:val="left"/>
      <w:lvlText w:val="•"/>
      <w:numFmt w:val="bullet"/>
      <w:start w:val="1"/>
    </w:lvl>
  </w:abstractNum>
  <w:abstractNum w:abstractNumId="158">
    <w:nsid w:val="2D9DF57D"/>
    <w:multiLevelType w:val="hybridMultilevel"/>
    <w:lvl w:ilvl="0">
      <w:lvlJc w:val="left"/>
      <w:lvlText w:val="(%1)"/>
      <w:numFmt w:val="lowerLetter"/>
      <w:start w:val="5"/>
    </w:lvl>
  </w:abstractNum>
  <w:abstractNum w:abstractNumId="159">
    <w:nsid w:val="7FBD7A3E"/>
    <w:multiLevelType w:val="hybridMultilevel"/>
    <w:lvl w:ilvl="0">
      <w:lvlJc w:val="left"/>
      <w:lvlText w:val="(%1)"/>
      <w:numFmt w:val="lowerLetter"/>
      <w:start w:val="12"/>
    </w:lvl>
  </w:abstractNum>
  <w:abstractNum w:abstractNumId="160">
    <w:nsid w:val="490B7C5"/>
    <w:multiLevelType w:val="hybridMultilevel"/>
    <w:lvl w:ilvl="0">
      <w:lvlJc w:val="left"/>
      <w:lvlText w:val="(%1)"/>
      <w:numFmt w:val="lowerLetter"/>
      <w:start w:val="17"/>
    </w:lvl>
  </w:abstractNum>
  <w:abstractNum w:abstractNumId="161">
    <w:nsid w:val="4303A216"/>
    <w:multiLevelType w:val="hybridMultilevel"/>
    <w:lvl w:ilvl="0">
      <w:lvlJc w:val="left"/>
      <w:lvlText w:val="(%1)"/>
      <w:numFmt w:val="lowerLetter"/>
      <w:start w:val="21"/>
    </w:lvl>
  </w:abstractNum>
  <w:abstractNum w:abstractNumId="162">
    <w:nsid w:val="19B8A08E"/>
    <w:multiLevelType w:val="hybridMultilevel"/>
    <w:lvl w:ilvl="0">
      <w:lvlJc w:val="left"/>
      <w:lvlText w:val="(%1)"/>
      <w:numFmt w:val="lowerLetter"/>
      <w:start w:val="4"/>
    </w:lvl>
  </w:abstractNum>
  <w:abstractNum w:abstractNumId="163">
    <w:nsid w:val="54B59621"/>
    <w:multiLevelType w:val="hybridMultilevel"/>
    <w:lvl w:ilvl="0">
      <w:lvlJc w:val="left"/>
      <w:lvlText w:val="(%1)"/>
      <w:numFmt w:val="lowerLetter"/>
      <w:start w:val="8"/>
    </w:lvl>
  </w:abstractNum>
  <w:abstractNum w:abstractNumId="164">
    <w:nsid w:val="5992A02E"/>
    <w:multiLevelType w:val="hybridMultilevel"/>
    <w:lvl w:ilvl="0">
      <w:lvlJc w:val="left"/>
      <w:lvlText w:val="•"/>
      <w:numFmt w:val="bullet"/>
      <w:start w:val="1"/>
    </w:lvl>
  </w:abstractNum>
  <w:abstractNum w:abstractNumId="165">
    <w:nsid w:val="29EF532D"/>
    <w:multiLevelType w:val="hybridMultilevel"/>
    <w:lvl w:ilvl="0">
      <w:lvlJc w:val="left"/>
      <w:lvlText w:val="•"/>
      <w:numFmt w:val="bullet"/>
      <w:start w:val="1"/>
    </w:lvl>
  </w:abstractNum>
  <w:abstractNum w:abstractNumId="166">
    <w:nsid w:val="71D601AF"/>
    <w:multiLevelType w:val="hybridMultilevel"/>
    <w:lvl w:ilvl="0">
      <w:lvlJc w:val="left"/>
      <w:lvlText w:val="•"/>
      <w:numFmt w:val="bullet"/>
      <w:start w:val="1"/>
    </w:lvl>
  </w:abstractNum>
  <w:abstractNum w:abstractNumId="167">
    <w:nsid w:val="52C77402"/>
    <w:multiLevelType w:val="hybridMultilevel"/>
    <w:lvl w:ilvl="0">
      <w:lvlJc w:val="left"/>
      <w:lvlText w:val="•"/>
      <w:numFmt w:val="bullet"/>
      <w:start w:val="1"/>
    </w:lvl>
  </w:abstractNum>
  <w:abstractNum w:abstractNumId="168">
    <w:nsid w:val="2BB5B1C6"/>
    <w:multiLevelType w:val="hybridMultilevel"/>
    <w:lvl w:ilvl="0">
      <w:lvlJc w:val="left"/>
      <w:lvlText w:val="•"/>
      <w:numFmt w:val="bullet"/>
      <w:start w:val="1"/>
    </w:lvl>
  </w:abstractNum>
  <w:abstractNum w:abstractNumId="169">
    <w:nsid w:val="66BE6B9"/>
    <w:multiLevelType w:val="hybridMultilevel"/>
    <w:lvl w:ilvl="0">
      <w:lvlJc w:val="left"/>
      <w:lvlText w:val="•"/>
      <w:numFmt w:val="bullet"/>
      <w:start w:val="1"/>
    </w:lvl>
  </w:abstractNum>
  <w:abstractNum w:abstractNumId="170">
    <w:nsid w:val="62234363"/>
    <w:multiLevelType w:val="hybridMultilevel"/>
    <w:lvl w:ilvl="0">
      <w:lvlJc w:val="left"/>
      <w:lvlText w:val="•"/>
      <w:numFmt w:val="bullet"/>
      <w:start w:val="1"/>
    </w:lvl>
  </w:abstractNum>
  <w:abstractNum w:abstractNumId="171">
    <w:nsid w:val="66D385C9"/>
    <w:multiLevelType w:val="hybridMultilevel"/>
    <w:lvl w:ilvl="0">
      <w:lvlJc w:val="left"/>
      <w:lvlText w:val="•"/>
      <w:numFmt w:val="bullet"/>
      <w:start w:val="1"/>
    </w:lvl>
  </w:abstractNum>
  <w:abstractNum w:abstractNumId="172">
    <w:nsid w:val="596F6D8A"/>
    <w:multiLevelType w:val="hybridMultilevel"/>
    <w:lvl w:ilvl="0">
      <w:lvlJc w:val="left"/>
      <w:lvlText w:val="•"/>
      <w:numFmt w:val="bullet"/>
      <w:start w:val="1"/>
    </w:lvl>
  </w:abstractNum>
  <w:abstractNum w:abstractNumId="173">
    <w:nsid w:val="5749361F"/>
    <w:multiLevelType w:val="hybridMultilevel"/>
    <w:lvl w:ilvl="0">
      <w:lvlJc w:val="left"/>
      <w:lvlText w:val="•"/>
      <w:numFmt w:val="bullet"/>
      <w:start w:val="1"/>
    </w:lvl>
  </w:abstractNum>
  <w:abstractNum w:abstractNumId="174">
    <w:nsid w:val="73BC6770"/>
    <w:multiLevelType w:val="hybridMultilevel"/>
    <w:lvl w:ilvl="0">
      <w:lvlJc w:val="left"/>
      <w:lvlText w:val="•"/>
      <w:numFmt w:val="bullet"/>
      <w:start w:val="1"/>
    </w:lvl>
  </w:abstractNum>
  <w:abstractNum w:abstractNumId="175">
    <w:nsid w:val="280E6897"/>
    <w:multiLevelType w:val="hybridMultilevel"/>
    <w:lvl w:ilvl="0">
      <w:lvlJc w:val="left"/>
      <w:lvlText w:val="(%1)"/>
      <w:numFmt w:val="lowerLetter"/>
      <w:start w:val="1"/>
    </w:lvl>
  </w:abstractNum>
  <w:abstractNum w:abstractNumId="176">
    <w:nsid w:val="605138DE"/>
    <w:multiLevelType w:val="hybridMultilevel"/>
    <w:lvl w:ilvl="0">
      <w:lvlJc w:val="left"/>
      <w:lvlText w:val="•"/>
      <w:numFmt w:val="bullet"/>
      <w:start w:val="1"/>
    </w:lvl>
  </w:abstractNum>
  <w:abstractNum w:abstractNumId="177">
    <w:nsid w:val="2622AD0C"/>
    <w:multiLevelType w:val="hybridMultilevel"/>
    <w:lvl w:ilvl="0">
      <w:lvlJc w:val="left"/>
      <w:lvlText w:val="•"/>
      <w:numFmt w:val="bullet"/>
      <w:start w:val="1"/>
    </w:lvl>
  </w:abstractNum>
  <w:abstractNum w:abstractNumId="178">
    <w:nsid w:val="67997556"/>
    <w:multiLevelType w:val="hybridMultilevel"/>
    <w:lvl w:ilvl="0">
      <w:lvlJc w:val="left"/>
      <w:lvlText w:val="•"/>
      <w:numFmt w:val="bullet"/>
      <w:start w:val="1"/>
    </w:lvl>
  </w:abstractNum>
  <w:abstractNum w:abstractNumId="179">
    <w:nsid w:val="18333C89"/>
    <w:multiLevelType w:val="hybridMultilevel"/>
    <w:lvl w:ilvl="0">
      <w:lvlJc w:val="left"/>
      <w:lvlText w:val="•"/>
      <w:numFmt w:val="bullet"/>
      <w:start w:val="1"/>
    </w:lvl>
  </w:abstractNum>
  <w:abstractNum w:abstractNumId="180">
    <w:nsid w:val="4BA9831A"/>
    <w:multiLevelType w:val="hybridMultilevel"/>
    <w:lvl w:ilvl="0">
      <w:lvlJc w:val="left"/>
      <w:lvlText w:val="•"/>
      <w:numFmt w:val="bullet"/>
      <w:start w:val="1"/>
    </w:lvl>
    <w:lvl w:ilvl="1">
      <w:lvlJc w:val="left"/>
      <w:lvlText w:val="(%2)"/>
      <w:numFmt w:val="lowerRoman"/>
      <w:start w:val="2"/>
    </w:lvl>
  </w:abstractNum>
  <w:abstractNum w:abstractNumId="181">
    <w:nsid w:val="6D71A2B"/>
    <w:multiLevelType w:val="hybridMultilevel"/>
    <w:lvl w:ilvl="0">
      <w:lvlJc w:val="left"/>
      <w:lvlText w:val="•"/>
      <w:numFmt w:val="bullet"/>
      <w:start w:val="1"/>
    </w:lvl>
  </w:abstractNum>
  <w:abstractNum w:abstractNumId="182">
    <w:nsid w:val="CFC7321"/>
    <w:multiLevelType w:val="hybridMultilevel"/>
    <w:lvl w:ilvl="0">
      <w:lvlJc w:val="left"/>
      <w:lvlText w:val="•"/>
      <w:numFmt w:val="bullet"/>
      <w:start w:val="1"/>
    </w:lvl>
  </w:abstractNum>
  <w:abstractNum w:abstractNumId="183">
    <w:nsid w:val="1421971B"/>
    <w:multiLevelType w:val="hybridMultilevel"/>
    <w:lvl w:ilvl="0">
      <w:lvlJc w:val="left"/>
      <w:lvlText w:val="•"/>
      <w:numFmt w:val="bullet"/>
      <w:start w:val="1"/>
    </w:lvl>
  </w:abstractNum>
  <w:abstractNum w:abstractNumId="184">
    <w:nsid w:val="1F404301"/>
    <w:multiLevelType w:val="hybridMultilevel"/>
    <w:lvl w:ilvl="0">
      <w:lvlJc w:val="left"/>
      <w:lvlText w:val="•"/>
      <w:numFmt w:val="bullet"/>
      <w:start w:val="1"/>
    </w:lvl>
  </w:abstractNum>
  <w:abstractNum w:abstractNumId="185">
    <w:nsid w:val="116E0907"/>
    <w:multiLevelType w:val="hybridMultilevel"/>
    <w:lvl w:ilvl="0">
      <w:lvlJc w:val="left"/>
      <w:lvlText w:val="•"/>
      <w:numFmt w:val="bullet"/>
      <w:start w:val="1"/>
    </w:lvl>
  </w:abstractNum>
  <w:abstractNum w:abstractNumId="186">
    <w:nsid w:val="4B683D0D"/>
    <w:multiLevelType w:val="hybridMultilevel"/>
    <w:lvl w:ilvl="0">
      <w:lvlJc w:val="left"/>
      <w:lvlText w:val="•"/>
      <w:numFmt w:val="bullet"/>
      <w:start w:val="1"/>
    </w:lvl>
  </w:abstractNum>
  <w:abstractNum w:abstractNumId="187">
    <w:nsid w:val="76E41D8"/>
    <w:multiLevelType w:val="hybridMultilevel"/>
    <w:lvl w:ilvl="0">
      <w:lvlJc w:val="left"/>
      <w:lvlText w:val="(%1)"/>
      <w:numFmt w:val="decimal"/>
      <w:start w:val="1"/>
    </w:lvl>
  </w:abstractNum>
  <w:abstractNum w:abstractNumId="188">
    <w:nsid w:val="71DCE0FD"/>
    <w:multiLevelType w:val="hybridMultilevel"/>
    <w:lvl w:ilvl="0">
      <w:lvlJc w:val="left"/>
      <w:lvlText w:val="(%1)"/>
      <w:numFmt w:val="decimal"/>
      <w:start w:val="1"/>
    </w:lvl>
  </w:abstractNum>
  <w:abstractNum w:abstractNumId="189">
    <w:nsid w:val="7906328B"/>
    <w:multiLevelType w:val="hybridMultilevel"/>
    <w:lvl w:ilvl="0">
      <w:lvlJc w:val="left"/>
      <w:lvlText w:val="(%1)"/>
      <w:numFmt w:val="decimal"/>
      <w:start w:val="1"/>
    </w:lvl>
  </w:abstractNum>
  <w:abstractNum w:abstractNumId="190">
    <w:nsid w:val="72BBC16"/>
    <w:multiLevelType w:val="hybridMultilevel"/>
    <w:lvl w:ilvl="0">
      <w:lvlJc w:val="left"/>
      <w:lvlText w:val="•"/>
      <w:numFmt w:val="bullet"/>
      <w:start w:val="1"/>
    </w:lvl>
  </w:abstractNum>
  <w:abstractNum w:abstractNumId="191">
    <w:nsid w:val="766D98C2"/>
    <w:multiLevelType w:val="hybridMultilevel"/>
    <w:lvl w:ilvl="0">
      <w:lvlJc w:val="left"/>
      <w:lvlText w:val="•"/>
      <w:numFmt w:val="bullet"/>
      <w:start w:val="1"/>
    </w:lvl>
  </w:abstractNum>
  <w:abstractNum w:abstractNumId="192">
    <w:nsid w:val="3C09D4A1"/>
    <w:multiLevelType w:val="hybridMultilevel"/>
    <w:lvl w:ilvl="0">
      <w:lvlJc w:val="left"/>
      <w:lvlText w:val="•"/>
      <w:numFmt w:val="bullet"/>
      <w:start w:val="1"/>
    </w:lvl>
  </w:abstractNum>
  <w:abstractNum w:abstractNumId="193">
    <w:nsid w:val="20E45CA4"/>
    <w:multiLevelType w:val="hybridMultilevel"/>
    <w:lvl w:ilvl="0">
      <w:lvlJc w:val="left"/>
      <w:lvlText w:val="•"/>
      <w:numFmt w:val="bullet"/>
      <w:start w:val="1"/>
    </w:lvl>
  </w:abstractNum>
  <w:abstractNum w:abstractNumId="194">
    <w:nsid w:val="4B232EE3"/>
    <w:multiLevelType w:val="hybridMultilevel"/>
    <w:lvl w:ilvl="0">
      <w:lvlJc w:val="left"/>
      <w:lvlText w:val="•"/>
      <w:numFmt w:val="bullet"/>
      <w:start w:val="1"/>
    </w:lvl>
  </w:abstractNum>
  <w:abstractNum w:abstractNumId="195">
    <w:nsid w:val="159C74CF"/>
    <w:multiLevelType w:val="hybridMultilevel"/>
    <w:lvl w:ilvl="0">
      <w:lvlJc w:val="left"/>
      <w:lvlText w:val="•"/>
      <w:numFmt w:val="bullet"/>
      <w:start w:val="1"/>
    </w:lvl>
  </w:abstractNum>
  <w:abstractNum w:abstractNumId="196">
    <w:nsid w:val="4AD3AFD2"/>
    <w:multiLevelType w:val="hybridMultilevel"/>
    <w:lvl w:ilvl="0">
      <w:lvlJc w:val="left"/>
      <w:lvlText w:val="•"/>
      <w:numFmt w:val="bullet"/>
      <w:start w:val="1"/>
    </w:lvl>
  </w:abstractNum>
  <w:abstractNum w:abstractNumId="197">
    <w:nsid w:val="3CF93092"/>
    <w:multiLevelType w:val="hybridMultilevel"/>
    <w:lvl w:ilvl="0">
      <w:lvlJc w:val="left"/>
      <w:lvlText w:val="•"/>
      <w:numFmt w:val="bullet"/>
      <w:start w:val="1"/>
    </w:lvl>
  </w:abstractNum>
  <w:abstractNum w:abstractNumId="198">
    <w:nsid w:val="6863E8D2"/>
    <w:multiLevelType w:val="hybridMultilevel"/>
    <w:lvl w:ilvl="0">
      <w:lvlJc w:val="left"/>
      <w:lvlText w:val="•"/>
      <w:numFmt w:val="bullet"/>
      <w:start w:val="1"/>
    </w:lvl>
  </w:abstractNum>
  <w:abstractNum w:abstractNumId="199">
    <w:nsid w:val="76896198"/>
    <w:multiLevelType w:val="hybridMultilevel"/>
    <w:lvl w:ilvl="0">
      <w:lvlJc w:val="left"/>
      <w:lvlText w:val="•"/>
      <w:numFmt w:val="bullet"/>
      <w:start w:val="1"/>
    </w:lvl>
  </w:abstractNum>
  <w:abstractNum w:abstractNumId="200">
    <w:nsid w:val="4365174B"/>
    <w:multiLevelType w:val="hybridMultilevel"/>
    <w:lvl w:ilvl="0">
      <w:lvlJc w:val="left"/>
      <w:lvlText w:val="•"/>
      <w:numFmt w:val="bullet"/>
      <w:start w:val="1"/>
    </w:lvl>
  </w:abstractNum>
  <w:abstractNum w:abstractNumId="201">
    <w:nsid w:val="4A872C35"/>
    <w:multiLevelType w:val="hybridMultilevel"/>
    <w:lvl w:ilvl="0">
      <w:lvlJc w:val="left"/>
      <w:lvlText w:val="(%1)"/>
      <w:numFmt w:val="lowerRoman"/>
      <w:start w:val="1"/>
    </w:lvl>
  </w:abstractNum>
  <w:abstractNum w:abstractNumId="202">
    <w:nsid w:val="5D5CE761"/>
    <w:multiLevelType w:val="hybridMultilevel"/>
    <w:lvl w:ilvl="0">
      <w:lvlJc w:val="left"/>
      <w:lvlText w:val="•"/>
      <w:numFmt w:val="bullet"/>
      <w:start w:val="1"/>
    </w:lvl>
  </w:abstractNum>
  <w:abstractNum w:abstractNumId="203">
    <w:nsid w:val="1CD484D5"/>
    <w:multiLevelType w:val="hybridMultilevel"/>
    <w:lvl w:ilvl="0">
      <w:lvlJc w:val="left"/>
      <w:lvlText w:val="•"/>
      <w:numFmt w:val="bullet"/>
      <w:start w:val="1"/>
    </w:lvl>
  </w:abstractNum>
  <w:abstractNum w:abstractNumId="204">
    <w:nsid w:val="21D06255"/>
    <w:multiLevelType w:val="hybridMultilevel"/>
    <w:lvl w:ilvl="0">
      <w:lvlJc w:val="left"/>
      <w:lvlText w:val="(%1)"/>
      <w:numFmt w:val="decimal"/>
      <w:start w:val="1"/>
    </w:lvl>
  </w:abstractNum>
  <w:abstractNum w:abstractNumId="205">
    <w:nsid w:val="51194ED1"/>
    <w:multiLevelType w:val="hybridMultilevel"/>
    <w:lvl w:ilvl="0">
      <w:lvlJc w:val="left"/>
      <w:lvlText w:val="(%1)"/>
      <w:numFmt w:val="lowerRoman"/>
      <w:start w:val="1"/>
    </w:lvl>
  </w:abstractNum>
  <w:abstractNum w:abstractNumId="206">
    <w:nsid w:val="44E2ED6C"/>
    <w:multiLevelType w:val="hybridMultilevel"/>
    <w:lvl w:ilvl="0">
      <w:lvlJc w:val="left"/>
      <w:lvlText w:val="(%1)"/>
      <w:numFmt w:val="lowerRoman"/>
      <w:start w:val="2"/>
    </w:lvl>
  </w:abstractNum>
  <w:abstractNum w:abstractNumId="207">
    <w:nsid w:val="2219B33"/>
    <w:multiLevelType w:val="hybridMultilevel"/>
    <w:lvl w:ilvl="0">
      <w:lvlJc w:val="left"/>
      <w:lvlText w:val="•"/>
      <w:numFmt w:val="bullet"/>
      <w:start w:val="1"/>
    </w:lvl>
  </w:abstractNum>
  <w:abstractNum w:abstractNumId="208">
    <w:nsid w:val="773BFBDD"/>
    <w:multiLevelType w:val="hybridMultilevel"/>
    <w:lvl w:ilvl="0">
      <w:lvlJc w:val="left"/>
      <w:lvlText w:val="•"/>
      <w:numFmt w:val="bullet"/>
      <w:start w:val="1"/>
    </w:lvl>
  </w:abstractNum>
  <w:abstractNum w:abstractNumId="209">
    <w:nsid w:val="2C7C62C2"/>
    <w:multiLevelType w:val="hybridMultilevel"/>
    <w:lvl w:ilvl="0">
      <w:lvlJc w:val="left"/>
      <w:lvlText w:val="•"/>
      <w:numFmt w:val="bullet"/>
      <w:start w:val="1"/>
    </w:lvl>
  </w:abstractNum>
  <w:abstractNum w:abstractNumId="210">
    <w:nsid w:val="1A54D7BC"/>
    <w:multiLevelType w:val="hybridMultilevel"/>
    <w:lvl w:ilvl="0">
      <w:lvlJc w:val="left"/>
      <w:lvlText w:val="•"/>
      <w:numFmt w:val="bullet"/>
      <w:start w:val="1"/>
    </w:lvl>
  </w:abstractNum>
  <w:abstractNum w:abstractNumId="211">
    <w:nsid w:val="42E57EF7"/>
    <w:multiLevelType w:val="hybridMultilevel"/>
    <w:lvl w:ilvl="0">
      <w:lvlJc w:val="left"/>
      <w:lvlText w:val="(%1)"/>
      <w:numFmt w:val="lowerLetter"/>
      <w:start w:val="1"/>
    </w:lvl>
  </w:abstractNum>
  <w:abstractNum w:abstractNumId="212">
    <w:nsid w:val="33537CED"/>
    <w:multiLevelType w:val="hybridMultilevel"/>
    <w:lvl w:ilvl="0">
      <w:lvlJc w:val="left"/>
      <w:lvlText w:val="(%1)"/>
      <w:numFmt w:val="lowerRoman"/>
      <w:start w:val="1"/>
    </w:lvl>
  </w:abstractNum>
  <w:abstractNum w:abstractNumId="213">
    <w:nsid w:val="27514ADE"/>
    <w:multiLevelType w:val="hybridMultilevel"/>
    <w:lvl w:ilvl="0">
      <w:lvlJc w:val="left"/>
      <w:lvlText w:val="(%1)"/>
      <w:numFmt w:val="lowerRoman"/>
      <w:start w:val="2"/>
    </w:lvl>
  </w:abstractNum>
  <w:abstractNum w:abstractNumId="214">
    <w:nsid w:val="57071613"/>
    <w:multiLevelType w:val="hybridMultilevel"/>
    <w:lvl w:ilvl="0">
      <w:lvlJc w:val="left"/>
      <w:lvlText w:val="(%1)"/>
      <w:numFmt w:val="lowerRoman"/>
      <w:start w:val="2"/>
    </w:lvl>
  </w:abstractNum>
  <w:abstractNum w:abstractNumId="215">
    <w:nsid w:val="5293BFEF"/>
    <w:multiLevelType w:val="hybridMultilevel"/>
    <w:lvl w:ilvl="0">
      <w:lvlJc w:val="left"/>
      <w:lvlText w:val="$"/>
      <w:numFmt w:val="bullet"/>
      <w:start w:val="1"/>
    </w:lvl>
  </w:abstractNum>
  <w:abstractNum w:abstractNumId="216">
    <w:nsid w:val="38BF53E5"/>
    <w:multiLevelType w:val="hybridMultilevel"/>
    <w:lvl w:ilvl="0">
      <w:lvlJc w:val="left"/>
      <w:lvlText w:val="•"/>
      <w:numFmt w:val="bullet"/>
      <w:start w:val="1"/>
    </w:lvl>
  </w:abstractNum>
  <w:abstractNum w:abstractNumId="217">
    <w:nsid w:val="226F5320"/>
    <w:multiLevelType w:val="hybridMultilevel"/>
    <w:lvl w:ilvl="0">
      <w:lvlJc w:val="left"/>
      <w:lvlText w:val="*"/>
      <w:numFmt w:val="bullet"/>
      <w:start w:val="1"/>
    </w:lvl>
  </w:abstractNum>
  <w:abstractNum w:abstractNumId="218">
    <w:nsid w:val="5A0201C7"/>
    <w:multiLevelType w:val="hybridMultilevel"/>
    <w:lvl w:ilvl="0">
      <w:lvlJc w:val="left"/>
      <w:lvlText w:val="(%1)"/>
      <w:numFmt w:val="decimal"/>
      <w:start w:val="1"/>
    </w:lvl>
  </w:abstractNum>
  <w:abstractNum w:abstractNumId="219">
    <w:nsid w:val="2A9C34E2"/>
    <w:multiLevelType w:val="hybridMultilevel"/>
    <w:lvl w:ilvl="0">
      <w:lvlJc w:val="left"/>
      <w:lvlText w:val="(%1)"/>
      <w:numFmt w:val="decimal"/>
      <w:start w:val="2"/>
    </w:lvl>
  </w:abstractNum>
  <w:abstractNum w:abstractNumId="220">
    <w:nsid w:val="1B7585AB"/>
    <w:multiLevelType w:val="hybridMultilevel"/>
    <w:lvl w:ilvl="0">
      <w:lvlJc w:val="left"/>
      <w:lvlText w:val="•"/>
      <w:numFmt w:val="bullet"/>
      <w:start w:val="1"/>
    </w:lvl>
  </w:abstractNum>
  <w:abstractNum w:abstractNumId="221">
    <w:nsid w:val="612DBDDD"/>
    <w:multiLevelType w:val="hybridMultilevel"/>
    <w:lvl w:ilvl="0">
      <w:lvlJc w:val="left"/>
      <w:lvlText w:val="(%1)"/>
      <w:numFmt w:val="decimal"/>
      <w:start w:val="1"/>
    </w:lvl>
  </w:abstractNum>
  <w:abstractNum w:abstractNumId="222">
    <w:nsid w:val="2109CDA4"/>
    <w:multiLevelType w:val="hybridMultilevel"/>
    <w:lvl w:ilvl="0">
      <w:lvlJc w:val="left"/>
      <w:lvlText w:val="(%1)"/>
      <w:numFmt w:val="decimal"/>
      <w:start w:val="1"/>
    </w:lvl>
  </w:abstractNum>
  <w:abstractNum w:abstractNumId="223">
    <w:nsid w:val="577F5A4D"/>
    <w:multiLevelType w:val="hybridMultilevel"/>
    <w:lvl w:ilvl="0">
      <w:lvlJc w:val="left"/>
      <w:lvlText w:val="•"/>
      <w:numFmt w:val="bullet"/>
      <w:start w:val="1"/>
    </w:lvl>
  </w:abstractNum>
  <w:abstractNum w:abstractNumId="224">
    <w:nsid w:val="2121A81"/>
    <w:multiLevelType w:val="hybridMultilevel"/>
    <w:lvl w:ilvl="0">
      <w:lvlJc w:val="left"/>
      <w:lvlText w:val="(%1)"/>
      <w:numFmt w:val="lowerLetter"/>
      <w:start w:val="1"/>
    </w:lvl>
  </w:abstractNum>
  <w:abstractNum w:abstractNumId="225">
    <w:nsid w:val="6C2CFC88"/>
    <w:multiLevelType w:val="hybridMultilevel"/>
    <w:lvl w:ilvl="0">
      <w:lvlJc w:val="left"/>
      <w:lvlText w:val="(%1)"/>
      <w:numFmt w:val="decimal"/>
      <w:start w:val="1"/>
    </w:lvl>
  </w:abstractNum>
  <w:abstractNum w:abstractNumId="226">
    <w:nsid w:val="6D1BCF1C"/>
    <w:multiLevelType w:val="hybridMultilevel"/>
    <w:lvl w:ilvl="0">
      <w:lvlJc w:val="left"/>
      <w:lvlText w:val="(%1)"/>
      <w:numFmt w:val="decimal"/>
      <w:start w:val="1"/>
    </w:lvl>
  </w:abstractNum>
  <w:abstractNum w:abstractNumId="227">
    <w:nsid w:val="4CE5CA53"/>
    <w:multiLevelType w:val="hybridMultilevel"/>
    <w:lvl w:ilvl="0">
      <w:lvlJc w:val="left"/>
      <w:lvlText w:val="(%1)"/>
      <w:numFmt w:val="decimal"/>
      <w:start w:val="1"/>
    </w:lvl>
  </w:abstractNum>
  <w:abstractNum w:abstractNumId="228">
    <w:nsid w:val="29262D1A"/>
    <w:multiLevelType w:val="hybridMultilevel"/>
    <w:lvl w:ilvl="0">
      <w:lvlJc w:val="left"/>
      <w:lvlText w:val="$"/>
      <w:numFmt w:val="bullet"/>
      <w:start w:val="1"/>
    </w:lvl>
  </w:abstractNum>
  <w:abstractNum w:abstractNumId="229">
    <w:nsid w:val="557FB7EE"/>
    <w:multiLevelType w:val="hybridMultilevel"/>
    <w:lvl w:ilvl="0">
      <w:lvlJc w:val="left"/>
      <w:lvlText w:val="(%1)"/>
      <w:numFmt w:val="lowerRoman"/>
      <w:start w:val="2"/>
    </w:lvl>
  </w:abstractNum>
  <w:abstractNum w:abstractNumId="230">
    <w:nsid w:val="436F2BEB"/>
    <w:multiLevelType w:val="hybridMultilevel"/>
    <w:lvl w:ilvl="0">
      <w:lvlJc w:val="left"/>
      <w:lvlText w:val="(%1)"/>
      <w:numFmt w:val="lowerRoman"/>
      <w:start w:val="2"/>
    </w:lvl>
  </w:abstractNum>
  <w:abstractNum w:abstractNumId="231">
    <w:nsid w:val="6C8B4466"/>
    <w:multiLevelType w:val="hybridMultilevel"/>
    <w:lvl w:ilvl="0">
      <w:lvlJc w:val="left"/>
      <w:lvlText w:val="(%1)"/>
      <w:numFmt w:val="lowerRoman"/>
      <w:start w:val="2"/>
    </w:lvl>
  </w:abstractNum>
  <w:abstractNum w:abstractNumId="232">
    <w:nsid w:val="2006E424"/>
    <w:multiLevelType w:val="hybridMultilevel"/>
    <w:lvl w:ilvl="0">
      <w:lvlJc w:val="left"/>
      <w:lvlText w:val="(%1)"/>
      <w:numFmt w:val="lowerRoman"/>
      <w:start w:val="2"/>
    </w:lvl>
  </w:abstractNum>
  <w:abstractNum w:abstractNumId="233">
    <w:nsid w:val="20CC134C"/>
    <w:multiLevelType w:val="hybridMultilevel"/>
    <w:lvl w:ilvl="0">
      <w:lvlJc w:val="left"/>
      <w:lvlText w:val="(%1)"/>
      <w:numFmt w:val="lowerRoman"/>
      <w:start w:val="2"/>
    </w:lvl>
  </w:abstractNum>
  <w:abstractNum w:abstractNumId="234">
    <w:nsid w:val="95FC93B"/>
    <w:multiLevelType w:val="hybridMultilevel"/>
    <w:lvl w:ilvl="0">
      <w:lvlJc w:val="left"/>
      <w:lvlText w:val="(%1)"/>
      <w:numFmt w:val="lowerLetter"/>
      <w:start w:val="2"/>
    </w:lvl>
  </w:abstractNum>
  <w:abstractNum w:abstractNumId="235">
    <w:nsid w:val="41D74679"/>
    <w:multiLevelType w:val="hybridMultilevel"/>
    <w:lvl w:ilvl="0">
      <w:lvlJc w:val="left"/>
      <w:lvlText w:val="(%1)"/>
      <w:numFmt w:val="lowerLetter"/>
      <w:start w:val="6"/>
    </w:lvl>
  </w:abstractNum>
  <w:abstractNum w:abstractNumId="236">
    <w:nsid w:val="71E5621E"/>
    <w:multiLevelType w:val="hybridMultilevel"/>
    <w:lvl w:ilvl="0">
      <w:lvlJc w:val="left"/>
      <w:lvlText w:val="(%1)"/>
      <w:numFmt w:val="lowerLetter"/>
      <w:start w:val="1"/>
    </w:lvl>
  </w:abstractNum>
  <w:abstractNum w:abstractNumId="237">
    <w:nsid w:val="4E42B6A8"/>
    <w:multiLevelType w:val="hybridMultilevel"/>
    <w:lvl w:ilvl="0">
      <w:lvlJc w:val="left"/>
      <w:lvlText w:val="(%1)"/>
      <w:numFmt w:val="lowerLetter"/>
      <w:start w:val="1"/>
    </w:lvl>
  </w:abstractNum>
  <w:abstractNum w:abstractNumId="238">
    <w:nsid w:val="43F8E1AC"/>
    <w:multiLevelType w:val="hybridMultilevel"/>
    <w:lvl w:ilvl="0">
      <w:lvlJc w:val="left"/>
      <w:lvlText w:val="%1"/>
      <w:numFmt w:val="upperLetter"/>
      <w:start w:val="1"/>
    </w:lvl>
    <w:lvl w:ilvl="1">
      <w:lvlJc w:val="left"/>
      <w:lvlText w:val="(%2)"/>
      <w:numFmt w:val="lowerLetter"/>
      <w:start w:val="1"/>
    </w:lvl>
  </w:abstractNum>
  <w:abstractNum w:abstractNumId="239">
    <w:nsid w:val="69215DFB"/>
    <w:multiLevelType w:val="hybridMultilevel"/>
    <w:lvl w:ilvl="0">
      <w:lvlJc w:val="left"/>
      <w:lvlText w:val="(%1)"/>
      <w:numFmt w:val="upperLetter"/>
      <w:start w:val="2"/>
    </w:lvl>
    <w:lvl w:ilvl="1">
      <w:lvlJc w:val="left"/>
      <w:lvlText w:val="(%2)"/>
      <w:numFmt w:val="lowerLetter"/>
      <w:start w:val="3"/>
    </w:lvl>
  </w:abstractNum>
  <w:abstractNum w:abstractNumId="240">
    <w:nsid w:val="7ABF196A"/>
    <w:multiLevelType w:val="hybridMultilevel"/>
    <w:lvl w:ilvl="0">
      <w:lvlJc w:val="left"/>
      <w:lvlText w:val="(%1)"/>
      <w:numFmt w:val="lowerLetter"/>
      <w:start w:val="6"/>
    </w:lvl>
  </w:abstractNum>
  <w:abstractNum w:abstractNumId="241">
    <w:nsid w:val="5E4DB968"/>
    <w:multiLevelType w:val="hybridMultilevel"/>
    <w:lvl w:ilvl="0">
      <w:lvlJc w:val="left"/>
      <w:lvlText w:val="(%1)"/>
      <w:numFmt w:val="lowerLetter"/>
      <w:start w:val="1"/>
    </w:lvl>
  </w:abstractNum>
  <w:abstractNum w:abstractNumId="242">
    <w:nsid w:val="2C06DCF3"/>
    <w:multiLevelType w:val="hybridMultilevel"/>
    <w:lvl w:ilvl="0">
      <w:lvlJc w:val="left"/>
      <w:lvlText w:val="(%1)"/>
      <w:numFmt w:val="lowerLetter"/>
      <w:start w:val="1"/>
    </w:lvl>
  </w:abstractNum>
  <w:abstractNum w:abstractNumId="243">
    <w:nsid w:val="2E129658"/>
    <w:multiLevelType w:val="hybridMultilevel"/>
    <w:lvl w:ilvl="0">
      <w:lvlJc w:val="left"/>
      <w:lvlText w:val="%1"/>
      <w:numFmt w:val="lowerRoman"/>
      <w:start w:val="1"/>
    </w:lvl>
    <w:lvl w:ilvl="1">
      <w:lvlJc w:val="left"/>
      <w:lvlText w:val="(%2)"/>
      <w:numFmt w:val="lowerLetter"/>
      <w:start w:val="1"/>
    </w:lvl>
  </w:abstractNum>
  <w:abstractNum w:abstractNumId="244">
    <w:nsid w:val="59F0446"/>
    <w:multiLevelType w:val="hybridMultilevel"/>
    <w:lvl w:ilvl="0">
      <w:lvlJc w:val="left"/>
      <w:lvlText w:val="(%1)"/>
      <w:numFmt w:val="lowerRoman"/>
      <w:start w:val="2"/>
    </w:lvl>
    <w:lvl w:ilvl="1">
      <w:lvlJc w:val="left"/>
      <w:lvlText w:val="%2"/>
      <w:numFmt w:val="lowerLetter"/>
      <w:start w:val="1"/>
    </w:lvl>
  </w:abstractNum>
  <w:abstractNum w:abstractNumId="245">
    <w:nsid w:val="30DF306"/>
    <w:multiLevelType w:val="hybridMultilevel"/>
    <w:lvl w:ilvl="0">
      <w:lvlJc w:val="left"/>
      <w:lvlText w:val="(%1)"/>
      <w:numFmt w:val="lowerLetter"/>
      <w:start w:val="1"/>
    </w:lvl>
  </w:abstractNum>
  <w:abstractNum w:abstractNumId="246">
    <w:nsid w:val="A65647"/>
    <w:multiLevelType w:val="hybridMultilevel"/>
    <w:lvl w:ilvl="0">
      <w:lvlJc w:val="left"/>
      <w:lvlText w:val="(%1)"/>
      <w:numFmt w:val="lowerLetter"/>
      <w:start w:val="1"/>
    </w:lvl>
    <w:lvl w:ilvl="1">
      <w:lvlJc w:val="left"/>
      <w:lvlText w:val="(%2)"/>
      <w:numFmt w:val="lowerRoman"/>
      <w:start w:val="1"/>
    </w:lvl>
  </w:abstractNum>
  <w:abstractNum w:abstractNumId="247">
    <w:nsid w:val="3E5E582B"/>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Roman"/>
      <w:start w:val="7"/>
    </w:lvl>
  </w:abstractNum>
  <w:abstractNum w:abstractNumId="248">
    <w:nsid w:val="257D4626"/>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3"/>
    </w:lvl>
    <w:lvl w:ilvl="3">
      <w:lvlJc w:val="left"/>
      <w:lvlText w:val="%4"/>
      <w:numFmt w:val="lowerRoman"/>
      <w:start w:val="1"/>
    </w:lvl>
  </w:abstractNum>
  <w:abstractNum w:abstractNumId="249">
    <w:nsid w:val="5AA8580E"/>
    <w:multiLevelType w:val="hybridMultilevel"/>
    <w:lvl w:ilvl="0">
      <w:lvlJc w:val="left"/>
      <w:lvlText w:val="%1"/>
      <w:numFmt w:val="lowerLetter"/>
      <w:start w:val="1"/>
    </w:lvl>
    <w:lvl w:ilvl="1">
      <w:lvlJc w:val="left"/>
      <w:lvlText w:val="(%2)"/>
      <w:numFmt w:val="lowerLetter"/>
      <w:start w:val="1"/>
    </w:lvl>
  </w:abstractNum>
  <w:abstractNum w:abstractNumId="250">
    <w:nsid w:val="68FA8D0D"/>
    <w:multiLevelType w:val="hybridMultilevel"/>
    <w:lvl w:ilvl="0">
      <w:lvlJc w:val="left"/>
      <w:lvlText w:val="(%1)"/>
      <w:numFmt w:val="lowerLetter"/>
      <w:start w:val="35"/>
    </w:lvl>
    <w:lvl w:ilvl="1">
      <w:lvlJc w:val="left"/>
      <w:lvlText w:val="(%2)"/>
      <w:numFmt w:val="lowerLetter"/>
      <w:start w:val="2"/>
    </w:lvl>
  </w:abstractNum>
  <w:abstractNum w:abstractNumId="251">
    <w:nsid w:val="40F2CBD2"/>
    <w:multiLevelType w:val="hybridMultilevel"/>
    <w:lvl w:ilvl="0">
      <w:lvlJc w:val="left"/>
      <w:lvlText w:val="(%1)"/>
      <w:numFmt w:val="lowerLetter"/>
      <w:start w:val="1"/>
    </w:lvl>
  </w:abstractNum>
  <w:abstractNum w:abstractNumId="252">
    <w:nsid w:val="3BD615EB"/>
    <w:multiLevelType w:val="hybridMultilevel"/>
    <w:lvl w:ilvl="0">
      <w:lvlJc w:val="left"/>
      <w:lvlText w:val="(%1)"/>
      <w:numFmt w:val="lowerLetter"/>
      <w:start w:val="3"/>
    </w:lvl>
  </w:abstractNum>
  <w:abstractNum w:abstractNumId="253">
    <w:nsid w:val="A045AB2"/>
    <w:multiLevelType w:val="hybridMultilevel"/>
    <w:lvl w:ilvl="0">
      <w:lvlJc w:val="left"/>
      <w:lvlText w:val="(%1)"/>
      <w:numFmt w:val="lowerLetter"/>
      <w:start w:val="8"/>
    </w:lvl>
  </w:abstractNum>
  <w:abstractNum w:abstractNumId="254">
    <w:nsid w:val="1872261F"/>
    <w:multiLevelType w:val="hybridMultilevel"/>
    <w:lvl w:ilvl="0">
      <w:lvlJc w:val="left"/>
      <w:lvlText w:val="(%1)"/>
      <w:numFmt w:val="lowerLetter"/>
      <w:start w:val="1"/>
    </w:lvl>
  </w:abstractNum>
  <w:abstractNum w:abstractNumId="255">
    <w:nsid w:val="3DE8306C"/>
    <w:multiLevelType w:val="hybridMultilevel"/>
    <w:lvl w:ilvl="0">
      <w:lvlJc w:val="left"/>
      <w:lvlText w:val="%1"/>
      <w:numFmt w:val="lowerLetter"/>
      <w:start w:val="1"/>
    </w:lvl>
    <w:lvl w:ilvl="1">
      <w:lvlJc w:val="left"/>
      <w:lvlText w:val="(%2)"/>
      <w:numFmt w:val="lowerLetter"/>
      <w:start w:val="3"/>
    </w:lvl>
  </w:abstractNum>
  <w:abstractNum w:abstractNumId="256">
    <w:nsid w:val="7631573A"/>
    <w:multiLevelType w:val="hybridMultilevel"/>
    <w:lvl w:ilvl="0">
      <w:lvlJc w:val="left"/>
      <w:lvlText w:val="(%1)"/>
      <w:numFmt w:val="lowerLetter"/>
      <w:start w:val="9"/>
    </w:lvl>
    <w:lvl w:ilvl="1">
      <w:lvlJc w:val="left"/>
      <w:lvlText w:val="(%2)"/>
      <w:numFmt w:val="lowerLetter"/>
      <w:start w:val="4"/>
    </w:lvl>
  </w:abstractNum>
  <w:abstractNum w:abstractNumId="257">
    <w:nsid w:val="58DF53B"/>
    <w:multiLevelType w:val="hybridMultilevel"/>
    <w:lvl w:ilvl="0">
      <w:lvlJc w:val="left"/>
      <w:lvlText w:val="(%1)"/>
      <w:numFmt w:val="lowerLetter"/>
      <w:start w:val="9"/>
    </w:lvl>
    <w:lvl w:ilvl="1">
      <w:lvlJc w:val="left"/>
      <w:lvlText w:val="%2"/>
      <w:numFmt w:val="lowerLetter"/>
      <w:start w:val="1"/>
    </w:lvl>
  </w:abstractNum>
  <w:abstractNum w:abstractNumId="258">
    <w:nsid w:val="ACDFAC0"/>
    <w:multiLevelType w:val="hybridMultilevel"/>
    <w:lvl w:ilvl="0">
      <w:lvlJc w:val="left"/>
      <w:lvlText w:val="(%1)"/>
      <w:numFmt w:val="lowerLetter"/>
      <w:start w:val="1"/>
    </w:lvl>
  </w:abstractNum>
  <w:abstractNum w:abstractNumId="259">
    <w:nsid w:val="1F578454"/>
    <w:multiLevelType w:val="hybridMultilevel"/>
    <w:lvl w:ilvl="0">
      <w:lvlJc w:val="left"/>
      <w:lvlText w:val="(%1)"/>
      <w:numFmt w:val="lowerLetter"/>
      <w:start w:val="1"/>
    </w:lvl>
  </w:abstractNum>
  <w:abstractNum w:abstractNumId="260">
    <w:nsid w:val="5B0DAD2A"/>
    <w:multiLevelType w:val="hybridMultilevel"/>
    <w:lvl w:ilvl="0">
      <w:lvlJc w:val="left"/>
      <w:lvlText w:val="(%1)"/>
      <w:numFmt w:val="lowerLetter"/>
      <w:start w:val="2"/>
    </w:lvl>
  </w:abstractNum>
  <w:abstractNum w:abstractNumId="261">
    <w:nsid w:val="4E3D26AB"/>
    <w:multiLevelType w:val="hybridMultilevel"/>
    <w:lvl w:ilvl="0">
      <w:lvlJc w:val="left"/>
      <w:lvlText w:val="%1"/>
      <w:numFmt w:val="lowerLetter"/>
      <w:start w:val="1"/>
    </w:lvl>
    <w:lvl w:ilvl="1">
      <w:lvlJc w:val="left"/>
      <w:lvlText w:val="(%2)"/>
      <w:numFmt w:val="lowerLetter"/>
      <w:start w:val="1"/>
    </w:lvl>
  </w:abstractNum>
  <w:abstractNum w:abstractNumId="262">
    <w:nsid w:val="BE2C8BA"/>
    <w:multiLevelType w:val="hybridMultilevel"/>
    <w:lvl w:ilvl="0">
      <w:lvlJc w:val="left"/>
      <w:lvlText w:val="(%1)"/>
      <w:numFmt w:val="lowerLetter"/>
      <w:start w:val="35"/>
    </w:lvl>
    <w:lvl w:ilvl="1">
      <w:lvlJc w:val="left"/>
      <w:lvlText w:val="%2"/>
      <w:numFmt w:val="lowerLetter"/>
      <w:start w:val="1"/>
    </w:lvl>
  </w:abstractNum>
  <w:abstractNum w:abstractNumId="263">
    <w:nsid w:val="7B14914E"/>
    <w:multiLevelType w:val="hybridMultilevel"/>
    <w:lvl w:ilvl="0">
      <w:lvlJc w:val="left"/>
      <w:lvlText w:val="%1"/>
      <w:numFmt w:val="lowerLetter"/>
      <w:start w:val="1"/>
    </w:lvl>
    <w:lvl w:ilvl="1">
      <w:lvlJc w:val="left"/>
      <w:lvlText w:val="(%2)"/>
      <w:numFmt w:val="lowerLetter"/>
      <w:start w:val="3"/>
    </w:lvl>
  </w:abstractNum>
  <w:abstractNum w:abstractNumId="264">
    <w:nsid w:val="6F0939F8"/>
    <w:multiLevelType w:val="hybridMultilevel"/>
    <w:lvl w:ilvl="0">
      <w:lvlJc w:val="left"/>
      <w:lvlText w:val="(%1)"/>
      <w:numFmt w:val="lowerLetter"/>
      <w:start w:val="61"/>
    </w:lvl>
    <w:lvl w:ilvl="1">
      <w:lvlJc w:val="left"/>
      <w:lvlText w:val="(%2)"/>
      <w:numFmt w:val="lowerLetter"/>
      <w:start w:val="8"/>
    </w:lvl>
  </w:abstractNum>
  <w:abstractNum w:abstractNumId="265">
    <w:nsid w:val="154291F6"/>
    <w:multiLevelType w:val="hybridMultilevel"/>
    <w:lvl w:ilvl="0">
      <w:lvlJc w:val="left"/>
      <w:lvlText w:val="(%1)"/>
      <w:numFmt w:val="lowerLetter"/>
      <w:start w:val="1"/>
    </w:lvl>
  </w:abstractNum>
  <w:abstractNum w:abstractNumId="266">
    <w:nsid w:val="3CEBD7C7"/>
    <w:multiLevelType w:val="hybridMultilevel"/>
    <w:lvl w:ilvl="0">
      <w:lvlJc w:val="left"/>
      <w:lvlText w:val="%1"/>
      <w:numFmt w:val="lowerLetter"/>
      <w:start w:val="1"/>
    </w:lvl>
    <w:lvl w:ilvl="1">
      <w:lvlJc w:val="left"/>
      <w:lvlText w:val="(%2)"/>
      <w:numFmt w:val="lowerLetter"/>
      <w:start w:val="1"/>
    </w:lvl>
  </w:abstractNum>
  <w:abstractNum w:abstractNumId="267">
    <w:nsid w:val="60EE9C16"/>
    <w:multiLevelType w:val="hybridMultilevel"/>
    <w:lvl w:ilvl="0">
      <w:lvlJc w:val="left"/>
      <w:lvlText w:val="(%1)"/>
      <w:numFmt w:val="lowerLetter"/>
      <w:start w:val="61"/>
    </w:lvl>
    <w:lvl w:ilvl="1">
      <w:lvlJc w:val="left"/>
      <w:lvlText w:val="(%2)"/>
      <w:numFmt w:val="lowerLetter"/>
      <w:start w:val="2"/>
    </w:lvl>
  </w:abstractNum>
  <w:abstractNum w:abstractNumId="268">
    <w:nsid w:val="6385489E"/>
    <w:multiLevelType w:val="hybridMultilevel"/>
    <w:lvl w:ilvl="0">
      <w:lvlJc w:val="left"/>
      <w:lvlText w:val="(%1)"/>
      <w:numFmt w:val="lowerLetter"/>
      <w:start w:val="3"/>
    </w:lvl>
  </w:abstractNum>
  <w:abstractNum w:abstractNumId="269">
    <w:nsid w:val="E4B973"/>
    <w:multiLevelType w:val="hybridMultilevel"/>
    <w:lvl w:ilvl="0">
      <w:lvlJc w:val="left"/>
      <w:lvlText w:val="(%1)"/>
      <w:numFmt w:val="lowerLetter"/>
      <w:start w:val="1"/>
    </w:lvl>
  </w:abstractNum>
  <w:abstractNum w:abstractNumId="270">
    <w:nsid w:val="4A0FFA11"/>
    <w:multiLevelType w:val="hybridMultilevel"/>
    <w:lvl w:ilvl="0">
      <w:lvlJc w:val="left"/>
      <w:lvlText w:val="(%1)"/>
      <w:numFmt w:val="lowerLetter"/>
      <w:start w:val="1"/>
    </w:lvl>
  </w:abstractNum>
  <w:abstractNum w:abstractNumId="271">
    <w:nsid w:val="5E446208"/>
    <w:multiLevelType w:val="hybridMultilevel"/>
    <w:lvl w:ilvl="0">
      <w:lvlJc w:val="left"/>
      <w:lvlText w:val="(%1)"/>
      <w:numFmt w:val="lowerRoman"/>
      <w:start w:val="1"/>
    </w:lvl>
  </w:abstractNum>
  <w:abstractNum w:abstractNumId="272">
    <w:nsid w:val="5F3272DB"/>
    <w:multiLevelType w:val="hybridMultilevel"/>
    <w:lvl w:ilvl="0">
      <w:lvlJc w:val="left"/>
      <w:lvlText w:val="%1"/>
      <w:numFmt w:val="lowerRoman"/>
      <w:start w:val="1"/>
    </w:lvl>
    <w:lvl w:ilvl="1">
      <w:lvlJc w:val="left"/>
      <w:lvlText w:val="(%2)"/>
      <w:numFmt w:val="lowerLetter"/>
      <w:start w:val="1"/>
    </w:lvl>
  </w:abstractNum>
  <w:abstractNum w:abstractNumId="273">
    <w:nsid w:val="7616D704"/>
    <w:multiLevelType w:val="hybridMultilevel"/>
    <w:lvl w:ilvl="0">
      <w:lvlJc w:val="left"/>
      <w:lvlText w:val="(%1)"/>
      <w:numFmt w:val="lowerRoman"/>
      <w:start w:val="2"/>
    </w:lvl>
    <w:lvl w:ilvl="1">
      <w:lvlJc w:val="left"/>
      <w:lvlText w:val="%2"/>
      <w:numFmt w:val="lowerLetter"/>
      <w:start w:val="1"/>
    </w:lvl>
  </w:abstractNum>
  <w:abstractNum w:abstractNumId="274">
    <w:nsid w:val="C56F860"/>
    <w:multiLevelType w:val="hybridMultilevel"/>
    <w:lvl w:ilvl="0">
      <w:lvlJc w:val="left"/>
      <w:lvlText w:val="(%1)"/>
      <w:numFmt w:val="lowerRoman"/>
      <w:start w:val="8"/>
    </w:lvl>
    <w:lvl w:ilvl="1">
      <w:lvlJc w:val="left"/>
      <w:lvlText w:val="(%2)"/>
      <w:numFmt w:val="lowerLetter"/>
      <w:start w:val="2"/>
    </w:lvl>
  </w:abstractNum>
  <w:abstractNum w:abstractNumId="275">
    <w:nsid w:val="64D17722"/>
    <w:multiLevelType w:val="hybridMultilevel"/>
    <w:lvl w:ilvl="0">
      <w:lvlJc w:val="left"/>
      <w:lvlText w:val="%1"/>
      <w:numFmt w:val="lowerLetter"/>
      <w:start w:val="1"/>
    </w:lvl>
    <w:lvl w:ilvl="1">
      <w:lvlJc w:val="left"/>
      <w:lvlText w:val="(%2)"/>
      <w:numFmt w:val="lowerLetter"/>
      <w:start w:val="3"/>
    </w:lvl>
  </w:abstractNum>
  <w:abstractNum w:abstractNumId="276">
    <w:nsid w:val="7924CA0A"/>
    <w:multiLevelType w:val="hybridMultilevel"/>
    <w:lvl w:ilvl="0">
      <w:lvlJc w:val="left"/>
      <w:lvlText w:val="(%1)"/>
      <w:numFmt w:val="lowerLetter"/>
      <w:start w:val="35"/>
    </w:lvl>
    <w:lvl w:ilvl="1">
      <w:lvlJc w:val="left"/>
      <w:lvlText w:val="(%2)"/>
      <w:numFmt w:val="lowerLetter"/>
      <w:start w:val="4"/>
    </w:lvl>
  </w:abstractNum>
  <w:abstractNum w:abstractNumId="277">
    <w:nsid w:val="CFD4EA7"/>
    <w:multiLevelType w:val="hybridMultilevel"/>
    <w:lvl w:ilvl="0">
      <w:lvlJc w:val="left"/>
      <w:lvlText w:val="(%1)"/>
      <w:numFmt w:val="lowerLetter"/>
      <w:start w:val="1"/>
    </w:lvl>
    <w:lvl w:ilvl="1">
      <w:lvlJc w:val="left"/>
      <w:lvlText w:val="(%2)"/>
      <w:numFmt w:val="lowerRoman"/>
      <w:start w:val="1"/>
    </w:lvl>
  </w:abstractNum>
  <w:abstractNum w:abstractNumId="278">
    <w:nsid w:val="232FCF4D"/>
    <w:multiLevelType w:val="hybridMultilevel"/>
    <w:lvl w:ilvl="0">
      <w:lvlJc w:val="left"/>
      <w:lvlText w:val="%1"/>
      <w:numFmt w:val="decimal"/>
      <w:start w:val="1"/>
    </w:lvl>
    <w:lvl w:ilvl="1">
      <w:lvlJc w:val="left"/>
      <w:lvlText w:val="(%2)"/>
      <w:numFmt w:val="lowerRoman"/>
      <w:start w:val="5"/>
    </w:lvl>
  </w:abstractNum>
  <w:abstractNum w:abstractNumId="279">
    <w:nsid w:val="1EA21031"/>
    <w:multiLevelType w:val="hybridMultilevel"/>
    <w:lvl w:ilvl="0">
      <w:lvlJc w:val="left"/>
      <w:lvlText w:val="(%1)"/>
      <w:numFmt w:val="decimal"/>
      <w:start w:val="2"/>
    </w:lvl>
    <w:lvl w:ilvl="1">
      <w:lvlJc w:val="left"/>
      <w:lvlText w:val="(%2)"/>
      <w:numFmt w:val="lowerRoman"/>
      <w:start w:val="8"/>
    </w:lvl>
  </w:abstractNum>
  <w:abstractNum w:abstractNumId="280">
    <w:nsid w:val="67A5A6B5"/>
    <w:multiLevelType w:val="hybridMultilevel"/>
    <w:lvl w:ilvl="0">
      <w:lvlJc w:val="left"/>
      <w:lvlText w:val="(%1)"/>
      <w:numFmt w:val="lowerRoman"/>
      <w:start w:val="19"/>
    </w:lvl>
  </w:abstractNum>
  <w:abstractNum w:abstractNumId="281">
    <w:nsid w:val="C2A5C5B"/>
    <w:multiLevelType w:val="hybridMultilevel"/>
    <w:lvl w:ilvl="0">
      <w:lvlJc w:val="left"/>
      <w:lvlText w:val="(%1)"/>
      <w:numFmt w:val="lowerLetter"/>
      <w:start w:val="1"/>
    </w:lvl>
  </w:abstractNum>
  <w:abstractNum w:abstractNumId="282">
    <w:nsid w:val="5F94DC03"/>
    <w:multiLevelType w:val="hybridMultilevel"/>
    <w:lvl w:ilvl="0">
      <w:lvlJc w:val="left"/>
      <w:lvlText w:val="(%1)"/>
      <w:numFmt w:val="lowerLetter"/>
      <w:start w:val="1"/>
    </w:lvl>
  </w:abstractNum>
  <w:abstractNum w:abstractNumId="283">
    <w:nsid w:val="237BBCA0"/>
    <w:multiLevelType w:val="hybridMultilevel"/>
    <w:lvl w:ilvl="0">
      <w:lvlJc w:val="left"/>
      <w:lvlText w:val="%1"/>
      <w:numFmt w:val="lowerLetter"/>
      <w:start w:val="1"/>
    </w:lvl>
    <w:lvl w:ilvl="1">
      <w:lvlJc w:val="left"/>
      <w:lvlText w:val="(%2)"/>
      <w:numFmt w:val="lowerLetter"/>
      <w:start w:val="1"/>
    </w:lvl>
  </w:abstractNum>
  <w:abstractNum w:abstractNumId="284">
    <w:nsid w:val="162EB70D"/>
    <w:multiLevelType w:val="hybridMultilevel"/>
    <w:lvl w:ilvl="0">
      <w:lvlJc w:val="left"/>
      <w:lvlText w:val="(%1)"/>
      <w:numFmt w:val="lowerLetter"/>
      <w:start w:val="35"/>
    </w:lvl>
    <w:lvl w:ilvl="1">
      <w:lvlJc w:val="left"/>
      <w:lvlText w:val="%2"/>
      <w:numFmt w:val="lowerLetter"/>
      <w:start w:val="1"/>
    </w:lvl>
  </w:abstractNum>
  <w:abstractNum w:abstractNumId="285">
    <w:nsid w:val="78070222"/>
    <w:multiLevelType w:val="hybridMultilevel"/>
    <w:lvl w:ilvl="0">
      <w:lvlJc w:val="left"/>
      <w:lvlText w:val="%1"/>
      <w:numFmt w:val="lowerLetter"/>
      <w:start w:val="1"/>
    </w:lvl>
    <w:lvl w:ilvl="1">
      <w:lvlJc w:val="left"/>
      <w:lvlText w:val="(%2)"/>
      <w:numFmt w:val="lowerLetter"/>
      <w:start w:val="3"/>
    </w:lvl>
  </w:abstractNum>
  <w:abstractNum w:abstractNumId="286">
    <w:nsid w:val="6163ED0D"/>
    <w:multiLevelType w:val="hybridMultilevel"/>
    <w:lvl w:ilvl="0">
      <w:lvlJc w:val="left"/>
      <w:lvlText w:val="(%1)"/>
      <w:numFmt w:val="lowerLetter"/>
      <w:start w:val="9"/>
    </w:lvl>
    <w:lvl w:ilvl="1">
      <w:lvlJc w:val="left"/>
      <w:lvlText w:val="(%2)"/>
      <w:numFmt w:val="lowerLetter"/>
      <w:start w:val="6"/>
    </w:lvl>
  </w:abstractNum>
  <w:abstractNum w:abstractNumId="287">
    <w:nsid w:val="C600E47"/>
    <w:multiLevelType w:val="hybridMultilevel"/>
    <w:lvl w:ilvl="0">
      <w:lvlJc w:val="left"/>
      <w:lvlText w:val="(%1)"/>
      <w:numFmt w:val="lowerLetter"/>
      <w:start w:val="7"/>
    </w:lvl>
  </w:abstractNum>
  <w:abstractNum w:abstractNumId="288">
    <w:nsid w:val="7D94F75D"/>
    <w:multiLevelType w:val="hybridMultilevel"/>
    <w:lvl w:ilvl="0">
      <w:lvlJc w:val="left"/>
      <w:lvlText w:val="(%1)"/>
      <w:numFmt w:val="lowerLetter"/>
      <w:start w:val="2"/>
    </w:lvl>
  </w:abstractNum>
  <w:abstractNum w:abstractNumId="289">
    <w:nsid w:val="6C31E7CD"/>
    <w:multiLevelType w:val="hybridMultilevel"/>
    <w:lvl w:ilvl="0">
      <w:lvlJc w:val="left"/>
      <w:lvlText w:val="(%1)"/>
      <w:numFmt w:val="lowerLetter"/>
      <w:start w:val="1"/>
    </w:lvl>
  </w:abstractNum>
  <w:abstractNum w:abstractNumId="290">
    <w:nsid w:val="2BB7929B"/>
    <w:multiLevelType w:val="hybridMultilevel"/>
    <w:lvl w:ilvl="0">
      <w:lvlJc w:val="left"/>
      <w:lvlText w:val="(%1)"/>
      <w:numFmt w:val="lowerLetter"/>
      <w:start w:val="1"/>
    </w:lvl>
  </w:abstractNum>
  <w:abstractNum w:abstractNumId="291">
    <w:nsid w:val="58A2A487"/>
    <w:multiLevelType w:val="hybridMultilevel"/>
    <w:lvl w:ilvl="0">
      <w:lvlJc w:val="left"/>
      <w:lvlText w:val="(%1)"/>
      <w:numFmt w:val="lowerLetter"/>
      <w:start w:val="2"/>
    </w:lvl>
  </w:abstractNum>
  <w:abstractNum w:abstractNumId="292">
    <w:nsid w:val="3A6F0E78"/>
    <w:multiLevelType w:val="hybridMultilevel"/>
    <w:lvl w:ilvl="0">
      <w:lvlJc w:val="left"/>
      <w:lvlText w:val="(%1)"/>
      <w:numFmt w:val="lowerLetter"/>
      <w:start w:val="1"/>
    </w:lvl>
  </w:abstractNum>
  <w:abstractNum w:abstractNumId="293">
    <w:nsid w:val="379A5B56"/>
    <w:multiLevelType w:val="hybridMultilevel"/>
    <w:lvl w:ilvl="0">
      <w:lvlJc w:val="left"/>
      <w:lvlText w:val="(%1)"/>
      <w:numFmt w:val="lowerLetter"/>
      <w:start w:val="1"/>
    </w:lvl>
  </w:abstractNum>
  <w:abstractNum w:abstractNumId="294">
    <w:nsid w:val="53B735D5"/>
    <w:multiLevelType w:val="hybridMultilevel"/>
    <w:lvl w:ilvl="0">
      <w:lvlJc w:val="left"/>
      <w:lvlText w:val="(%1)"/>
      <w:numFmt w:val="upperLetter"/>
      <w:start w:val="1"/>
    </w:lvl>
  </w:abstractNum>
  <w:abstractNum w:abstractNumId="295">
    <w:nsid w:val="29784870"/>
    <w:multiLevelType w:val="hybridMultilevel"/>
    <w:lvl w:ilvl="0">
      <w:lvlJc w:val="left"/>
      <w:lvlText w:val="(%1)"/>
      <w:numFmt w:val="lowerLetter"/>
      <w:start w:val="1"/>
    </w:lvl>
  </w:abstractNum>
  <w:abstractNum w:abstractNumId="296">
    <w:nsid w:val="4CDCED4C"/>
    <w:multiLevelType w:val="hybridMultilevel"/>
    <w:lvl w:ilvl="0">
      <w:lvlJc w:val="left"/>
      <w:lvlText w:val="(%1)"/>
      <w:numFmt w:val="lowerLetter"/>
      <w:start w:val="1"/>
    </w:lvl>
  </w:abstractNum>
  <w:abstractNum w:abstractNumId="297">
    <w:nsid w:val="10A30D9C"/>
    <w:multiLevelType w:val="hybridMultilevel"/>
    <w:lvl w:ilvl="0">
      <w:lvlJc w:val="left"/>
      <w:lvlText w:val="(%1)"/>
      <w:numFmt w:val="lowerLetter"/>
      <w:start w:val="1"/>
    </w:lvl>
  </w:abstractNum>
  <w:abstractNum w:abstractNumId="298">
    <w:nsid w:val="A66E486"/>
    <w:multiLevelType w:val="hybridMultilevel"/>
    <w:lvl w:ilvl="0">
      <w:lvlJc w:val="left"/>
      <w:lvlText w:val="(%1)"/>
      <w:numFmt w:val="lowerLetter"/>
      <w:start w:val="1"/>
    </w:lvl>
  </w:abstractNum>
  <w:abstractNum w:abstractNumId="299">
    <w:nsid w:val="306235EA"/>
    <w:multiLevelType w:val="hybridMultilevel"/>
    <w:lvl w:ilvl="0">
      <w:lvlJc w:val="left"/>
      <w:lvlText w:val="(%1)"/>
      <w:numFmt w:val="lowerLetter"/>
      <w:start w:val="13"/>
    </w:lvl>
  </w:abstractNum>
  <w:abstractNum w:abstractNumId="300">
    <w:nsid w:val="1187C70F"/>
    <w:multiLevelType w:val="hybridMultilevel"/>
    <w:lvl w:ilvl="0">
      <w:lvlJc w:val="left"/>
      <w:lvlText w:val="(%1)"/>
      <w:numFmt w:val="lowerLetter"/>
      <w:start w:val="1"/>
    </w:lvl>
  </w:abstractNum>
  <w:abstractNum w:abstractNumId="301">
    <w:nsid w:val="5476DE98"/>
    <w:multiLevelType w:val="hybridMultilevel"/>
    <w:lvl w:ilvl="0">
      <w:lvlJc w:val="left"/>
      <w:lvlText w:val="(%1)"/>
      <w:numFmt w:val="lowerRoman"/>
      <w:start w:val="2"/>
    </w:lvl>
  </w:abstractNum>
  <w:abstractNum w:abstractNumId="302">
    <w:nsid w:val="EA697F2"/>
    <w:multiLevelType w:val="hybridMultilevel"/>
    <w:lvl w:ilvl="0">
      <w:lvlJc w:val="left"/>
      <w:lvlText w:val="%1"/>
      <w:numFmt w:val="lowerLetter"/>
      <w:start w:val="1"/>
    </w:lvl>
    <w:lvl w:ilvl="1">
      <w:lvlJc w:val="left"/>
      <w:lvlText w:val="(%2)"/>
      <w:numFmt w:val="lowerLetter"/>
      <w:start w:val="1"/>
    </w:lvl>
  </w:abstractNum>
  <w:abstractNum w:abstractNumId="303">
    <w:nsid w:val="70BA39EB"/>
    <w:multiLevelType w:val="hybridMultilevel"/>
    <w:lvl w:ilvl="0">
      <w:lvlJc w:val="left"/>
      <w:lvlText w:val="(%1)"/>
      <w:numFmt w:val="lowerLetter"/>
      <w:start w:val="25"/>
    </w:lvl>
    <w:lvl w:ilvl="1">
      <w:lvlJc w:val="left"/>
      <w:lvlText w:val="(%2)"/>
      <w:numFmt w:val="lowerLetter"/>
      <w:start w:val="3"/>
    </w:lvl>
  </w:abstractNum>
  <w:abstractNum w:abstractNumId="304">
    <w:nsid w:val="4A8DB59C"/>
    <w:multiLevelType w:val="hybridMultilevel"/>
    <w:lvl w:ilvl="0">
      <w:lvlJc w:val="left"/>
      <w:lvlText w:val="(%1)"/>
      <w:numFmt w:val="lowerLetter"/>
      <w:start w:val="9"/>
    </w:lvl>
    <w:lvl w:ilvl="1">
      <w:lvlJc w:val="left"/>
      <w:lvlText w:val="%2"/>
      <w:numFmt w:val="lowerLetter"/>
      <w:start w:val="1"/>
    </w:lvl>
  </w:abstractNum>
  <w:abstractNum w:abstractNumId="305">
    <w:nsid w:val="1AFD9053"/>
    <w:multiLevelType w:val="hybridMultilevel"/>
    <w:lvl w:ilvl="0">
      <w:lvlJc w:val="left"/>
      <w:lvlText w:val="(%1)"/>
      <w:numFmt w:val="lowerLetter"/>
      <w:start w:val="4"/>
    </w:lvl>
  </w:abstractNum>
  <w:abstractNum w:abstractNumId="306">
    <w:nsid w:val="558BB10D"/>
    <w:multiLevelType w:val="hybridMultilevel"/>
    <w:lvl w:ilvl="0">
      <w:lvlJc w:val="left"/>
      <w:lvlText w:val="(%1)"/>
      <w:numFmt w:val="lowerLetter"/>
      <w:start w:val="1"/>
    </w:lvl>
  </w:abstractNum>
  <w:abstractNum w:abstractNumId="307">
    <w:nsid w:val="43B27FA7"/>
    <w:multiLevelType w:val="hybridMultilevel"/>
    <w:lvl w:ilvl="0">
      <w:lvlJc w:val="left"/>
      <w:lvlText w:val="(%1)"/>
      <w:numFmt w:val="lowerLetter"/>
      <w:start w:val="3"/>
    </w:lvl>
  </w:abstractNum>
  <w:abstractNum w:abstractNumId="308">
    <w:nsid w:val="27FADEFA"/>
    <w:multiLevelType w:val="hybridMultilevel"/>
    <w:lvl w:ilvl="0">
      <w:lvlJc w:val="left"/>
      <w:lvlText w:val="(%1)"/>
      <w:numFmt w:val="lowerLetter"/>
      <w:start w:val="1"/>
    </w:lvl>
  </w:abstractNum>
  <w:abstractNum w:abstractNumId="309">
    <w:nsid w:val="78BB805A"/>
    <w:multiLevelType w:val="hybridMultilevel"/>
    <w:lvl w:ilvl="0">
      <w:lvlJc w:val="left"/>
      <w:lvlText w:val="(%1)"/>
      <w:numFmt w:val="lowerLetter"/>
      <w:start w:val="10"/>
    </w:lvl>
  </w:abstractNum>
  <w:abstractNum w:abstractNumId="310">
    <w:nsid w:val="62548FD8"/>
    <w:multiLevelType w:val="hybridMultilevel"/>
    <w:lvl w:ilvl="0">
      <w:lvlJc w:val="left"/>
      <w:lvlText w:val="(%1)"/>
      <w:numFmt w:val="lowerLetter"/>
      <w:start w:val="1"/>
    </w:lvl>
  </w:abstractNum>
  <w:abstractNum w:abstractNumId="311">
    <w:nsid w:val="FA085B0"/>
    <w:multiLevelType w:val="hybridMultilevel"/>
    <w:lvl w:ilvl="0">
      <w:lvlJc w:val="left"/>
      <w:lvlText w:val="(%1)"/>
      <w:numFmt w:val="lowerLetter"/>
      <w:start w:val="1"/>
    </w:lvl>
  </w:abstractNum>
  <w:abstractNum w:abstractNumId="312">
    <w:nsid w:val="4E5DCB5"/>
    <w:multiLevelType w:val="hybridMultilevel"/>
    <w:lvl w:ilvl="0">
      <w:lvlJc w:val="left"/>
      <w:lvlText w:val="(%1)"/>
      <w:numFmt w:val="lowerLetter"/>
      <w:start w:val="1"/>
    </w:lvl>
  </w:abstractNum>
  <w:abstractNum w:abstractNumId="313">
    <w:nsid w:val="41E96BDB"/>
    <w:multiLevelType w:val="hybridMultilevel"/>
    <w:lvl w:ilvl="0">
      <w:lvlJc w:val="left"/>
      <w:lvlText w:val="(%1)"/>
      <w:numFmt w:val="lowerLetter"/>
      <w:start w:val="2"/>
    </w:lvl>
  </w:abstractNum>
  <w:abstractNum w:abstractNumId="314">
    <w:nsid w:val="331C4250"/>
    <w:multiLevelType w:val="hybridMultilevel"/>
    <w:lvl w:ilvl="0">
      <w:lvlJc w:val="left"/>
      <w:lvlText w:val="(%1)"/>
      <w:numFmt w:val="lowerLetter"/>
      <w:start w:val="2"/>
    </w:lvl>
  </w:abstractNum>
  <w:abstractNum w:abstractNumId="315">
    <w:nsid w:val="1B1493C2"/>
    <w:multiLevelType w:val="hybridMultilevel"/>
    <w:lvl w:ilvl="0">
      <w:lvlJc w:val="left"/>
      <w:lvlText w:val="(%1)"/>
      <w:numFmt w:val="lowerLetter"/>
      <w:start w:val="1"/>
    </w:lvl>
  </w:abstractNum>
  <w:abstractNum w:abstractNumId="316">
    <w:nsid w:val="39F06D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17">
    <w:nsid w:val="14802F5D"/>
    <w:multiLevelType w:val="hybridMultilevel"/>
    <w:lvl w:ilvl="0">
      <w:lvlJc w:val="left"/>
      <w:lvlText w:val="%1"/>
      <w:numFmt w:val="lowerLetter"/>
      <w:start w:val="1"/>
    </w:lvl>
    <w:lvl w:ilvl="1">
      <w:lvlJc w:val="left"/>
      <w:lvlText w:val="(%2)"/>
      <w:numFmt w:val="lowerRoman"/>
      <w:start w:val="2"/>
    </w:lvl>
  </w:abstractNum>
  <w:abstractNum w:abstractNumId="318">
    <w:nsid w:val="2774A209"/>
    <w:multiLevelType w:val="hybridMultilevel"/>
    <w:lvl w:ilvl="0">
      <w:lvlJc w:val="left"/>
      <w:lvlText w:val="(%1)"/>
      <w:numFmt w:val="lowerLetter"/>
      <w:start w:val="2"/>
    </w:lvl>
    <w:lvl w:ilvl="1">
      <w:lvlJc w:val="left"/>
      <w:lvlText w:val="%2"/>
      <w:numFmt w:val="lowerRoman"/>
      <w:start w:val="1"/>
    </w:lvl>
  </w:abstractNum>
  <w:abstractNum w:abstractNumId="319">
    <w:nsid w:val="3785655A"/>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20">
    <w:nsid w:val="B2172A"/>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321">
    <w:nsid w:val="532C34A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22">
    <w:nsid w:val="102809E2"/>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6"/>
    </w:lvl>
  </w:abstractNum>
  <w:abstractNum w:abstractNumId="323">
    <w:nsid w:val="3B2125A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24">
    <w:nsid w:val="AC68FFB"/>
    <w:multiLevelType w:val="hybridMultilevel"/>
    <w:lvl w:ilvl="0">
      <w:lvlJc w:val="left"/>
      <w:lvlText w:val="%1."/>
      <w:numFmt w:val="decimal"/>
      <w:start w:val="5"/>
    </w:lvl>
  </w:abstractNum>
  <w:abstractNum w:abstractNumId="325">
    <w:nsid w:val="63DF3FB7"/>
    <w:multiLevelType w:val="hybridMultilevel"/>
    <w:lvl w:ilvl="0">
      <w:lvlJc w:val="left"/>
      <w:lvlText w:val="%1."/>
      <w:numFmt w:val="decimal"/>
      <w:start w:val="8"/>
    </w:lvl>
  </w:abstractNum>
  <w:abstractNum w:abstractNumId="326">
    <w:nsid w:val="64996E13"/>
    <w:multiLevelType w:val="hybridMultilevel"/>
    <w:lvl w:ilvl="0">
      <w:lvlJc w:val="left"/>
      <w:lvlText w:val="%1."/>
      <w:numFmt w:val="decimal"/>
      <w:start w:val="1"/>
    </w:lvl>
  </w:abstractNum>
  <w:abstractNum w:abstractNumId="327">
    <w:nsid w:val="57A37D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28">
    <w:nsid w:val="74824D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29">
    <w:nsid w:val="6F00529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0">
    <w:nsid w:val="805B33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1">
    <w:nsid w:val="60A1463"/>
    <w:multiLevelType w:val="hybridMultilevel"/>
    <w:lvl w:ilvl="0">
      <w:lvlJc w:val="left"/>
      <w:lvlText w:val="(%1)"/>
      <w:numFmt w:val="lowerLetter"/>
      <w:start w:val="3"/>
    </w:lvl>
  </w:abstractNum>
  <w:abstractNum w:abstractNumId="332">
    <w:nsid w:val="437731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33">
    <w:nsid w:val="16AC4B23"/>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2"/>
    </w:lvl>
  </w:abstractNum>
  <w:abstractNum w:abstractNumId="334">
    <w:nsid w:val="76C44E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35">
    <w:nsid w:val="E04E6CE"/>
    <w:multiLevelType w:val="hybridMultilevel"/>
    <w:lvl w:ilvl="0">
      <w:lvlJc w:val="left"/>
      <w:lvlText w:val="(%1)"/>
      <w:numFmt w:val="lowerLetter"/>
      <w:start w:val="2"/>
    </w:lvl>
  </w:abstractNum>
  <w:abstractNum w:abstractNumId="336">
    <w:nsid w:val="31A9DB76"/>
    <w:multiLevelType w:val="hybridMultilevel"/>
    <w:lvl w:ilvl="0">
      <w:lvlJc w:val="left"/>
      <w:lvlText w:val="(%1)"/>
      <w:numFmt w:val="lowerLetter"/>
      <w:start w:val="9"/>
    </w:lvl>
  </w:abstractNum>
  <w:abstractNum w:abstractNumId="337">
    <w:nsid w:val="4C4FFF5B"/>
    <w:multiLevelType w:val="hybridMultilevel"/>
    <w:lvl w:ilvl="0">
      <w:lvlJc w:val="left"/>
      <w:lvlText w:val="%1"/>
      <w:numFmt w:val="decimal"/>
      <w:start w:val="1"/>
    </w:lvl>
    <w:lvl w:ilvl="1">
      <w:lvlJc w:val="left"/>
      <w:lvlText w:val="(%2)"/>
      <w:numFmt w:val="lowerLetter"/>
      <w:start w:val="18"/>
    </w:lvl>
  </w:abstractNum>
  <w:abstractNum w:abstractNumId="338">
    <w:nsid w:val="51B76675"/>
    <w:multiLevelType w:val="hybridMultilevel"/>
    <w:lvl w:ilvl="0">
      <w:lvlJc w:val="left"/>
      <w:lvlText w:val="%1."/>
      <w:numFmt w:val="decimal"/>
      <w:start w:val="7"/>
    </w:lvl>
    <w:lvl w:ilvl="1">
      <w:lvlJc w:val="left"/>
      <w:lvlText w:val="(%2)"/>
      <w:numFmt w:val="lowerLetter"/>
      <w:start w:val="1"/>
    </w:lvl>
  </w:abstractNum>
  <w:abstractNum w:abstractNumId="339">
    <w:nsid w:val="59A4BA71"/>
    <w:multiLevelType w:val="hybridMultilevel"/>
    <w:lvl w:ilvl="0">
      <w:lvlJc w:val="left"/>
      <w:lvlText w:val="(%1)"/>
      <w:numFmt w:val="lowerLetter"/>
      <w:start w:val="3"/>
    </w:lvl>
  </w:abstractNum>
  <w:abstractNum w:abstractNumId="340">
    <w:nsid w:val="450B7FB6"/>
    <w:multiLevelType w:val="hybridMultilevel"/>
    <w:lvl w:ilvl="0">
      <w:lvlJc w:val="left"/>
      <w:lvlText w:val="%1"/>
      <w:numFmt w:val="decimal"/>
      <w:start w:val="1"/>
    </w:lvl>
    <w:lvl w:ilvl="1">
      <w:lvlJc w:val="left"/>
      <w:lvlText w:val="(%2)"/>
      <w:numFmt w:val="lowerLetter"/>
      <w:start w:val="6"/>
    </w:lvl>
  </w:abstractNum>
  <w:abstractNum w:abstractNumId="341">
    <w:nsid w:val="340BF64D"/>
    <w:multiLevelType w:val="hybridMultilevel"/>
    <w:lvl w:ilvl="0">
      <w:lvlJc w:val="left"/>
      <w:lvlText w:val="%1."/>
      <w:numFmt w:val="decimal"/>
      <w:start w:val="8"/>
    </w:lvl>
    <w:lvl w:ilvl="1">
      <w:lvlJc w:val="left"/>
      <w:lvlText w:val="%2"/>
      <w:numFmt w:val="lowerLetter"/>
      <w:start w:val="1"/>
    </w:lvl>
  </w:abstractNum>
  <w:abstractNum w:abstractNumId="342">
    <w:nsid w:val="69454021"/>
    <w:multiLevelType w:val="hybridMultilevel"/>
    <w:lvl w:ilvl="0">
      <w:lvlJc w:val="left"/>
      <w:lvlText w:val="%1."/>
      <w:numFmt w:val="decimal"/>
      <w:start w:val="10"/>
    </w:lvl>
    <w:lvl w:ilvl="1">
      <w:lvlJc w:val="left"/>
      <w:lvlText w:val="(%2)"/>
      <w:numFmt w:val="lowerLetter"/>
      <w:start w:val="1"/>
    </w:lvl>
  </w:abstractNum>
  <w:abstractNum w:abstractNumId="343">
    <w:nsid w:val="49F15C6B"/>
    <w:multiLevelType w:val="hybridMultilevel"/>
    <w:lvl w:ilvl="0">
      <w:lvlJc w:val="left"/>
      <w:lvlText w:val="(%1)"/>
      <w:numFmt w:val="lowerLetter"/>
      <w:start w:val="8"/>
    </w:lvl>
  </w:abstractNum>
  <w:abstractNum w:abstractNumId="344">
    <w:nsid w:val="75F56228"/>
    <w:multiLevelType w:val="hybridMultilevel"/>
    <w:lvl w:ilvl="0">
      <w:lvlJc w:val="left"/>
      <w:lvlText w:val="(%1)"/>
      <w:numFmt w:val="lowerLetter"/>
      <w:start w:val="13"/>
    </w:lvl>
  </w:abstractNum>
  <w:abstractNum w:abstractNumId="345">
    <w:nsid w:val="1C618271"/>
    <w:multiLevelType w:val="hybridMultilevel"/>
    <w:lvl w:ilvl="0">
      <w:lvlJc w:val="left"/>
      <w:lvlText w:val="%1."/>
      <w:numFmt w:val="decimal"/>
      <w:start w:val="11"/>
    </w:lvl>
  </w:abstractNum>
  <w:abstractNum w:abstractNumId="346">
    <w:nsid w:val="6505F02E"/>
    <w:multiLevelType w:val="hybridMultilevel"/>
    <w:lvl w:ilvl="0">
      <w:lvlJc w:val="left"/>
      <w:lvlText w:val="%1."/>
      <w:numFmt w:val="upperLetter"/>
      <w:start w:val="1"/>
    </w:lvl>
    <w:lvl w:ilvl="1">
      <w:lvlJc w:val="left"/>
      <w:lvlText w:val="☐"/>
      <w:numFmt w:val="bullet"/>
      <w:start w:val="1"/>
    </w:lvl>
  </w:abstractNum>
  <w:abstractNum w:abstractNumId="347">
    <w:nsid w:val="2FE5D025"/>
    <w:multiLevelType w:val="hybridMultilevel"/>
    <w:lvl w:ilvl="0">
      <w:lvlJc w:val="left"/>
      <w:lvlText w:val="%1."/>
      <w:numFmt w:val="decimal"/>
      <w:start w:val="1"/>
    </w:lvl>
  </w:abstractNum>
  <w:abstractNum w:abstractNumId="348">
    <w:nsid w:val="30E1B1CF"/>
    <w:multiLevelType w:val="hybridMultilevel"/>
    <w:lvl w:ilvl="0">
      <w:lvlJc w:val="left"/>
      <w:lvlText w:val="%1."/>
      <w:numFmt w:val="upperLetter"/>
      <w:start w:val="2"/>
    </w:lvl>
    <w:lvl w:ilvl="1">
      <w:lvlJc w:val="left"/>
      <w:lvlText w:val="☐"/>
      <w:numFmt w:val="bullet"/>
      <w:start w:val="1"/>
    </w:lvl>
  </w:abstractNum>
  <w:abstractNum w:abstractNumId="349">
    <w:nsid w:val="C7A9237"/>
    <w:multiLevelType w:val="hybridMultilevel"/>
    <w:lvl w:ilvl="0">
      <w:lvlJc w:val="left"/>
      <w:lvlText w:val="%1."/>
      <w:numFmt w:val="decimal"/>
      <w:start w:val="1"/>
    </w:lvl>
  </w:abstractNum>
  <w:abstractNum w:abstractNumId="350">
    <w:nsid w:val="676B3580"/>
    <w:multiLevelType w:val="hybridMultilevel"/>
    <w:lvl w:ilvl="0">
      <w:lvlJc w:val="left"/>
      <w:lvlText w:val="☐"/>
      <w:numFmt w:val="bullet"/>
      <w:start w:val="1"/>
    </w:lvl>
  </w:abstractNum>
  <w:abstractNum w:abstractNumId="351">
    <w:nsid w:val="3193C8F9"/>
    <w:multiLevelType w:val="hybridMultilevel"/>
    <w:lvl w:ilvl="0">
      <w:lvlJc w:val="left"/>
      <w:lvlText w:val="%1"/>
      <w:numFmt w:val="lowerLetter"/>
      <w:start w:val="1"/>
    </w:lvl>
    <w:lvl w:ilvl="1">
      <w:lvlJc w:val="left"/>
      <w:lvlText w:val="%2."/>
      <w:numFmt w:val="decimal"/>
      <w:start w:val="1"/>
    </w:lvl>
  </w:abstractNum>
  <w:abstractNum w:abstractNumId="352">
    <w:nsid w:val="5FA6C6DC"/>
    <w:multiLevelType w:val="hybridMultilevel"/>
    <w:lvl w:ilvl="0">
      <w:lvlJc w:val="left"/>
      <w:lvlText w:val="(%1)"/>
      <w:numFmt w:val="lowerLetter"/>
      <w:start w:val="2"/>
    </w:lvl>
    <w:lvl w:ilvl="1">
      <w:lvlJc w:val="left"/>
      <w:lvlText w:val="%2."/>
      <w:numFmt w:val="decimal"/>
      <w:start w:val="3"/>
    </w:lvl>
  </w:abstractNum>
  <w:abstractNum w:abstractNumId="353">
    <w:nsid w:val="77933F62"/>
    <w:multiLevelType w:val="hybridMultilevel"/>
    <w:lvl w:ilvl="0">
      <w:lvlJc w:val="left"/>
      <w:lvlText w:val="%1."/>
      <w:numFmt w:val="decimal"/>
      <w:start w:val="4"/>
    </w:lvl>
    <w:lvl w:ilvl="1">
      <w:lvlJc w:val="left"/>
      <w:lvlText w:val="(%2)"/>
      <w:numFmt w:val="lowerLetter"/>
      <w:start w:val="1"/>
    </w:lvl>
  </w:abstractNum>
  <w:abstractNum w:abstractNumId="354">
    <w:nsid w:val="6CB4EE9C"/>
    <w:multiLevelType w:val="hybridMultilevel"/>
    <w:lvl w:ilvl="0">
      <w:lvlJc w:val="left"/>
      <w:lvlText w:val="(%1)"/>
      <w:numFmt w:val="lowerLetter"/>
      <w:start w:val="3"/>
    </w:lvl>
  </w:abstractNum>
  <w:abstractNum w:abstractNumId="355">
    <w:nsid w:val="6A6D56D7"/>
    <w:multiLevelType w:val="hybridMultilevel"/>
    <w:lvl w:ilvl="0">
      <w:lvlJc w:val="left"/>
      <w:lvlText w:val="(%1)"/>
      <w:numFmt w:val="lowerLetter"/>
      <w:start w:val="8"/>
    </w:lvl>
  </w:abstractNum>
  <w:abstractNum w:abstractNumId="356">
    <w:nsid w:val="5B727F19"/>
    <w:multiLevelType w:val="hybridMultilevel"/>
    <w:lvl w:ilvl="0">
      <w:lvlJc w:val="left"/>
      <w:lvlText w:val="%1."/>
      <w:numFmt w:val="decimal"/>
      <w:start w:val="1"/>
    </w:lvl>
  </w:abstractNum>
  <w:abstractNum w:abstractNumId="357">
    <w:nsid w:val="514E5CB0"/>
    <w:multiLevelType w:val="hybridMultilevel"/>
    <w:lvl w:ilvl="0">
      <w:lvlJc w:val="left"/>
      <w:lvlText w:val="%1."/>
      <w:numFmt w:val="decimal"/>
      <w:start w:val="3"/>
    </w:lvl>
  </w:abstractNum>
  <w:abstractNum w:abstractNumId="358">
    <w:nsid w:val="4210D41E"/>
    <w:multiLevelType w:val="hybridMultilevel"/>
    <w:lvl w:ilvl="0">
      <w:lvlJc w:val="left"/>
      <w:lvlText w:val="%1."/>
      <w:numFmt w:val="decimal"/>
      <w:start w:val="10"/>
    </w:lvl>
  </w:abstractNum>
  <w:abstractNum w:abstractNumId="359">
    <w:nsid w:val="4FF4CC6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0">
    <w:nsid w:val="404EAF4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61">
    <w:nsid w:val="4A16874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62">
    <w:nsid w:val="55FEE0D1"/>
    <w:multiLevelType w:val="hybridMultilevel"/>
    <w:lvl w:ilvl="0">
      <w:lvlJc w:val="left"/>
      <w:lvlText w:val="%1"/>
      <w:numFmt w:val="decimal"/>
      <w:start w:val="1"/>
    </w:lvl>
    <w:lvl w:ilvl="1">
      <w:lvlJc w:val="left"/>
      <w:lvlText w:val="(%2)"/>
      <w:numFmt w:val="lowerLetter"/>
      <w:start w:val="2"/>
    </w:lvl>
  </w:abstractNum>
  <w:abstractNum w:abstractNumId="363">
    <w:nsid w:val="3C5E07C"/>
    <w:multiLevelType w:val="hybridMultilevel"/>
    <w:lvl w:ilvl="0">
      <w:lvlJc w:val="left"/>
      <w:lvlText w:val="%1."/>
      <w:numFmt w:val="decimal"/>
      <w:start w:val="6"/>
    </w:lvl>
    <w:lvl w:ilvl="1">
      <w:lvlJc w:val="left"/>
      <w:lvlText w:val="(%2)"/>
      <w:numFmt w:val="lowerLetter"/>
      <w:start w:val="1"/>
    </w:lvl>
  </w:abstractNum>
  <w:abstractNum w:abstractNumId="364">
    <w:nsid w:val="60C2D273"/>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65">
    <w:nsid w:val="4CC32F1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66">
    <w:nsid w:val="11CAC74A"/>
    <w:multiLevelType w:val="hybridMultilevel"/>
    <w:lvl w:ilvl="0">
      <w:lvlJc w:val="left"/>
      <w:lvlText w:val="%1."/>
      <w:numFmt w:val="decimal"/>
      <w:start w:val="10"/>
    </w:lvl>
    <w:lvl w:ilvl="1">
      <w:lvlJc w:val="left"/>
      <w:lvlText w:val="(%2)"/>
      <w:numFmt w:val="lowerLetter"/>
      <w:start w:val="1"/>
    </w:lvl>
  </w:abstractNum>
  <w:abstractNum w:abstractNumId="367">
    <w:nsid w:val="126CADE9"/>
    <w:multiLevelType w:val="hybridMultilevel"/>
    <w:lvl w:ilvl="0">
      <w:lvlJc w:val="left"/>
      <w:lvlText w:val="(%1)"/>
      <w:numFmt w:val="lowerRoman"/>
      <w:start w:val="4"/>
    </w:lvl>
  </w:abstractNum>
  <w:abstractNum w:abstractNumId="368">
    <w:nsid w:val="19132E7B"/>
    <w:multiLevelType w:val="hybridMultilevel"/>
    <w:lvl w:ilvl="0">
      <w:lvlJc w:val="left"/>
      <w:lvlText w:val="(%1)"/>
      <w:numFmt w:val="lowerRoman"/>
      <w:start w:val="1"/>
    </w:lvl>
  </w:abstractNum>
  <w:abstractNum w:abstractNumId="369">
    <w:nsid w:val="63822DC0"/>
    <w:multiLevelType w:val="hybridMultilevel"/>
    <w:lvl w:ilvl="0">
      <w:lvlJc w:val="left"/>
      <w:lvlText w:val="1"/>
      <w:numFmt w:val="bullet"/>
      <w:start w:val="1"/>
    </w:lvl>
  </w:abstractNum>
  <w:abstractNum w:abstractNumId="370">
    <w:nsid w:val="6C11685A"/>
    <w:multiLevelType w:val="hybridMultilevel"/>
    <w:lvl w:ilvl="0">
      <w:lvlJc w:val="left"/>
      <w:lvlText w:val="(%1)"/>
      <w:numFmt w:val="lowerLetter"/>
      <w:start w:val="1"/>
    </w:lvl>
    <w:lvl w:ilvl="1">
      <w:lvlJc w:val="left"/>
      <w:lvlText w:val="(%2)"/>
      <w:numFmt w:val="lowerLetter"/>
      <w:start w:val="9"/>
    </w:lvl>
  </w:abstractNum>
  <w:abstractNum w:abstractNumId="371">
    <w:nsid w:val="5E1EAE31"/>
    <w:multiLevelType w:val="hybridMultilevel"/>
    <w:lvl w:ilvl="0">
      <w:lvlJc w:val="left"/>
      <w:lvlText w:val="2"/>
      <w:numFmt w:val="bullet"/>
      <w:start w:val="1"/>
    </w:lvl>
  </w:abstractNum>
  <w:abstractNum w:abstractNumId="372">
    <w:nsid w:val="178E240D"/>
    <w:multiLevelType w:val="hybridMultilevel"/>
    <w:lvl w:ilvl="0">
      <w:lvlJc w:val="left"/>
      <w:lvlText w:val="%1"/>
      <w:numFmt w:val="lowerLetter"/>
      <w:start w:val="1"/>
    </w:lvl>
    <w:lvl w:ilvl="1">
      <w:lvlJc w:val="left"/>
      <w:lvlText w:val="(%2)"/>
      <w:numFmt w:val="lowerLetter"/>
      <w:start w:val="35"/>
    </w:lvl>
  </w:abstractNum>
  <w:abstractNum w:abstractNumId="373">
    <w:nsid w:val="5556A87B"/>
    <w:multiLevelType w:val="hybridMultilevel"/>
    <w:lvl w:ilvl="0">
      <w:lvlJc w:val="left"/>
      <w:lvlText w:val="(%1)"/>
      <w:numFmt w:val="lowerLetter"/>
      <w:start w:val="2"/>
    </w:lvl>
    <w:lvl w:ilvl="1">
      <w:lvlJc w:val="left"/>
      <w:lvlText w:val="%2"/>
      <w:numFmt w:val="lowerLetter"/>
      <w:start w:val="1"/>
    </w:lvl>
  </w:abstractNum>
  <w:abstractNum w:abstractNumId="374">
    <w:nsid w:val="28100A9C"/>
    <w:multiLevelType w:val="hybridMultilevel"/>
    <w:lvl w:ilvl="0">
      <w:lvlJc w:val="left"/>
      <w:lvlText w:val="(%1)"/>
      <w:numFmt w:val="lowerLetter"/>
      <w:start w:val="35"/>
    </w:lvl>
  </w:abstractNum>
  <w:abstractNum w:abstractNumId="375">
    <w:nsid w:val="D838636"/>
    <w:multiLevelType w:val="hybridMultilevel"/>
    <w:lvl w:ilvl="0">
      <w:lvlJc w:val="left"/>
      <w:lvlText w:val="(%1)"/>
      <w:numFmt w:val="lowerLetter"/>
      <w:start w:val="25"/>
    </w:lvl>
  </w:abstractNum>
  <w:abstractNum w:abstractNumId="376">
    <w:nsid w:val="71B82AED"/>
    <w:multiLevelType w:val="hybridMultilevel"/>
    <w:lvl w:ilvl="0">
      <w:lvlJc w:val="left"/>
      <w:lvlText w:val="(%1)"/>
      <w:numFmt w:val="lowerLetter"/>
      <w:start w:val="1"/>
    </w:lvl>
  </w:abstractNum>
  <w:abstractNum w:abstractNumId="377">
    <w:nsid w:val="D15FACA"/>
    <w:multiLevelType w:val="hybridMultilevel"/>
    <w:lvl w:ilvl="0">
      <w:lvlJc w:val="left"/>
      <w:lvlText w:val="(%1)"/>
      <w:numFmt w:val="decimal"/>
      <w:start w:val="90"/>
    </w:lvl>
  </w:abstractNum>
  <w:abstractNum w:abstractNumId="378">
    <w:nsid w:val="3D69565B"/>
    <w:multiLevelType w:val="hybridMultilevel"/>
    <w:lvl w:ilvl="0">
      <w:lvlJc w:val="left"/>
      <w:lvlText w:val="(%1)"/>
      <w:numFmt w:val="upperLetter"/>
      <w:start w:val="2"/>
    </w:lvl>
  </w:abstractNum>
  <w:abstractNum w:abstractNumId="379">
    <w:nsid w:val="2299DCBC"/>
    <w:multiLevelType w:val="hybridMultilevel"/>
    <w:lvl w:ilvl="0">
      <w:lvlJc w:val="left"/>
      <w:lvlText w:val="(%1)"/>
      <w:numFmt w:val="upperLetter"/>
      <w:start w:val="2"/>
    </w:lvl>
  </w:abstractNum>
  <w:abstractNum w:abstractNumId="380">
    <w:nsid w:val="19908D02"/>
    <w:multiLevelType w:val="hybridMultilevel"/>
    <w:lvl w:ilvl="0">
      <w:lvlJc w:val="left"/>
      <w:lvlText w:val="%1."/>
      <w:numFmt w:val="decimal"/>
      <w:start w:val="1"/>
    </w:lvl>
  </w:abstractNum>
  <w:abstractNum w:abstractNumId="381">
    <w:nsid w:val="24D48BDB"/>
    <w:multiLevelType w:val="hybridMultilevel"/>
    <w:lvl w:ilvl="0">
      <w:lvlJc w:val="left"/>
      <w:lvlText w:val="(%1)"/>
      <w:numFmt w:val="lowerLetter"/>
      <w:start w:val="1"/>
    </w:lvl>
  </w:abstractNum>
  <w:abstractNum w:abstractNumId="382">
    <w:nsid w:val="542DA5B5"/>
    <w:multiLevelType w:val="hybridMultilevel"/>
    <w:lvl w:ilvl="0">
      <w:lvlJc w:val="left"/>
      <w:lvlText w:val="%1"/>
      <w:numFmt w:val="upperLetter"/>
      <w:start w:val="1"/>
    </w:lvl>
    <w:lvl w:ilvl="1">
      <w:lvlJc w:val="left"/>
      <w:lvlText w:val="(%2)"/>
      <w:numFmt w:val="lowerLetter"/>
      <w:start w:val="2"/>
    </w:lvl>
  </w:abstractNum>
  <w:abstractNum w:abstractNumId="383">
    <w:nsid w:val="793753DE"/>
    <w:multiLevelType w:val="hybridMultilevel"/>
    <w:lvl w:ilvl="0">
      <w:lvlJc w:val="left"/>
      <w:lvlText w:val="%1."/>
      <w:numFmt w:val="upperLetter"/>
      <w:start w:val="2"/>
    </w:lvl>
    <w:lvl w:ilvl="1">
      <w:lvlJc w:val="left"/>
      <w:lvlText w:val="%2"/>
      <w:numFmt w:val="lowerLetter"/>
      <w:start w:val="1"/>
    </w:lvl>
  </w:abstractNum>
  <w:abstractNum w:abstractNumId="384">
    <w:nsid w:val="1C67CB3D"/>
    <w:multiLevelType w:val="hybridMultilevel"/>
    <w:lvl w:ilvl="0">
      <w:lvlJc w:val="left"/>
      <w:lvlText w:val="%1."/>
      <w:numFmt w:val="decimal"/>
      <w:start w:val="1"/>
    </w:lvl>
  </w:abstractNum>
  <w:abstractNum w:abstractNumId="385">
    <w:nsid w:val="40E29452"/>
    <w:multiLevelType w:val="hybridMultilevel"/>
    <w:lvl w:ilvl="0">
      <w:lvlJc w:val="left"/>
      <w:lvlText w:val="%1."/>
      <w:numFmt w:val="decimal"/>
      <w:start w:val="1"/>
    </w:lvl>
  </w:abstractNum>
  <w:abstractNum w:abstractNumId="386">
    <w:nsid w:val="63A4AAB6"/>
    <w:multiLevelType w:val="hybridMultilevel"/>
    <w:lvl w:ilvl="0">
      <w:lvlJc w:val="left"/>
      <w:lvlText w:val="%1"/>
      <w:numFmt w:val="lowerRoman"/>
      <w:start w:val="1"/>
    </w:lvl>
    <w:lvl w:ilvl="1">
      <w:lvlJc w:val="left"/>
      <w:lvlText w:val="%2."/>
      <w:numFmt w:val="decimal"/>
      <w:start w:val="4"/>
    </w:lvl>
  </w:abstractNum>
  <w:abstractNum w:abstractNumId="387">
    <w:nsid w:val="77DA4A57"/>
    <w:multiLevelType w:val="hybridMultilevel"/>
    <w:lvl w:ilvl="0">
      <w:lvlJc w:val="left"/>
      <w:lvlText w:val="(%1)"/>
      <w:numFmt w:val="lowerRoman"/>
      <w:start w:val="2"/>
    </w:lvl>
    <w:lvl w:ilvl="1">
      <w:lvlJc w:val="left"/>
      <w:lvlText w:val="%2"/>
      <w:numFmt w:val="decimal"/>
      <w:start w:val="1"/>
    </w:lvl>
  </w:abstractNum>
  <w:abstractNum w:abstractNumId="388">
    <w:nsid w:val="1230F102"/>
    <w:multiLevelType w:val="hybridMultilevel"/>
    <w:lvl w:ilvl="0">
      <w:lvlJc w:val="left"/>
      <w:lvlText w:val="%1"/>
      <w:numFmt w:val="lowerLetter"/>
      <w:start w:val="1"/>
    </w:lvl>
    <w:lvl w:ilvl="1">
      <w:lvlJc w:val="left"/>
      <w:lvlText w:val="%2."/>
      <w:numFmt w:val="decimal"/>
      <w:start w:val="1"/>
    </w:lvl>
  </w:abstractNum>
  <w:abstractNum w:abstractNumId="389">
    <w:nsid w:val="25B57ED4"/>
    <w:multiLevelType w:val="hybridMultilevel"/>
    <w:lvl w:ilvl="0">
      <w:lvlJc w:val="left"/>
      <w:lvlText w:val="(%1)"/>
      <w:numFmt w:val="lowerLetter"/>
      <w:start w:val="2"/>
    </w:lvl>
    <w:lvl w:ilvl="1">
      <w:lvlJc w:val="left"/>
      <w:lvlText w:val="%2."/>
      <w:numFmt w:val="decimal"/>
      <w:start w:val="2"/>
    </w:lvl>
  </w:abstractNum>
  <w:abstractNum w:abstractNumId="390">
    <w:nsid w:val="47CF16C4"/>
    <w:multiLevelType w:val="hybridMultilevel"/>
    <w:lvl w:ilvl="0">
      <w:lvlJc w:val="left"/>
      <w:lvlText w:val="%1."/>
      <w:numFmt w:val="decimal"/>
      <w:start w:val="1"/>
    </w:lvl>
  </w:abstractNum>
  <w:abstractNum w:abstractNumId="391">
    <w:nsid w:val="527FA04C"/>
    <w:multiLevelType w:val="hybridMultilevel"/>
    <w:lvl w:ilvl="0">
      <w:lvlJc w:val="left"/>
      <w:lvlText w:val="%1."/>
      <w:numFmt w:val="decimal"/>
      <w:start w:val="1"/>
    </w:lvl>
  </w:abstractNum>
  <w:abstractNum w:abstractNumId="392">
    <w:nsid w:val="6FCC0624"/>
    <w:multiLevelType w:val="hybridMultilevel"/>
    <w:lvl w:ilvl="0">
      <w:lvlJc w:val="left"/>
      <w:lvlText w:val="(%1)"/>
      <w:numFmt w:val="lowerLetter"/>
      <w:start w:val="1"/>
    </w:lvl>
  </w:abstractNum>
  <w:abstractNum w:abstractNumId="393">
    <w:nsid w:val="1DCDF795"/>
    <w:multiLevelType w:val="hybridMultilevel"/>
    <w:lvl w:ilvl="0">
      <w:lvlJc w:val="left"/>
      <w:lvlText w:val="(%1)"/>
      <w:numFmt w:val="decimal"/>
      <w:start w:val="1"/>
    </w:lvl>
  </w:abstractNum>
  <w:abstractNum w:abstractNumId="394">
    <w:nsid w:val="564580C8"/>
    <w:multiLevelType w:val="hybridMultilevel"/>
    <w:lvl w:ilvl="0">
      <w:lvlJc w:val="left"/>
      <w:lvlText w:val="(%1)"/>
      <w:numFmt w:val="upperLetter"/>
      <w:start w:val="1"/>
    </w:lvl>
  </w:abstractNum>
  <w:abstractNum w:abstractNumId="395">
    <w:nsid w:val="508ED897"/>
    <w:multiLevelType w:val="hybridMultilevel"/>
    <w:lvl w:ilvl="0">
      <w:lvlJc w:val="left"/>
      <w:lvlText w:val="(%1)"/>
      <w:numFmt w:val="upperLetter"/>
      <w:start w:val="4"/>
    </w:lvl>
  </w:abstractNum>
  <w:abstractNum w:abstractNumId="396">
    <w:nsid w:val="6A9126B5"/>
    <w:multiLevelType w:val="hybridMultilevel"/>
    <w:lvl w:ilvl="0">
      <w:lvlJc w:val="left"/>
      <w:lvlText w:val="(%1)"/>
      <w:numFmt w:val="decimal"/>
      <w:start w:val="3"/>
    </w:lvl>
  </w:abstractNum>
  <w:abstractNum w:abstractNumId="397">
    <w:nsid w:val="68104812"/>
    <w:multiLevelType w:val="hybridMultilevel"/>
    <w:lvl w:ilvl="0">
      <w:lvlJc w:val="left"/>
      <w:lvlText w:val="(%1)"/>
      <w:numFmt w:val="lowerLetter"/>
      <w:start w:val="2"/>
    </w:lvl>
  </w:abstractNum>
  <w:abstractNum w:abstractNumId="398">
    <w:nsid w:val="62FB8680"/>
    <w:multiLevelType w:val="hybridMultilevel"/>
    <w:lvl w:ilvl="0">
      <w:lvlJc w:val="left"/>
      <w:lvlText w:val="(%1)"/>
      <w:numFmt w:val="decimal"/>
      <w:start w:val="1"/>
    </w:lvl>
  </w:abstractNum>
  <w:abstractNum w:abstractNumId="399">
    <w:nsid w:val="3A45530"/>
    <w:multiLevelType w:val="hybridMultilevel"/>
    <w:lvl w:ilvl="0">
      <w:lvlJc w:val="left"/>
      <w:lvlText w:val="(%1)"/>
      <w:numFmt w:val="lowerLetter"/>
      <w:start w:val="9"/>
    </w:lvl>
    <w:lvl w:ilvl="1">
      <w:lvlJc w:val="left"/>
      <w:lvlText w:val="(%2)"/>
      <w:numFmt w:val="lowerLetter"/>
      <w:start w:val="3"/>
    </w:lvl>
  </w:abstractNum>
  <w:abstractNum w:abstractNumId="400">
    <w:nsid w:val="4B9275D2"/>
    <w:multiLevelType w:val="hybridMultilevel"/>
    <w:lvl w:ilvl="0">
      <w:lvlJc w:val="left"/>
      <w:lvlText w:val="(%1)"/>
      <w:numFmt w:val="lowerLetter"/>
      <w:start w:val="1"/>
    </w:lvl>
  </w:abstractNum>
  <w:abstractNum w:abstractNumId="401">
    <w:nsid w:val="4F0CEEDB"/>
    <w:multiLevelType w:val="hybridMultilevel"/>
    <w:lvl w:ilvl="0">
      <w:lvlJc w:val="left"/>
      <w:lvlText w:val="(%1)"/>
      <w:numFmt w:val="lowerLetter"/>
      <w:start w:val="1"/>
    </w:lvl>
  </w:abstractNum>
  <w:abstractNum w:abstractNumId="402">
    <w:nsid w:val="61C30361"/>
    <w:multiLevelType w:val="hybridMultilevel"/>
    <w:lvl w:ilvl="0">
      <w:lvlJc w:val="left"/>
      <w:lvlText w:val="(%1)"/>
      <w:numFmt w:val="lowerLetter"/>
      <w:start w:val="1"/>
    </w:lvl>
  </w:abstractNum>
  <w:abstractNum w:abstractNumId="403">
    <w:nsid w:val="632099E0"/>
    <w:multiLevelType w:val="hybridMultilevel"/>
    <w:lvl w:ilvl="0">
      <w:lvlJc w:val="left"/>
      <w:lvlText w:val="(%1)"/>
      <w:numFmt w:val="decimal"/>
      <w:start w:val="1"/>
    </w:lvl>
  </w:abstractNum>
  <w:abstractNum w:abstractNumId="404">
    <w:nsid w:val="24639756"/>
    <w:multiLevelType w:val="hybridMultilevel"/>
    <w:lvl w:ilvl="0">
      <w:lvlJc w:val="left"/>
      <w:lvlText w:val="(%1)"/>
      <w:numFmt w:val="lowerLetter"/>
      <w:start w:val="1"/>
    </w:lvl>
  </w:abstractNum>
  <w:abstractNum w:abstractNumId="405">
    <w:nsid w:val="9D30DFD"/>
    <w:multiLevelType w:val="hybridMultilevel"/>
    <w:lvl w:ilvl="0">
      <w:lvlJc w:val="left"/>
      <w:lvlText w:val="(%1)"/>
      <w:numFmt w:val="lowerLetter"/>
      <w:start w:val="9"/>
    </w:lvl>
    <w:lvl w:ilvl="1">
      <w:lvlJc w:val="left"/>
      <w:lvlText w:val="(%2)"/>
      <w:numFmt w:val="lowerLetter"/>
      <w:start w:val="2"/>
    </w:lvl>
  </w:abstractNum>
  <w:abstractNum w:abstractNumId="406">
    <w:nsid w:val="70A42016"/>
    <w:multiLevelType w:val="hybridMultilevel"/>
    <w:lvl w:ilvl="0">
      <w:lvlJc w:val="left"/>
      <w:lvlText w:val="(%1)"/>
      <w:numFmt w:val="lowerLetter"/>
      <w:start w:val="1"/>
    </w:lvl>
  </w:abstractNum>
  <w:abstractNum w:abstractNumId="407">
    <w:nsid w:val="161BC243"/>
    <w:multiLevelType w:val="hybridMultilevel"/>
    <w:lvl w:ilvl="0">
      <w:lvlJc w:val="left"/>
      <w:lvlText w:val="(%1)"/>
      <w:numFmt w:val="lowerLetter"/>
      <w:start w:val="1"/>
    </w:lvl>
  </w:abstractNum>
  <w:abstractNum w:abstractNumId="408">
    <w:nsid w:val="16E908C8"/>
    <w:multiLevelType w:val="hybridMultilevel"/>
    <w:lvl w:ilvl="0">
      <w:lvlJc w:val="left"/>
      <w:lvlText w:val="(%1)"/>
      <w:numFmt w:val="lowerLetter"/>
      <w:start w:val="2"/>
    </w:lvl>
  </w:abstractNum>
  <w:abstractNum w:abstractNumId="409">
    <w:nsid w:val="2E0D7671"/>
    <w:multiLevelType w:val="hybridMultilevel"/>
    <w:lvl w:ilvl="0">
      <w:lvlJc w:val="left"/>
      <w:lvlText w:val="(%1)"/>
      <w:numFmt w:val="lowerLetter"/>
      <w:start w:val="1"/>
    </w:lvl>
  </w:abstractNum>
  <w:abstractNum w:abstractNumId="410">
    <w:nsid w:val="38B59EFF"/>
    <w:multiLevelType w:val="hybridMultilevel"/>
    <w:lvl w:ilvl="0">
      <w:lvlJc w:val="left"/>
      <w:lvlText w:val="(%1)"/>
      <w:numFmt w:val="lowerLetter"/>
      <w:start w:val="1"/>
    </w:lvl>
    <w:lvl w:ilvl="1">
      <w:lvlJc w:val="left"/>
      <w:lvlText w:val="(%2)"/>
      <w:numFmt w:val="lowerRoman"/>
      <w:start w:val="1"/>
    </w:lvl>
  </w:abstractNum>
  <w:abstractNum w:abstractNumId="411">
    <w:nsid w:val="307995CA"/>
    <w:multiLevelType w:val="hybridMultilevel"/>
    <w:lvl w:ilvl="0">
      <w:lvlJc w:val="left"/>
      <w:lvlText w:val="(%1)"/>
      <w:numFmt w:val="lowerLetter"/>
      <w:start w:val="3"/>
    </w:lvl>
  </w:abstractNum>
  <w:abstractNum w:abstractNumId="412">
    <w:nsid w:val="52E2024D"/>
    <w:multiLevelType w:val="hybridMultilevel"/>
    <w:lvl w:ilvl="0">
      <w:lvlJc w:val="left"/>
      <w:lvlText w:val="(%1)"/>
      <w:numFmt w:val="lowerLetter"/>
      <w:start w:val="1"/>
    </w:lvl>
  </w:abstractNum>
  <w:abstractNum w:abstractNumId="413">
    <w:nsid w:val="CE344B5"/>
    <w:multiLevelType w:val="hybridMultilevel"/>
    <w:lvl w:ilvl="0">
      <w:lvlJc w:val="left"/>
      <w:lvlText w:val="(%1)"/>
      <w:numFmt w:val="lowerLetter"/>
      <w:start w:val="3"/>
    </w:lvl>
  </w:abstractNum>
  <w:abstractNum w:abstractNumId="414">
    <w:nsid w:val="29B0E9A8"/>
    <w:multiLevelType w:val="hybridMultilevel"/>
    <w:lvl w:ilvl="0">
      <w:lvlJc w:val="left"/>
      <w:lvlText w:val="(%1)"/>
      <w:numFmt w:val="lowerLetter"/>
      <w:start w:val="1"/>
    </w:lvl>
  </w:abstractNum>
  <w:abstractNum w:abstractNumId="415">
    <w:nsid w:val="6F49CD8A"/>
    <w:multiLevelType w:val="hybridMultilevel"/>
    <w:lvl w:ilvl="0">
      <w:lvlJc w:val="left"/>
      <w:lvlText w:val="(%1)"/>
      <w:numFmt w:val="lowerLetter"/>
      <w:start w:val="2"/>
    </w:lvl>
  </w:abstractNum>
  <w:abstractNum w:abstractNumId="416">
    <w:nsid w:val="4DC5D907"/>
    <w:multiLevelType w:val="hybridMultilevel"/>
    <w:lvl w:ilvl="0">
      <w:lvlJc w:val="left"/>
      <w:lvlText w:val="(%1)"/>
      <w:numFmt w:val="lowerLetter"/>
      <w:start w:val="3"/>
    </w:lvl>
    <w:lvl w:ilvl="1">
      <w:lvlJc w:val="left"/>
      <w:lvlText w:val="(%2)"/>
      <w:numFmt w:val="lowerRoman"/>
      <w:start w:val="1"/>
    </w:lvl>
  </w:abstractNum>
  <w:abstractNum w:abstractNumId="417">
    <w:nsid w:val="D55945E"/>
    <w:multiLevelType w:val="hybridMultilevel"/>
    <w:lvl w:ilvl="0">
      <w:lvlJc w:val="left"/>
      <w:lvlText w:val="(%1)"/>
      <w:numFmt w:val="lowerLetter"/>
      <w:start w:val="6"/>
    </w:lvl>
  </w:abstractNum>
  <w:abstractNum w:abstractNumId="418">
    <w:nsid w:val="672417E1"/>
    <w:multiLevelType w:val="hybridMultilevel"/>
    <w:lvl w:ilvl="0">
      <w:lvlJc w:val="left"/>
      <w:lvlText w:val="(%1)"/>
      <w:numFmt w:val="lowerLetter"/>
      <w:start w:val="1"/>
    </w:lvl>
  </w:abstractNum>
  <w:abstractNum w:abstractNumId="419">
    <w:nsid w:val="5FF6CA09"/>
    <w:multiLevelType w:val="hybridMultilevel"/>
    <w:lvl w:ilvl="0">
      <w:lvlJc w:val="left"/>
      <w:lvlText w:val="%1"/>
      <w:numFmt w:val="lowerLetter"/>
      <w:start w:val="1"/>
    </w:lvl>
    <w:lvl w:ilvl="1">
      <w:lvlJc w:val="left"/>
      <w:lvlText w:val="(%2)"/>
      <w:numFmt w:val="lowerLetter"/>
      <w:start w:val="1"/>
    </w:lvl>
  </w:abstractNum>
  <w:abstractNum w:abstractNumId="420">
    <w:nsid w:val="330B1333"/>
    <w:multiLevelType w:val="hybridMultilevel"/>
    <w:lvl w:ilvl="0">
      <w:lvlJc w:val="left"/>
      <w:lvlText w:val="(%1)"/>
      <w:numFmt w:val="lowerLetter"/>
      <w:start w:val="9"/>
    </w:lvl>
    <w:lvl w:ilvl="1">
      <w:lvlJc w:val="left"/>
      <w:lvlText w:val="(%2)"/>
      <w:numFmt w:val="lowerLetter"/>
      <w:start w:val="3"/>
    </w:lvl>
  </w:abstractNum>
  <w:abstractNum w:abstractNumId="421">
    <w:nsid w:val="2EF32EA6"/>
    <w:multiLevelType w:val="hybridMultilevel"/>
    <w:lvl w:ilvl="0">
      <w:lvlJc w:val="left"/>
      <w:lvlText w:val="(%1)"/>
      <w:numFmt w:val="lowerLetter"/>
      <w:start w:val="1"/>
    </w:lvl>
  </w:abstractNum>
  <w:abstractNum w:abstractNumId="422">
    <w:nsid w:val="32766A55"/>
    <w:multiLevelType w:val="hybridMultilevel"/>
    <w:lvl w:ilvl="0">
      <w:lvlJc w:val="left"/>
      <w:lvlText w:val="(%1)"/>
      <w:numFmt w:val="lowerLetter"/>
      <w:start w:val="1"/>
    </w:lvl>
  </w:abstractNum>
  <w:abstractNum w:abstractNumId="423">
    <w:nsid w:val="22D71957"/>
    <w:multiLevelType w:val="hybridMultilevel"/>
    <w:lvl w:ilvl="0">
      <w:lvlJc w:val="left"/>
      <w:lvlText w:val="(%1)"/>
      <w:numFmt w:val="lowerLetter"/>
      <w:start w:val="2"/>
    </w:lvl>
  </w:abstractNum>
  <w:abstractNum w:abstractNumId="424">
    <w:nsid w:val="4CC1263B"/>
    <w:multiLevelType w:val="hybridMultilevel"/>
    <w:lvl w:ilvl="0">
      <w:lvlJc w:val="left"/>
      <w:lvlText w:val="(%1)"/>
      <w:numFmt w:val="lowerLetter"/>
      <w:start w:val="1"/>
    </w:lvl>
  </w:abstractNum>
  <w:abstractNum w:abstractNumId="425">
    <w:nsid w:val="8BBEB1D"/>
    <w:multiLevelType w:val="hybridMultilevel"/>
    <w:lvl w:ilvl="0">
      <w:lvlJc w:val="left"/>
      <w:lvlText w:val="(%1)"/>
      <w:numFmt w:val="lowerLetter"/>
      <w:start w:val="1"/>
    </w:lvl>
  </w:abstractNum>
  <w:abstractNum w:abstractNumId="426">
    <w:nsid w:val="7365F1EE"/>
    <w:multiLevelType w:val="hybridMultilevel"/>
    <w:lvl w:ilvl="0">
      <w:lvlJc w:val="left"/>
      <w:lvlText w:val="(%1)"/>
      <w:numFmt w:val="lowerLetter"/>
      <w:start w:val="2"/>
    </w:lvl>
  </w:abstractNum>
  <w:abstractNum w:abstractNumId="427">
    <w:nsid w:val="37524CF0"/>
    <w:multiLevelType w:val="hybridMultilevel"/>
    <w:lvl w:ilvl="0">
      <w:lvlJc w:val="left"/>
      <w:lvlText w:val="(%1)"/>
      <w:numFmt w:val="lowerLetter"/>
      <w:start w:val="1"/>
    </w:lvl>
    <w:lvl w:ilvl="1">
      <w:lvlJc w:val="left"/>
      <w:lvlText w:val="(%2)"/>
      <w:numFmt w:val="lowerRoman"/>
      <w:start w:val="1"/>
    </w:lvl>
  </w:abstractNum>
  <w:abstractNum w:abstractNumId="428">
    <w:nsid w:val="70CC332F"/>
    <w:multiLevelType w:val="hybridMultilevel"/>
    <w:lvl w:ilvl="0">
      <w:lvlJc w:val="left"/>
      <w:lvlText w:val="(%1)"/>
      <w:numFmt w:val="lowerLetter"/>
      <w:start w:val="1"/>
    </w:lvl>
  </w:abstractNum>
  <w:abstractNum w:abstractNumId="429">
    <w:nsid w:val="5661786E"/>
    <w:multiLevelType w:val="hybridMultilevel"/>
    <w:lvl w:ilvl="0">
      <w:lvlJc w:val="left"/>
      <w:lvlText w:val="%1."/>
      <w:numFmt w:val="decimal"/>
      <w:start w:val="1"/>
    </w:lvl>
  </w:abstractNum>
  <w:abstractNum w:abstractNumId="430">
    <w:nsid w:val="3AF6A220"/>
    <w:multiLevelType w:val="hybridMultilevel"/>
    <w:lvl w:ilvl="0">
      <w:lvlJc w:val="left"/>
      <w:lvlText w:val="(%1)"/>
      <w:numFmt w:val="lowerLetter"/>
      <w:start w:val="1"/>
    </w:lvl>
  </w:abstractNum>
  <w:abstractNum w:abstractNumId="431">
    <w:nsid w:val="3C5EA902"/>
    <w:multiLevelType w:val="hybridMultilevel"/>
    <w:lvl w:ilvl="0">
      <w:lvlJc w:val="left"/>
      <w:lvlText w:val="(%1)"/>
      <w:numFmt w:val="lowerLetter"/>
      <w:start w:val="1"/>
    </w:lvl>
  </w:abstractNum>
  <w:abstractNum w:abstractNumId="432">
    <w:nsid w:val="256E6749"/>
    <w:multiLevelType w:val="hybridMultilevel"/>
    <w:lvl w:ilvl="0">
      <w:lvlJc w:val="left"/>
      <w:lvlText w:val="(%1)"/>
      <w:numFmt w:val="lowerLetter"/>
      <w:start w:val="1"/>
    </w:lvl>
  </w:abstractNum>
  <w:abstractNum w:abstractNumId="433">
    <w:nsid w:val="1CB9A581"/>
    <w:multiLevelType w:val="hybridMultilevel"/>
    <w:lvl w:ilvl="0">
      <w:lvlJc w:val="left"/>
      <w:lvlText w:val="%1"/>
      <w:numFmt w:val="decimal"/>
      <w:start w:val="10"/>
    </w:lvl>
  </w:abstractNum>
  <w:abstractNum w:abstractNumId="434">
    <w:nsid w:val="1F7F42E2"/>
    <w:multiLevelType w:val="hybridMultilevel"/>
    <w:lvl w:ilvl="0">
      <w:lvlJc w:val="left"/>
      <w:lvlText w:val="(%1)"/>
      <w:numFmt w:val="lowerLetter"/>
      <w:start w:val="1"/>
    </w:lvl>
  </w:abstractNum>
  <w:abstractNum w:abstractNumId="435">
    <w:nsid w:val="49D1FEA0"/>
    <w:multiLevelType w:val="hybridMultilevel"/>
    <w:lvl w:ilvl="0">
      <w:lvlJc w:val="left"/>
      <w:lvlText w:val="(%1)"/>
      <w:numFmt w:val="lowerLetter"/>
      <w:start w:val="3"/>
    </w:lvl>
  </w:abstractNum>
  <w:abstractNum w:abstractNumId="436">
    <w:nsid w:val="268CB37F"/>
    <w:multiLevelType w:val="hybridMultilevel"/>
    <w:lvl w:ilvl="0">
      <w:lvlJc w:val="left"/>
      <w:lvlText w:val="%1"/>
      <w:numFmt w:val="decimal"/>
      <w:start w:val="1"/>
    </w:lvl>
    <w:lvl w:ilvl="1">
      <w:lvlJc w:val="left"/>
      <w:lvlText w:val="%2."/>
      <w:numFmt w:val="decimal"/>
      <w:start w:val="1"/>
    </w:lvl>
  </w:abstractNum>
  <w:abstractNum w:abstractNumId="437">
    <w:nsid w:val="102362F8"/>
    <w:multiLevelType w:val="hybridMultilevel"/>
    <w:lvl w:ilvl="0">
      <w:lvlJc w:val="left"/>
      <w:lvlText w:val="%1."/>
      <w:numFmt w:val="decimal"/>
      <w:start w:val="2"/>
    </w:lvl>
    <w:lvl w:ilvl="1">
      <w:lvlJc w:val="left"/>
      <w:lvlText w:val="%2"/>
      <w:numFmt w:val="decimal"/>
      <w:start w:val="1"/>
    </w:lvl>
  </w:abstractNum>
  <w:abstractNum w:abstractNumId="438">
    <w:nsid w:val="5FEDC0E3"/>
    <w:multiLevelType w:val="hybridMultilevel"/>
    <w:lvl w:ilvl="0">
      <w:lvlJc w:val="left"/>
      <w:lvlText w:val="%1."/>
      <w:numFmt w:val="decimal"/>
      <w:start w:val="1"/>
    </w:lvl>
  </w:abstractNum>
  <w:abstractNum w:abstractNumId="439">
    <w:nsid w:val="3D75BC47"/>
    <w:multiLevelType w:val="hybridMultilevel"/>
    <w:lvl w:ilvl="0">
      <w:lvlJc w:val="left"/>
      <w:lvlText w:val="%1."/>
      <w:numFmt w:val="decimal"/>
      <w:start w:val="4"/>
    </w:lvl>
  </w:abstractNum>
  <w:abstractNum w:abstractNumId="440">
    <w:nsid w:val="3E30D969"/>
    <w:multiLevelType w:val="hybridMultilevel"/>
    <w:lvl w:ilvl="0">
      <w:lvlJc w:val="left"/>
      <w:lvlText w:val="%1"/>
      <w:numFmt w:val="lowerLetter"/>
      <w:start w:val="1"/>
    </w:lvl>
    <w:lvl w:ilvl="1">
      <w:lvlJc w:val="left"/>
      <w:lvlText w:val="%2."/>
      <w:numFmt w:val="decimal"/>
      <w:start w:val="1"/>
    </w:lvl>
  </w:abstractNum>
  <w:abstractNum w:abstractNumId="441">
    <w:nsid w:val="18A35FE3"/>
    <w:multiLevelType w:val="hybridMultilevel"/>
    <w:lvl w:ilvl="0">
      <w:lvlJc w:val="left"/>
      <w:lvlText w:val="(%1)"/>
      <w:numFmt w:val="lowerLetter"/>
      <w:start w:val="2"/>
    </w:lvl>
    <w:lvl w:ilvl="1">
      <w:lvlJc w:val="left"/>
      <w:lvlText w:val="%2"/>
      <w:numFmt w:val="decimal"/>
      <w:start w:val="1"/>
    </w:lvl>
  </w:abstractNum>
  <w:abstractNum w:abstractNumId="442">
    <w:nsid w:val="6DEF5211"/>
    <w:multiLevelType w:val="hybridMultilevel"/>
    <w:lvl w:ilvl="0">
      <w:lvlJc w:val="left"/>
      <w:lvlText w:val="%1."/>
      <w:numFmt w:val="decimal"/>
      <w:start w:val="2"/>
    </w:lvl>
  </w:abstractNum>
  <w:abstractNum w:abstractNumId="443">
    <w:nsid w:val="1112DBB6"/>
    <w:multiLevelType w:val="hybridMultilevel"/>
    <w:lvl w:ilvl="0">
      <w:lvlJc w:val="left"/>
      <w:lvlText w:val="%1."/>
      <w:numFmt w:val="decimal"/>
      <w:start w:val="1"/>
    </w:lvl>
  </w:abstractNum>
  <w:abstractNum w:abstractNumId="444">
    <w:nsid w:val="2586A498"/>
    <w:multiLevelType w:val="hybridMultilevel"/>
    <w:lvl w:ilvl="0">
      <w:lvlJc w:val="left"/>
      <w:lvlText w:val="%1."/>
      <w:numFmt w:val="decimal"/>
      <w:start w:val="1"/>
    </w:lvl>
  </w:abstractNum>
  <w:abstractNum w:abstractNumId="445">
    <w:nsid w:val="17A03BB9"/>
    <w:multiLevelType w:val="hybridMultilevel"/>
    <w:lvl w:ilvl="0">
      <w:lvlJc w:val="left"/>
      <w:lvlText w:val="(%1)"/>
      <w:numFmt w:val="lowerLetter"/>
      <w:start w:val="1"/>
    </w:lvl>
  </w:abstractNum>
  <w:abstractNum w:abstractNumId="446">
    <w:nsid w:val="5CA941"/>
    <w:multiLevelType w:val="hybridMultilevel"/>
    <w:lvl w:ilvl="0">
      <w:lvlJc w:val="left"/>
      <w:lvlText w:val="%1"/>
      <w:numFmt w:val="lowerRoman"/>
      <w:start w:val="1"/>
    </w:lvl>
    <w:lvl w:ilvl="1">
      <w:lvlJc w:val="left"/>
      <w:lvlText w:val="(%2)"/>
      <w:numFmt w:val="decimal"/>
      <w:start w:val="1"/>
    </w:lvl>
  </w:abstractNum>
  <w:abstractNum w:abstractNumId="447">
    <w:nsid w:val="734C7D9F"/>
    <w:multiLevelType w:val="hybridMultilevel"/>
    <w:lvl w:ilvl="0">
      <w:lvlJc w:val="left"/>
      <w:lvlText w:val="(%1)"/>
      <w:numFmt w:val="lowerRoman"/>
      <w:start w:val="3"/>
    </w:lvl>
    <w:lvl w:ilvl="1">
      <w:lvlJc w:val="left"/>
      <w:lvlText w:val="%2"/>
      <w:numFmt w:val="decimal"/>
      <w:start w:val="1"/>
    </w:lvl>
  </w:abstractNum>
  <w:abstractNum w:abstractNumId="448">
    <w:nsid w:val="24F5D018"/>
    <w:multiLevelType w:val="hybridMultilevel"/>
    <w:lvl w:ilvl="0">
      <w:lvlJc w:val="left"/>
      <w:lvlText w:val="(%1)"/>
      <w:numFmt w:val="upperLetter"/>
      <w:start w:val="1"/>
    </w:lvl>
  </w:abstractNum>
  <w:abstractNum w:abstractNumId="449">
    <w:nsid w:val="6780C122"/>
    <w:multiLevelType w:val="hybridMultilevel"/>
    <w:lvl w:ilvl="0">
      <w:lvlJc w:val="left"/>
      <w:lvlText w:val="(%1)"/>
      <w:numFmt w:val="lowerRoman"/>
      <w:start w:val="3"/>
    </w:lvl>
    <w:lvl w:ilvl="1">
      <w:lvlJc w:val="left"/>
      <w:lvlText w:val="(%2)"/>
      <w:numFmt w:val="upperLetter"/>
      <w:start w:val="4"/>
    </w:lvl>
  </w:abstractNum>
  <w:abstractNum w:abstractNumId="450">
    <w:nsid w:val="534347A8"/>
    <w:multiLevelType w:val="hybridMultilevel"/>
    <w:lvl w:ilvl="0">
      <w:lvlJc w:val="left"/>
      <w:lvlText w:val="(%1)"/>
      <w:numFmt w:val="decimal"/>
      <w:start w:val="3"/>
    </w:lvl>
  </w:abstractNum>
  <w:abstractNum w:abstractNumId="451">
    <w:nsid w:val="5800E34B"/>
    <w:multiLevelType w:val="hybridMultilevel"/>
    <w:lvl w:ilvl="0">
      <w:lvlJc w:val="left"/>
      <w:lvlText w:val="(%1)"/>
      <w:numFmt w:val="lowerLetter"/>
      <w:start w:val="2"/>
    </w:lvl>
  </w:abstractNum>
  <w:abstractNum w:abstractNumId="452">
    <w:nsid w:val="1673EFC8"/>
    <w:multiLevelType w:val="hybridMultilevel"/>
    <w:lvl w:ilvl="0">
      <w:lvlJc w:val="left"/>
      <w:lvlText w:val="(%1)"/>
      <w:numFmt w:val="decimal"/>
      <w:start w:val="1"/>
    </w:lvl>
  </w:abstractNum>
  <w:abstractNum w:abstractNumId="453">
    <w:nsid w:val="5B9B1FD"/>
    <w:multiLevelType w:val="hybridMultilevel"/>
    <w:lvl w:ilvl="0">
      <w:lvlJc w:val="left"/>
      <w:lvlText w:val="(%1)"/>
      <w:numFmt w:val="lowerRoman"/>
      <w:start w:val="1"/>
    </w:lvl>
  </w:abstractNum>
  <w:abstractNum w:abstractNumId="454">
    <w:nsid w:val="7AD7FCA2"/>
    <w:multiLevelType w:val="hybridMultilevel"/>
    <w:lvl w:ilvl="0">
      <w:lvlJc w:val="left"/>
      <w:lvlText w:val="(%1)"/>
      <w:numFmt w:val="lowerLetter"/>
      <w:start w:val="3"/>
    </w:lvl>
  </w:abstractNum>
  <w:abstractNum w:abstractNumId="455">
    <w:nsid w:val="63351604"/>
    <w:multiLevelType w:val="hybridMultilevel"/>
    <w:lvl w:ilvl="0">
      <w:lvlJc w:val="left"/>
      <w:lvlText w:val="(%1)"/>
      <w:numFmt w:val="lowerLetter"/>
      <w:start w:val="1"/>
    </w:lvl>
  </w:abstractNum>
  <w:abstractNum w:abstractNumId="456">
    <w:nsid w:val="E759D1A"/>
    <w:multiLevelType w:val="hybridMultilevel"/>
    <w:lvl w:ilvl="0">
      <w:lvlJc w:val="left"/>
      <w:lvlText w:val="(%1)"/>
      <w:numFmt w:val="lowerLetter"/>
      <w:start w:val="5"/>
    </w:lvl>
  </w:abstractNum>
  <w:abstractNum w:abstractNumId="457">
    <w:nsid w:val="6E3DEE90"/>
    <w:multiLevelType w:val="hybridMultilevel"/>
    <w:lvl w:ilvl="0">
      <w:lvlJc w:val="left"/>
      <w:lvlText w:val="%1"/>
      <w:numFmt w:val="lowerRoman"/>
      <w:start w:val="1"/>
    </w:lvl>
    <w:lvl w:ilvl="1">
      <w:lvlJc w:val="left"/>
      <w:lvlText w:val="(%2)"/>
      <w:numFmt w:val="lowerLetter"/>
      <w:start w:val="1"/>
    </w:lvl>
  </w:abstractNum>
  <w:abstractNum w:abstractNumId="458">
    <w:nsid w:val="1A8762F4"/>
    <w:multiLevelType w:val="hybridMultilevel"/>
    <w:lvl w:ilvl="0">
      <w:lvlJc w:val="left"/>
      <w:lvlText w:val="(%1)"/>
      <w:numFmt w:val="lowerRoman"/>
      <w:start w:val="4"/>
    </w:lvl>
    <w:lvl w:ilvl="1">
      <w:lvlJc w:val="left"/>
      <w:lvlText w:val="(%2)"/>
      <w:numFmt w:val="lowerLetter"/>
      <w:start w:val="2"/>
    </w:lvl>
  </w:abstractNum>
  <w:abstractNum w:abstractNumId="459">
    <w:nsid w:val="7F41D049"/>
    <w:multiLevelType w:val="hybridMultilevel"/>
    <w:lvl w:ilvl="0">
      <w:lvlJc w:val="left"/>
      <w:lvlText w:val="(%1)"/>
      <w:numFmt w:val="lowerRoman"/>
      <w:start w:val="1"/>
    </w:lvl>
  </w:abstractNum>
  <w:abstractNum w:abstractNumId="460">
    <w:nsid w:val="449F66FE"/>
    <w:multiLevelType w:val="hybridMultilevel"/>
    <w:lvl w:ilvl="0">
      <w:lvlJc w:val="left"/>
      <w:lvlText w:val="(%1)"/>
      <w:numFmt w:val="lowerLetter"/>
      <w:start w:val="1"/>
    </w:lvl>
    <w:lvl w:ilvl="1">
      <w:lvlJc w:val="left"/>
      <w:lvlText w:val="(%2)"/>
      <w:numFmt w:val="decimal"/>
      <w:start w:val="1"/>
    </w:lvl>
  </w:abstractNum>
  <w:abstractNum w:abstractNumId="461">
    <w:nsid w:val="557E0515"/>
    <w:multiLevelType w:val="hybridMultilevel"/>
    <w:lvl w:ilvl="0">
      <w:lvlJc w:val="left"/>
      <w:lvlText w:val="(%1)"/>
      <w:numFmt w:val="lowerLetter"/>
      <w:start w:val="1"/>
    </w:lvl>
  </w:abstractNum>
  <w:abstractNum w:abstractNumId="462">
    <w:nsid w:val="3BA0794B"/>
    <w:multiLevelType w:val="hybridMultilevel"/>
    <w:lvl w:ilvl="0">
      <w:lvlJc w:val="left"/>
      <w:lvlText w:val="(%1)"/>
      <w:numFmt w:val="lowerLetter"/>
      <w:start w:val="9"/>
    </w:lvl>
    <w:lvl w:ilvl="1">
      <w:lvlJc w:val="left"/>
      <w:lvlText w:val="(%2)"/>
      <w:numFmt w:val="lowerLetter"/>
      <w:start w:val="2"/>
    </w:lvl>
  </w:abstractNum>
  <w:abstractNum w:abstractNumId="463">
    <w:nsid w:val="6A0DCE48"/>
    <w:multiLevelType w:val="hybridMultilevel"/>
    <w:lvl w:ilvl="0">
      <w:lvlJc w:val="left"/>
      <w:lvlText w:val="(%1)"/>
      <w:numFmt w:val="lowerLetter"/>
      <w:start w:val="1"/>
    </w:lvl>
  </w:abstractNum>
  <w:abstractNum w:abstractNumId="464">
    <w:nsid w:val="7237AA96"/>
    <w:multiLevelType w:val="hybridMultilevel"/>
    <w:lvl w:ilvl="0">
      <w:lvlJc w:val="left"/>
      <w:lvlText w:val="(%1)"/>
      <w:numFmt w:val="lowerLetter"/>
      <w:start w:val="1"/>
    </w:lvl>
  </w:abstractNum>
  <w:abstractNum w:abstractNumId="465">
    <w:nsid w:val="5B1FBC2D"/>
    <w:multiLevelType w:val="hybridMultilevel"/>
    <w:lvl w:ilvl="0">
      <w:lvlJc w:val="left"/>
      <w:lvlText w:val="(%1)"/>
      <w:numFmt w:val="lowerLetter"/>
      <w:start w:val="1"/>
    </w:lvl>
  </w:abstractNum>
  <w:abstractNum w:abstractNumId="466">
    <w:nsid w:val="33DFCCE8"/>
    <w:multiLevelType w:val="hybridMultilevel"/>
    <w:lvl w:ilvl="0">
      <w:lvlJc w:val="left"/>
      <w:lvlText w:val="(%1)"/>
      <w:numFmt w:val="lowerLetter"/>
      <w:start w:val="1"/>
    </w:lvl>
    <w:lvl w:ilvl="1">
      <w:lvlJc w:val="left"/>
      <w:lvlText w:val="(%2)"/>
      <w:numFmt w:val="lowerRoman"/>
      <w:start w:val="1"/>
    </w:lvl>
  </w:abstractNum>
  <w:abstractNum w:abstractNumId="467">
    <w:nsid w:val="18C45E15"/>
    <w:multiLevelType w:val="hybridMultilevel"/>
    <w:lvl w:ilvl="0">
      <w:lvlJc w:val="left"/>
      <w:lvlText w:val="(%1)"/>
      <w:numFmt w:val="lowerLetter"/>
      <w:start w:val="3"/>
    </w:lvl>
  </w:abstractNum>
  <w:abstractNum w:abstractNumId="468">
    <w:nsid w:val="6B431F25"/>
    <w:multiLevelType w:val="hybridMultilevel"/>
    <w:lvl w:ilvl="0">
      <w:lvlJc w:val="left"/>
      <w:lvlText w:val="%1"/>
      <w:numFmt w:val="lowerRoman"/>
      <w:start w:val="1"/>
    </w:lvl>
    <w:lvl w:ilvl="1">
      <w:lvlJc w:val="left"/>
      <w:lvlText w:val="(%2)"/>
      <w:numFmt w:val="lowerLetter"/>
      <w:start w:val="1"/>
    </w:lvl>
  </w:abstractNum>
  <w:abstractNum w:abstractNumId="469">
    <w:nsid w:val="13CD8DCB"/>
    <w:multiLevelType w:val="hybridMultilevel"/>
    <w:lvl w:ilvl="0">
      <w:lvlJc w:val="left"/>
      <w:lvlText w:val="(%1)"/>
      <w:numFmt w:val="lowerRoman"/>
      <w:start w:val="2"/>
    </w:lvl>
    <w:lvl w:ilvl="1">
      <w:lvlJc w:val="left"/>
      <w:lvlText w:val="%2"/>
      <w:numFmt w:val="lowerLetter"/>
      <w:start w:val="1"/>
    </w:lvl>
  </w:abstractNum>
  <w:abstractNum w:abstractNumId="470">
    <w:nsid w:val="563A1A5C"/>
    <w:multiLevelType w:val="hybridMultilevel"/>
    <w:lvl w:ilvl="0">
      <w:lvlJc w:val="left"/>
      <w:lvlText w:val="1"/>
      <w:numFmt w:val="bullet"/>
      <w:start w:val="1"/>
    </w:lvl>
  </w:abstractNum>
  <w:abstractNum w:abstractNumId="471">
    <w:nsid w:val="2973F88F"/>
    <w:multiLevelType w:val="hybridMultilevel"/>
    <w:lvl w:ilvl="0">
      <w:lvlJc w:val="left"/>
      <w:lvlText w:val="(%1)"/>
      <w:numFmt w:val="lowerLetter"/>
      <w:start w:val="3"/>
    </w:lvl>
  </w:abstractNum>
  <w:abstractNum w:abstractNumId="472">
    <w:nsid w:val="2C70EDAE"/>
    <w:multiLevelType w:val="hybridMultilevel"/>
    <w:lvl w:ilvl="0">
      <w:lvlJc w:val="left"/>
      <w:lvlText w:val="(%1)"/>
      <w:numFmt w:val="lowerLetter"/>
      <w:start w:val="1"/>
    </w:lvl>
  </w:abstractNum>
  <w:abstractNum w:abstractNumId="473">
    <w:nsid w:val="44296C6D"/>
    <w:multiLevelType w:val="hybridMultilevel"/>
    <w:lvl w:ilvl="0">
      <w:lvlJc w:val="left"/>
      <w:lvlText w:val="(%1)"/>
      <w:numFmt w:val="lowerLetter"/>
      <w:start w:val="2"/>
    </w:lvl>
  </w:abstractNum>
  <w:abstractNum w:abstractNumId="474">
    <w:nsid w:val="3A86D445"/>
    <w:multiLevelType w:val="hybridMultilevel"/>
    <w:lvl w:ilvl="0">
      <w:lvlJc w:val="left"/>
      <w:lvlText w:val="(%1)"/>
      <w:numFmt w:val="lowerLetter"/>
      <w:start w:val="3"/>
    </w:lvl>
    <w:lvl w:ilvl="1">
      <w:lvlJc w:val="left"/>
      <w:lvlText w:val="(%2)"/>
      <w:numFmt w:val="lowerRoman"/>
      <w:start w:val="1"/>
    </w:lvl>
  </w:abstractNum>
  <w:abstractNum w:abstractNumId="475">
    <w:nsid w:val="51F79246"/>
    <w:multiLevelType w:val="hybridMultilevel"/>
    <w:lvl w:ilvl="0">
      <w:lvlJc w:val="left"/>
      <w:lvlText w:val="(%1)"/>
      <w:numFmt w:val="lowerLetter"/>
      <w:start w:val="6"/>
    </w:lvl>
  </w:abstractNum>
  <w:abstractNum w:abstractNumId="476">
    <w:nsid w:val="5BC9A827"/>
    <w:multiLevelType w:val="hybridMultilevel"/>
    <w:lvl w:ilvl="0">
      <w:lvlJc w:val="left"/>
      <w:lvlText w:val="(%1)"/>
      <w:numFmt w:val="lowerLetter"/>
      <w:start w:val="1"/>
    </w:lvl>
  </w:abstractNum>
  <w:abstractNum w:abstractNumId="477">
    <w:nsid w:val="3AE37D86"/>
    <w:multiLevelType w:val="hybridMultilevel"/>
    <w:lvl w:ilvl="0">
      <w:lvlJc w:val="left"/>
      <w:lvlText w:val="%1"/>
      <w:numFmt w:val="lowerLetter"/>
      <w:start w:val="1"/>
    </w:lvl>
    <w:lvl w:ilvl="1">
      <w:lvlJc w:val="left"/>
      <w:lvlText w:val="(%2)"/>
      <w:numFmt w:val="lowerLetter"/>
      <w:start w:val="1"/>
    </w:lvl>
  </w:abstractNum>
  <w:abstractNum w:abstractNumId="478">
    <w:nsid w:val="45440FE5"/>
    <w:multiLevelType w:val="hybridMultilevel"/>
    <w:lvl w:ilvl="0">
      <w:lvlJc w:val="left"/>
      <w:lvlText w:val="(%1)"/>
      <w:numFmt w:val="lowerLetter"/>
      <w:start w:val="9"/>
    </w:lvl>
    <w:lvl w:ilvl="1">
      <w:lvlJc w:val="left"/>
      <w:lvlText w:val="(%2)"/>
      <w:numFmt w:val="lowerLetter"/>
      <w:start w:val="3"/>
    </w:lvl>
  </w:abstractNum>
  <w:abstractNum w:abstractNumId="479">
    <w:nsid w:val="BF783F"/>
    <w:multiLevelType w:val="hybridMultilevel"/>
    <w:lvl w:ilvl="0">
      <w:lvlJc w:val="left"/>
      <w:lvlText w:val="(%1)"/>
      <w:numFmt w:val="lowerLetter"/>
      <w:start w:val="1"/>
    </w:lvl>
  </w:abstractNum>
  <w:abstractNum w:abstractNumId="480">
    <w:nsid w:val="22643EA9"/>
    <w:multiLevelType w:val="hybridMultilevel"/>
    <w:lvl w:ilvl="0">
      <w:lvlJc w:val="left"/>
      <w:lvlText w:val="(%1)"/>
      <w:numFmt w:val="lowerLetter"/>
      <w:start w:val="1"/>
    </w:lvl>
  </w:abstractNum>
  <w:abstractNum w:abstractNumId="481">
    <w:nsid w:val="1887578D"/>
    <w:multiLevelType w:val="hybridMultilevel"/>
    <w:lvl w:ilvl="0">
      <w:lvlJc w:val="left"/>
      <w:lvlText w:val="(%1)"/>
      <w:numFmt w:val="lowerLetter"/>
      <w:start w:val="2"/>
    </w:lvl>
  </w:abstractNum>
  <w:abstractNum w:abstractNumId="482">
    <w:nsid w:val="58C05B8A"/>
    <w:multiLevelType w:val="hybridMultilevel"/>
    <w:lvl w:ilvl="0">
      <w:lvlJc w:val="left"/>
      <w:lvlText w:val="(%1)"/>
      <w:numFmt w:val="lowerLetter"/>
      <w:start w:val="1"/>
    </w:lvl>
  </w:abstractNum>
  <w:abstractNum w:abstractNumId="483">
    <w:nsid w:val="38D82E71"/>
    <w:multiLevelType w:val="hybridMultilevel"/>
    <w:lvl w:ilvl="0">
      <w:lvlJc w:val="left"/>
      <w:lvlText w:val="(%1)"/>
      <w:numFmt w:val="lowerLetter"/>
      <w:start w:val="1"/>
    </w:lvl>
  </w:abstractNum>
  <w:abstractNum w:abstractNumId="484">
    <w:nsid w:val="1E41098A"/>
    <w:multiLevelType w:val="hybridMultilevel"/>
    <w:lvl w:ilvl="0">
      <w:lvlJc w:val="left"/>
      <w:lvlText w:val="(%1)"/>
      <w:numFmt w:val="lowerLetter"/>
      <w:start w:val="2"/>
    </w:lvl>
  </w:abstractNum>
  <w:abstractNum w:abstractNumId="485">
    <w:nsid w:val="5398582C"/>
    <w:multiLevelType w:val="hybridMultilevel"/>
    <w:lvl w:ilvl="0">
      <w:lvlJc w:val="left"/>
      <w:lvlText w:val="(%1)"/>
      <w:numFmt w:val="lowerLetter"/>
      <w:start w:val="1"/>
    </w:lvl>
    <w:lvl w:ilvl="1">
      <w:lvlJc w:val="left"/>
      <w:lvlText w:val="(%2)"/>
      <w:numFmt w:val="lowerRoman"/>
      <w:start w:val="1"/>
    </w:lvl>
  </w:abstractNum>
  <w:abstractNum w:abstractNumId="486">
    <w:nsid w:val="1C0D4475"/>
    <w:multiLevelType w:val="hybridMultilevel"/>
    <w:lvl w:ilvl="0">
      <w:lvlJc w:val="left"/>
      <w:lvlText w:val="(%1)"/>
      <w:numFmt w:val="lowerLetter"/>
      <w:start w:val="1"/>
    </w:lvl>
  </w:abstractNum>
  <w:abstractNum w:abstractNumId="487">
    <w:nsid w:val="2CB6A6A4"/>
    <w:multiLevelType w:val="hybridMultilevel"/>
    <w:lvl w:ilvl="0">
      <w:lvlJc w:val="left"/>
      <w:lvlText w:val="%1."/>
      <w:numFmt w:val="decimal"/>
      <w:start w:val="1"/>
    </w:lvl>
  </w:abstractNum>
  <w:abstractNum w:abstractNumId="488">
    <w:nsid w:val="41D646B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89">
    <w:nsid w:val="3694A76A"/>
    <w:multiLevelType w:val="hybridMultilevel"/>
    <w:lvl w:ilvl="0">
      <w:lvlJc w:val="left"/>
      <w:lvlText w:val="%1."/>
      <w:numFmt w:val="lowerLetter"/>
      <w:start w:val="2"/>
    </w:lvl>
  </w:abstractNum>
  <w:abstractNum w:abstractNumId="490">
    <w:nsid w:val="2BF876EE"/>
    <w:multiLevelType w:val="hybridMultilevel"/>
    <w:lvl w:ilvl="0">
      <w:lvlJc w:val="left"/>
      <w:lvlText w:val="%1"/>
      <w:numFmt w:val="decimal"/>
      <w:start w:val="1"/>
    </w:lvl>
    <w:lvl w:ilvl="1">
      <w:lvlJc w:val="left"/>
      <w:lvlText w:val="%2."/>
      <w:numFmt w:val="lowerLetter"/>
      <w:start w:val="8"/>
    </w:lvl>
  </w:abstractNum>
  <w:abstractNum w:abstractNumId="491">
    <w:nsid w:val="675ADBA"/>
    <w:multiLevelType w:val="hybridMultilevel"/>
    <w:lvl w:ilvl="0">
      <w:lvlJc w:val="left"/>
      <w:lvlText w:val="%1."/>
      <w:numFmt w:val="decimal"/>
      <w:start w:val="6"/>
    </w:lvl>
    <w:lvl w:ilvl="1">
      <w:lvlJc w:val="left"/>
      <w:lvlText w:val="%2."/>
      <w:numFmt w:val="lowerLetter"/>
      <w:start w:val="1"/>
    </w:lvl>
  </w:abstractNum>
  <w:abstractNum w:abstractNumId="492">
    <w:nsid w:val="C12AC7F"/>
    <w:multiLevelType w:val="hybridMultilevel"/>
    <w:lvl w:ilvl="0">
      <w:lvlJc w:val="left"/>
      <w:lvlText w:val="(%1)"/>
      <w:numFmt w:val="lowerRoman"/>
      <w:start w:val="4"/>
    </w:lvl>
    <w:lvl w:ilvl="1">
      <w:lvlJc w:val="left"/>
      <w:lvlText w:val="%2."/>
      <w:numFmt w:val="lowerLetter"/>
      <w:start w:val="2"/>
    </w:lvl>
  </w:abstractNum>
  <w:abstractNum w:abstractNumId="493">
    <w:nsid w:val="6798F039"/>
    <w:multiLevelType w:val="hybridMultilevel"/>
    <w:lvl w:ilvl="0">
      <w:lvlJc w:val="left"/>
      <w:lvlText w:val="%1."/>
      <w:numFmt w:val="lowerLetter"/>
      <w:start w:val="8"/>
    </w:lvl>
  </w:abstractNum>
  <w:abstractNum w:abstractNumId="494">
    <w:nsid w:val="70837C02"/>
    <w:multiLevelType w:val="hybridMultilevel"/>
    <w:lvl w:ilvl="0">
      <w:lvlJc w:val="left"/>
      <w:lvlText w:val="%1"/>
      <w:numFmt w:val="decimal"/>
      <w:start w:val="1"/>
    </w:lvl>
    <w:lvl w:ilvl="1">
      <w:lvlJc w:val="left"/>
      <w:lvlText w:val="%2."/>
      <w:numFmt w:val="lowerLetter"/>
      <w:start w:val="17"/>
    </w:lvl>
  </w:abstractNum>
  <w:abstractNum w:abstractNumId="495">
    <w:nsid w:val="7E4A5715"/>
    <w:multiLevelType w:val="hybridMultilevel"/>
    <w:lvl w:ilvl="0">
      <w:lvlJc w:val="left"/>
      <w:lvlText w:val="%1."/>
      <w:numFmt w:val="decimal"/>
      <w:start w:val="7"/>
    </w:lvl>
    <w:lvl w:ilvl="1">
      <w:lvlJc w:val="left"/>
      <w:lvlText w:val="%2."/>
      <w:numFmt w:val="lowerLetter"/>
      <w:start w:val="1"/>
    </w:lvl>
  </w:abstractNum>
  <w:abstractNum w:abstractNumId="496">
    <w:nsid w:val="42B8AC67"/>
    <w:multiLevelType w:val="hybridMultilevel"/>
    <w:lvl w:ilvl="0">
      <w:lvlJc w:val="left"/>
      <w:lvlText w:val="%1."/>
      <w:numFmt w:val="lowerLetter"/>
      <w:start w:val="2"/>
    </w:lvl>
  </w:abstractNum>
  <w:abstractNum w:abstractNumId="497">
    <w:nsid w:val="246348EA"/>
    <w:multiLevelType w:val="hybridMultilevel"/>
    <w:lvl w:ilvl="0">
      <w:lvlJc w:val="left"/>
      <w:lvlText w:val="%1."/>
      <w:numFmt w:val="lowerLetter"/>
      <w:start w:val="5"/>
    </w:lvl>
  </w:abstractNum>
  <w:abstractNum w:abstractNumId="498">
    <w:nsid w:val="170EB52B"/>
    <w:multiLevelType w:val="hybridMultilevel"/>
    <w:lvl w:ilvl="0">
      <w:lvlJc w:val="left"/>
      <w:lvlText w:val="%1."/>
      <w:numFmt w:val="decimal"/>
      <w:start w:val="8"/>
    </w:lvl>
  </w:abstractNum>
  <w:abstractNum w:abstractNumId="499">
    <w:nsid w:val="2DFBCB8C"/>
    <w:multiLevelType w:val="hybridMultilevel"/>
    <w:lvl w:ilvl="0">
      <w:lvlJc w:val="left"/>
      <w:lvlText w:val="%1"/>
      <w:numFmt w:val="decimal"/>
      <w:start w:val="1"/>
    </w:lvl>
    <w:lvl w:ilvl="1">
      <w:lvlJc w:val="left"/>
      <w:lvlText w:val="%2."/>
      <w:numFmt w:val="decimal"/>
      <w:start w:val="9"/>
    </w:lvl>
  </w:abstractNum>
  <w:abstractNum w:abstractNumId="500">
    <w:nsid w:val="3830D6B6"/>
    <w:multiLevelType w:val="hybridMultilevel"/>
    <w:lvl w:ilvl="0">
      <w:lvlJc w:val="left"/>
      <w:lvlText w:val="%1."/>
      <w:numFmt w:val="decimal"/>
      <w:start w:val="10"/>
    </w:lvl>
    <w:lvl w:ilvl="1">
      <w:lvlJc w:val="left"/>
      <w:lvlText w:val="%2"/>
      <w:numFmt w:val="decimal"/>
      <w:start w:val="1"/>
    </w:lvl>
  </w:abstractNum>
  <w:abstractNum w:abstractNumId="501">
    <w:nsid w:val="6D48CF87"/>
    <w:multiLevelType w:val="hybridMultilevel"/>
    <w:lvl w:ilvl="0">
      <w:lvlJc w:val="left"/>
      <w:lvlText w:val="%1."/>
      <w:numFmt w:val="lowerLetter"/>
      <w:start w:val="1"/>
    </w:lvl>
  </w:abstractNum>
  <w:abstractNum w:abstractNumId="502">
    <w:nsid w:val="576FC41B"/>
    <w:multiLevelType w:val="hybridMultilevel"/>
    <w:lvl w:ilvl="0">
      <w:lvlJc w:val="left"/>
      <w:lvlText w:val="%1."/>
      <w:numFmt w:val="lowerLetter"/>
      <w:start w:val="7"/>
    </w:lvl>
  </w:abstractNum>
  <w:abstractNum w:abstractNumId="503">
    <w:nsid w:val="64A1C464"/>
    <w:multiLevelType w:val="hybridMultilevel"/>
    <w:lvl w:ilvl="0">
      <w:lvlJc w:val="left"/>
      <w:lvlText w:val="&amp;"/>
      <w:numFmt w:val="bullet"/>
      <w:start w:val="1"/>
    </w:lvl>
    <w:lvl w:ilvl="1">
      <w:lvlJc w:val="left"/>
      <w:lvlText w:val="%2"/>
      <w:numFmt w:val="decimal"/>
      <w:start w:val="1"/>
    </w:lvl>
    <w:lvl w:ilvl="2">
      <w:lvlJc w:val="left"/>
      <w:lvlText w:val="%3."/>
      <w:numFmt w:val="lowerLetter"/>
      <w:start w:val="13"/>
    </w:lvl>
  </w:abstractNum>
  <w:abstractNum w:abstractNumId="504">
    <w:nsid w:val="31723BF5"/>
    <w:multiLevelType w:val="hybridMultilevel"/>
    <w:lvl w:ilvl="0">
      <w:lvlJc w:val="left"/>
      <w:lvlText w:val="&amp;"/>
      <w:numFmt w:val="bullet"/>
      <w:start w:val="1"/>
    </w:lvl>
    <w:lvl w:ilvl="1">
      <w:lvlJc w:val="left"/>
      <w:lvlText w:val="%2."/>
      <w:numFmt w:val="decimal"/>
      <w:start w:val="11"/>
    </w:lvl>
    <w:lvl w:ilvl="2">
      <w:lvlJc w:val="left"/>
      <w:lvlText w:val="%3"/>
      <w:numFmt w:val="lowerLetter"/>
      <w:start w:val="1"/>
    </w:lvl>
  </w:abstractNum>
  <w:abstractNum w:abstractNumId="505">
    <w:nsid w:val="11F69861"/>
    <w:multiLevelType w:val="hybridMultilevel"/>
    <w:lvl w:ilvl="0">
      <w:lvlJc w:val="left"/>
      <w:lvlText w:val="%1."/>
      <w:numFmt w:val="upperLetter"/>
      <w:start w:val="1"/>
    </w:lvl>
    <w:lvl w:ilvl="1">
      <w:lvlJc w:val="left"/>
      <w:lvlText w:val="£"/>
      <w:numFmt w:val="bullet"/>
      <w:start w:val="1"/>
    </w:lvl>
  </w:abstractNum>
  <w:abstractNum w:abstractNumId="506">
    <w:nsid w:val="369956AB"/>
    <w:multiLevelType w:val="hybridMultilevel"/>
    <w:lvl w:ilvl="0">
      <w:lvlJc w:val="left"/>
      <w:lvlText w:val="%1."/>
      <w:numFmt w:val="decimal"/>
      <w:start w:val="1"/>
    </w:lvl>
  </w:abstractNum>
  <w:abstractNum w:abstractNumId="507">
    <w:nsid w:val="D3BE41C"/>
    <w:multiLevelType w:val="hybridMultilevel"/>
    <w:lvl w:ilvl="0">
      <w:lvlJc w:val="left"/>
      <w:lvlText w:val="%1."/>
      <w:numFmt w:val="upperLetter"/>
      <w:start w:val="2"/>
    </w:lvl>
    <w:lvl w:ilvl="1">
      <w:lvlJc w:val="left"/>
      <w:lvlText w:val="£"/>
      <w:numFmt w:val="bullet"/>
      <w:start w:val="1"/>
    </w:lvl>
  </w:abstractNum>
  <w:abstractNum w:abstractNumId="508">
    <w:nsid w:val="4CDA15E7"/>
    <w:multiLevelType w:val="hybridMultilevel"/>
    <w:lvl w:ilvl="0">
      <w:lvlJc w:val="left"/>
      <w:lvlText w:val="%1."/>
      <w:numFmt w:val="decimal"/>
      <w:start w:val="1"/>
    </w:lvl>
  </w:abstractNum>
  <w:abstractNum w:abstractNumId="509">
    <w:nsid w:val="7BDD6690"/>
    <w:multiLevelType w:val="hybridMultilevel"/>
    <w:lvl w:ilvl="0">
      <w:lvlJc w:val="left"/>
      <w:lvlText w:val="£"/>
      <w:numFmt w:val="bullet"/>
      <w:start w:val="1"/>
    </w:lvl>
  </w:abstractNum>
  <w:abstractNum w:abstractNumId="510">
    <w:nsid w:val="DFB5C5B"/>
    <w:multiLevelType w:val="hybridMultilevel"/>
    <w:lvl w:ilvl="0">
      <w:lvlJc w:val="left"/>
      <w:lvlText w:val="(%1)"/>
      <w:numFmt w:val="lowerLetter"/>
      <w:start w:val="1"/>
    </w:lvl>
    <w:lvl w:ilvl="1">
      <w:lvlJc w:val="left"/>
      <w:lvlText w:val="(%2)"/>
      <w:numFmt w:val="lowerLetter"/>
      <w:start w:val="1"/>
    </w:lvl>
  </w:abstractNum>
  <w:abstractNum w:abstractNumId="511">
    <w:nsid w:val="6F3E5490"/>
    <w:multiLevelType w:val="hybridMultilevel"/>
    <w:lvl w:ilvl="0">
      <w:lvlJc w:val="left"/>
      <w:lvlText w:val="(%1)"/>
      <w:numFmt w:val="lowerLetter"/>
      <w:start w:val="5"/>
    </w:lvl>
  </w:abstractNum>
  <w:abstractNum w:abstractNumId="512">
    <w:nsid w:val="1464BE1E"/>
    <w:multiLevelType w:val="hybridMultilevel"/>
    <w:lvl w:ilvl="0">
      <w:lvlJc w:val="left"/>
      <w:lvlText w:val="*"/>
      <w:numFmt w:val="bullet"/>
      <w:start w:val="1"/>
    </w:lvl>
  </w:abstractNum>
  <w:abstractNum w:abstractNumId="513">
    <w:nsid w:val="66BBB7E5"/>
    <w:multiLevelType w:val="hybridMultilevel"/>
    <w:lvl w:ilvl="0">
      <w:lvlJc w:val="left"/>
      <w:lvlText w:val="**"/>
      <w:numFmt w:val="bullet"/>
      <w:start w:val="1"/>
    </w:lvl>
  </w:abstractNum>
  <w:abstractNum w:abstractNumId="514">
    <w:nsid w:val="28168302"/>
    <w:multiLevelType w:val="hybridMultilevel"/>
    <w:lvl w:ilvl="0">
      <w:lvlJc w:val="left"/>
      <w:lvlText w:val="†"/>
      <w:numFmt w:val="bullet"/>
      <w:start w:val="1"/>
    </w:lvl>
  </w:abstractNum>
  <w:abstractNum w:abstractNumId="515">
    <w:nsid w:val="32A5C7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16">
    <w:nsid w:val="3A54101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3"/>
    </w:lvl>
  </w:abstractNum>
  <w:abstractNum w:abstractNumId="517">
    <w:nsid w:val="4423C77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lvl w:ilvl="3">
      <w:lvlJc w:val="left"/>
      <w:lvlText w:val="%4"/>
      <w:numFmt w:val="lowerRoman"/>
      <w:start w:val="1"/>
    </w:lvl>
  </w:abstractNum>
  <w:abstractNum w:abstractNumId="518">
    <w:nsid w:val="5F5C6E4D"/>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lvl w:ilvl="3">
      <w:lvlJc w:val="left"/>
      <w:lvlText w:val="%4"/>
      <w:numFmt w:val="lowerRoman"/>
      <w:start w:val="1"/>
    </w:lvl>
  </w:abstractNum>
  <w:abstractNum w:abstractNumId="519">
    <w:nsid w:val="7C2A56C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520">
    <w:nsid w:val="7AB86EE1"/>
    <w:multiLevelType w:val="hybridMultilevel"/>
    <w:lvl w:ilvl="0">
      <w:lvlJc w:val="left"/>
      <w:lvlText w:val="%1."/>
      <w:numFmt w:val="decimal"/>
      <w:start w:val="1"/>
    </w:lvl>
  </w:abstractNum>
  <w:abstractNum w:abstractNumId="521">
    <w:nsid w:val="B54E53B"/>
    <w:multiLevelType w:val="hybridMultilevel"/>
    <w:lvl w:ilvl="0">
      <w:lvlJc w:val="left"/>
      <w:lvlText w:val="(%1)"/>
      <w:numFmt w:val="lowerLetter"/>
      <w:start w:val="1"/>
    </w:lvl>
  </w:abstractNum>
  <w:abstractNum w:abstractNumId="522">
    <w:nsid w:val="2A00487"/>
    <w:multiLevelType w:val="hybridMultilevel"/>
    <w:lvl w:ilvl="0">
      <w:lvlJc w:val="left"/>
      <w:lvlText w:val="%1."/>
      <w:numFmt w:val="decimal"/>
      <w:start w:val="3"/>
    </w:lvl>
    <w:lvl w:ilvl="1">
      <w:lvlJc w:val="left"/>
      <w:lvlText w:val="%2."/>
      <w:numFmt w:val="lowerLetter"/>
      <w:start w:val="1"/>
    </w:lvl>
  </w:abstractNum>
  <w:abstractNum w:abstractNumId="523">
    <w:nsid w:val="6CB1B60"/>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524">
    <w:nsid w:val="72EDD57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25">
    <w:nsid w:val="7323808A"/>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17" Type="http://schemas.openxmlformats.org/officeDocument/2006/relationships/hyperlink" Target="http://www.sec.gov/Archives/edgar/data/1816736/000121390020022350/ea125578ex3-1_fsdevelop.htm" TargetMode="External"/><Relationship Id="rId618" Type="http://schemas.openxmlformats.org/officeDocument/2006/relationships/hyperlink" Target="http://www.sec.gov/Archives/edgar/data/1816736/000121390020020902/fs12020a1ex3-4_fsdevelopmnt.htm" TargetMode="External"/><Relationship Id="rId619" Type="http://schemas.openxmlformats.org/officeDocument/2006/relationships/hyperlink" Target="http://www.sec.gov/Archives/edgar/data/1816736/000121390020032122/ea128463ex10-3_fsdevelop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2020-11-02T06:01:14Z</dcterms:created>
  <dcterms:modified xsi:type="dcterms:W3CDTF">2020-11-02T06:01:14Z</dcterms:modified>
</cp:coreProperties>
</file>