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24130</wp:posOffset>
            </wp:positionV>
            <wp:extent cx="7045960" cy="53682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368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260"/>
            <w:col w:w="856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Quisel John D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DISC MEDICINE, INC.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321 ARSENAL STREET, SUITE 101</w:t>
      </w:r>
    </w:p>
    <w:p>
      <w:pPr>
        <w:spacing w:after="0" w:line="28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WATERTOWN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02472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21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Disc Medicine,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IRON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07/08/2024</w:t>
            </w: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Executive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ind w:left="340" w:right="60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07/08/2024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3,000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1.01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72,065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1.01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07/08/2024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3,000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03/10/2030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9"/>
              </w:rPr>
              <w:t>238,211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shares underlying this option are fully vested and exercisable as of the date hereof.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By: /s/ Rahul Khara, as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07/10/2024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14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1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86788" TargetMode="External"/><Relationship Id="rId13" Type="http://schemas.openxmlformats.org/officeDocument/2006/relationships/hyperlink" Target="http://www.sec.gov/cgi-bin/browse-edgar?action=getcompany&amp;CIK=00018167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2024-07-10T15:20:27Z</dcterms:created>
  <dcterms:modified xsi:type="dcterms:W3CDTF">2024-07-10T15:20:27Z</dcterms:modified>
</cp:coreProperties>
</file>