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286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03/24/2025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8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8"/>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18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rPr>
              <w:t>1,956</w:t>
            </w:r>
          </w:p>
        </w:tc>
        <w:tc>
          <w:tcPr>
            <w:tcW w:w="60" w:type="dxa"/>
            <w:vAlign w:val="bottom"/>
          </w:tcPr>
          <w:p>
            <w:pPr>
              <w:spacing w:after="0"/>
              <w:rPr>
                <w:sz w:val="21"/>
                <w:szCs w:val="2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482,308</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rPr>
              <w:t>3,026</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746,171</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756</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186,541</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2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 54TH FLOOR</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Capital GP VIII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-3876040</wp:posOffset>
            </wp:positionV>
            <wp:extent cx="2809240" cy="395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39560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820"/>
          </w:cols>
          <w:pgMar w:left="480" w:top="125" w:right="59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682115" TargetMode="External"/><Relationship Id="rId17" Type="http://schemas.openxmlformats.org/officeDocument/2006/relationships/hyperlink" Target="http://www.sec.gov/cgi-bin/browse-edgar?action=getcompany&amp;CIK=0001845804"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2025-03-26T18:04:15Z</dcterms:created>
  <dcterms:modified xsi:type="dcterms:W3CDTF">2025-03-26T18:04:15Z</dcterms:modified>
</cp:coreProperties>
</file>