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7, 2025, Disc Medicine, Inc. announced its financial results for the second quarter ended June 30, 2025 and provided a corporate update. A copy of the press release in connection with the announcement is being furnished as Exhibit 99.1 to this Current Report on Form 8-K.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Current Report on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Disc Medicine, Inc. on August 7, 2025, furnished herewith.</w:t>
            </w: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59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920" w:type="dxa"/>
            <w:vAlign w:val="bottom"/>
          </w:tcPr>
          <w:p>
            <w:pPr>
              <w:spacing w:after="0"/>
              <w:rPr>
                <w:sz w:val="20"/>
                <w:szCs w:val="20"/>
                <w:color w:val="auto"/>
              </w:rPr>
            </w:pP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9"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5425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 Medicine Reports Second Quarter 2025 Financial Results and Provides Business Update</w:t>
      </w:r>
    </w:p>
    <w:p>
      <w:pPr>
        <w:spacing w:after="0" w:line="109" w:lineRule="exact"/>
        <w:rPr>
          <w:sz w:val="20"/>
          <w:szCs w:val="20"/>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on track to submit NDA for bitopertin in erythropoietic protoporphyria (EPP) under accelerated approval pathway in October 2025, supported by successful pre-NDA meeting</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 initial data from Phase 2 study of DISC-0974 in patients with anemia of myelofibrosis (MF) and multiple dose data from Phase 1b study of DISC-0974 in patients with anemia of non-dialysis-dependent chronic kidney disease (NDD-CKD) in Q4 2025</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Initiated Phase 2 study of DISC-3405 in polycythemia vera (PV) with initial data expected in 2026</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Presented positive clinical data updates across the portfolio at the European Hematology Association (EHA) Annual Congress, including longer term efficacy and safety data from the HELIOS trial of bitopertin in EPP, durability data from Phase 1b study of DISC-0974 in MF anemia, and healthy volunteer data from DISC-3405 studies</w:t>
      </w:r>
    </w:p>
    <w:p>
      <w:pPr>
        <w:spacing w:after="0" w:line="65"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financial position ending Q2 with $650.0 million in cash, cash equivalents, and marketable securities; expected to fund operations into 2028</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WATERTOWN, Mass., August 7, 2025 – Disc Medicine, Inc. (NASDAQ:IRON), a clinical-stage biopharmaceutical company focused on the discovery, development, and commercialization of novel treatments for patients suffering from serious hematologic diseases, today reported financial results for the second quarter ended June 30, 2025, and provided a recap of recent program and corporate developments.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pleased with the continued momentum this past quarter, highlighted by clinical data presentations that support further advancement across our programs and continued progress toward our first NDA submission. Following positive feedback from our pre-NDA meeting, we are on track to submit an NDA for bitopertin in EPP under the accelerated approval pathway in October,” said John Quisel, J.D., Ph.D., Chief Executive Officer and President of Disc. “We have also made great progress across the rest of our pipeline, initiating a Phase 2 study of DISC-3405 in polycythemia vera, and looking ahead to data from the Phase 2 trial of DISC-0974 in MF anemia and Phase 1b trial in NDD-CKD anemia in the second half of the year. Our team’s commitment to execution, supported by a strong balance sheet that provides cash runway into 2028, has positioned Disc to prepare for the potential commercialization of bitopertin and advance pipeline development as we enter the next phase of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Highlights and Anticipated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GlyTI Inhibitor (Heme Synthesis Modulator)</w:t>
      </w:r>
    </w:p>
    <w:p>
      <w:pPr>
        <w:spacing w:after="0" w:line="121"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from HELIOS, an ongoing open-label extension study of bitopertin in EPP, which showed favorable long-term efficacy and safety with sustained protoporphyrin IX (PPIX) reductions, improvement in quality of life, and improved liver biomarkers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confirmatory Phase 3 APOLLO clinical trial of bitopertin in adults and adolescents with EPP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positive pre-NDA meeting with FDA, confirming alignment with the agency on the expected timing, format, and content of planned NDA submission for bitopertin in EPP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submit an NDA in October 2025 under the FDA’s accelerated approval pathway based on Disc’s existing data package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the results from a preclinical study conducted in collaboration with Boston Children’s Hospital showing that, in mice, bitopertin may help prevent liver disease in EPP, in addition to ameliorating blood PPIX levels. The paper, “The GLYT1 inhibitor bitopertin mitigates erythroid PPIX production and liver disease in erythroid protoporphyria,” was published in the Journal of Clinical Investigation (corresponding authors Sarah Ducamp and Paul Schmidt)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DISC-0974: Anti-Hemojuvelin Antibody (Hepcidin 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a virtual MF Anemia KOL event on May 9, 2025, discussing DISC-0974 and its potential to play a significant role in the treatment of anemia in patients with MF</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replay of the webcast is available on the Events &amp; Presentations page on the investor relations portion of the Company website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clinical data from the continuation phase of the Phase 1b trial of DISC-0974 in MF anemia demonstrating durable hematologic response at EHA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RALLY-MF Phase 2 study of DISC-0974 in patients with anemia of MF with initial data expected in Q4 2025</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oExploratory cohort for patients on concomitant momelotinib or pacritinib fully enrolled, and trial protocol updated to allow patients on these therapies into the main study cohorts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Phase 1b study of DISC-0974 in patients with anemia of NDD-CKD with multiple-dose data expected in Q4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21"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updated SAD/MAD data from the Phase 1 trial of DISC-3405 in healthy volunteers providing proof of mechanism to support advancement of the program at EHA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Phase 2 study of DISC-3405 in patients with PV with initial data expected in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121"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Nadim Ahmed, President and CEO of Cullinan Therapeutics, to the Company’s Board of Directors in July, bringing to the Company over 25 years of development and commercial leadership experience including multiple product launches in the hematology space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2025 Financial Results:</w:t>
      </w:r>
    </w:p>
    <w:p>
      <w:pPr>
        <w:spacing w:after="0" w:line="117" w:lineRule="exact"/>
        <w:rPr>
          <w:sz w:val="20"/>
          <w:szCs w:val="20"/>
          <w:color w:val="auto"/>
        </w:rPr>
      </w:pPr>
    </w:p>
    <w:p>
      <w:pPr>
        <w:ind w:left="1020" w:right="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$650.0 million as of June 30, 2025, which are expected to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plans into 2028.</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$46.3 million for the three months ended June 30, 2025, as compared to $23.5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June 30, 2024. The increase in R&amp;D expenses was primarily driven by the progression of Disc’s portfolio, including bitopertin’s clinical studies and drug manufacturing, the advancement of the DISC-0974 program, and increased headcount, as well as a payment of a $10 million milestone upon initiation of the APOLLO study.</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SG&amp;A expenses were $15.1 million for the three months ended June 30,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$7.4 million for the three months ended June 30, 2024. The increase in SG&amp;A expenses was primarily due to increased headcount including establishing infrastructure to support potential commercialization.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$55.2 million for the three months ended June 30, 2025, as compared to $26.4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2024. The increase was primarily due to higher operating costs in the current period to support the continued advancement of our pipeline.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bitopertin, DISC-0974 and DISC-3405, including projected timelines for the initiation and completion of its clinical trials, anticipated timing of release of data, and other clinical activities; the registrational pathway for bitopertin, including the potential for accelerated approval and the projected timeline for an NDA submission;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 including in the “Risk Factors” section of Disc’s Annual Report on Form 10-K for the year ended December 31, 2024,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46,319</w:t>
            </w:r>
          </w:p>
        </w:tc>
        <w:tc>
          <w:tcPr>
            <w:tcW w:w="16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74,082</w:t>
            </w:r>
          </w:p>
        </w:tc>
        <w:tc>
          <w:tcPr>
            <w:tcW w:w="18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47,189</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101,356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62,314</w:t>
            </w:r>
          </w:p>
        </w:tc>
        <w:tc>
          <w:tcPr>
            <w:tcW w:w="100" w:type="dxa"/>
            <w:vAlign w:val="bottom"/>
          </w:tcPr>
          <w:p>
            <w:pPr>
              <w:spacing w:after="0"/>
              <w:rPr>
                <w:sz w:val="18"/>
                <w:szCs w:val="18"/>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(61,410)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(30,852)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(101,356)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(62,314)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(171)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48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(26,352)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(89,332)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(53,301)</w:t>
            </w:r>
          </w:p>
        </w:tc>
      </w:tr>
      <w:tr>
        <w:trPr>
          <w:trHeight w:val="20"/>
        </w:trPr>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88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3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4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(2.61)</w:t>
            </w:r>
          </w:p>
        </w:tc>
        <w:tc>
          <w:tcPr>
            <w:tcW w:w="300" w:type="dxa"/>
            <w:vAlign w:val="bottom"/>
            <w:gridSpan w:val="2"/>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(2.11)</w:t>
            </w:r>
          </w:p>
        </w:tc>
      </w:tr>
      <w:tr>
        <w:trPr>
          <w:trHeight w:val="197"/>
        </w:trPr>
        <w:tc>
          <w:tcPr>
            <w:tcW w:w="48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6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35,024,592</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25,649,043</w:t>
            </w: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34,179,364</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25,229,456</w:t>
            </w:r>
          </w:p>
        </w:tc>
        <w:tc>
          <w:tcPr>
            <w:tcW w:w="100" w:type="dxa"/>
            <w:vAlign w:val="bottom"/>
            <w:tcBorders>
              <w:top w:val="single" w:sz="8" w:color="CFF0FC"/>
            </w:tcBorders>
          </w:tcPr>
          <w:p>
            <w:pPr>
              <w:spacing w:after="0"/>
              <w:rPr>
                <w:sz w:val="17"/>
                <w:szCs w:val="17"/>
                <w:color w:val="auto"/>
              </w:rPr>
            </w:pPr>
          </w:p>
        </w:tc>
      </w:tr>
      <w:tr>
        <w:trPr>
          <w:trHeight w:val="20"/>
        </w:trPr>
        <w:tc>
          <w:tcPr>
            <w:tcW w:w="548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6840" w:type="dxa"/>
            <w:vAlign w:val="bottom"/>
            <w:gridSpan w:val="5"/>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9"/>
              </w:rPr>
              <w:t>DISC MEDICINE,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40" w:type="dxa"/>
            <w:vAlign w:val="bottom"/>
            <w:gridSpan w:val="10"/>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200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9"/>
        </w:trPr>
        <w:tc>
          <w:tcPr>
            <w:tcW w:w="4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4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186"/>
        </w:trPr>
        <w:tc>
          <w:tcPr>
            <w:tcW w:w="4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649,973</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489,881</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661,592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665,061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614,165</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665,061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-3891280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-3891280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-3891280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-3325495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-3325495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-3325495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-3016885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-2999740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-3016885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-2999740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-3016885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-2999740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-1319530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-1036955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peg.rusconi@deerfieldgroup.com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2025-08-07T07:40:12Z</dcterms:created>
  <dcterms:modified xsi:type="dcterms:W3CDTF">2025-08-07T07:40:12Z</dcterms:modified>
</cp:coreProperties>
</file>