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9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0810" cy="1308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" cy="1308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5303520</wp:posOffset>
            </wp:positionH>
            <wp:positionV relativeFrom="paragraph">
              <wp:posOffset>-605155</wp:posOffset>
            </wp:positionV>
            <wp:extent cx="8255" cy="6057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0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3993515</wp:posOffset>
            </wp:positionH>
            <wp:positionV relativeFrom="paragraph">
              <wp:posOffset>-613410</wp:posOffset>
            </wp:positionV>
            <wp:extent cx="8255" cy="6140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40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4018280</wp:posOffset>
            </wp:positionH>
            <wp:positionV relativeFrom="paragraph">
              <wp:posOffset>-588645</wp:posOffset>
            </wp:positionV>
            <wp:extent cx="1269365" cy="5651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9365" cy="565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-1623060</wp:posOffset>
            </wp:positionH>
            <wp:positionV relativeFrom="paragraph">
              <wp:posOffset>28575</wp:posOffset>
            </wp:positionV>
            <wp:extent cx="6968490" cy="17443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8490" cy="17443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Redmond Precillia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GEMINI THERAPEUTICS, INC.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300 ONE KENDALL SQUARE, 3RD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4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Gemini Therapeutics, Inc. /DE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4"/>
          <w:szCs w:val="14"/>
          <w:color w:val="0000FF"/>
        </w:rPr>
        <w:t>GMTX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02/23/2021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right="620"/>
        <w:spacing w:after="0" w:line="238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2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People Officer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00" w:space="620"/>
            <w:col w:w="3320" w:space="500"/>
            <w:col w:w="3340"/>
          </w:cols>
          <w:pgMar w:left="460" w:top="221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1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14.21</w:t>
            </w: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02/23/2021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25,489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02/22/2031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25,489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85"/>
              </w:rPr>
              <w:t>25,489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-2833370</wp:posOffset>
            </wp:positionV>
            <wp:extent cx="7033895" cy="29724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895" cy="29724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 w:right="540" w:firstLine="2"/>
        <w:spacing w:after="0" w:line="269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option shall vest and become exercisable over a period of four years from the Vesting Start Date, February 23, 2021 with 25% vesting on the one year anniversary of the Vesting Start Date, and the remainder vesting over a period of 36 months thereafter, provided that as of each such date the Grantee remains in a business relationship with the Company.</w:t>
      </w: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Jason Meyenburg, attorney-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22"/>
          <w:szCs w:val="22"/>
          <w:color w:val="0000FF"/>
          <w:vertAlign w:val="subscript"/>
        </w:rPr>
        <w:t>02/25/2021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-15240</wp:posOffset>
            </wp:positionV>
            <wp:extent cx="13163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63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-20320</wp:posOffset>
            </wp:positionV>
            <wp:extent cx="27749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49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5586730</wp:posOffset>
            </wp:positionH>
            <wp:positionV relativeFrom="paragraph">
              <wp:posOffset>-85725</wp:posOffset>
            </wp:positionV>
            <wp:extent cx="48514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1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600" w:firstLine="2"/>
        <w:spacing w:after="0" w:line="334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3163" TargetMode="External"/><Relationship Id="rId14" Type="http://schemas.openxmlformats.org/officeDocument/2006/relationships/hyperlink" Target="http://www.sec.gov/cgi-bin/browse-edgar?action=getcompany&amp;CIK=000181673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2021-02-25T16:15:04Z</dcterms:created>
  <dcterms:modified xsi:type="dcterms:W3CDTF">2021-02-25T16:15:04Z</dcterms:modified>
</cp:coreProperties>
</file>