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20,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001-39438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85-1612845</w:t>
            </w:r>
          </w:p>
        </w:tc>
      </w:tr>
      <w:tr>
        <w:trPr>
          <w:trHeight w:val="148"/>
        </w:trPr>
        <w:tc>
          <w:tcPr>
            <w:tcW w:w="3520" w:type="dxa"/>
            <w:vAlign w:val="bottom"/>
          </w:tcPr>
          <w:p>
            <w:pPr>
              <w:jc w:val="center"/>
              <w:ind w:right="9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rPr>
              <w:t>321 Arsenal Street, Suite 101</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0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674-9274</w:t>
      </w:r>
    </w:p>
    <w:p>
      <w:pPr>
        <w:spacing w:after="0" w:line="1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IRON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On October 20, 2025, Disc Medicine, Inc. (the “Company”) entered into an Underwriting Agreement (the “Underwriting Agreement”) with Jefferies LLC, Leerink Partners LLC, Morgan Stanley &amp; Co. LLC and Cantor Fitzgerald &amp; Co., as representatives of the several underwriters listed on Schedule I thereto (the “Underwriters”) and AI DMI LLC, as a selling stockholder (the “Selling Stockholder”), related to an underwritten offering (the “Offering”) (i) by the Company of (a) 2,619,049 shares of common stock of the Company, par value $0.0001 per share (the “Common Stock”) at a price to the public of $84.00 per share and (b) in lieu of Common Stock to certain investors, pre-funded warrants to purchase an aggregate of 59,523 shares of Common Stock (the “Pre-Funded Warrants”) at a price to the public of $83.9999 per Pre-Funded Warrant, which represents the per share public offering price for the Common Stock less the $0.0001 per share exercise price for each such Pre-Funded Warrant, and (ii) by the Selling Stockholder of 297,619 shares of Common Stock at a price to the public of $84.00 per share. In addition, the Selling Stockholder granted the Underwriters an option exercisable for 30 days from the date of the Underwriting Agreement to purchase, at the public offering price less any underwriting discounts and commissions, up to an additional 446,428 shares of Common Stock, which the Underwriters exercised in full on October 21, 2025.</w:t>
      </w:r>
    </w:p>
    <w:p>
      <w:pPr>
        <w:spacing w:after="0" w:line="17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net proceeds to the Company from the Offering are expected to be approximately $210.9 million, after deducting the underwriting discount and estimated offering expenses. The Company will receive nominal proceeds, if any, from the exercise of the Pre-Funded Warrants. The Company will not receive any proceeds from the sale of shares by the Selling Stockholder. The Company expects that its cash, cash equivalents and marketable securities, together with the estimated net proceeds from the Offering, will be sufficient to fund its current operating and capital expenditure plans into 2029, without taking into account any potential cash inflows from bitopertin or any other marketed product, if approved during such period. The Offering is expected to close on October 22, 2025.</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Each Pre-Funded Warrant will be exercisable for one share of Common Stock at an exercise price of $0.0001 per share, or alternatively, at the election of each holder, shares of Common Stock may be issued through a cashless exercise, with the net number of shares of Common Stock determined according to the formula set forth in each Pre-Funded Warrant. The Pre-Funded Warrants will be immediately exercisable and may be exercised at any time until all of the Pre-Funded Warrants are exercised in full. A holder (together with its “attribution parties,” as defined in the Pre-Funded Warrant) may not exercise any portion of the Pre-Funded Warrants if immediately after exercise, the holder (together with its attribution parties),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if the exercise of a Pre-Funded Warrant would result in a holder of Pre-Funded Warrants (together with its attribution parties) acquiring beneficial ownership of Common Stock (together with all other equity owned by such holder at such time) equal to or in excess of the notification threshold applicable to such holder (the “HSR Threshold”) under the Hart-Scott-Rodino Antitrust Improvements Act of 1976, as amended (the “HSR Act”), as of the date of delivery of the applicable exercise notice,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either the HSR Threshold or the Ownership Limit. The Company does not intend to list the Pre-Funded Warrants on the Nasdaq Global Market, any other national securities exchange or any other nationally recognized trading system.</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made certain customary representations, warranties and covenants concerning the Company and the registration statement in the Underwriting Agreement and also agreed to indemnify the Underwriters against certain liabilities, including liabilities under the Securities Act of 1933, as amended (the “Securities Act”). The Selling Stockholder also made certain customary representations, warranties and covenants and agreed to indemnify the Underwriters against certain liabilities, including liabilities under the Securities Act. The offering of securities by the Company is being made pursuant to the Company’s automatic shelf registration statement on Form S-3 (File No. 333-281359), filed with the Securities and Exchange Commission (the “Commission”) on August 8, 2024, and, with respect to the shares being offered by the Selling Stockholder, the Company’s resale registration statement on Form S-3 (File No. 333-269270), filed with the Commission on January 17, 2023, as supplemented by a final prospectus supplement dated October 20, 2025, filed on October 21, 2025. This Current Report on Form 8-K does not constitute an offer to sell or a solicitation of an offer to buy any of the shares of Common Stock or the Pre-Funded Warrants.</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foregoing description of certain terms of the Underwriting Agreement and the transactions contemplated thereby does not purport to be complete and is subject to, and qualified in its entirety by, the full text of the Underwriting Agreement, which is attached as Exhibit 1.1 hereto and is incorporated by reference herein. The form of Pre-Funded Warrant to Purchase Common Stock is filed as Exhibit 4.1 to this Current Report on Form 8-K and is incorporated herein by reference, and the foregoing description of the terms of the Pre-Funded Warrants is qualified in its entirety by reference to such exhibit. A copy of the opinion of Goodwin Procter LLP, relating to the legality of the shares of Common Stock, the Pre-Funded Warrants and the shares of Common Stock issuable upon exercise of the Pre-Funded Warrants, is filed as Exhibit 5.1 hereto and is incorporated by reference herein.</w:t>
      </w:r>
    </w:p>
    <w:p>
      <w:pPr>
        <w:sectPr>
          <w:pgSz w:w="11900" w:h="16838" w:orient="portrait"/>
          <w:cols w:equalWidth="0" w:num="1">
            <w:col w:w="10980"/>
          </w:cols>
          <w:pgMar w:left="440" w:top="293" w:right="479" w:bottom="1440" w:gutter="0" w:footer="0" w:header="0"/>
        </w:sectPr>
      </w:pPr>
    </w:p>
    <w:bookmarkStart w:id="2" w:name="page3"/>
    <w:bookmarkEnd w:id="2"/>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On October 20, 2025, the Company issued a press release announcing the commencement of the Offering. On October 21, 2025, the Company issued a press release announcing that it had priced the Offering. Copies of these press releases are attached hereto as Exhibit 99.1 and Exhibit 99.2, respectively, and are incorporated by reference herein.</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but not limited to, express or implied statements regarding the Company’s anticipated cash runway. The use of words such as, but not limited to, “believe,” “expect,” “estimate,” “project,” “intend,” “future,” “potential,” “continue,” “may,” “might,” “plan,” “will,” “should,” “seek,” “anticipate,” or “could” or the negative of these terms and other similar words or expressions are intended to identify forward-looking statements. Forward-looking statements are neither historical facts nor assurances of future performance. Instead, they are based on the Company’s current beliefs, expectations and assumptions regarding the future of the Company’s business, future plans and strategies, clinical results and other future conditions. New risks and uncertainties may emerge from time to time, and it is not possible to predict all risks and uncertainties. No representations or warranties (expressed or implied) are made about the accuracy of any such forward-looking statements.</w:t>
      </w:r>
    </w:p>
    <w:p>
      <w:pPr>
        <w:spacing w:after="0" w:line="192" w:lineRule="exact"/>
        <w:rPr>
          <w:sz w:val="20"/>
          <w:szCs w:val="20"/>
          <w:color w:val="auto"/>
        </w:rPr>
      </w:pPr>
    </w:p>
    <w:p>
      <w:pPr>
        <w:ind w:left="4" w:right="60"/>
        <w:spacing w:after="0" w:line="267" w:lineRule="auto"/>
        <w:rPr>
          <w:sz w:val="20"/>
          <w:szCs w:val="20"/>
          <w:color w:val="auto"/>
        </w:rPr>
      </w:pPr>
      <w:r>
        <w:rPr>
          <w:rFonts w:ascii="Times New Roman" w:cs="Times New Roman" w:eastAsia="Times New Roman" w:hAnsi="Times New Roman"/>
          <w:sz w:val="17"/>
          <w:szCs w:val="17"/>
          <w:color w:val="auto"/>
        </w:rPr>
        <w:t>The Company may not actually achieve the plans, intentions or expectations disclosed in these forward-looking statements, and investors should not place undue reliance on these forward-looking statements. Actual results or events could differ materially from the plans, intentions and expectations disclosed in the forward-looking statements as a result of a number of material risks and uncertainties including but not limited to: the nature, strategy and focus of the Company; the difficulty in predicting the time and cost of development of the Company’s product candidates; the Company’s plans to research, develop and commercialize its current and future product candidates; the timing of initiation of the Company’s planned preclinical studies and clinical trials; the timing of the availability of data from the Company’s clinical trials; the Company’s ability to identify additional product candidates with significant commercial potential and to expand its pipeline in hematological diseases; the timing and anticipated results of the Company’s preclinical studies and clinical trials and the risk that the results of the Company’s preclinical studies and clinical trials may not be predictive of future results in connection with future studies or clinical trials and may not support further development and marketing approval; the content and timing of decisions made by the U.S. Food and Drug Administration and other regulatory authorities; and the other risks and uncertainties described in the Company’s filings with the Securities and Exchange Commission, including in the “Risk Factors” section of the Company’s Annual Report on</w:t>
      </w:r>
    </w:p>
    <w:p>
      <w:pPr>
        <w:spacing w:after="0" w:line="2" w:lineRule="exact"/>
        <w:rPr>
          <w:sz w:val="20"/>
          <w:szCs w:val="20"/>
          <w:color w:val="auto"/>
        </w:rPr>
      </w:pPr>
    </w:p>
    <w:p>
      <w:pPr>
        <w:ind w:left="4" w:right="120"/>
        <w:spacing w:after="0" w:line="253" w:lineRule="auto"/>
        <w:rPr>
          <w:sz w:val="20"/>
          <w:szCs w:val="20"/>
          <w:color w:val="auto"/>
        </w:rPr>
      </w:pPr>
      <w:r>
        <w:rPr>
          <w:rFonts w:ascii="Times New Roman" w:cs="Times New Roman" w:eastAsia="Times New Roman" w:hAnsi="Times New Roman"/>
          <w:sz w:val="18"/>
          <w:szCs w:val="18"/>
          <w:color w:val="auto"/>
        </w:rPr>
        <w:t>Form 10-K for the year ended December 31, 2024 and in the Company’s Quarterly Report on Form 10-Q for the quarterly period ended June 30, 2025. Any forward-looking statement speaks only as of the date on which it was made. None of the Company, nor its affiliates, advisors or representatives, undertake any obligation to publicly update or revise any forward-looking statement, whether as result of new information, future events or otherwise, except as required by law.</w:t>
      </w:r>
    </w:p>
    <w:p>
      <w:pPr>
        <w:spacing w:after="0" w:line="333"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tc>
        <w:tc>
          <w:tcPr>
            <w:tcW w:w="0" w:type="dxa"/>
            <w:vAlign w:val="bottom"/>
          </w:tcPr>
          <w:p>
            <w:pPr>
              <w:spacing w:after="0"/>
              <w:rPr>
                <w:sz w:val="1"/>
                <w:szCs w:val="1"/>
                <w:color w:val="auto"/>
              </w:rPr>
            </w:pPr>
          </w:p>
        </w:tc>
      </w:tr>
      <w:tr>
        <w:trPr>
          <w:trHeight w:val="190"/>
        </w:trPr>
        <w:tc>
          <w:tcPr>
            <w:tcW w:w="3020" w:type="dxa"/>
            <w:vAlign w:val="bottom"/>
          </w:tcPr>
          <w:p>
            <w:pPr>
              <w:jc w:val="center"/>
              <w:ind w:right="2488"/>
              <w:spacing w:after="0"/>
              <w:rPr>
                <w:sz w:val="20"/>
                <w:szCs w:val="20"/>
                <w:color w:val="auto"/>
              </w:rPr>
            </w:pPr>
            <w:r>
              <w:rPr>
                <w:rFonts w:ascii="Times New Roman" w:cs="Times New Roman" w:eastAsia="Times New Roman" w:hAnsi="Times New Roman"/>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66" w:lineRule="exact"/>
        <w:rPr>
          <w:sz w:val="20"/>
          <w:szCs w:val="20"/>
          <w:color w:val="auto"/>
        </w:rPr>
      </w:pPr>
    </w:p>
    <w:p>
      <w:pPr>
        <w:ind w:left="884" w:right="160" w:hanging="884"/>
        <w:spacing w:after="0" w:line="31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7"/>
          <w:szCs w:val="17"/>
          <w:u w:val="single" w:color="auto"/>
          <w:color w:val="0000EE"/>
        </w:rPr>
        <w:t>Underwriting Agreement, dated as of October 20, 2025, by and among the Company, AI DMI LLC and Jefferies LLC, Leerink Partners LLC, Morgan Stanley &amp; Co. LLC and Cantor Fitzgerald &amp; Co., as representatives of the several underwriters listed on Schedule I thereto.</w:t>
      </w:r>
    </w:p>
    <w:p>
      <w:pPr>
        <w:spacing w:after="0" w:line="31" w:lineRule="exact"/>
        <w:rPr>
          <w:rFonts w:ascii="Times New Roman" w:cs="Times New Roman" w:eastAsia="Times New Roman" w:hAnsi="Times New Roman"/>
          <w:sz w:val="18"/>
          <w:szCs w:val="18"/>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4.1</w:t>
      </w:r>
      <w:r>
        <w:rPr>
          <w:rFonts w:ascii="Times New Roman" w:cs="Times New Roman" w:eastAsia="Times New Roman" w:hAnsi="Times New Roman"/>
          <w:sz w:val="17"/>
          <w:szCs w:val="17"/>
          <w:u w:val="single" w:color="auto"/>
          <w:color w:val="0000EE"/>
        </w:rPr>
        <w:t>Form of Pre-Funded Warrant.</w:t>
      </w:r>
    </w:p>
    <w:p>
      <w:pPr>
        <w:spacing w:after="0" w:line="128" w:lineRule="exact"/>
        <w:rPr>
          <w:rFonts w:ascii="Times New Roman" w:cs="Times New Roman" w:eastAsia="Times New Roman" w:hAnsi="Times New Roman"/>
          <w:sz w:val="16"/>
          <w:szCs w:val="16"/>
          <w:color w:val="auto"/>
        </w:rPr>
      </w:pPr>
    </w:p>
    <w:p>
      <w:pPr>
        <w:ind w:left="884" w:right="160" w:hanging="884"/>
        <w:spacing w:after="0" w:line="282" w:lineRule="auto"/>
        <w:tabs>
          <w:tab w:leader="none" w:pos="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8"/>
          <w:szCs w:val="18"/>
          <w:u w:val="single" w:color="auto"/>
          <w:color w:val="0000EE"/>
        </w:rPr>
        <w:t>Opinion of Goodwin Procter LLP regarding the issue of Common Stock, Pre-Funded Warrants and Common Stock issuable upon exercise of the Pre-Funded Warrants being registered.</w:t>
      </w:r>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Goodwin Procter LLP (included in Exhibit 5.1).</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announcing the Offering, dated October 20, 2025.</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announcing the pricing of the Offering, dated October 21, 2025.</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84"/>
          </w:cols>
          <w:pgMar w:left="436" w:top="293" w:right="47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spacing w:after="0"/>
        <w:tabs>
          <w:tab w:leader="none" w:pos="5500" w:val="left"/>
          <w:tab w:leader="none" w:pos="6140" w:val="left"/>
        </w:tabs>
        <w:rPr>
          <w:sz w:val="20"/>
          <w:szCs w:val="20"/>
          <w:color w:val="auto"/>
        </w:rPr>
      </w:pPr>
      <w:r>
        <w:rPr>
          <w:rFonts w:ascii="Times New Roman" w:cs="Times New Roman" w:eastAsia="Times New Roman" w:hAnsi="Times New Roman"/>
          <w:sz w:val="18"/>
          <w:szCs w:val="18"/>
          <w:color w:val="auto"/>
        </w:rPr>
        <w:t>Date: October 22,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17145</wp:posOffset>
            </wp:positionV>
            <wp:extent cx="3077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34"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Name:</w:t>
        <w:tab/>
        <w:t>John Quisel, J.D., Ph.D.</w:t>
      </w:r>
    </w:p>
    <w:p>
      <w:pPr>
        <w:spacing w:after="0" w:line="9" w:lineRule="exact"/>
        <w:rPr>
          <w:sz w:val="20"/>
          <w:szCs w:val="20"/>
          <w:color w:val="auto"/>
        </w:rPr>
      </w:pPr>
    </w:p>
    <w:p>
      <w:pPr>
        <w:ind w:left="5520"/>
        <w:spacing w:after="0"/>
        <w:tabs>
          <w:tab w:leader="none" w:pos="61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ectPr>
          <w:pgSz w:w="11900" w:h="16838" w:orient="portrait"/>
          <w:cols w:equalWidth="0" w:num="1">
            <w:col w:w="11020"/>
          </w:cols>
          <w:pgMar w:left="440" w:top="117" w:right="4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 10022</w:t>
      </w:r>
    </w:p>
    <w:p>
      <w:pPr>
        <w:spacing w:after="0" w:line="200" w:lineRule="exact"/>
        <w:rPr>
          <w:sz w:val="20"/>
          <w:szCs w:val="20"/>
          <w:color w:val="auto"/>
        </w:rPr>
      </w:pPr>
    </w:p>
    <w:p>
      <w:pPr>
        <w:sectPr>
          <w:pgSz w:w="11900" w:h="16838" w:orient="portrait"/>
          <w:cols w:equalWidth="0" w:num="2">
            <w:col w:w="220" w:space="200"/>
            <w:col w:w="10600"/>
          </w:cols>
          <w:pgMar w:left="440" w:top="117" w:right="4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53 State Street, 40</w:t>
      </w:r>
      <w:r>
        <w:rPr>
          <w:rFonts w:ascii="Times New Roman" w:cs="Times New Roman" w:eastAsia="Times New Roman" w:hAnsi="Times New Roman"/>
          <w:sz w:val="13"/>
          <w:szCs w:val="13"/>
          <w:color w:val="auto"/>
        </w:rPr>
        <w:t>th</w:t>
      </w:r>
      <w:r>
        <w:rPr>
          <w:rFonts w:ascii="Times New Roman" w:cs="Times New Roman" w:eastAsia="Times New Roman" w:hAnsi="Times New Roman"/>
          <w:sz w:val="18"/>
          <w:szCs w:val="18"/>
          <w:color w:val="auto"/>
        </w:rPr>
        <w:t xml:space="preserve">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Boston, Massachusetts, 02109</w:t>
      </w:r>
    </w:p>
    <w:p>
      <w:pPr>
        <w:spacing w:after="0" w:line="200" w:lineRule="exact"/>
        <w:rPr>
          <w:sz w:val="20"/>
          <w:szCs w:val="20"/>
          <w:color w:val="auto"/>
        </w:rPr>
      </w:pPr>
    </w:p>
    <w:p>
      <w:pPr>
        <w:sectPr>
          <w:pgSz w:w="11900" w:h="16838" w:orient="portrait"/>
          <w:cols w:equalWidth="0" w:num="2">
            <w:col w:w="220" w:space="200"/>
            <w:col w:w="10600"/>
          </w:cols>
          <w:pgMar w:left="440" w:top="117" w:right="4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1585 Broadway, 29th Floor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New York, New York 10036</w:t>
      </w:r>
    </w:p>
    <w:p>
      <w:pPr>
        <w:spacing w:after="0" w:line="200" w:lineRule="exact"/>
        <w:rPr>
          <w:sz w:val="20"/>
          <w:szCs w:val="20"/>
          <w:color w:val="auto"/>
        </w:rPr>
      </w:pPr>
    </w:p>
    <w:p>
      <w:pPr>
        <w:sectPr>
          <w:pgSz w:w="11900" w:h="16838" w:orient="portrait"/>
          <w:cols w:equalWidth="0" w:num="2">
            <w:col w:w="220" w:space="200"/>
            <w:col w:w="10600"/>
          </w:cols>
          <w:pgMar w:left="440" w:top="117" w:right="439" w:bottom="1440" w:gutter="0" w:footer="0" w:header="0"/>
          <w:type w:val="continuous"/>
        </w:sectPr>
      </w:pP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110 East 59th Street, 6th Floor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0" w:lineRule="exact"/>
        <w:rPr>
          <w:sz w:val="20"/>
          <w:szCs w:val="20"/>
          <w:color w:val="auto"/>
        </w:rPr>
      </w:pPr>
    </w:p>
    <w:p>
      <w:pPr>
        <w:sectPr>
          <w:pgSz w:w="11900" w:h="16838" w:orient="portrait"/>
          <w:cols w:equalWidth="0" w:num="2">
            <w:col w:w="220" w:space="200"/>
            <w:col w:w="10600"/>
          </w:cols>
          <w:pgMar w:left="440" w:top="117"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to the several Underwriters named in Schedule I hereto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(a) 2,619,049 shares of its common stock, par value $0.0001 per share (the “</w:t>
      </w:r>
      <w:r>
        <w:rPr>
          <w:rFonts w:ascii="Times New Roman" w:cs="Times New Roman" w:eastAsia="Times New Roman" w:hAnsi="Times New Roman"/>
          <w:sz w:val="18"/>
          <w:szCs w:val="18"/>
          <w:b w:val="1"/>
          <w:bCs w:val="1"/>
          <w:color w:val="auto"/>
        </w:rPr>
        <w:t>Company Shares</w:t>
      </w:r>
      <w:r>
        <w:rPr>
          <w:rFonts w:ascii="Times New Roman" w:cs="Times New Roman" w:eastAsia="Times New Roman" w:hAnsi="Times New Roman"/>
          <w:sz w:val="18"/>
          <w:szCs w:val="18"/>
          <w:color w:val="auto"/>
        </w:rPr>
        <w:t>”) and (b) pre-funded warrants to purchase up to 59,523 shares of the Company’s common stock, par value $0.0001 per share, in a form to be mutually agreed upon by the Company and the Representatives (as defined below)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at an exercise price of $0.0001; and AI DMI LLC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severally proposes to sell to the Underwriters an aggregate of 297,619 shares of the Company’s common stock, par value $0.0001 per share (together with the Company Shares, the “</w:t>
      </w:r>
      <w:r>
        <w:rPr>
          <w:rFonts w:ascii="Times New Roman" w:cs="Times New Roman" w:eastAsia="Times New Roman" w:hAnsi="Times New Roman"/>
          <w:sz w:val="18"/>
          <w:szCs w:val="18"/>
          <w:b w:val="1"/>
          <w:bCs w:val="1"/>
          <w:color w:val="auto"/>
        </w:rPr>
        <w:t>Firm Shares</w:t>
      </w:r>
      <w:r>
        <w:rPr>
          <w:rFonts w:ascii="Times New Roman" w:cs="Times New Roman" w:eastAsia="Times New Roman" w:hAnsi="Times New Roman"/>
          <w:sz w:val="18"/>
          <w:szCs w:val="18"/>
          <w:color w:val="auto"/>
        </w:rPr>
        <w:t>” and, collectively with the Pre-Funded Warrants, the “</w:t>
      </w:r>
      <w:r>
        <w:rPr>
          <w:rFonts w:ascii="Times New Roman" w:cs="Times New Roman" w:eastAsia="Times New Roman" w:hAnsi="Times New Roman"/>
          <w:sz w:val="18"/>
          <w:szCs w:val="18"/>
          <w:b w:val="1"/>
          <w:bCs w:val="1"/>
          <w:color w:val="auto"/>
        </w:rPr>
        <w:t>Firm Securities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 proposes to sell to the Underwriters not more than an additional 446,428 shares of the Company’s common stock, par value $0.0001 per share (the “</w:t>
      </w:r>
      <w:r>
        <w:rPr>
          <w:rFonts w:ascii="Times New Roman" w:cs="Times New Roman" w:eastAsia="Times New Roman" w:hAnsi="Times New Roman"/>
          <w:sz w:val="18"/>
          <w:szCs w:val="18"/>
          <w:b w:val="1"/>
          <w:bCs w:val="1"/>
          <w:color w:val="auto"/>
        </w:rPr>
        <w:t>Additional Shares</w:t>
      </w:r>
      <w:r>
        <w:rPr>
          <w:rFonts w:ascii="Times New Roman" w:cs="Times New Roman" w:eastAsia="Times New Roman" w:hAnsi="Times New Roman"/>
          <w:sz w:val="18"/>
          <w:szCs w:val="18"/>
          <w:color w:val="auto"/>
        </w:rPr>
        <w:t>”), if and to the extent that Jefferies LLC, Leerink Partners LLC, Morgan Stanley &amp; Co. LLC and Cantor Fitzgerald &amp; Co. (together,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as representatives of the offering, shall have determined to exercise, on behalf of the Underwriters, the right to purchase such shares of common stock granted to the Underwriters in Section 3 hereof. The Firm Shares and the Additional Shares are</w:t>
      </w:r>
    </w:p>
    <w:p>
      <w:pPr>
        <w:sectPr>
          <w:pgSz w:w="11900" w:h="16838" w:orient="portrait"/>
          <w:cols w:equalWidth="0" w:num="1">
            <w:col w:w="11020"/>
          </w:cols>
          <w:pgMar w:left="440" w:top="117" w:right="439" w:bottom="1440" w:gutter="0" w:footer="0" w:header="0"/>
          <w:type w:val="continuous"/>
        </w:sectPr>
      </w:pPr>
    </w:p>
    <w:bookmarkStart w:id="5" w:name="page6"/>
    <w:bookmarkEnd w:id="5"/>
    <w:p>
      <w:pPr>
        <w:ind w:right="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hereinafter collectively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and, together with the Pre-Funded Warrants,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shares of the Company’s common stock, par value $0.0001 per share, issuable upon exercise of the Pre-Funded Warrants are herein referred to as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The shares of common stock, par value $0.0001 per share, of the Company to be outstanding after giving effect to the sales contemplated hereby are hereinafter referred to as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on Form S-3 (File No. 333-281359), relating to the various securities (the “</w:t>
      </w:r>
      <w:r>
        <w:rPr>
          <w:rFonts w:ascii="Times New Roman" w:cs="Times New Roman" w:eastAsia="Times New Roman" w:hAnsi="Times New Roman"/>
          <w:sz w:val="18"/>
          <w:szCs w:val="18"/>
          <w:b w:val="1"/>
          <w:bCs w:val="1"/>
          <w:color w:val="auto"/>
        </w:rPr>
        <w:t>Shelf Securities</w:t>
      </w:r>
      <w:r>
        <w:rPr>
          <w:rFonts w:ascii="Times New Roman" w:cs="Times New Roman" w:eastAsia="Times New Roman" w:hAnsi="Times New Roman"/>
          <w:sz w:val="18"/>
          <w:szCs w:val="18"/>
          <w:color w:val="auto"/>
        </w:rPr>
        <w:t>”), including the Securities, to be issued from time to time by the Company. The registration statement as amended to the date of this Agreement, including the information (if any) deemed to be part of the registration statement at the time of effectiveness pursuant to Rule 430A or Rule 430B under the Securities Act of 1933, as amended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is hereinafter referred to as the “</w:t>
      </w:r>
      <w:r>
        <w:rPr>
          <w:rFonts w:ascii="Times New Roman" w:cs="Times New Roman" w:eastAsia="Times New Roman" w:hAnsi="Times New Roman"/>
          <w:sz w:val="18"/>
          <w:szCs w:val="18"/>
          <w:b w:val="1"/>
          <w:bCs w:val="1"/>
          <w:color w:val="auto"/>
        </w:rPr>
        <w:t>Company Registration Statement</w:t>
      </w:r>
      <w:r>
        <w:rPr>
          <w:rFonts w:ascii="Times New Roman" w:cs="Times New Roman" w:eastAsia="Times New Roman" w:hAnsi="Times New Roman"/>
          <w:sz w:val="18"/>
          <w:szCs w:val="18"/>
          <w:color w:val="auto"/>
        </w:rPr>
        <w:t>,” and the related prospectus covering the Shelf Securities dated August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is hereinafter referred to as the “</w:t>
      </w:r>
      <w:r>
        <w:rPr>
          <w:rFonts w:ascii="Times New Roman" w:cs="Times New Roman" w:eastAsia="Times New Roman" w:hAnsi="Times New Roman"/>
          <w:sz w:val="18"/>
          <w:szCs w:val="18"/>
          <w:b w:val="1"/>
          <w:bCs w:val="1"/>
          <w:color w:val="auto"/>
        </w:rPr>
        <w:t>Company Basic Prospectus</w:t>
      </w:r>
      <w:r>
        <w:rPr>
          <w:rFonts w:ascii="Times New Roman" w:cs="Times New Roman" w:eastAsia="Times New Roman" w:hAnsi="Times New Roman"/>
          <w:sz w:val="18"/>
          <w:szCs w:val="18"/>
          <w:color w:val="auto"/>
        </w:rPr>
        <w:t>.” The Company has also filed with the Commission a registration statement, including a prospectus, on Form S-3 (File No. 333-269270), relating to Shares owned by certain stockholders of the Company (the “</w:t>
      </w:r>
      <w:r>
        <w:rPr>
          <w:rFonts w:ascii="Times New Roman" w:cs="Times New Roman" w:eastAsia="Times New Roman" w:hAnsi="Times New Roman"/>
          <w:sz w:val="18"/>
          <w:szCs w:val="18"/>
          <w:b w:val="1"/>
          <w:bCs w:val="1"/>
          <w:color w:val="auto"/>
        </w:rPr>
        <w:t>Resale Shelf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including the Securities to be sold by the Selling Stockholder. The registration statement as amended to the date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information (if any) deemed to be part of the registration statement at the time of effectiveness pursuant to Rule 430A or Rule 430B under the Securities Act is hereinafter referred to as the “</w:t>
      </w:r>
      <w:r>
        <w:rPr>
          <w:rFonts w:ascii="Times New Roman" w:cs="Times New Roman" w:eastAsia="Times New Roman" w:hAnsi="Times New Roman"/>
          <w:sz w:val="18"/>
          <w:szCs w:val="18"/>
          <w:b w:val="1"/>
          <w:bCs w:val="1"/>
          <w:color w:val="auto"/>
        </w:rPr>
        <w:t>Selling Stockholder Registration Statement</w:t>
      </w:r>
      <w:r>
        <w:rPr>
          <w:rFonts w:ascii="Times New Roman" w:cs="Times New Roman" w:eastAsia="Times New Roman" w:hAnsi="Times New Roman"/>
          <w:sz w:val="18"/>
          <w:szCs w:val="18"/>
          <w:color w:val="auto"/>
        </w:rPr>
        <w:t>,” and the related prospectus covering the Resale Shelf Securities dated January 24, 2023 is hereinafter referred to as the “</w:t>
      </w:r>
      <w:r>
        <w:rPr>
          <w:rFonts w:ascii="Times New Roman" w:cs="Times New Roman" w:eastAsia="Times New Roman" w:hAnsi="Times New Roman"/>
          <w:sz w:val="18"/>
          <w:szCs w:val="18"/>
          <w:b w:val="1"/>
          <w:bCs w:val="1"/>
          <w:color w:val="auto"/>
        </w:rPr>
        <w:t>Selling Stockholder Basic Prospectus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Registration Statement and the Selling Stockholder Registration Statement are hereinafter collectively referred to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 and the Company Basic Prospectus and the Selling Stockholder Basic Prospectus are hereinafter collectedly referred to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“Basic Prospectuses.” The Basic Prospectuses, as supplemented by the prospectus supplement specifically relating to the Securities in the form first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used to confirm sales of the Securities (or in the form first made available to the Underwriters by the Company to meet requests of purchasers pursuant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Rule 173 under the Securities Act) is hereinafter referred to as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and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any preliminary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of the Prospectus.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Time of Sale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Basic Prospectuses as supplemented by the documents and pricing information set forth in Schedule II hereto, and “</w:t>
      </w:r>
      <w:r>
        <w:rPr>
          <w:rFonts w:ascii="Times New Roman" w:cs="Times New Roman" w:eastAsia="Times New Roman" w:hAnsi="Times New Roman"/>
          <w:sz w:val="18"/>
          <w:szCs w:val="18"/>
          <w:b w:val="1"/>
          <w:bCs w:val="1"/>
          <w:color w:val="auto"/>
        </w:rPr>
        <w:t>broadly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road show</w:t>
      </w:r>
      <w:r>
        <w:rPr>
          <w:rFonts w:ascii="Times New Roman" w:cs="Times New Roman" w:eastAsia="Times New Roman" w:hAnsi="Times New Roman"/>
          <w:sz w:val="18"/>
          <w:szCs w:val="18"/>
          <w:color w:val="auto"/>
        </w:rPr>
        <w:t>” means a “</w:t>
      </w:r>
      <w:r>
        <w:rPr>
          <w:rFonts w:ascii="Times New Roman" w:cs="Times New Roman" w:eastAsia="Times New Roman" w:hAnsi="Times New Roman"/>
          <w:sz w:val="18"/>
          <w:szCs w:val="18"/>
          <w:b w:val="1"/>
          <w:bCs w:val="1"/>
          <w:color w:val="auto"/>
        </w:rPr>
        <w:t>bona fide electronic road show</w:t>
      </w:r>
      <w:r>
        <w:rPr>
          <w:rFonts w:ascii="Times New Roman" w:cs="Times New Roman" w:eastAsia="Times New Roman" w:hAnsi="Times New Roman"/>
          <w:sz w:val="18"/>
          <w:szCs w:val="18"/>
          <w:color w:val="auto"/>
        </w:rPr>
        <w:t>” as defined in Rule 433(h)(5) under the Securities Act that has been made available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restriction to any person. As used herein, the terms “</w:t>
      </w:r>
      <w:r>
        <w:rPr>
          <w:rFonts w:ascii="Times New Roman" w:cs="Times New Roman" w:eastAsia="Times New Roman" w:hAnsi="Times New Roman"/>
          <w:sz w:val="18"/>
          <w:szCs w:val="18"/>
          <w:b w:val="1"/>
          <w:bCs w:val="1"/>
          <w:color w:val="auto"/>
        </w:rPr>
        <w:t>Registration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Basic Prospectuses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Time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Prospectus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include the documents, if any, incorporated by reference therein as of the date hereof.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Statements, the Prospectus, the Time of Sale Prospectus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Prospectus shall include all documents subsequently filed by the Company with the Commission pursuant to the Securities Exchange Act of 1934,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ind w:left="544" w:right="920" w:firstLine="408"/>
        <w:spacing w:after="0" w:line="284" w:lineRule="auto"/>
        <w:tabs>
          <w:tab w:leader="none" w:pos="11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 of the Company</w:t>
      </w:r>
      <w:r>
        <w:rPr>
          <w:rFonts w:ascii="Times New Roman" w:cs="Times New Roman" w:eastAsia="Times New Roman" w:hAnsi="Times New Roman"/>
          <w:sz w:val="18"/>
          <w:szCs w:val="18"/>
          <w:color w:val="auto"/>
        </w:rPr>
        <w:t>. The Company represents and warrants to and agrees with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that:</w:t>
      </w:r>
    </w:p>
    <w:p>
      <w:pPr>
        <w:spacing w:after="0" w:line="52" w:lineRule="exact"/>
        <w:rPr>
          <w:rFonts w:ascii="Times New Roman" w:cs="Times New Roman" w:eastAsia="Times New Roman" w:hAnsi="Times New Roman"/>
          <w:sz w:val="18"/>
          <w:szCs w:val="18"/>
          <w:color w:val="auto"/>
        </w:rPr>
      </w:pPr>
    </w:p>
    <w:p>
      <w:pPr>
        <w:ind w:left="4" w:firstLine="419"/>
        <w:spacing w:after="0" w:line="254" w:lineRule="auto"/>
        <w:tabs>
          <w:tab w:leader="none" w:pos="671"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have become effective; no stop order suspending the effectiveness of the Registration Statements is in effect, and no proceedings for such purpose or pursuant to Section 8A under the Securities Act are pending before or, to the knowledge of the Company, threatened by the Commission. At the time the Company Registration Statement was effective and at the time the Company’s most recent annual report on Form 10-K was filed with the Commission, if later, the Company was, or will be, a “well known seasoned issuer” as defined in Rule 405 under the Securities Act and met or will meet the then applicable requirements for the use of Form S-3 under the Securities Act, including, but not limited to, General Instruction I.B.1 of Form S-3. The Company Registration Statement is an “automatic shelf registration statement,” as defined in Rule 405 under the Securities Act, and became effective upon filing. The Company has not received from the Commission any notice pursuant to Rule 401(g)(2) under the Securities Act objecting to the Company’s use of the automatic shelf registration form. The Company is not a shell company (as defined in Rule 405) and has not been a shell company for at least 12 calendar months previously.</w:t>
      </w:r>
    </w:p>
    <w:p>
      <w:pPr>
        <w:spacing w:after="0" w:line="80" w:lineRule="exact"/>
        <w:rPr>
          <w:rFonts w:ascii="Times New Roman" w:cs="Times New Roman" w:eastAsia="Times New Roman" w:hAnsi="Times New Roman"/>
          <w:sz w:val="18"/>
          <w:szCs w:val="18"/>
          <w:color w:val="auto"/>
        </w:rPr>
      </w:pPr>
    </w:p>
    <w:p>
      <w:pPr>
        <w:ind w:left="4" w:right="60" w:firstLine="419"/>
        <w:spacing w:after="0" w:line="268" w:lineRule="auto"/>
        <w:tabs>
          <w:tab w:leader="none" w:pos="681"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each of the Registration Statements, when it became effective, did not contain and, as amended or supplemented, if applicable, will not contain any untrue statement of a material fact or omit to state a material fact required to be stated therein or necessary to make the statements therein not misleading, (iii) the Registration Statements and the Prospectus comply and, as amended or supplemented, if applicable, will comply in all material respects with the Securities Act and the applicable rules and regulations of the Commission thereunder,</w:t>
      </w:r>
    </w:p>
    <w:p>
      <w:pPr>
        <w:spacing w:after="0" w:line="4" w:lineRule="exact"/>
        <w:rPr>
          <w:rFonts w:ascii="Times New Roman" w:cs="Times New Roman" w:eastAsia="Times New Roman" w:hAnsi="Times New Roman"/>
          <w:sz w:val="17"/>
          <w:szCs w:val="17"/>
          <w:color w:val="auto"/>
        </w:rPr>
      </w:pPr>
    </w:p>
    <w:p>
      <w:pPr>
        <w:ind w:left="4" w:right="80" w:hanging="4"/>
        <w:spacing w:after="0" w:line="252" w:lineRule="auto"/>
        <w:tabs>
          <w:tab w:leader="none" w:pos="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Sale Prospectus does not, and at the time of each sale of the Securities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and (vi) each broadly available road show, if any, when considered together with the Time of Sale Prospectus, does not contain any untrue statement of a</w:t>
      </w:r>
    </w:p>
    <w:p>
      <w:pPr>
        <w:spacing w:after="0" w:line="121"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4"/>
          </w:cols>
          <w:pgMar w:left="876" w:top="268" w:right="439" w:bottom="1440" w:gutter="0" w:footer="0" w:header="0"/>
        </w:sectPr>
      </w:pPr>
    </w:p>
    <w:bookmarkStart w:id="7" w:name="page8"/>
    <w:bookmarkEnd w:id="7"/>
    <w:p>
      <w:pPr>
        <w:ind w:right="1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Statements, the Time of Sale Prospectus or the Prospectus based upon information relating to any Underwriter furnished to the Company in writing by or on behalf of such Underwriter through the Representatives expressly for use therein, it being understood and agreed upon that the only such information in the Prospectus furnished on behalf of each Underwriter is the concession figure appearing in the third paragraph under the caption “Underwriting,” the information regarding stabilizing transactions contained in the fifteenth paragraph under the caption “Underwriting” and the information regarding selling restrictions contained in the nineteenth and twentieth paragraphs under the caption “Underwriting”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firstLine="419"/>
        <w:spacing w:after="0" w:line="254" w:lineRule="auto"/>
        <w:tabs>
          <w:tab w:leader="none" w:pos="6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the Representatives before first use, the Company has not prepared, used or referred to, and will not, without the Representatives’ prior consent, prepare, use or refer to, any free writing prospectus.</w:t>
      </w:r>
    </w:p>
    <w:p>
      <w:pPr>
        <w:spacing w:after="0" w:line="83" w:lineRule="exact"/>
        <w:rPr>
          <w:rFonts w:ascii="Times New Roman" w:cs="Times New Roman" w:eastAsia="Times New Roman" w:hAnsi="Times New Roman"/>
          <w:sz w:val="18"/>
          <w:szCs w:val="18"/>
          <w:color w:val="auto"/>
        </w:rPr>
      </w:pPr>
    </w:p>
    <w:p>
      <w:pPr>
        <w:jc w:val="both"/>
        <w:ind w:right="80" w:firstLine="419"/>
        <w:spacing w:after="0" w:line="266"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Statements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ind w:right="120" w:firstLine="419"/>
        <w:spacing w:after="0" w:line="266" w:lineRule="auto"/>
        <w:tabs>
          <w:tab w:leader="none" w:pos="66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time of initial confidential submission of the Company’s Registration Statement on Form S-1 (File No. 333-240098) to the Commission through December 31, 2024, the Company was an “emerging growth company,” as defined in Section 2(a) of the Securities Act (an “</w:t>
      </w:r>
      <w:r>
        <w:rPr>
          <w:rFonts w:ascii="Times New Roman" w:cs="Times New Roman" w:eastAsia="Times New Roman" w:hAnsi="Times New Roman"/>
          <w:sz w:val="18"/>
          <w:szCs w:val="18"/>
          <w:b w:val="1"/>
          <w:bCs w:val="1"/>
          <w:color w:val="auto"/>
        </w:rPr>
        <w:t>Emerging Growth Company</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80" w:firstLine="419"/>
        <w:spacing w:after="0" w:line="266"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interactive data in eXtensible Business Reporting Language included or incorporated by reference in the Registration Statements, Time of Sale Prospectus and the Prospectus fairly presents the information called for in all material respects and has been prepared in accordance with the Commission’s rules and guidelines applicable thereto.</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8" w:name="page9"/>
    <w:bookmarkEnd w:id="8"/>
    <w:p>
      <w:pPr>
        <w:ind w:right="80" w:firstLine="419"/>
        <w:spacing w:after="0" w:line="274" w:lineRule="auto"/>
        <w:tabs>
          <w:tab w:leader="none" w:pos="67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is subject to and in compliance in all material respects with the reporting requirements of Section 13 or Section 15(d) of the Exchange Act. The Common Stock is registered pursuant to Section 12(b) of the Exchange Act and is listed on the Nasdaq Global Market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and the Company has taken no action designed to, or reasonably likely to have the effect of, terminating the registration of the Common Stock under the Exchange Act or delisting the Common Stock from Nasdaq, nor has the Company received any notification that the Commission or Nasdaq is contemplating terminating such registration or listing. The Company is in compliance with the current listing standards of Nasdaq. The Company has filed a Notification of Listing of Additional Shares with Nasdaq with respect to the Shares and the Warrant Shares.</w:t>
      </w:r>
    </w:p>
    <w:p>
      <w:pPr>
        <w:spacing w:after="0" w:line="64" w:lineRule="exact"/>
        <w:rPr>
          <w:rFonts w:ascii="Times New Roman" w:cs="Times New Roman" w:eastAsia="Times New Roman" w:hAnsi="Times New Roman"/>
          <w:sz w:val="17"/>
          <w:szCs w:val="17"/>
          <w:color w:val="auto"/>
        </w:rPr>
      </w:pPr>
    </w:p>
    <w:p>
      <w:pPr>
        <w:ind w:right="240" w:firstLine="419"/>
        <w:spacing w:after="0" w:line="258" w:lineRule="auto"/>
        <w:tabs>
          <w:tab w:leader="none" w:pos="67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(as such term is defined in Rule 1-02 of Regulation S-X promulgated under the Securities Act) has the right to act as an underwriter or as a financial advisor to the Company in connection with the offer and sale of the Securities hereunder, whether as a result of the filing or effectiveness of the Registration Statements or the sale of the Securities as contemplated hereby or otherwise. Except for the Underwriters, there is no broker, finder or other party that is entitled to receive from the Company or any of its Subsidiaries (as defined below) any brokerage or finder’s fee or other fee or commission as a result of any transactions contemplated by this Agreement.</w:t>
      </w:r>
    </w:p>
    <w:p>
      <w:pPr>
        <w:spacing w:after="0" w:line="75" w:lineRule="exact"/>
        <w:rPr>
          <w:rFonts w:ascii="Times New Roman" w:cs="Times New Roman" w:eastAsia="Times New Roman" w:hAnsi="Times New Roman"/>
          <w:sz w:val="18"/>
          <w:szCs w:val="18"/>
          <w:color w:val="auto"/>
        </w:rPr>
      </w:pPr>
    </w:p>
    <w:p>
      <w:pPr>
        <w:ind w:right="60" w:firstLine="419"/>
        <w:spacing w:after="0" w:line="254" w:lineRule="auto"/>
        <w:tabs>
          <w:tab w:leader="none" w:pos="6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jurisdiction of its incorporation, has the corporate power and authority to own, lease and operate its property and to conduct its business as described in each of the Registration Statements, the Time of Sale Prospectus and the Prospectus and to enter into and perform its obligations under this Agreement.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expected to, singly or in the aggregate, have a material adverse effect on the condition (financial or otherwise), earnings, results of operations, business, prospects, properties, operations, assets, liabilities or prospects of the Company and its Subsidiaries, taken as a whole, whether or not arising from transactions in the ordinary course of business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“subsidiaries” (for purposes of this Agreement, as defined in Rule 405 under the Securities Act) (each, a</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Subsidiaries</w:t>
      </w:r>
      <w:r>
        <w:rPr>
          <w:rFonts w:ascii="Times New Roman" w:cs="Times New Roman" w:eastAsia="Times New Roman" w:hAnsi="Times New Roman"/>
          <w:sz w:val="18"/>
          <w:szCs w:val="18"/>
          <w:color w:val="auto"/>
        </w:rPr>
        <w:t>”) has been duly incorporated, organized or formed and is validly existing in good standing (where such concept exists) under the laws of the jurisdiction of its incorporation or organization and has full power and authority to acquire, own, lease and operate its properties, and to conduct its business as described in the Registration Statements, the Time of Sale Prospectus and the Prospectus. Each Subsidiary is duly qualified to transact business and is in good standing (where such concept exists) under the laws of each jurisdiction that requires such qualification, whether by reason of the ownership or leasing of property or the conduct of business, except to the extent that the failure to be so qualified or in good standing could not reasonably be expected, individually or in the aggregate, to have a Material Adverse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All of the issued and outstanding share capital or other equity or ownership interests of each Subsidiary has been duly authorized and validly issued, is fully paid and nonassessable, has been issued in compliance with federal state and securities laws and is owned by the Company, directly or through other wholly-owned Subsidiaries, free and clear of any security interest, mortgage, pledge, lien, encumbrance or adverse claim. Except for Disc Medicine Opco, Inc., a Delaware corporation, Disc Medicine B.V., a Netherlands private limited company, Disc Medicine Securities Corp., a Massachusetts corporation, Disc Medicine Pty Ltd, an Australian proprietary limited company, Kurome Therapeutics, Inc., a Delaware corporation and KuromeTx Australia Pty Ltd, an Australian proprietary limited company, the Company does not own or control, directly or indirectly, any corporation, association or other entity. Only Disc Medicine Opco, Inc. constitutes a “significant subsidiary” within the meaning of Rule 1-02 of Regulation S-X. No Subsidiary is prohibited or restricted, directly or indirectly, from paying dividends to the Company, from making any other distribution with respect to such Subsidiary’s equity securities, from repaying to the Company or any other Subsidiary any amounts that may from time to time become due under any loans or advances to such Subsidiary from the Company or from transferring any property or assets to the Company or to any other Subsidiary.</w:t>
      </w:r>
    </w:p>
    <w:p>
      <w:pPr>
        <w:spacing w:after="0" w:line="84" w:lineRule="exact"/>
        <w:rPr>
          <w:sz w:val="20"/>
          <w:szCs w:val="20"/>
          <w:color w:val="auto"/>
        </w:rPr>
      </w:pPr>
    </w:p>
    <w:p>
      <w:pPr>
        <w:ind w:right="40" w:firstLine="419"/>
        <w:spacing w:after="0" w:line="282" w:lineRule="auto"/>
        <w:tabs>
          <w:tab w:leader="none" w:pos="6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to the description thereof contained in each of the Registration Statements, the Time of Sale Prospectus and the Prospectus.</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conforms in all material respects to the description thereof contained in the Registration Statements, the Time of Sale Prospectus and the Prospectus, including under the heading “Description of Capital Stock.” All of the issued and outstanding share capital or other equity or ownership interest of the Company (including the Common Stock) has been duly authorized and validly issued and is fully paid and nonassessable, has been issued in compliance with all federal, state and local securities laws and is free and clear of any security interest, mortgage, pledge, lien, encumbrance or adverse claim. None of the outstanding shares of capital stock of the Company were issued in violation of any preemptive rights, rights of first refusal or other similar rights to subscribe for or purchase securities of the Company. The descriptions of the Company’s equity incentive plan, stock option plans and other stock plans or arrangements described in the Prospectus and in effect as of the date hereof (collectively, the “</w:t>
      </w:r>
      <w:r>
        <w:rPr>
          <w:rFonts w:ascii="Times New Roman" w:cs="Times New Roman" w:eastAsia="Times New Roman" w:hAnsi="Times New Roman"/>
          <w:sz w:val="18"/>
          <w:szCs w:val="18"/>
          <w:b w:val="1"/>
          <w:bCs w:val="1"/>
          <w:color w:val="auto"/>
        </w:rPr>
        <w:t>Stock Plans</w:t>
      </w:r>
      <w:r>
        <w:rPr>
          <w:rFonts w:ascii="Times New Roman" w:cs="Times New Roman" w:eastAsia="Times New Roman" w:hAnsi="Times New Roman"/>
          <w:sz w:val="18"/>
          <w:szCs w:val="18"/>
          <w:color w:val="auto"/>
        </w:rPr>
        <w:t>”) and the options or other rights granted thereunder, set forth in the Registration Statements and the Prospectus accurately and fairly present the information required to be shown with respect to such Stock Plans and the options or other rights granted thereunder.</w:t>
      </w:r>
    </w:p>
    <w:p>
      <w:pPr>
        <w:spacing w:after="0" w:line="86" w:lineRule="exact"/>
        <w:rPr>
          <w:rFonts w:ascii="Times New Roman" w:cs="Times New Roman" w:eastAsia="Times New Roman" w:hAnsi="Times New Roman"/>
          <w:sz w:val="18"/>
          <w:szCs w:val="18"/>
          <w:color w:val="auto"/>
        </w:rPr>
      </w:pPr>
    </w:p>
    <w:p>
      <w:pPr>
        <w:ind w:firstLine="419"/>
        <w:spacing w:after="0" w:line="266" w:lineRule="auto"/>
        <w:tabs>
          <w:tab w:leader="none" w:pos="72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have been duly authorized and, when issued, delivered and paid for in accordance with the terms of this Agreement, will be validly issued, fully paid and non-assessable, and the issuance of the Securities will not be subject to any preemptive or similar rights that have not been validly waived. This Agreement has been duly authorized, executed and delivered by the Company.</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60"/>
          </w:cols>
          <w:pgMar w:left="880" w:top="270" w:right="459" w:bottom="1440" w:gutter="0" w:footer="0" w:header="0"/>
        </w:sectPr>
      </w:pPr>
    </w:p>
    <w:bookmarkStart w:id="10" w:name="page11"/>
    <w:bookmarkEnd w:id="10"/>
    <w:p>
      <w:pPr>
        <w:ind w:firstLine="419"/>
        <w:spacing w:after="0" w:line="253"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Pre-Funded Warrants conform in all material respects to the description thereof contained in the Time of Sale Prospectus and the Prospectus, including under the heading “Description of Warrants.” The Pre-Funded Warrants have been duly authorized and, when executed and delivered by the Company in accordance with this Agreement, will be valid and legally binding agreements of the Company, enforceable against the Company in accordance with their terms except as the enforcement thereof may be limited by applicable bankruptcy, insolvency, reorganization, moratorium or other similar laws relating to or affecting the rights and remedies of creditors or by general equitable principles. The maximum number of Warrant Shares to be issued by the Company upon exercise of the Pre-Funded Warrants in accordance therewith have been duly authorized and have been reserved for issuance upon exercise of the Pre-Funded Warrants in a number sufficient to meet the current exercise requirements. The Warrant Shares, when issued and delivered upon exercise of the Pre-Funded Warrants in accordance therewith, will be validly issued, fully paid and non-assessable, and the issuance of the Warrant Shares is not subject to any preemptive or similar rights not otherwise validly waived or satisfied.</w:t>
      </w:r>
    </w:p>
    <w:p>
      <w:pPr>
        <w:spacing w:after="0" w:line="86"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Securities and the application of the proceeds thereof as described in each of the Registration Statements, the Time of Sale Prospectus and the Prospectus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will not contravene any provision of (i) applicable law, (ii) the certificate of incorporation or by laws of the Company, (iii) any agreement or other instrument binding upon the Company or its Subsidiaries that is material to the Company and its Subsidiaries, taken as a whole, or (iv) any judgment, order or decree of any governmental body, agency or court having jurisdiction over the Company or its Subsidiaries, except that, in the case of clause (i) and (iii), as would not, individually or in the aggregate, reasonably be expected to have a Material Adverse Effect on the Company or on the power and ability of the Company to perform its obligations under this Agreement, and no consent, approval, authorization or order of, or qualification with, any governmental body, agency or court is required for the performance by the Company of its obligations under this Agreement, except such as may be required by the securities or Blue Sky laws of the various states in connection with the offer and sale of the Securities.</w:t>
      </w:r>
    </w:p>
    <w:p>
      <w:pPr>
        <w:spacing w:after="0" w:line="80" w:lineRule="exact"/>
        <w:rPr>
          <w:rFonts w:ascii="Times New Roman" w:cs="Times New Roman" w:eastAsia="Times New Roman" w:hAnsi="Times New Roman"/>
          <w:sz w:val="18"/>
          <w:szCs w:val="18"/>
          <w:color w:val="auto"/>
        </w:rPr>
      </w:pPr>
    </w:p>
    <w:p>
      <w:pPr>
        <w:ind w:right="280" w:firstLine="419"/>
        <w:spacing w:after="0" w:line="266" w:lineRule="auto"/>
        <w:tabs>
          <w:tab w:leader="none" w:pos="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Effect, or any development involving a prospective Material Adverse Effect, in the condition, financial or otherwise, or in the earnings, business or operations of the Company and its subsidiaries, taken as a whole, from that set forth in the Time of Sale Prospectus.</w:t>
      </w:r>
    </w:p>
    <w:p>
      <w:pPr>
        <w:spacing w:after="0" w:line="67" w:lineRule="exact"/>
        <w:rPr>
          <w:rFonts w:ascii="Times New Roman" w:cs="Times New Roman" w:eastAsia="Times New Roman" w:hAnsi="Times New Roman"/>
          <w:sz w:val="18"/>
          <w:szCs w:val="18"/>
          <w:color w:val="auto"/>
        </w:rPr>
      </w:pPr>
    </w:p>
    <w:p>
      <w:pPr>
        <w:ind w:right="60" w:firstLine="419"/>
        <w:spacing w:after="0" w:line="261" w:lineRule="auto"/>
        <w:tabs>
          <w:tab w:leader="none" w:pos="6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Securities registered pursuant to the Registration Statements except as have been validly waived or complied with in connection with the issuance and sale of the Securities contemplated hereby.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1" w:name="page12"/>
    <w:bookmarkEnd w:id="11"/>
    <w:p>
      <w:pPr>
        <w:ind w:firstLine="419"/>
        <w:spacing w:after="0" w:line="251" w:lineRule="auto"/>
        <w:tabs>
          <w:tab w:leader="none" w:pos="6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consolidated financial statements included in each of the Registration Statements, the Time of Sale Prospectus and the Prospectus, together with the related schedules and notes thereto, comply as to form in all material respects with the applicable accounting requirements of the Securities Act and present fairly in all material respects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in each of the Registration Statements, the Time of Sale Prospectus and the Prospectus comply with the requirements of Regulation S-X of the Securities Act, including, without limitation, Article 11 thereof, fairly present the information set forth herein, and the assumptions used in the preparation of such pro forma financial statements and data are reasonable, the pro forma adjustments used therein are appropriate to give effect to the circumstances referred to therein and the pro forma adjustments have been properly applied to the historical amounts in the compilation of those statements and data. There are no financial statements (historical or pro forma) that are required to be included or incorporated by reference in the Registration Statements, the Time of Sale Prospectus or the Prospectus that are not included or incorporated by reference therein as required. The Company and the Subsidiaries do not have any material liabilities or obligations, direct or contingent (including any off-balance sheet obligations), not disclosed in the Registration Statements, the Time of Sale Prospectus and the Prospectus. All disclosures contained in the Registration Statements, the Time of Sale Prospectus or the Prospectus that contain “non-GAAP financial measures” (as such term is defined by the rules and regulations of the Commission) comply, in all material respects, with Regulation G under the Exchange Act and Item 10 of Regulation S-K under the Securities Act, to the extent applicable. The statistical, industry-related and market-related data included in each of the Registration Statements, the Time of Sale Prospectus and the Prospectus are based on or derived from sources which the Company reasonably and in good faith believes are reliable and accurate and such data is consistent with the sources from which they are derived, in each case in all material respects and the Company has obtained the written consent to the use of such data from such sources to the extent required. To the Company’s knowledge, no person who has been suspended or barred from being associated with a registered public accounting firm, or who has failed to comply with any sanction pursuant to Rule 5300 promulgated by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has participated in or otherwise aided the preparation of, or audited, the financial statements, supporting schedules or other financial data filed with the Commission as a part of the Registration Statements and the Prospectus.</w:t>
      </w:r>
    </w:p>
    <w:p>
      <w:pPr>
        <w:spacing w:after="0" w:line="13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2" w:name="page13"/>
    <w:bookmarkEnd w:id="12"/>
    <w:p>
      <w:pPr>
        <w:ind w:right="60" w:firstLine="419"/>
        <w:spacing w:after="0" w:line="253" w:lineRule="auto"/>
        <w:tabs>
          <w:tab w:leader="none" w:pos="6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are no legal or governmental proceedings pending or, to the knowledge of the Company, threatened to which the Company or any of its subsidiaries is a party or to which any of the properties of the Company or any of its subsidiaries is subject (i) other than proceedings accurately described in all material respects in each of the Registration Statements, the Time of Sale Prospectus and the Prospectus and proceedings that would not reasonably be expected to, singly or in the aggregate, have a Material Adverse Effect on the Company and its subsidiaries, taken as a whole, or on the power or ability of the Company to perform its obligations under this Agreement or to consummate the transactions contemplated by each of the Registration Statements, the Time of Sale Prospectus and the Prospectus or (ii) that are required to be described in the Registration Statements, the Time of Sale Prospectus or the Prospectus and are not so described in all material respects; and there are no statutes, regulations, contracts or other documents that are required to be described in the Registration Statements, the Time of Sale Prospectus or the Prospectus or to be filed as exhibits to the Registration Statements that are not described in all material respects or filed as required.</w:t>
      </w:r>
    </w:p>
    <w:p>
      <w:pPr>
        <w:spacing w:after="0" w:line="86"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who have certified certain financial statements of the Company and its Subsidiaries and delivered its report with respect to the audited consolidated financial statements and schedules filed with the Commission as part of the Registration Statements and included in each of the Registration Statements, the Time of Sale Prospectus and the Prospectus, is an independent registered public accounting firm with respect to the Company within the meaning of the Securities Act and the applicable rules and regulations thereunder adopted by the Commission and the PCAOB. Ernst &amp; Young LLP has not been engaged by the Company to perform any “prohibited activities” or provided to the Company any “non-audit services” (as defined in Section 10A of the Exchange Act).</w:t>
      </w:r>
    </w:p>
    <w:p>
      <w:pPr>
        <w:spacing w:after="0" w:line="79" w:lineRule="exact"/>
        <w:rPr>
          <w:rFonts w:ascii="Times New Roman" w:cs="Times New Roman" w:eastAsia="Times New Roman" w:hAnsi="Times New Roman"/>
          <w:sz w:val="18"/>
          <w:szCs w:val="18"/>
          <w:color w:val="auto"/>
        </w:rPr>
      </w:pPr>
    </w:p>
    <w:p>
      <w:pPr>
        <w:ind w:right="200" w:firstLine="419"/>
        <w:spacing w:after="0" w:line="26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transfer taxes or other similar fees or charges under federal law, the laws of any state, any foreign law, or any political subdivision thereof, required to be paid in connection with the execution and delivery of this Agreement or the issuance by the Company or sale by the Company of the Securities.</w:t>
      </w:r>
    </w:p>
    <w:p>
      <w:pPr>
        <w:spacing w:after="0" w:line="67" w:lineRule="exact"/>
        <w:rPr>
          <w:rFonts w:ascii="Times New Roman" w:cs="Times New Roman" w:eastAsia="Times New Roman" w:hAnsi="Times New Roman"/>
          <w:sz w:val="18"/>
          <w:szCs w:val="18"/>
          <w:color w:val="auto"/>
        </w:rPr>
      </w:pPr>
    </w:p>
    <w:p>
      <w:pPr>
        <w:ind w:right="20" w:firstLine="419"/>
        <w:spacing w:after="0" w:line="261" w:lineRule="auto"/>
        <w:tabs>
          <w:tab w:leader="none" w:pos="7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could, singly or in the aggregate,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are insured by insurers of recognized financial responsibility against such losses and risks and in such amounts as are prudent and customary in the businesses in which they are engaged; neither the Company nor its Subsidiaries has been refused any insurance coverage sought or applied for; and neither the Company nor its Subsidiaries has any reason to believe that it will not be able to renew its existing insurance coverage as and when such coverage expires or to obtain similar coverage from similar insurers as may be necessary to continue its business at a cost that would not reasonably be expected to, singly or in the aggregate, have a Material Adverse Effect on the Company and its Subsidiaries, taken as a whole.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 w:name="page14"/>
    <w:bookmarkEnd w:id="13"/>
    <w:p>
      <w:pPr>
        <w:ind w:right="40" w:firstLine="419"/>
        <w:spacing w:after="0" w:line="255" w:lineRule="auto"/>
        <w:tabs>
          <w:tab w:leader="none" w:pos="6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have good and marketable title in fee simple to all real property and good and marketable title to all personal property owned by them which is material to the business of the Company and its Subsidiaries, in each case free and clear of all liens, encumbrances and defects except such as do not materially affect the value of such property and do not interfere in any material respect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in any material respect with the use made and proposed to be made of such property and buildings by the Company and its Subsidiaries.</w:t>
      </w:r>
    </w:p>
    <w:p>
      <w:pPr>
        <w:spacing w:after="0" w:line="80" w:lineRule="exact"/>
        <w:rPr>
          <w:rFonts w:ascii="Times New Roman" w:cs="Times New Roman" w:eastAsia="Times New Roman" w:hAnsi="Times New Roman"/>
          <w:sz w:val="18"/>
          <w:szCs w:val="18"/>
          <w:color w:val="auto"/>
        </w:rPr>
      </w:pPr>
    </w:p>
    <w:p>
      <w:pPr>
        <w:ind w:firstLine="419"/>
        <w:spacing w:after="0" w:line="256" w:lineRule="auto"/>
        <w:tabs>
          <w:tab w:leader="none" w:pos="66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and are operating in material compliance with all certificates, authorizations and permits issued by the appropriate federal, state or foreign regulatory authorities necessary to conduct their respective businesses as described in the Registration Statements, the Time of Sale Prospectus and the Prospectus, and neither the Company nor its Subsidiaries has received any written notice of proceedings relating to the revocation or modification of, or material non-compliance with, any such material certificate, authorization or permit which, singly or in the aggregate, if the subject of an unfavorable decision, ruling or finding, would have a Material Adverse Effect on the Company and its Subsidiaries, taken as a whole.</w:t>
      </w:r>
    </w:p>
    <w:p>
      <w:pPr>
        <w:spacing w:after="0" w:line="79" w:lineRule="exact"/>
        <w:rPr>
          <w:sz w:val="20"/>
          <w:szCs w:val="20"/>
          <w:color w:val="auto"/>
        </w:rPr>
      </w:pPr>
    </w:p>
    <w:p>
      <w:pPr>
        <w:ind w:right="20" w:firstLine="419"/>
        <w:spacing w:after="0" w:line="253" w:lineRule="auto"/>
        <w:tabs>
          <w:tab w:leader="none" w:pos="7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and (iv) the recorded accountability for assets is compared with existing assets at reasonable intervals and appropriate action is taken with respect to any differences. Except as disclosed in the Registration Statements, the Time of Sale Prospectus and the Prospectus, since the end of the Company’s most recent audited fiscal year, (i) there has been (x) no material weakness in the Company’s internal control over financial reporting (whether or not remediated) and (y) no change in the Company’s internal control over financial reporting that has materially affected, or is reasonably likely to materially affect, the Company’s internal control over financial reporting; and (ii) the interactive data in the eXtensible Business Reporting Language included or incorporated by reference in the Registration Statements, the Time of Sale Prospectus and the Prospectus fairly presents the information called for in all respects and has been prepared in accordance with the Commission’s rules and guidelines applicable thereto.</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14" w:name="page15"/>
    <w:bookmarkEnd w:id="14"/>
    <w:p>
      <w:pPr>
        <w:ind w:right="20" w:firstLine="419"/>
        <w:spacing w:after="0" w:line="258"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Company, nor any of its Subsidiaries, nor to the knowledge of the Company, any of its or their respective directors, officers or controlling persons has taken, directly or indirectly, without giving effect to any actions taken by the Underwriters, (i) any action designed to or that might constitute or reasonably be expected to cause or result in, under the Exchange Act or otherwise, stabilization or manipulation of the price of any security of the Company to facilitate the sale or resale of the Securities or (ii) any action designed to or that might constitute or reasonably be expected to cause or result in a violation of Regulation M under the Exchange Act.</w:t>
      </w:r>
    </w:p>
    <w:p>
      <w:pPr>
        <w:spacing w:after="0" w:line="75" w:lineRule="exact"/>
        <w:rPr>
          <w:rFonts w:ascii="Times New Roman" w:cs="Times New Roman" w:eastAsia="Times New Roman" w:hAnsi="Times New Roman"/>
          <w:sz w:val="18"/>
          <w:szCs w:val="18"/>
          <w:color w:val="auto"/>
        </w:rPr>
      </w:pPr>
    </w:p>
    <w:p>
      <w:pPr>
        <w:ind w:right="60" w:firstLine="419"/>
        <w:spacing w:after="0" w:line="255" w:lineRule="auto"/>
        <w:tabs>
          <w:tab w:leader="none" w:pos="7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Subsidiary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right="120" w:firstLine="419"/>
        <w:spacing w:after="0" w:line="261" w:lineRule="auto"/>
        <w:tabs>
          <w:tab w:leader="none" w:pos="7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costs or liabilities associated with Environmental Laws (including, without limitation, any capital or operating expenditures required for clean 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its Subsidiaries, taken as a whole.</w:t>
      </w:r>
    </w:p>
    <w:p>
      <w:pPr>
        <w:spacing w:after="0" w:line="71" w:lineRule="exact"/>
        <w:rPr>
          <w:rFonts w:ascii="Times New Roman" w:cs="Times New Roman" w:eastAsia="Times New Roman" w:hAnsi="Times New Roman"/>
          <w:sz w:val="18"/>
          <w:szCs w:val="18"/>
          <w:color w:val="auto"/>
        </w:rPr>
      </w:pPr>
    </w:p>
    <w:p>
      <w:pPr>
        <w:ind w:firstLine="419"/>
        <w:spacing w:after="0" w:line="253" w:lineRule="auto"/>
        <w:tabs>
          <w:tab w:leader="none" w:pos="7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following events has occurred or exists: (i) a failure to fulfill the obligations, if any, under the minimum 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regulations and published interpretations thereunder with respect to a Plan that is required to be funded, determined without regard to any waiver of such obligations or extension of any amortization period that would reasonably be expected to have a Material Adverse Effect; (ii) an audit or investigation by the Internal Revenue Service, the U.S. Department of Labor, the Pension Benefit Guaranty Corporation or any other federal or state governmental agency or any foreign regulatory agency with respect to the employment or compensation of employees by any of the Company or its Subsidiaries that would reasonably be expected to have a Material Adverse Effect; (iii) any breach of any contractual obligation, or any violation of law or applicable qualification standards, with respect to the employment or compensation of employees by the Company or its Subsidiaries that would reasonably be expected to have a Material Adverse Effect. None of the following events has occurred or is reasonably likely to occur: (i) a material increase in the aggregate amount of contributions required to be made to all Plans in the current fiscal</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40"/>
          </w:cols>
          <w:pgMar w:left="880" w:top="270" w:right="47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year of the Company and its Subsidiaries compared to the amount of such contributions made in the most recently completed fiscal year of the Company and its Subsidiaries;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84" w:lineRule="exact"/>
        <w:rPr>
          <w:sz w:val="20"/>
          <w:szCs w:val="20"/>
          <w:color w:val="auto"/>
        </w:rPr>
      </w:pPr>
    </w:p>
    <w:p>
      <w:pPr>
        <w:ind w:firstLine="419"/>
        <w:spacing w:after="0" w:line="258" w:lineRule="auto"/>
        <w:tabs>
          <w:tab w:leader="none" w:pos="7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taken all necessary actions to ensure that it is in compliance with all applicable provisions of the Sarbanes-Oxley Act of 2002 and the rules and regulations promulgated in connection therewith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that are currently in effect and with which the Company is required to comply. There is and has been no material failure on the part of the Company or, to the knowledge of the Company, any of the Company’s directors or officers, in their capacities as such, to comply with any applicable provision of the Sarbanes-Oxley Act, including Section 402 related to loans and Sections 302 and 906 related to certifications.</w:t>
      </w:r>
    </w:p>
    <w:p>
      <w:pPr>
        <w:spacing w:after="0" w:line="75" w:lineRule="exact"/>
        <w:rPr>
          <w:rFonts w:ascii="Times New Roman" w:cs="Times New Roman" w:eastAsia="Times New Roman" w:hAnsi="Times New Roman"/>
          <w:sz w:val="18"/>
          <w:szCs w:val="18"/>
          <w:color w:val="auto"/>
        </w:rPr>
      </w:pPr>
    </w:p>
    <w:p>
      <w:pPr>
        <w:ind w:firstLine="419"/>
        <w:spacing w:after="0" w:line="269" w:lineRule="auto"/>
        <w:tabs>
          <w:tab w:leader="none" w:pos="76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7"/>
          <w:szCs w:val="17"/>
          <w:b w:val="1"/>
          <w:bCs w:val="1"/>
          <w:color w:val="auto"/>
        </w:rPr>
        <w:t>Government Official</w:t>
      </w:r>
      <w:r>
        <w:rPr>
          <w:rFonts w:ascii="Times New Roman" w:cs="Times New Roman" w:eastAsia="Times New Roman" w:hAnsi="Times New Roman"/>
          <w:sz w:val="17"/>
          <w:szCs w:val="17"/>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6" w:name="page17"/>
    <w:bookmarkEnd w:id="16"/>
    <w:p>
      <w:pPr>
        <w:ind w:left="400" w:right="80" w:firstLine="419"/>
        <w:spacing w:after="0" w:line="254" w:lineRule="auto"/>
        <w:tabs>
          <w:tab w:leader="none" w:pos="11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Times New Roman" w:cs="Times New Roman" w:eastAsia="Times New Roman" w:hAnsi="Times New Roman"/>
          <w:sz w:val="18"/>
          <w:szCs w:val="18"/>
          <w:color w:val="auto"/>
        </w:rPr>
      </w:pPr>
    </w:p>
    <w:p>
      <w:pPr>
        <w:ind w:left="-40" w:right="60" w:firstLine="987"/>
        <w:spacing w:after="0" w:line="266" w:lineRule="auto"/>
        <w:tabs>
          <w:tab w:leader="none" w:pos="1216"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67" w:lineRule="exact"/>
        <w:rPr>
          <w:rFonts w:ascii="Times New Roman" w:cs="Times New Roman" w:eastAsia="Times New Roman" w:hAnsi="Times New Roman"/>
          <w:sz w:val="18"/>
          <w:szCs w:val="18"/>
          <w:color w:val="auto"/>
        </w:rPr>
      </w:pPr>
    </w:p>
    <w:p>
      <w:pPr>
        <w:ind w:left="940" w:firstLine="408"/>
        <w:spacing w:after="0" w:line="266" w:lineRule="auto"/>
        <w:tabs>
          <w:tab w:leader="none" w:pos="163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jc w:val="both"/>
        <w:ind w:left="940" w:right="80" w:firstLine="408"/>
        <w:spacing w:after="0" w:line="266" w:lineRule="auto"/>
        <w:tabs>
          <w:tab w:leader="none" w:pos="1626"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Crimea, the so-called Donetsk People’s Republic, the so-called Luhansk People’s Republic, the non-government controlled areas of Zaporizhzhia and Kherson regions of Ukraine, Cuba, Iran, North Korea and Syria).</w:t>
      </w:r>
    </w:p>
    <w:p>
      <w:pPr>
        <w:spacing w:after="0" w:line="176" w:lineRule="exact"/>
        <w:rPr>
          <w:sz w:val="20"/>
          <w:szCs w:val="20"/>
          <w:color w:val="auto"/>
        </w:rPr>
      </w:pPr>
    </w:p>
    <w:p>
      <w:pPr>
        <w:ind w:left="-40" w:right="300" w:firstLine="987"/>
        <w:spacing w:after="0" w:line="282"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use the proceeds of the offering, or lend, contribute or otherwise make available such proceeds to any subsidiary, joint venture partner or other Person:</w:t>
      </w:r>
    </w:p>
    <w:p>
      <w:pPr>
        <w:spacing w:after="0" w:line="53" w:lineRule="exact"/>
        <w:rPr>
          <w:rFonts w:ascii="Times New Roman" w:cs="Times New Roman" w:eastAsia="Times New Roman" w:hAnsi="Times New Roman"/>
          <w:sz w:val="18"/>
          <w:szCs w:val="18"/>
          <w:color w:val="auto"/>
        </w:rPr>
      </w:pPr>
    </w:p>
    <w:p>
      <w:pPr>
        <w:ind w:left="940" w:firstLine="408"/>
        <w:spacing w:after="0" w:line="282" w:lineRule="auto"/>
        <w:tabs>
          <w:tab w:leader="none" w:pos="163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except to the extent permitted for a Person required to comply with Sanctions; or</w:t>
      </w:r>
    </w:p>
    <w:p>
      <w:pPr>
        <w:spacing w:after="0" w:line="53" w:lineRule="exact"/>
        <w:rPr>
          <w:rFonts w:ascii="Times New Roman" w:cs="Times New Roman" w:eastAsia="Times New Roman" w:hAnsi="Times New Roman"/>
          <w:sz w:val="18"/>
          <w:szCs w:val="18"/>
          <w:color w:val="auto"/>
        </w:rPr>
      </w:pPr>
    </w:p>
    <w:p>
      <w:pPr>
        <w:ind w:left="940" w:right="60" w:firstLine="408"/>
        <w:spacing w:after="0" w:line="282" w:lineRule="auto"/>
        <w:tabs>
          <w:tab w:leader="none" w:pos="162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161" w:lineRule="exact"/>
        <w:rPr>
          <w:rFonts w:ascii="Times New Roman" w:cs="Times New Roman" w:eastAsia="Times New Roman" w:hAnsi="Times New Roman"/>
          <w:sz w:val="18"/>
          <w:szCs w:val="18"/>
          <w:color w:val="auto"/>
        </w:rPr>
      </w:pPr>
    </w:p>
    <w:p>
      <w:pPr>
        <w:ind w:left="-40" w:right="20" w:firstLine="987"/>
        <w:spacing w:after="0" w:line="266" w:lineRule="auto"/>
        <w:tabs>
          <w:tab w:leader="none" w:pos="12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20"/>
          </w:cols>
          <w:pgMar w:left="480" w:top="270" w:right="499" w:bottom="1440" w:gutter="0" w:footer="0" w:header="0"/>
        </w:sectPr>
      </w:pPr>
    </w:p>
    <w:bookmarkStart w:id="17" w:name="page18"/>
    <w:bookmarkEnd w:id="17"/>
    <w:p>
      <w:pPr>
        <w:ind w:firstLine="419"/>
        <w:spacing w:after="0" w:line="252" w:lineRule="auto"/>
        <w:tabs>
          <w:tab w:leader="none" w:pos="68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Company and its Subsidiaries own or have a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businesses; (ii) to the Company’s knowledge, the Intellectual Property Rights owned by the Company and its Subsidiaries and the Intellectual Property Rights licensed to the Company and its Subsidiaries, are valid, subsisting and enforceable, and there is no pending or, to the knowledge of the Company or any of its Subsidiaries,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which, singly or in the aggregate, if the subject of an unfavorable decision, ruling or finding, would have a Material Adverse Effect on the Company and its Subsidiaries, taken as a whole; (iv) to the Company’s knowledge, no third party is infringing, misappropriating or otherwise violating, or has infringed, misappropriated or otherwise violated, any Intellectual Property Rights owned by the Company; (v) to the Company’s knowledge, the Company’s or any of its Subsidiaries’ products do not infringe or have not infringed any Intellectual Property Rights of a third party; to the Company’s knowledge, neither the Company nor any of its Subsidiaries misappropriates or otherwise violates, or has misappropriated or otherwise violated, any Intellectual Property Rights of a third party; (vi) all employees or contractors engaged in the development of Intellectual Property Rights on behalf of the Company or its Subsidiaries have executed or have an obligation to execute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all information intended to be maintained as a trade secret.</w:t>
      </w:r>
    </w:p>
    <w:p>
      <w:pPr>
        <w:spacing w:after="0" w:line="83" w:lineRule="exact"/>
        <w:rPr>
          <w:rFonts w:ascii="Times New Roman" w:cs="Times New Roman" w:eastAsia="Times New Roman" w:hAnsi="Times New Roman"/>
          <w:sz w:val="18"/>
          <w:szCs w:val="18"/>
          <w:color w:val="auto"/>
        </w:rPr>
      </w:pPr>
    </w:p>
    <w:p>
      <w:pPr>
        <w:ind w:right="60" w:firstLine="419"/>
        <w:spacing w:after="0" w:line="254" w:lineRule="auto"/>
        <w:tabs>
          <w:tab w:leader="none" w:pos="7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the Company or any of its Subsidiaries to be (1) disclosed or distributed in source code form, (2) licensed for the purpose of making derivative works or (3) redistributed at no charge.</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18" w:name="page19"/>
    <w:bookmarkEnd w:id="18"/>
    <w:p>
      <w:pPr>
        <w:ind w:firstLine="419"/>
        <w:spacing w:after="0" w:line="256" w:lineRule="auto"/>
        <w:tabs>
          <w:tab w:leader="none" w:pos="6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Company and its Subsidiaries have complied and are presently in compliance in all material respects with their respective published privacy policies, contractual obligations, and applicable laws relating to the collection, use, transfer, import, export, storage, protection, disposal and disclosure by the Company or its Subsidiaries of personal, personally identifiable, or household regulated data (“</w:t>
      </w:r>
      <w:r>
        <w:rPr>
          <w:rFonts w:ascii="Times New Roman" w:cs="Times New Roman" w:eastAsia="Times New Roman" w:hAnsi="Times New Roman"/>
          <w:sz w:val="18"/>
          <w:szCs w:val="18"/>
          <w:b w:val="1"/>
          <w:bCs w:val="1"/>
          <w:color w:val="auto"/>
        </w:rPr>
        <w:t>Data 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has not received any notification of or complaint regarding any material non-compliance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any Data Security Obligation; and (iii) there is no action, suit or proceeding by or before any court or governmental agency, authority or body pending or, to the Company’s knowledge, threatened alleging non-compliance with any Data Security Obligation.</w:t>
      </w:r>
    </w:p>
    <w:p>
      <w:pPr>
        <w:spacing w:after="0" w:line="79" w:lineRule="exact"/>
        <w:rPr>
          <w:rFonts w:ascii="Times New Roman" w:cs="Times New Roman" w:eastAsia="Times New Roman" w:hAnsi="Times New Roman"/>
          <w:sz w:val="18"/>
          <w:szCs w:val="18"/>
          <w:color w:val="auto"/>
        </w:rPr>
      </w:pPr>
    </w:p>
    <w:p>
      <w:pPr>
        <w:ind w:right="20" w:firstLine="419"/>
        <w:spacing w:after="0" w:line="254" w:lineRule="auto"/>
        <w:tabs>
          <w:tab w:leader="none" w:pos="8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all reasonable technical and organizational measures designed to protect the information technology systems and Data under the Company’s and any of its Subsidiaries’ control used in connection with the operation of the Company’s and its Subsidiaries’ businesses. Without limiting the foregoing, the Company and its Subsidiaries have used reasonable efforts to establish and maintain, and have established, maintained, implemented and complied with, reasonable information technology, information security, cyber security and data protection controls, policies and procedures that are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80" w:lineRule="exact"/>
        <w:rPr>
          <w:rFonts w:ascii="Times New Roman" w:cs="Times New Roman" w:eastAsia="Times New Roman" w:hAnsi="Times New Roman"/>
          <w:sz w:val="18"/>
          <w:szCs w:val="18"/>
          <w:color w:val="auto"/>
        </w:rPr>
      </w:pPr>
    </w:p>
    <w:p>
      <w:pPr>
        <w:ind w:right="20" w:firstLine="419"/>
        <w:spacing w:after="0" w:line="252" w:lineRule="auto"/>
        <w:tabs>
          <w:tab w:leader="none" w:pos="7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studies and tests and clinical trials conducted by or on behalf of the Company that are described in the Registration Statements, the Time of Sale Prospectus and the Prospectus (the “</w:t>
      </w:r>
      <w:r>
        <w:rPr>
          <w:rFonts w:ascii="Times New Roman" w:cs="Times New Roman" w:eastAsia="Times New Roman" w:hAnsi="Times New Roman"/>
          <w:sz w:val="18"/>
          <w:szCs w:val="18"/>
          <w:b w:val="1"/>
          <w:bCs w:val="1"/>
          <w:color w:val="auto"/>
        </w:rPr>
        <w:t>Company Studies and Trials</w:t>
      </w:r>
      <w:r>
        <w:rPr>
          <w:rFonts w:ascii="Times New Roman" w:cs="Times New Roman" w:eastAsia="Times New Roman" w:hAnsi="Times New Roman"/>
          <w:sz w:val="18"/>
          <w:szCs w:val="18"/>
          <w:color w:val="auto"/>
        </w:rPr>
        <w:t>”) were and, if still pending, are being, conducted in all material respects in accordance with applicable laws, including, without limitation, the Federal Food, Drug, and Cosmetic Act (21 U.S.C. §§ 301 et seq.) and the rules and regulations promulgated thereunder; the descriptions of the results of the Company Studies and Trials contained in the Registration Statements, the Time of Sale Prospectus and the Prospectus are accurate in all material respects; the Company has no knowledge of any other studies or trials not described in the Registration Statements, the Time of Sale Prospectus and the Prospectus, the results of which are inconsistent with or reasonably call into question the results described or referred to in such documents when viewed in the context in which such results are described and the stage of development; and the Company has not received any written notices, correspondence or other written communication from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or any foreign, state or local governmental body exercising comparable authority requiring the termination, suspension or material modification of any Company Studies and Trials, where such termination, suspension or material modification would reasonably be expected to have a Material Adverse Effect and, to the Company’s knowledge, there are no reasonable grounds for the same. To the Company’s knowledge, none of the Company Studies and Trials involved any investigator who has been disqualified as a clinical investigator by the FDA. To the Company’s knowledge, the manufacturing facilities and operations of its suppliers are operated in compliance in all material respects with all applicable statutes, rules, regulations and policies of the FDA and comparable regulatory agencies outside of the United States to which the Company is subject.</w:t>
      </w:r>
    </w:p>
    <w:p>
      <w:pPr>
        <w:spacing w:after="0" w:line="12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9" w:name="page20"/>
    <w:bookmarkEnd w:id="19"/>
    <w:p>
      <w:pPr>
        <w:ind w:firstLine="419"/>
        <w:spacing w:after="0" w:line="267" w:lineRule="auto"/>
        <w:tabs>
          <w:tab w:leader="none" w:pos="76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Registration Statements, the Time of Sale Prospectus and the Prospectus, as applicable, the Company (i) is and at all times has been in material compliance with all local, state, federal, national and supranational statutes, rules and regulations applicable to the ownership, testing, development, manufacture, packaging, processing, use, storage, import, export or disposal of any product manufactured or distributed by the Company, including, without limitation, the Federal Food, Drug and Cosmetic Act (21 U.S.C. § 301 et seq.), and the federal Anti-kickback Statute (42 U.S.C. § 1320a-7b(b)), the regulations promulgated pursuant to such laws, and any successor government programs, and comparable state laws (collectively, the “</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except for such non-compliance as would not, individually or in the aggregate, have a Material Adverse Effect; (ii) has not received any written notice from any court or arbitrator or governmental or regulatory authority alleging or asserting non-compliance with any Applicable Laws or any licenses, exemptions, certificates, approvals, clearances, authorizations, permits and registrations required by any such Applicable Laws (“</w:t>
      </w:r>
      <w:r>
        <w:rPr>
          <w:rFonts w:ascii="Times New Roman" w:cs="Times New Roman" w:eastAsia="Times New Roman" w:hAnsi="Times New Roman"/>
          <w:sz w:val="17"/>
          <w:szCs w:val="17"/>
          <w:b w:val="1"/>
          <w:bCs w:val="1"/>
          <w:color w:val="auto"/>
        </w:rPr>
        <w:t>Authorizations</w:t>
      </w:r>
      <w:r>
        <w:rPr>
          <w:rFonts w:ascii="Times New Roman" w:cs="Times New Roman" w:eastAsia="Times New Roman" w:hAnsi="Times New Roman"/>
          <w:sz w:val="17"/>
          <w:szCs w:val="17"/>
          <w:color w:val="auto"/>
        </w:rPr>
        <w:t>”), except for such non-compliance as would not, individually or in the aggregate, have a Material Adverse Effect; (iii) possesses all material Authorizations and such Authorizations are valid and in full force and effect and is not in violation of any term of any such Authorizations, except for such violations as would not, individually or in the aggregate, have a Material Adverse Effect; (iv) has not received written notice of any claim, action, suit, proceeding, hearing, enforcement, investigation, arbitration or other action from any court or arbitrator or governmental or regulatory authority alleging that any product operation or activity is in violation of any Applicable Laws or Authorizations nor, to the Company’s knowledge, is any such claim, action, suit, proceeding, hearing, enforcement, investigation, arbitration or other action threatened, except such as would not, individually or in the aggregate, have a Material Adverse Effect; (v) has not received written notice that any court or arbitrator or governmental or regulatory authority has taken, is taking or intends to take action to materially limit, suspend, materially modify or revoke any Authorizations nor, to the Company’s knowledge, is any such limitation, suspension, modification or revocation threatened, except such as would not, individually or in the aggregate, have a Material Adverse Effect; (vi) has filed, obtained, maintained or submitted all material reports, documents, forms, notices, applications, records and claims as required by any Applicable Laws or Authorizations and that all such reports, documents, forms, notices, applications, records and claims, and to the Company’s knowledge, were complete and accurate on the date filed in all material respects (or were corrected or supplemented by a subsequent submission); and (vii) to the Company’s knowledge, is not a party to any corporate integrity agreements, monitoring agreements, consent decrees, settlement orders, or similar agreements with or imposed by any governmental or regulatory authority.</w:t>
      </w:r>
    </w:p>
    <w:p>
      <w:pPr>
        <w:spacing w:after="0" w:line="33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480"/>
          </w:cols>
          <w:pgMar w:left="880" w:top="270" w:right="539" w:bottom="1440" w:gutter="0" w:footer="0" w:header="0"/>
        </w:sectPr>
      </w:pPr>
    </w:p>
    <w:bookmarkStart w:id="20" w:name="page21"/>
    <w:bookmarkEnd w:id="20"/>
    <w:p>
      <w:pPr>
        <w:ind w:firstLine="419"/>
        <w:spacing w:after="0" w:line="254"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required to register as a “broker” or “dealer” in accordance with the provisions of the Exchange Act and does not, directly or indirectly through one or more intermediaries, control or have any other association with (within the meaning of Article I of the By-laws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any member firm of FINRA. To the Company’s knowledge, no relationship, direct or indirect, exists between or among the Company, on the one hand, and the directors, officers or shareholders of the Company, on the other hand, which is required by the rules of FINRA to be described in the Registration Statements, the Time of Sale Prospectus and the Prospectus, which is not so described. All of the information (including, but not limited to, information regarding affiliations, security ownership and trading activity) provided to the Agent or its counsel by the Company in connection with the filing to be made and other supplemental information to be provided to FINRA pursuant to FINRA Rule 5110 in connection with the transactions contemplated by this Agreement is true, complete and correct.</w:t>
      </w:r>
    </w:p>
    <w:p>
      <w:pPr>
        <w:spacing w:after="0" w:line="80" w:lineRule="exact"/>
        <w:rPr>
          <w:rFonts w:ascii="Times New Roman" w:cs="Times New Roman" w:eastAsia="Times New Roman" w:hAnsi="Times New Roman"/>
          <w:sz w:val="18"/>
          <w:szCs w:val="18"/>
          <w:color w:val="auto"/>
        </w:rPr>
      </w:pPr>
    </w:p>
    <w:p>
      <w:pPr>
        <w:ind w:right="100" w:firstLine="419"/>
        <w:spacing w:after="0" w:line="266" w:lineRule="auto"/>
        <w:tabs>
          <w:tab w:leader="none" w:pos="7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issuance, sale and delivery of the Securities nor the application of the proceeds thereof by the Company as described in the Registration Statements, the Time of Sale Prospectus and the Prospectus will violate Regulation T, U or X of the Board of Governors of the Federal Reserve System or any other regulation of such Board of Governors.</w:t>
      </w:r>
    </w:p>
    <w:p>
      <w:pPr>
        <w:spacing w:after="0" w:line="67" w:lineRule="exact"/>
        <w:rPr>
          <w:rFonts w:ascii="Times New Roman" w:cs="Times New Roman" w:eastAsia="Times New Roman" w:hAnsi="Times New Roman"/>
          <w:sz w:val="18"/>
          <w:szCs w:val="18"/>
          <w:color w:val="auto"/>
        </w:rPr>
      </w:pPr>
    </w:p>
    <w:p>
      <w:pPr>
        <w:ind w:left="700" w:hanging="281"/>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independent directors (or independent director nominees, once appointed, if applicable) named in the Registration</w:t>
      </w:r>
    </w:p>
    <w:p>
      <w:pPr>
        <w:spacing w:after="0" w:line="27"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the Time of Sale Prospectus and Prospectus satisfies the independence standards established by Nasdaq and, with respect to members of the Company’s audit committee, the enhanced independence standards contained in Rule 10A-3(b)(1) promulgated by the Commission under the Exchange Act.</w:t>
      </w:r>
    </w:p>
    <w:p>
      <w:pPr>
        <w:spacing w:after="0" w:line="77" w:lineRule="exact"/>
        <w:rPr>
          <w:rFonts w:ascii="Times New Roman" w:cs="Times New Roman" w:eastAsia="Times New Roman" w:hAnsi="Times New Roman"/>
          <w:sz w:val="18"/>
          <w:szCs w:val="18"/>
          <w:color w:val="auto"/>
        </w:rPr>
      </w:pPr>
    </w:p>
    <w:p>
      <w:pPr>
        <w:ind w:right="60" w:firstLine="419"/>
        <w:spacing w:after="0" w:line="256" w:lineRule="auto"/>
        <w:tabs>
          <w:tab w:leader="none" w:pos="7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financial or operational projection or other “forward-looking statement” (as defined by Section 27A of the Securities Act or Section 21E of the Exchange Act) contained in the Registration Statements or the Prospectus (i) was so included by the Company in good faith and with reasonable basis after due consideration by the Company of the underlying assumptions, estimates and other applicable facts and circumstances and (ii) as required, is accompanied by meaningful cautionary statements identifying those factors that could cause actual results to differ materially from those in such forward-looking statement. No such statement was made with the knowledge of a director or senior manager of the Company that was false or misleading.</w:t>
      </w:r>
    </w:p>
    <w:p>
      <w:pPr>
        <w:spacing w:after="0" w:line="79" w:lineRule="exact"/>
        <w:rPr>
          <w:rFonts w:ascii="Times New Roman" w:cs="Times New Roman" w:eastAsia="Times New Roman" w:hAnsi="Times New Roman"/>
          <w:sz w:val="18"/>
          <w:szCs w:val="18"/>
          <w:color w:val="auto"/>
        </w:rPr>
      </w:pPr>
    </w:p>
    <w:p>
      <w:pPr>
        <w:ind w:right="20" w:firstLine="419"/>
        <w:spacing w:after="0" w:line="256" w:lineRule="auto"/>
        <w:tabs>
          <w:tab w:leader="none" w:pos="68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relationships, direct or indirect, or related party transactions involving the Company or any of its Subsidiaries or any other person (including any director, officer, stockholder, customer or supplier of the Company or any of its Subsidiaries) required to be described in the Registration Statements, the Time of Sale Prospectus or the Prospectus that have not been described as required. There are no material outstanding loans, advances (except normal advances for business expenses in the ordinary course of business) or guarantees of indebtedness by the Company or any of its Subsidiaries to or for the benefit of any of the officers or directors of the Company or any of its Subsidiaries, or any of the family members of any of such persons.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21" w:name="page22"/>
    <w:bookmarkEnd w:id="21"/>
    <w:p>
      <w:pPr>
        <w:ind w:left="760" w:hanging="341"/>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is not in or subject to a bankruptcy or insolvency proceeding in any jurisdiction.</w:t>
      </w:r>
    </w:p>
    <w:p>
      <w:pPr>
        <w:spacing w:after="0" w:line="117" w:lineRule="exact"/>
        <w:rPr>
          <w:rFonts w:ascii="Times New Roman" w:cs="Times New Roman" w:eastAsia="Times New Roman" w:hAnsi="Times New Roman"/>
          <w:sz w:val="18"/>
          <w:szCs w:val="18"/>
          <w:color w:val="auto"/>
        </w:rPr>
      </w:pPr>
    </w:p>
    <w:p>
      <w:pPr>
        <w:ind w:firstLine="419"/>
        <w:spacing w:after="0" w:line="253"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United States federal income tax returns of the Company and its Subsidiaries required by law to be filed have been filed or extensions thereof have been requested, and all taxes shown by such returns or otherwise assessed, which are due and payable, have been paid, except assessments that are being contested in good faith and as to which adequate reserves have been provided under U.S. GAAP. The Company has no knowledge of any material tax deficiency which has been or is likely to be threatened or asserted against the Company or its Subsidiaries. Each of the Company and its Subsidiaries has filed all foreign, state, provincial, local or other tax returns that are required to have been filed pursuant to applicable foreign, state, provincial, local or other law except insofar as the failure to file such returns would not, individually or in the aggregate, reasonably be expected to result in a Material Adverse Effect, and paid all taxes due pursuant to such returns or pursuant to any assessment received by the Company and its Subsidiaries, except for such taxes, if any, as are being contested in good faith and as to which adequate reserves have been provided and except for such taxes or assessments the nonpayment of which would not, individually or in the aggregate, reasonably be expected to result in a Material Adverse Effect. The charges, accruals and reserves on the books of the Company and its Subsidiaries in respect of any income or other tax liability for any years not finally determined are adequate to meet any assessments or re-assessments for additional tax for any years not finally determined, except to the extent of any inadequacy that would not reasonably be expected to result in a Material Adverse Effect.</w:t>
      </w:r>
    </w:p>
    <w:p>
      <w:pPr>
        <w:spacing w:after="0" w:line="79" w:lineRule="exact"/>
        <w:rPr>
          <w:rFonts w:ascii="Times New Roman" w:cs="Times New Roman" w:eastAsia="Times New Roman" w:hAnsi="Times New Roman"/>
          <w:sz w:val="18"/>
          <w:szCs w:val="18"/>
          <w:color w:val="auto"/>
        </w:rPr>
      </w:pPr>
    </w:p>
    <w:p>
      <w:pPr>
        <w:ind w:right="120" w:firstLine="419"/>
        <w:spacing w:after="0" w:line="282" w:lineRule="auto"/>
        <w:tabs>
          <w:tab w:leader="none" w:pos="8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the registration fee for this offering pursuant to Rule 456(b)(1) of the Act or will pay such fee within the time period required by such rule (without giving effect to the proviso therein) and in any event prior to the Closing Date.</w:t>
      </w:r>
    </w:p>
    <w:p>
      <w:pPr>
        <w:spacing w:after="0" w:line="53" w:lineRule="exact"/>
        <w:rPr>
          <w:rFonts w:ascii="Times New Roman" w:cs="Times New Roman" w:eastAsia="Times New Roman" w:hAnsi="Times New Roman"/>
          <w:sz w:val="18"/>
          <w:szCs w:val="18"/>
          <w:color w:val="auto"/>
        </w:rPr>
      </w:pPr>
    </w:p>
    <w:p>
      <w:pPr>
        <w:ind w:right="100" w:firstLine="419"/>
        <w:spacing w:after="0" w:line="258"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Testing-the-Waters Communication that is a written communication within the meaning of Rule 405 under the Securities Act. “</w:t>
      </w:r>
      <w:r>
        <w:rPr>
          <w:rFonts w:ascii="Times New Roman" w:cs="Times New Roman" w:eastAsia="Times New Roman" w:hAnsi="Times New Roman"/>
          <w:sz w:val="18"/>
          <w:szCs w:val="18"/>
          <w:b w:val="1"/>
          <w:bCs w:val="1"/>
          <w:color w:val="auto"/>
        </w:rPr>
        <w:t>Testing-the-Waters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75" w:lineRule="exact"/>
        <w:rPr>
          <w:rFonts w:ascii="Times New Roman" w:cs="Times New Roman" w:eastAsia="Times New Roman" w:hAnsi="Times New Roman"/>
          <w:sz w:val="18"/>
          <w:szCs w:val="18"/>
          <w:color w:val="auto"/>
        </w:rPr>
      </w:pPr>
    </w:p>
    <w:p>
      <w:pPr>
        <w:ind w:right="180" w:firstLine="419"/>
        <w:spacing w:after="0" w:line="266" w:lineRule="auto"/>
        <w:tabs>
          <w:tab w:leader="none" w:pos="7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Securities in connection with the offering when the Prospectus is not yet available to prospective purchasers, none of (i) the Time of Sale Prospectus (ii) any free writing prospectus, when considered together with the Time of Sale Prospectus, and (iii) any individual Testing-the-Waters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0"/>
          </w:cols>
          <w:pgMar w:left="880" w:top="270" w:right="479" w:bottom="1440" w:gutter="0" w:footer="0" w:header="0"/>
        </w:sectPr>
      </w:pPr>
    </w:p>
    <w:bookmarkStart w:id="22" w:name="page23"/>
    <w:bookmarkEnd w:id="22"/>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66" w:lineRule="exact"/>
        <w:rPr>
          <w:sz w:val="20"/>
          <w:szCs w:val="20"/>
          <w:color w:val="auto"/>
        </w:rPr>
      </w:pPr>
    </w:p>
    <w:p>
      <w:pPr>
        <w:ind w:left="540" w:right="220" w:firstLine="408"/>
        <w:spacing w:after="0" w:line="284" w:lineRule="auto"/>
        <w:tabs>
          <w:tab w:leader="none" w:pos="112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Selling Stockholder</w:t>
      </w:r>
      <w:r>
        <w:rPr>
          <w:rFonts w:ascii="Times New Roman" w:cs="Times New Roman" w:eastAsia="Times New Roman" w:hAnsi="Times New Roman"/>
          <w:sz w:val="18"/>
          <w:szCs w:val="18"/>
          <w:color w:val="auto"/>
        </w:rPr>
        <w:t>. The Selling Stockholder represents and warrants to, and agrees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Underwriters that:</w:t>
      </w:r>
    </w:p>
    <w:p>
      <w:pPr>
        <w:spacing w:after="0" w:line="52"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or on behalf of the Selling Stockholder.</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and on the Closing Date and each applicable Option Closing Date (as defined below) the Selling</w:t>
      </w:r>
    </w:p>
    <w:p>
      <w:pPr>
        <w:spacing w:after="0" w:line="27" w:lineRule="exact"/>
        <w:rPr>
          <w:rFonts w:ascii="Times New Roman" w:cs="Times New Roman" w:eastAsia="Times New Roman" w:hAnsi="Times New Roman"/>
          <w:sz w:val="18"/>
          <w:szCs w:val="18"/>
          <w:color w:val="auto"/>
        </w:rPr>
      </w:pPr>
    </w:p>
    <w:p>
      <w:pPr>
        <w:ind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will have, valid title to, or a valid “security entitlement” within the meaning of Section 8-501 of the New York Uniform Commercial Code in respect of, the Shares to be sold by the Selling Stockholder hereunder at such Closing Date and Option Closing Date, free and clear of all liens, security interests, encumbrances, equities or claims, and the legal right and power, and all authorization and approval required by law, to enter into this Agreement, and to sell, transfer and deliver the Shares to be sold by the Selling Shareholder or a security entitlement in respect of such Shares.</w:t>
      </w:r>
    </w:p>
    <w:p>
      <w:pPr>
        <w:spacing w:after="0" w:line="78" w:lineRule="exact"/>
        <w:rPr>
          <w:rFonts w:ascii="Times New Roman" w:cs="Times New Roman" w:eastAsia="Times New Roman" w:hAnsi="Times New Roman"/>
          <w:sz w:val="18"/>
          <w:szCs w:val="18"/>
          <w:color w:val="auto"/>
        </w:rPr>
      </w:pPr>
    </w:p>
    <w:p>
      <w:pPr>
        <w:ind w:firstLine="419"/>
        <w:spacing w:after="0" w:line="253" w:lineRule="auto"/>
        <w:tabs>
          <w:tab w:leader="none" w:pos="6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Shares to be sold by the Selling Stockholder pursuant to this Agreement, delivery of the Shares, as directed by the Underwriters, to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registration of such Shares in the name of Cede or such other nominee and the crediting of such Shares on the books of DTC to securities accounts of the Underwriters (assuming that neither DTC nor any such Underwriter has notice of any adverse claim (within the meaning of Section 8-105 of the New York 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to such Shares), (A) DTC shall be a “protected purchaser” of such Shares within the meaning of Section 8-303 of the UCC, (B) under Section 8-501 of the UCC, the Underwriters will acquire a valid security entitlement in respect of such Shares and (C) no action based on any “adverse claim”, within the meaning of Section 8-102 of the UCC, to such Shares may be asserted against the Underwriters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several Underwriters on the records of DTC will have been made pursuant to the Section 8-501 of the UCC.</w:t>
      </w:r>
    </w:p>
    <w:p>
      <w:pPr>
        <w:spacing w:after="0" w:line="12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880" w:top="270" w:right="439" w:bottom="1440" w:gutter="0" w:footer="0" w:header="0"/>
        </w:sectPr>
      </w:pPr>
    </w:p>
    <w:bookmarkStart w:id="23" w:name="page24"/>
    <w:bookmarkEnd w:id="23"/>
    <w:p>
      <w:pPr>
        <w:ind w:left="4" w:firstLine="419"/>
        <w:spacing w:after="0" w:line="267" w:lineRule="auto"/>
        <w:tabs>
          <w:tab w:leader="none" w:pos="681"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execution and delivery by the Selling Stockholder of, and the performance by the Selling Stockholder of its obligations under, this Agreement will not contravene or conflict with, result in a breach of, or constitute a default under, or require the consent of any other party to, the limited liability company agreement or other organizational documents of the Selling Stockholder or any other agreement or instrument to which the Selling Stockholder is a party or by which it is bound or under which it is entitled to any right or benefit, any provision of applicable law or any judgment, order, decree or regulation applicable to the Selling Stockholder of any court, regulatory body, administrative agency, governmental body or arbitrator having jurisdiction over the Selling Stockholder, except for such conflicts, defaults, breaches or violations that would not, individually or in the aggregate, reasonably be expected to impair in any material respect the ability of the Selling Stockholder to perform its obligations under this Agreement or result in a violation of any applicable statute. No consent, approval, authorization or other order of, or registration or filing with, any court or other governmental authority or agency, is required for the offering, sale or purchase by the Underwriters of any of the Shares which may be sold by the Selling Stockholder under this Agreement or the consummation by the Selling Stockholder of the transactions contemplated in this Agreement, except for such consents, approvals, authorizations, waivers, orders, registrations or qualifications</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1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have been obtained or made, (ii) as may be required under the Securities Act, (ii) as may be required by FINRA, and (iv) as may be required under applicable state securities or blue sky laws in connection with the purchase and distribution of the Shares by the Underwriters.</w:t>
      </w:r>
    </w:p>
    <w:p>
      <w:pPr>
        <w:spacing w:after="0" w:line="73"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(i) does not have any registration or other similar rights to have any securities registered for sale by the Company under the Selling Stockholder Registration Statement or included in the offering contemplated by this Agreement, except for such rights as are described in the Selling Stockholder Registration Statement, the Time of Sale Prospectus and the Prospectus; (ii) does not have any preemptive right, co-sale right, right of first refusal or other similar right to purchase any of the Shares that are to be sold by the Company to the Underwriters pursuant to this Agreement, except for such rights as the Selling Stockholder has waived prior to the date hereof and are described in the Registration Statements, the Time of Sale Prospectus and the Prospectus; and (iii) does not own any warrants, options or similar rights to acquire, and does not have any right or arrangement to acquire, any capital stock, right, warrants, options or other securities from the Company, other than those described in the Registration Statements, the Time of Sale Prospectus and the Prospectus.</w:t>
      </w:r>
    </w:p>
    <w:p>
      <w:pPr>
        <w:spacing w:after="0" w:line="83" w:lineRule="exact"/>
        <w:rPr>
          <w:rFonts w:ascii="Times New Roman" w:cs="Times New Roman" w:eastAsia="Times New Roman" w:hAnsi="Times New Roman"/>
          <w:sz w:val="18"/>
          <w:szCs w:val="18"/>
          <w:color w:val="auto"/>
        </w:rPr>
      </w:pPr>
    </w:p>
    <w:p>
      <w:pPr>
        <w:ind w:left="4" w:right="80" w:firstLine="419"/>
        <w:spacing w:after="0" w:line="273" w:lineRule="auto"/>
        <w:tabs>
          <w:tab w:leader="none" w:pos="65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information furnished to the Company or any Underwriter by or on behalf of the Selling Stockholder in writing expressly for use in the Selling Stockholder Registration Statement, the Time of Sale Prospectus or the Prospectus is, and on the Closing Date and each applicable Option Closing Date will be, true, correct, and complete in all material respects, and did not, as of the Applicable Time, and on the Closing Date and each applicable Option Closing Date will not, contain any untrue statement of a material fact or omit to state any material fact necessary to make such information not misleading. For the avoidance of doubt and for purposes of this Agreement, the only information furnished to the Company or any Underwriter by or on behalf of the Selling Stockholder for use in the Selling Stockholder Registration Statement, the Time of Sale Prospectus or the Prospectus is (i) the name and address of the Selling Stockholder and (ii) the beneficial ownership information of shares of</w:t>
      </w:r>
    </w:p>
    <w:p>
      <w:pPr>
        <w:spacing w:after="0" w:line="10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4"/>
          </w:cols>
          <w:pgMar w:left="876" w:top="270" w:right="459" w:bottom="1440" w:gutter="0" w:footer="0" w:header="0"/>
        </w:sectPr>
      </w:pPr>
    </w:p>
    <w:bookmarkStart w:id="24" w:name="page25"/>
    <w:bookmarkEnd w:id="2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opposite the Selling Stockholder’s name in the Selling Stockholder Registration Statement (both prior to and after giving effect to the sale of the Shares), in the Time of Sale Prospectus and the Prospectus under the caption “Selling Stockholders” (the “</w:t>
      </w:r>
      <w:r>
        <w:rPr>
          <w:rFonts w:ascii="Times New Roman" w:cs="Times New Roman" w:eastAsia="Times New Roman" w:hAnsi="Times New Roman"/>
          <w:sz w:val="18"/>
          <w:szCs w:val="18"/>
          <w:b w:val="1"/>
          <w:bCs w:val="1"/>
          <w:color w:val="auto"/>
        </w:rPr>
        <w:t>Selling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right="200" w:firstLine="419"/>
        <w:spacing w:after="0" w:line="266"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not taken, directly or indirectly, any action designed to or that could reasonably be expected to cause or result in stabilization or manipulation of the price of the Shares or any reference security, whether to facilitate the sale or resale of the Shares or otherwise, and has taken no action which would directly or indirectly violate any provision of Regulation M.</w:t>
      </w:r>
    </w:p>
    <w:p>
      <w:pPr>
        <w:spacing w:after="0" w:line="67" w:lineRule="exact"/>
        <w:rPr>
          <w:rFonts w:ascii="Times New Roman" w:cs="Times New Roman" w:eastAsia="Times New Roman" w:hAnsi="Times New Roman"/>
          <w:sz w:val="18"/>
          <w:szCs w:val="18"/>
          <w:color w:val="auto"/>
        </w:rPr>
      </w:pPr>
    </w:p>
    <w:p>
      <w:pPr>
        <w:ind w:right="120" w:firstLine="419"/>
        <w:spacing w:after="0" w:line="312" w:lineRule="auto"/>
        <w:tabs>
          <w:tab w:leader="none" w:pos="67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no transfer taxes or other similar fees or charges under Federal law or the laws of any state, or any political subdivision thereof, required to be paid in connection with the execution and delivery of this Agreement or the sale by the Selling Stockholder of the Shares.</w:t>
      </w:r>
    </w:p>
    <w:p>
      <w:pPr>
        <w:spacing w:after="0" w:line="31" w:lineRule="exact"/>
        <w:rPr>
          <w:rFonts w:ascii="Times New Roman" w:cs="Times New Roman" w:eastAsia="Times New Roman" w:hAnsi="Times New Roman"/>
          <w:sz w:val="17"/>
          <w:szCs w:val="17"/>
          <w:color w:val="auto"/>
        </w:rPr>
      </w:pPr>
    </w:p>
    <w:p>
      <w:pPr>
        <w:ind w:left="640" w:hanging="221"/>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later of (i) the expiration or termination of the option granted to the several Underwriters under Section 3 and (ii) the</w:t>
      </w:r>
    </w:p>
    <w:p>
      <w:pPr>
        <w:spacing w:after="0" w:line="27" w:lineRule="exact"/>
        <w:rPr>
          <w:rFonts w:ascii="Times New Roman" w:cs="Times New Roman" w:eastAsia="Times New Roman" w:hAnsi="Times New Roman"/>
          <w:sz w:val="18"/>
          <w:szCs w:val="18"/>
          <w:color w:val="auto"/>
        </w:rPr>
      </w:pPr>
    </w:p>
    <w:p>
      <w:pPr>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Underwriters’ distribution of the Shares, the Selling Stockholder has not distributed and will not distribute any offering material in connection with the offering and sale of the Shares other than the Selling Stockholder Registration Statement, the Time of Sale Prospectus, the free writing prospectuses and the Prospectus.</w:t>
      </w:r>
    </w:p>
    <w:p>
      <w:pPr>
        <w:spacing w:after="0" w:line="77" w:lineRule="exact"/>
        <w:rPr>
          <w:rFonts w:ascii="Times New Roman" w:cs="Times New Roman" w:eastAsia="Times New Roman" w:hAnsi="Times New Roman"/>
          <w:sz w:val="18"/>
          <w:szCs w:val="18"/>
          <w:color w:val="auto"/>
        </w:rPr>
      </w:pPr>
    </w:p>
    <w:p>
      <w:pPr>
        <w:ind w:right="40" w:firstLine="419"/>
        <w:spacing w:after="0" w:line="258" w:lineRule="auto"/>
        <w:tabs>
          <w:tab w:leader="none" w:pos="6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knowledge, the Selling Stockholder is not currently the subject or the target of Sanctions and will not directly or indirectly use the proceeds of this offering, or lend, contribute or otherwise make available such proceeds to any subsidiary, or any joint venture partner or other person or entity, for the purpose of financing the activities of any person that at the time of such financing, is the subject or the target of Sanctions or in any other manner that will result in a violation by any person (including any person participating in the transaction whether as underwriter, advisor, investor or otherwise) of applicable Sanctions.</w:t>
      </w:r>
    </w:p>
    <w:p>
      <w:pPr>
        <w:spacing w:after="0" w:line="75"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 signed by the Selling Stockholder and delivered to any Underwriter or to counsel for the Underwriters shall be deemed a representation and warranty by the Selling Stockholder to each Underwriter as to the matters covered thereby.</w:t>
      </w:r>
    </w:p>
    <w:p>
      <w:pPr>
        <w:spacing w:after="0" w:line="53" w:lineRule="exact"/>
        <w:rPr>
          <w:rFonts w:ascii="Times New Roman" w:cs="Times New Roman" w:eastAsia="Times New Roman" w:hAnsi="Times New Roman"/>
          <w:sz w:val="18"/>
          <w:szCs w:val="18"/>
          <w:color w:val="auto"/>
        </w:rPr>
      </w:pPr>
    </w:p>
    <w:p>
      <w:pPr>
        <w:ind w:right="20" w:firstLine="419"/>
        <w:spacing w:after="0" w:line="261" w:lineRule="auto"/>
        <w:tabs>
          <w:tab w:leader="none" w:pos="63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a reasonable basis for making each of the representations set forth in this Section 2. The Selling Stockholder acknowledges that the Underwriters and, for purposes of the opinion to be delivered pursuant to Section 6 hereof, counsel to the Selling Stockholder and counsel to the Underwriters, will rely upon the accuracy and truthfulness of the foregoing representations and hereby consents to such reliance.</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20"/>
          </w:cols>
          <w:pgMar w:left="880" w:top="270" w:right="499" w:bottom="1440" w:gutter="0" w:footer="0" w:header="0"/>
        </w:sectPr>
      </w:pPr>
    </w:p>
    <w:bookmarkStart w:id="25" w:name="page26"/>
    <w:bookmarkEnd w:id="25"/>
    <w:p>
      <w:pPr>
        <w:ind w:left="980" w:right="20" w:firstLine="408"/>
        <w:spacing w:after="0" w:line="256" w:lineRule="auto"/>
        <w:tabs>
          <w:tab w:leader="none" w:pos="1561"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Agreements to Sell and Purchase. </w:t>
      </w:r>
      <w:r>
        <w:rPr>
          <w:rFonts w:ascii="Times New Roman" w:cs="Times New Roman" w:eastAsia="Times New Roman" w:hAnsi="Times New Roman"/>
          <w:sz w:val="18"/>
          <w:szCs w:val="18"/>
          <w:color w:val="auto"/>
        </w:rPr>
        <w:t>The Company and the Selling Stockholder each hereby agree, severally and not jointly, to sell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several Underwriters, and each Underwriter, upon the basis of the representations and warranties herein contained, but subject to the terms and conditions hereinafter stated, agrees, severally and not jointly, to purchase from the Company and the Selling Stockholder the respective numbers of Firm Securities set forth in Schedule I hereto opposite its name. The purchase price per Firm Share to be paid by the several Underwriters to the Company and the Selling Stockholder shall be $78.96 per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and the purchase price per Pre-Funded Warrant to be paid by the several Underwriters to the Company equals the Purchase Price minus $0.0001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On the basis of the representations and warranties contained in this Agreement, and subject to its terms and conditions, the Selling Stockholder agrees to sell to the Underwriters the Additional Shares, and the Underwriters shall have the right to purchase, severally and not jointly, up to 446,428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not later than 30 days after the date of this Agreement to the Company and the Selling Stockholder.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Securities or later than ten business days after the date of such notice. Additional Shares may be purchased as provided in Section 5 hereof. On each day, if any, that Additional Shares are to be purchased (an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(a) each Underwriter agrees, severally and not jointly, to purchase the number of Additional Shares (subject to such adjustments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eliminate fractional shares as the Representatives may determine) that bears the same proportion to the total number of Additional Shares to be purchased on such Option Closing Date as the aggregate number of Firm Securities set forth in Schedule I hereto opposite the name of such Underwriter bears to the total number of Firm Securities and (b) the Selling Stockholder agrees to sell the number of Additional Shares elected to be purchased by the Underwriters. The Representatives may cancel the unexercised option at any time prior to its expiration by giving written notice of such cancellation to the Selling Stockholder and the Company.</w:t>
      </w:r>
    </w:p>
    <w:p>
      <w:pPr>
        <w:spacing w:after="0" w:line="86" w:lineRule="exact"/>
        <w:rPr>
          <w:sz w:val="20"/>
          <w:szCs w:val="20"/>
          <w:color w:val="auto"/>
        </w:rPr>
      </w:pPr>
    </w:p>
    <w:p>
      <w:pPr>
        <w:ind w:left="980" w:right="40" w:firstLine="408"/>
        <w:spacing w:after="0" w:line="255" w:lineRule="auto"/>
        <w:tabs>
          <w:tab w:leader="none" w:pos="156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Terms of Public Offering</w:t>
      </w:r>
      <w:r>
        <w:rPr>
          <w:rFonts w:ascii="Times New Roman" w:cs="Times New Roman" w:eastAsia="Times New Roman" w:hAnsi="Times New Roman"/>
          <w:sz w:val="18"/>
          <w:szCs w:val="18"/>
          <w:color w:val="auto"/>
        </w:rPr>
        <w:t>. The Company and the Selling Stockholder are advised by the Representatives that the Underwriters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 to make a public offering of their respective portions of the Securities as soon after the Registration Statements and this Agreement have become effective as in the Representatives’ judgment is advisable. The Company and the Selling Stockholder are further advised by the Representatives that (i) the Shares are to be offered to the public initially at $84.00 per share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 and to certain dealers selected by the Representatives at a price that represents a concession not in excess of $3.0240 per share under the Public Offering Price and (ii) the Pre-Funded Warrants are to be offered to the public initially at $83.9999 per pre-funded warrant (the “</w:t>
      </w:r>
      <w:r>
        <w:rPr>
          <w:rFonts w:ascii="Times New Roman" w:cs="Times New Roman" w:eastAsia="Times New Roman" w:hAnsi="Times New Roman"/>
          <w:sz w:val="18"/>
          <w:szCs w:val="18"/>
          <w:b w:val="1"/>
          <w:bCs w:val="1"/>
          <w:color w:val="auto"/>
        </w:rPr>
        <w:t>Public Offering Price Per Warrant</w:t>
      </w:r>
      <w:r>
        <w:rPr>
          <w:rFonts w:ascii="Times New Roman" w:cs="Times New Roman" w:eastAsia="Times New Roman" w:hAnsi="Times New Roman"/>
          <w:sz w:val="18"/>
          <w:szCs w:val="18"/>
          <w:color w:val="auto"/>
        </w:rPr>
        <w:t>”) and to certain dealers selected by the Representatives at a price that represents a concession not in excess of $3.0240 per pre-funded warrant under the Public Offering Price Per Warrant.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8" w:right="459" w:bottom="1440" w:gutter="0" w:footer="0" w:header="0"/>
        </w:sectPr>
      </w:pPr>
    </w:p>
    <w:bookmarkStart w:id="26" w:name="page27"/>
    <w:bookmarkEnd w:id="26"/>
    <w:p>
      <w:pPr>
        <w:ind w:left="980" w:right="60" w:firstLine="408"/>
        <w:spacing w:after="0" w:line="254" w:lineRule="auto"/>
        <w:tabs>
          <w:tab w:leader="none" w:pos="15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 and Delivery</w:t>
      </w:r>
      <w:r>
        <w:rPr>
          <w:rFonts w:ascii="Times New Roman" w:cs="Times New Roman" w:eastAsia="Times New Roman" w:hAnsi="Times New Roman"/>
          <w:sz w:val="18"/>
          <w:szCs w:val="18"/>
          <w:color w:val="auto"/>
        </w:rPr>
        <w:t>. Payment for the Firm Securities to be sold by the Company shall be made to the Company in Federal or other funds immediately available in New York City against delivery of the Firm Securities for the respective accounts of the several Underwriters at 10:00 a.m., New York City time, on October 22, 2025, or at such other time on the same or such other date, not later than November 5, 2025, as shall be designated in writing by the Representatives.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Payment for the Firm Shares to be sold by the Selling Stockholder shall be made to the Selling Stockholder in Federal or other funds immediately available in New York City against delivery of the Firm Shares for the respective accounts of the several Underwriters on the Closing Date, or by such alternative means as agreed upon between the Selling Stockholder and the Underwriters.</w:t>
      </w:r>
    </w:p>
    <w:p>
      <w:pPr>
        <w:spacing w:after="0" w:line="192" w:lineRule="exact"/>
        <w:rPr>
          <w:sz w:val="20"/>
          <w:szCs w:val="20"/>
          <w:color w:val="auto"/>
        </w:rPr>
      </w:pPr>
    </w:p>
    <w:p>
      <w:pPr>
        <w:ind w:right="20" w:firstLine="991"/>
        <w:spacing w:after="0" w:line="273" w:lineRule="auto"/>
        <w:rPr>
          <w:sz w:val="20"/>
          <w:szCs w:val="20"/>
          <w:color w:val="auto"/>
        </w:rPr>
      </w:pPr>
      <w:r>
        <w:rPr>
          <w:rFonts w:ascii="Times New Roman" w:cs="Times New Roman" w:eastAsia="Times New Roman" w:hAnsi="Times New Roman"/>
          <w:sz w:val="17"/>
          <w:szCs w:val="17"/>
          <w:color w:val="auto"/>
        </w:rPr>
        <w:t>Notwithstanding the foregoing, the Company and the Representatives shall instruct purchasers of the Pre-Funded Warrants in the public offering to make payment for the Pre-Funded Warrants at the Public Offering Price Per Warrant on the Closing Date to the Company by wire transfer in immediately available funds to the account specified by the Company, in lieu of payment by the Underwriters for such Pre-Funded Warrants, and the Company shall deliver such Pre-Funded Warrants to such purchasers on the Closing Date in definitive form against such payment, in lieu of the Company’s obligation to deliver such Pre-Funded Warrants to the Underwriters; provided that the Underwriters shall withhold $5.04 per Pre-Funded Warrant with respect to such Pre-Funded Warrants as an offset effected by the Company of its claim for payment by the Underwriters to the Company for the Company Shares against the Company’s obligation to pay the amount so withheld with respect to such Pre-Funded Warrants to the Underwriters.</w:t>
      </w:r>
    </w:p>
    <w:p>
      <w:pPr>
        <w:spacing w:after="0" w:line="171"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In the event that the purchasers of the Pre-Funded Warrants in the public offering fail to make payment to the Company for all or part of the Pre-Funded Warrants on the Closing Date, the Representatives may elect, by written notice to the Company, to receive shares of Common Stock at the Public Offering Price in lieu of all or a portion of such Pre-Funded Warrants to be delivered to the Underwriters under this Agreement.</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Payment for any Additional Shares shall be made to the Selling Stockholder in Federal or other funds immediately available in New York City against delivery of such Additional Shares for the respective accounts of the several Underwriters, or by such alternative means as agreed upon between the Selling Stockholder and the Underwriters, at 10:00 a.m., New York City time, on the date specified in the corresponding notice described in Section 3 or at such other time on the same or on such other date, in any event not later than November 19, 2025 as shall be designated in writing by the Representatives.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27" w:name="page28"/>
    <w:bookmarkEnd w:id="27"/>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Firm Securities and Additional Shares shall be registered in such names and in such denominations as the Representatives shall request in writing not later than one full business day prior to the Closing Date or the applicable Option Closing Date, as the case may be. The Firm Securities and Additional Shares shall be delivered to the Representatives on the Closing Date or an Option Closing Date, as the case may be, for the respective accounts of the several Underwriters, with any transfer taxes payable in connection with the transfer of the Securities to the Underwriters duly paid, against payment of the Purchase Price therefor and Warrant Purchase Price therefor. The Pre-Funded Warrants will be made available for inspection by the Representatives on the day prior to the Closing Date.</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For the avoidance of doubt, the Selling Stockholder hereby agrees that (i) it will pay all stock transfer taxes, stamp duties and other similar taxes, if any, payable upon the sale or delivery of the Shares to be sold by the Selling Stockholder to the several Underwriters, or otherwise in connection with the performance of the Selling Stockholder’s obligations hereunder.</w:t>
      </w:r>
    </w:p>
    <w:p>
      <w:pPr>
        <w:spacing w:after="0" w:line="66" w:lineRule="exact"/>
        <w:rPr>
          <w:sz w:val="20"/>
          <w:szCs w:val="20"/>
          <w:color w:val="auto"/>
        </w:rPr>
      </w:pPr>
    </w:p>
    <w:p>
      <w:pPr>
        <w:jc w:val="both"/>
        <w:ind w:left="980" w:right="80" w:firstLine="408"/>
        <w:spacing w:after="0" w:line="267" w:lineRule="auto"/>
        <w:tabs>
          <w:tab w:leader="none" w:pos="156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obligations of the Company and the Selling Stockholder to sell the Securities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Underwriters and the several obligations of the Underwriters to purchase and pay for the Securities on the Closing Date are subject to the following conditions:</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117" w:lineRule="exact"/>
        <w:rPr>
          <w:rFonts w:ascii="Times New Roman" w:cs="Times New Roman" w:eastAsia="Times New Roman" w:hAnsi="Times New Roman"/>
          <w:sz w:val="18"/>
          <w:szCs w:val="18"/>
          <w:color w:val="auto"/>
        </w:rPr>
      </w:pPr>
    </w:p>
    <w:p>
      <w:pPr>
        <w:ind w:left="1420" w:firstLine="391"/>
        <w:spacing w:after="0" w:line="261" w:lineRule="auto"/>
        <w:tabs>
          <w:tab w:leader="none" w:pos="2018"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Statements shall be in effect and no proceeding for such purpose or pursuant to Section 8A under the Securities Act shall be pending before or, to the knowledge of the Company, threatened by the Commission and no notice of objection of the Commission to the use of the Registration Statements pursuant to Rule 401(g)(2) under the Securities Act has been received by the Company;</w:t>
      </w:r>
    </w:p>
    <w:p>
      <w:pPr>
        <w:spacing w:after="0" w:line="71" w:lineRule="exact"/>
        <w:rPr>
          <w:rFonts w:ascii="Times New Roman" w:cs="Times New Roman" w:eastAsia="Times New Roman" w:hAnsi="Times New Roman"/>
          <w:sz w:val="18"/>
          <w:szCs w:val="18"/>
          <w:color w:val="auto"/>
        </w:rPr>
      </w:pPr>
    </w:p>
    <w:p>
      <w:pPr>
        <w:ind w:left="1420" w:firstLine="391"/>
        <w:spacing w:after="0" w:line="261" w:lineRule="auto"/>
        <w:tabs>
          <w:tab w:leader="none" w:pos="2068"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71" w:lineRule="exact"/>
        <w:rPr>
          <w:rFonts w:ascii="Times New Roman" w:cs="Times New Roman" w:eastAsia="Times New Roman" w:hAnsi="Times New Roman"/>
          <w:sz w:val="18"/>
          <w:szCs w:val="18"/>
          <w:color w:val="auto"/>
        </w:rPr>
      </w:pPr>
    </w:p>
    <w:p>
      <w:pPr>
        <w:ind w:left="1420" w:firstLine="391"/>
        <w:spacing w:after="0" w:line="261" w:lineRule="auto"/>
        <w:tabs>
          <w:tab w:leader="none" w:pos="2118"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Representatives’ judgment, is material and adverse and that makes it, in the Representatives’ judgment, impracticable to market the Securities on the terms and in the manner contemplated in the Time of Sale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8" w:name="page29"/>
    <w:bookmarkEnd w:id="28"/>
    <w:p>
      <w:pPr>
        <w:ind w:right="120" w:firstLine="419"/>
        <w:spacing w:after="0" w:line="261"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 certificate, dated the Closing Date and signed by an executive officer of the Company, to the effect set forth in Sections 6(a)(i) and 6(a)(ii) above and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pacing w:after="0" w:line="18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 The Underwriters shall have received on the Closing Date a certificate, dated the Closing Date of the Selling Stockholder to the effect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980" w:firstLine="391"/>
        <w:spacing w:after="0" w:line="261" w:lineRule="auto"/>
        <w:tabs>
          <w:tab w:leader="none" w:pos="157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warranties and covenants of the Selling Stockholder set forth in Section 2 of this Agreement are true and correct in all material respects (except to the extent already qualified by materiality, in which case such representations, warranties and covenants shall be true and correct in all respects) with the same force and effect as though expressly made by the Selling Stockholder on and as of such date; and</w:t>
      </w:r>
    </w:p>
    <w:p>
      <w:pPr>
        <w:spacing w:after="0" w:line="71" w:lineRule="exact"/>
        <w:rPr>
          <w:rFonts w:ascii="Times New Roman" w:cs="Times New Roman" w:eastAsia="Times New Roman" w:hAnsi="Times New Roman"/>
          <w:sz w:val="18"/>
          <w:szCs w:val="18"/>
          <w:color w:val="auto"/>
        </w:rPr>
      </w:pPr>
    </w:p>
    <w:p>
      <w:pPr>
        <w:ind w:left="980" w:right="120" w:firstLine="391"/>
        <w:spacing w:after="0" w:line="282" w:lineRule="auto"/>
        <w:tabs>
          <w:tab w:leader="none" w:pos="16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has complied with all the agreements and satisfied all the conditions on its part to be performed or satisfied at or prior to such date.</w:t>
      </w:r>
    </w:p>
    <w:p>
      <w:pPr>
        <w:spacing w:after="0" w:line="53" w:lineRule="exact"/>
        <w:rPr>
          <w:rFonts w:ascii="Times New Roman" w:cs="Times New Roman" w:eastAsia="Times New Roman" w:hAnsi="Times New Roman"/>
          <w:sz w:val="18"/>
          <w:szCs w:val="18"/>
          <w:color w:val="auto"/>
        </w:rPr>
      </w:pPr>
    </w:p>
    <w:p>
      <w:pPr>
        <w:ind w:right="360" w:firstLine="419"/>
        <w:spacing w:after="0" w:line="282"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Goodwin Procter LLP, outside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640" w:firstLine="419"/>
        <w:spacing w:after="0" w:line="282" w:lineRule="auto"/>
        <w:tabs>
          <w:tab w:leader="none" w:pos="66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White &amp; Case LLP, intellectual property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4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Wolf, Greenfield &amp; Sacks, P.C., intellectual property counsel for the Company,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80" w:firstLine="419"/>
        <w:spacing w:after="0" w:line="282"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and negative assurance letter of Wilmer Cutler Pickering Hale and Dorr LLP, counsel for the Underwriters, dated the Closing Date, in form and substance reasonably satisfactory to the Representatives.</w:t>
      </w:r>
    </w:p>
    <w:p>
      <w:pPr>
        <w:spacing w:after="0" w:line="53" w:lineRule="exact"/>
        <w:rPr>
          <w:rFonts w:ascii="Times New Roman" w:cs="Times New Roman" w:eastAsia="Times New Roman" w:hAnsi="Times New Roman"/>
          <w:sz w:val="18"/>
          <w:szCs w:val="18"/>
          <w:color w:val="auto"/>
        </w:rPr>
      </w:pPr>
    </w:p>
    <w:p>
      <w:pPr>
        <w:ind w:right="180" w:firstLine="419"/>
        <w:spacing w:after="0" w:line="282"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the Closing Date an opinion of Debevoise &amp; Plimpton LLP, special New York counsel for the Selling Stockholder, dated the Closing Date, in form and substance reasonably satisfactory to the Representatives.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29" w:name="page30"/>
    <w:bookmarkEnd w:id="29"/>
    <w:p>
      <w:pPr>
        <w:ind w:left="440" w:right="440" w:firstLine="419"/>
        <w:spacing w:after="0" w:line="282" w:lineRule="auto"/>
        <w:tabs>
          <w:tab w:leader="none" w:pos="10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Underwriters shall have received on the Closing Date an opinion of McDermott Will &amp; Schulte LLP, Delaware counsel for the Selling Stockholder, dated the Closing Date, in form and substance reasonably satisfactory to the Representatives.</w:t>
      </w:r>
    </w:p>
    <w:p>
      <w:pPr>
        <w:spacing w:after="0" w:line="162"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With respect to the negative assurance letters to be delivered pursuant to Sections 6(d) and 6(g) above, Goodwin Procter LLP and Wilmer Cutler Pickering Hale and Dorr LLP, respectively, may state that their opinions and beliefs are based upon their participation in the preparation of the Registration Statements, the Time of Sale Prospectus and the Prospectus and any amendments or supplements thereto and review and discussion of the contents thereof, but are without independent check or verification, except as specified.</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opinions of Goodwin Procter LLP, White &amp; Case LLP and Wolf, Greenfield &amp; Sacks, P.C. described in Sections 6(d), 6(e) and 6(f), respectively, shall be rendered to the Underwriters at the request of the Company and shall so state therein.</w:t>
      </w:r>
    </w:p>
    <w:p>
      <w:pPr>
        <w:spacing w:after="0" w:line="54" w:lineRule="exact"/>
        <w:rPr>
          <w:sz w:val="20"/>
          <w:szCs w:val="20"/>
          <w:color w:val="auto"/>
        </w:rPr>
      </w:pPr>
    </w:p>
    <w:p>
      <w:pPr>
        <w:ind w:left="440" w:right="20" w:firstLine="419"/>
        <w:spacing w:after="0" w:line="258"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Underwriters shall have received, on each of the date hereof and the Closing Date, a letter dated the date hereof or the Closing Date, as the case may be, in form and substance satisfactory to the Representatives,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Statements, the Time of Sale Prospectus and the Prospectus;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Closing Date shall use a “cut-off date” not earlier than the date hereof.</w:t>
      </w:r>
    </w:p>
    <w:p>
      <w:pPr>
        <w:spacing w:after="0" w:line="75"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shall have received, on each of the date hereof and the Closing Date, a certificate, of the Company’s chief financial officer with respect to certain financial data contained in the Time of Sale Prospectus and the Prospectus, in form and substance reasonably satisfactory to the Representatives.</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Jefferies LLC, Leerink Partners LLC and Morgan Stanley &amp; Co. LLC, certain officers and directors of the Company, and the Selling Stockholder relating to restrictions on sales and certain other dispositions of shares of Common Stock or certain other securities, delivered to the Jefferies LLC, Leerink Partners LLC and Morgan Stanley &amp; Co. LLC on or before the date hereof, shall be in full force and effect on the Closing Date.</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6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sold pursuant to this Agreement by the Company and the shares of the Company’s common stock, par value $0.0001 per share, equivalent to the number of Warrant Shares sold pursuant to this Agreement shall have been submitted for listing on Nasdaq.</w:t>
      </w:r>
    </w:p>
    <w:p>
      <w:pPr>
        <w:spacing w:after="0" w:line="53" w:lineRule="exact"/>
        <w:rPr>
          <w:rFonts w:ascii="Times New Roman" w:cs="Times New Roman" w:eastAsia="Times New Roman" w:hAnsi="Times New Roman"/>
          <w:sz w:val="18"/>
          <w:szCs w:val="18"/>
          <w:color w:val="auto"/>
        </w:rPr>
      </w:pPr>
    </w:p>
    <w:p>
      <w:pPr>
        <w:ind w:left="440" w:right="1020" w:firstLine="419"/>
        <w:spacing w:after="0" w:line="282" w:lineRule="auto"/>
        <w:tabs>
          <w:tab w:leader="none" w:pos="11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 form of Pre-Funded Warrant in form and substance reasonably acceptable to the Representatives.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70" w:right="519" w:bottom="1440" w:gutter="0" w:footer="0" w:header="0"/>
        </w:sectPr>
      </w:pPr>
    </w:p>
    <w:bookmarkStart w:id="30" w:name="page31"/>
    <w:bookmarkEnd w:id="30"/>
    <w:p>
      <w:pPr>
        <w:jc w:val="both"/>
        <w:ind w:firstLine="419"/>
        <w:spacing w:after="0" w:line="266"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to the Underwriters on the Closing Date of such other documents as the Representatives may reasonably request with respect to the good standing of the Company and the Subsidiary, the due authorization and issuance of the Firm Securities to be sold on the Closing Date and other matters related to the issuance of the Firm Securities.</w:t>
      </w:r>
    </w:p>
    <w:p>
      <w:pPr>
        <w:spacing w:after="0" w:line="67"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several obligations of the Underwriters to purchase Additional Shares hereunder are subject to the delivery to the Representatives on the applicable Option Closing Date of the following:</w:t>
      </w:r>
    </w:p>
    <w:p>
      <w:pPr>
        <w:spacing w:after="0" w:line="53" w:lineRule="exact"/>
        <w:rPr>
          <w:rFonts w:ascii="Times New Roman" w:cs="Times New Roman" w:eastAsia="Times New Roman" w:hAnsi="Times New Roman"/>
          <w:sz w:val="18"/>
          <w:szCs w:val="18"/>
          <w:color w:val="auto"/>
        </w:rPr>
      </w:pPr>
    </w:p>
    <w:p>
      <w:pPr>
        <w:ind w:left="980" w:right="240" w:firstLine="391"/>
        <w:spacing w:after="0" w:line="282" w:lineRule="auto"/>
        <w:tabs>
          <w:tab w:leader="none" w:pos="157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and signed by an executive officer of the Company, confirming that the certificate delivered on the Closing Date pursuant to Section 6(b) hereof remains true and correct as of such Option Closing Date;</w:t>
      </w:r>
    </w:p>
    <w:p>
      <w:pPr>
        <w:spacing w:after="0" w:line="53" w:lineRule="exact"/>
        <w:rPr>
          <w:rFonts w:ascii="Times New Roman" w:cs="Times New Roman" w:eastAsia="Times New Roman" w:hAnsi="Times New Roman"/>
          <w:sz w:val="18"/>
          <w:szCs w:val="18"/>
          <w:color w:val="auto"/>
        </w:rPr>
      </w:pPr>
    </w:p>
    <w:p>
      <w:pPr>
        <w:ind w:left="980" w:right="120" w:firstLine="391"/>
        <w:spacing w:after="0" w:line="261" w:lineRule="auto"/>
        <w:tabs>
          <w:tab w:leader="none" w:pos="16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dated the Option Closing Date of the Selling Stockholder, confirming that the certificate delivered on the Closing Date pursuant to Section 6(c) hereof remains true and correct in all material respects (except to the extent already qualified by materiality, in which case such representations, warranties and covenants shall be true and correct in all respects) as of such Option Closing Date;</w:t>
      </w:r>
    </w:p>
    <w:p>
      <w:pPr>
        <w:spacing w:after="0" w:line="71" w:lineRule="exact"/>
        <w:rPr>
          <w:rFonts w:ascii="Times New Roman" w:cs="Times New Roman" w:eastAsia="Times New Roman" w:hAnsi="Times New Roman"/>
          <w:sz w:val="18"/>
          <w:szCs w:val="18"/>
          <w:color w:val="auto"/>
        </w:rPr>
      </w:pPr>
    </w:p>
    <w:p>
      <w:pPr>
        <w:ind w:left="980" w:right="60" w:firstLine="391"/>
        <w:spacing w:after="0" w:line="266" w:lineRule="auto"/>
        <w:tabs>
          <w:tab w:leader="none" w:pos="167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Goodwin Procter LLP, outside counsel for the Company, dated the Option Closing Date, relating to the Additional Shares to be purchased on such Option Closing Date and otherwise to the same effect as the opinion and negative assurance letter required by Section 6(d) hereof;</w:t>
      </w:r>
    </w:p>
    <w:p>
      <w:pPr>
        <w:spacing w:after="0" w:line="67" w:lineRule="exact"/>
        <w:rPr>
          <w:rFonts w:ascii="Times New Roman" w:cs="Times New Roman" w:eastAsia="Times New Roman" w:hAnsi="Times New Roman"/>
          <w:sz w:val="18"/>
          <w:szCs w:val="18"/>
          <w:color w:val="auto"/>
        </w:rPr>
      </w:pPr>
    </w:p>
    <w:p>
      <w:pPr>
        <w:ind w:left="980" w:right="20" w:firstLine="391"/>
        <w:spacing w:after="0" w:line="266" w:lineRule="auto"/>
        <w:tabs>
          <w:tab w:leader="none" w:pos="16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White &amp; Case LLP, intellectual property counsel for the Company, dated the Option Closing Date, relating to the Additional Shares to be purchased on such Option Closing Date and otherwise to the same effect as the opinion required by Section 6(e) hereof;</w:t>
      </w:r>
    </w:p>
    <w:p>
      <w:pPr>
        <w:spacing w:after="0" w:line="67" w:lineRule="exact"/>
        <w:rPr>
          <w:rFonts w:ascii="Times New Roman" w:cs="Times New Roman" w:eastAsia="Times New Roman" w:hAnsi="Times New Roman"/>
          <w:sz w:val="18"/>
          <w:szCs w:val="18"/>
          <w:color w:val="auto"/>
        </w:rPr>
      </w:pPr>
    </w:p>
    <w:p>
      <w:pPr>
        <w:ind w:left="980" w:right="80" w:firstLine="391"/>
        <w:spacing w:after="0" w:line="266" w:lineRule="auto"/>
        <w:tabs>
          <w:tab w:leader="none" w:pos="16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Wolf, Greenfield &amp; Sacks, P.C., intellectual property counsel for the Company, dated the Option Closing Date, relating to the Additional Shares to be purchased on such Option Closing Date and otherwise to the same effect as the opinion required by Section 6(f) hereof;</w:t>
      </w:r>
    </w:p>
    <w:p>
      <w:pPr>
        <w:spacing w:after="0" w:line="67" w:lineRule="exact"/>
        <w:rPr>
          <w:rFonts w:ascii="Times New Roman" w:cs="Times New Roman" w:eastAsia="Times New Roman" w:hAnsi="Times New Roman"/>
          <w:sz w:val="18"/>
          <w:szCs w:val="18"/>
          <w:color w:val="auto"/>
        </w:rPr>
      </w:pPr>
    </w:p>
    <w:p>
      <w:pPr>
        <w:ind w:left="980" w:right="140" w:firstLine="391"/>
        <w:spacing w:after="0" w:line="266" w:lineRule="auto"/>
        <w:tabs>
          <w:tab w:leader="none" w:pos="166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and negative assurance letter of Wilmer Cutler Pickering Hale and Dorr LLP, counsel for the Underwriters, dated the Option Closing Date, relating to the Additional Shares to be purchased on such Option Closing Date and otherwise to the same effect as the opinion and negative assurance letter required by Section 6(g) hereof;</w:t>
      </w:r>
    </w:p>
    <w:p>
      <w:pPr>
        <w:spacing w:after="0" w:line="67" w:lineRule="exact"/>
        <w:rPr>
          <w:rFonts w:ascii="Times New Roman" w:cs="Times New Roman" w:eastAsia="Times New Roman" w:hAnsi="Times New Roman"/>
          <w:sz w:val="18"/>
          <w:szCs w:val="18"/>
          <w:color w:val="auto"/>
        </w:rPr>
      </w:pPr>
    </w:p>
    <w:p>
      <w:pPr>
        <w:ind w:left="980" w:firstLine="391"/>
        <w:spacing w:after="0" w:line="266" w:lineRule="auto"/>
        <w:tabs>
          <w:tab w:leader="none" w:pos="171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Debevoise &amp; Plimpton LLP, special New York counsel for the Selling Stockholder, dated the Option Closing Date, relating to the Additional Shares to be purchased on such Option Closing Date and otherwise to the same effect as the opinion required by Section 6(h) hereof;</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60"/>
          </w:cols>
          <w:pgMar w:left="880" w:top="270" w:right="459" w:bottom="1440" w:gutter="0" w:footer="0" w:header="0"/>
        </w:sectPr>
      </w:pPr>
    </w:p>
    <w:bookmarkStart w:id="31" w:name="page32"/>
    <w:bookmarkEnd w:id="31"/>
    <w:p>
      <w:pPr>
        <w:jc w:val="both"/>
        <w:ind w:left="980" w:right="60" w:firstLine="391"/>
        <w:spacing w:after="0" w:line="266" w:lineRule="auto"/>
        <w:tabs>
          <w:tab w:leader="none" w:pos="176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opinion of McDermott Will &amp; Schulte LLP, Delaware counsel for the Selling Stockholder, dated the dated the Option Closing Date, relating to the Additional Shares to be purchased on such Option Closing Date and otherwise to the same effect as the opinion required by Section 6(i) hereof;</w:t>
      </w:r>
    </w:p>
    <w:p>
      <w:pPr>
        <w:spacing w:after="0" w:line="67" w:lineRule="exact"/>
        <w:rPr>
          <w:rFonts w:ascii="Times New Roman" w:cs="Times New Roman" w:eastAsia="Times New Roman" w:hAnsi="Times New Roman"/>
          <w:sz w:val="18"/>
          <w:szCs w:val="18"/>
          <w:color w:val="auto"/>
        </w:rPr>
      </w:pPr>
    </w:p>
    <w:p>
      <w:pPr>
        <w:ind w:left="980" w:right="20" w:firstLine="391"/>
        <w:spacing w:after="0" w:line="261" w:lineRule="auto"/>
        <w:tabs>
          <w:tab w:leader="none" w:pos="166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letter dated the Option Closing Date, in form and substance satisfactory to the Representatives, from Ernst &amp; Young LLP, independent public accountants, substantially in the same form and substance as the letter furnished to the Underwriters pursuant to Section 6(j)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letter delivered on the Option Closing Date shall use a “cut-off date” not earlier than two business days prior to such Option Closing Date;</w:t>
      </w:r>
    </w:p>
    <w:p>
      <w:pPr>
        <w:spacing w:after="0" w:line="71" w:lineRule="exact"/>
        <w:rPr>
          <w:rFonts w:ascii="Times New Roman" w:cs="Times New Roman" w:eastAsia="Times New Roman" w:hAnsi="Times New Roman"/>
          <w:sz w:val="18"/>
          <w:szCs w:val="18"/>
          <w:color w:val="auto"/>
        </w:rPr>
      </w:pPr>
    </w:p>
    <w:p>
      <w:pPr>
        <w:ind w:left="980" w:right="40" w:firstLine="391"/>
        <w:spacing w:after="0" w:line="282" w:lineRule="auto"/>
        <w:tabs>
          <w:tab w:leader="none" w:pos="161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Company’s chief financial officer, confirming that the certificate delivered on the Closing Date pursuant to Section 6(k) hereof remains true and correct as of such Option Closing Date; and</w:t>
      </w:r>
    </w:p>
    <w:p>
      <w:pPr>
        <w:spacing w:after="0" w:line="53" w:lineRule="exact"/>
        <w:rPr>
          <w:rFonts w:ascii="Times New Roman" w:cs="Times New Roman" w:eastAsia="Times New Roman" w:hAnsi="Times New Roman"/>
          <w:sz w:val="18"/>
          <w:szCs w:val="18"/>
          <w:color w:val="auto"/>
        </w:rPr>
      </w:pPr>
    </w:p>
    <w:p>
      <w:pPr>
        <w:ind w:left="980" w:firstLine="391"/>
        <w:spacing w:after="0" w:line="266" w:lineRule="auto"/>
        <w:tabs>
          <w:tab w:leader="none" w:pos="166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65" w:lineRule="exact"/>
        <w:rPr>
          <w:rFonts w:ascii="Times New Roman" w:cs="Times New Roman" w:eastAsia="Times New Roman" w:hAnsi="Times New Roman"/>
          <w:sz w:val="18"/>
          <w:szCs w:val="18"/>
          <w:color w:val="auto"/>
        </w:rPr>
      </w:pPr>
    </w:p>
    <w:p>
      <w:pPr>
        <w:ind w:left="1120" w:hanging="172"/>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each Underwriter as follows:</w:t>
      </w:r>
    </w:p>
    <w:p>
      <w:pPr>
        <w:spacing w:after="0" w:line="119" w:lineRule="exact"/>
        <w:rPr>
          <w:rFonts w:ascii="Times New Roman" w:cs="Times New Roman" w:eastAsia="Times New Roman" w:hAnsi="Times New Roman"/>
          <w:sz w:val="18"/>
          <w:szCs w:val="18"/>
          <w:color w:val="auto"/>
        </w:rPr>
      </w:pPr>
    </w:p>
    <w:p>
      <w:pPr>
        <w:ind w:right="20" w:firstLine="419"/>
        <w:spacing w:after="0" w:line="256" w:lineRule="auto"/>
        <w:tabs>
          <w:tab w:leader="none" w:pos="6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Representatives, without charge, four signed copies of the Registration Statements (including exhibits thereto and documents incorporated by reference) and for delivery to each other Underwriter a conformed copy of the Registration Statements (without exhibits thereto but including documents incorporated by reference) and to furnish to the Representatives in New York City,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Statements as the Representatives may reasonably request.</w:t>
      </w:r>
    </w:p>
    <w:p>
      <w:pPr>
        <w:spacing w:after="0" w:line="79" w:lineRule="exact"/>
        <w:rPr>
          <w:rFonts w:ascii="Times New Roman" w:cs="Times New Roman" w:eastAsia="Times New Roman" w:hAnsi="Times New Roman"/>
          <w:sz w:val="18"/>
          <w:szCs w:val="18"/>
          <w:color w:val="auto"/>
        </w:rPr>
      </w:pPr>
    </w:p>
    <w:p>
      <w:pPr>
        <w:ind w:right="120" w:firstLine="419"/>
        <w:spacing w:after="0" w:line="261"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Statements,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0"/>
          </w:cols>
          <w:pgMar w:left="880" w:top="270" w:right="459" w:bottom="1440" w:gutter="0" w:footer="0" w:header="0"/>
        </w:sectPr>
      </w:pPr>
    </w:p>
    <w:bookmarkStart w:id="32" w:name="page33"/>
    <w:bookmarkEnd w:id="32"/>
    <w:p>
      <w:pPr>
        <w:ind w:right="100" w:firstLine="419"/>
        <w:spacing w:after="0" w:line="282"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furnish to the Representatives a copy of each proposed free writing prospectus to be prepared by or on behalf of, used by, or referred to by the Company and not to use or refer to any proposed free writing prospectus to which the Representatives reasonably objects.</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6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67" w:lineRule="exact"/>
        <w:rPr>
          <w:rFonts w:ascii="Times New Roman" w:cs="Times New Roman" w:eastAsia="Times New Roman" w:hAnsi="Times New Roman"/>
          <w:sz w:val="18"/>
          <w:szCs w:val="18"/>
          <w:color w:val="auto"/>
        </w:rPr>
      </w:pPr>
    </w:p>
    <w:p>
      <w:pPr>
        <w:ind w:right="80" w:firstLine="419"/>
        <w:spacing w:after="0" w:line="253" w:lineRule="auto"/>
        <w:tabs>
          <w:tab w:leader="none" w:pos="66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Securities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Statements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Statements, or so that the Time of Sale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Securities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Securities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40"/>
          </w:cols>
          <w:pgMar w:left="880" w:top="270" w:right="479" w:bottom="1440" w:gutter="0" w:footer="0" w:header="0"/>
        </w:sectPr>
      </w:pPr>
    </w:p>
    <w:bookmarkStart w:id="33" w:name="page34"/>
    <w:bookmarkEnd w:id="33"/>
    <w:p>
      <w:pPr>
        <w:ind w:right="80" w:firstLine="419"/>
        <w:spacing w:after="0" w:line="282" w:lineRule="auto"/>
        <w:tabs>
          <w:tab w:leader="none" w:pos="6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endeavor to qualify the Securities for offer and sale under the securities or Blue Sky laws of such jurisdictions as the Representatives shall reasonably request.</w:t>
      </w:r>
    </w:p>
    <w:p>
      <w:pPr>
        <w:spacing w:after="0" w:line="53" w:lineRule="exact"/>
        <w:rPr>
          <w:rFonts w:ascii="Times New Roman" w:cs="Times New Roman" w:eastAsia="Times New Roman" w:hAnsi="Times New Roman"/>
          <w:sz w:val="18"/>
          <w:szCs w:val="18"/>
          <w:color w:val="auto"/>
        </w:rPr>
      </w:pPr>
    </w:p>
    <w:p>
      <w:pPr>
        <w:ind w:right="120" w:firstLine="419"/>
        <w:spacing w:after="0" w:line="289" w:lineRule="auto"/>
        <w:tabs>
          <w:tab w:leader="none" w:pos="67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generally available to the Company’s security holders and to the Representatives as soon as reasonably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w:t>
      </w:r>
    </w:p>
    <w:p>
      <w:pPr>
        <w:spacing w:after="0" w:line="49" w:lineRule="exact"/>
        <w:rPr>
          <w:rFonts w:ascii="Times New Roman" w:cs="Times New Roman" w:eastAsia="Times New Roman" w:hAnsi="Times New Roman"/>
          <w:sz w:val="17"/>
          <w:szCs w:val="17"/>
          <w:color w:val="auto"/>
        </w:rPr>
      </w:pPr>
    </w:p>
    <w:p>
      <w:pPr>
        <w:ind w:firstLine="419"/>
        <w:spacing w:after="0" w:line="252" w:lineRule="auto"/>
        <w:tabs>
          <w:tab w:leader="none" w:pos="63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and the Company’s accountants in connection with the registration and delivery of the Securities and Warrant Shares under the Securities Act, including the costs of reproducing and distributing each of the Pre-Funded Warrants, and all other fees or expenses in connection with the preparation and filing of the Registration Statements,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Securities to the Underwriters,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7(g) hereof, including filing fees and the reasonable fees and disbursements of counsel for the Underwriters in connection with such qualification and in connection with the Blue Sky or Legal Investment memorandum, (iv) all filing fees and the reasonable fees and disbursements of counsel to the Underwriters incurred in connection with the review and qualification of the offering of the Securities by the Financial Industry Regulatory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amount payable by the Company with respect to fees and disbursements of counsel for the Underwriters pursuant to subsections (iii) and (iv) shall not exceed $30,000 in the aggregate, (v) all costs and expenses incident to listing the Shares on Nasdaq, (vi) the cost of printing certificates representing the Securities and Warrant Shares, (vii) the costs and charges of any transfer agent, registrar or depositary, (viii)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the production of road show slides and graphics, fees and expenses of any consultants engaged in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34" w:name="page35"/>
    <w:bookmarkEnd w:id="34"/>
    <w:p>
      <w:pPr>
        <w:ind w:left="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the road show presentations with the prior approval of the Company, travel and lodging expenses of the representatives and officers of the Company and any such consultants, and 50% of the cost of any aircraft chartered in connection with the road show (with the remaining 50% of the cost of such aircraft to be paid by the Underwriters), (ix) the document production charges and expenses associated with printing this Agreement, (x) the reasonable fees and expenses of one counsel for the Selling Stockholder, not to exceed $35,000 and (xi) all other costs and expenses incident to the performance of the obligations of the Company hereunder for which provision is not otherwise made in this Section. It is understood, however, that except as provided in this Section, Section 10 entitled “Indemnity and Contribution” and the last paragraph of Section 12 below, the Underwriters will pay all of their costs and expenses, including fees and disbursements of their counsel, stock transfer taxes payable on resale of any of the Securities by them and any advertising expenses connected with any offers they may make.</w:t>
      </w:r>
    </w:p>
    <w:p>
      <w:pPr>
        <w:spacing w:after="0" w:line="84" w:lineRule="exact"/>
        <w:rPr>
          <w:sz w:val="20"/>
          <w:szCs w:val="20"/>
          <w:color w:val="auto"/>
        </w:rPr>
      </w:pPr>
    </w:p>
    <w:p>
      <w:pPr>
        <w:jc w:val="both"/>
        <w:ind w:left="440" w:right="300" w:firstLine="419"/>
        <w:spacing w:after="0" w:line="261" w:lineRule="auto"/>
        <w:tabs>
          <w:tab w:leader="none" w:pos="107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0"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The Company also covenants with each Underwriter that, without the prior written consent of Jefferies LLC, Leerink Partners LLC and Morgan Stanley &amp; Co. LLC on behalf of the Underwriters, it will not, and will not publicly disclose an intention to, during the period ending 45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88"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The restrictions contained in the preceding paragraph shall not apply to (A) the Securities to be sold hereunder, including, for the avoidance of doubt, the issuance by the Company of the Warrant Shares upon the exercise of Pre-Funded Warrants, (B) the issuance by the Company of shares of common stock or securities convertible into or exercisable for shares of Common Stock upon the exercise of an option or warrant or the conversion of a security outstanding on the date hereof as described in each of the Time of Sale Prospectus and Prospectus, (C) the issuance by the Company of shares of Common Stock or options to purchase shares of, Common Stock to employees, officers, directors, advisors or consultants of the Company pursuant to employee benefit plans as described in each of the Time of Sale Prospectus and Prospectus, provided that, prior to</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5" w:name="page36"/>
    <w:bookmarkEnd w:id="3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issuance of any such shares or the grant of any such options to any director or executive officer elected or appointed following the date of this Agreement and prior to the end of the Restricted Period, the Company shall cause each such recipient of such grant or issuance to execute and deliver a “lock-up” agreement, substantially in the form of Exhibit A hereto, (D) the filing by the Company of registration statements on Form S-8 with respect to the employee benefit plans described in the Time of Sale Prospectus and Prospectus, (E) the sale or issuance of or entry into an agreement to sell or issue shares of the Common Stock in connection with the Company’s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Common Stock that the Company may sell or issue or agree to sell or issue pursuant to this clause (E) shall not exceed 5% of the total number of shares of Common Stock issued and outstanding immediately following the completion of the transactions contemplated by this Agreement and provided further that the Company shall cause each recipient of such shares to execute and deliver to you, on or prior to such issuance, a “lock up” agreement, substantially in the form of Exhibit A hereto, (F) facilitating the establishment of a trading plan on behalf of a stockholder,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or (G) 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w:t>
      </w:r>
    </w:p>
    <w:p>
      <w:pPr>
        <w:spacing w:after="0" w:line="83" w:lineRule="exact"/>
        <w:rPr>
          <w:sz w:val="20"/>
          <w:szCs w:val="20"/>
          <w:color w:val="auto"/>
        </w:rPr>
      </w:pPr>
    </w:p>
    <w:p>
      <w:pPr>
        <w:ind w:left="1560" w:hanging="172"/>
        <w:spacing w:after="0"/>
        <w:tabs>
          <w:tab w:leader="none" w:pos="15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Covenants of the Selling Stockholder. </w:t>
      </w:r>
      <w:r>
        <w:rPr>
          <w:rFonts w:ascii="Times New Roman" w:cs="Times New Roman" w:eastAsia="Times New Roman" w:hAnsi="Times New Roman"/>
          <w:sz w:val="18"/>
          <w:szCs w:val="18"/>
          <w:color w:val="auto"/>
        </w:rPr>
        <w:t>The Selling Stockholder covenants with each Underwriter as follows:</w:t>
      </w:r>
    </w:p>
    <w:p>
      <w:pPr>
        <w:spacing w:after="0" w:line="119"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will deliver a lock-up agreement, substantially in the form of Exhibit A hereto.</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will not take, directly or indirectly, any action designed to or that might cause or result in stabilization or manipulation of the price of the Shares or any reference security with respect to the Shares, whether to facilitate the sale or resale of the Shares or otherwise, and the Selling Stockholder will, and shall cause each of its affiliates to, comply with all applicable provisions of Regulation M.</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will advise you promptly, and if requested by you, will confirm such advice in writing, during the period when a prospectus relating to the Shares is required by the Securities Act to be delivered (whether physically or through compliance with Rule 172 under the Securities Act or any similar rule), of (i) any change in information in the Selling Stockholder Information or (ii) any new material information that would cause the Selling Stockholder Information to become untrue or misleading in any material respect.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70" w:right="439" w:bottom="1440" w:gutter="0" w:footer="0" w:header="0"/>
        </w:sectPr>
      </w:pPr>
    </w:p>
    <w:bookmarkStart w:id="36" w:name="page37"/>
    <w:bookmarkEnd w:id="36"/>
    <w:p>
      <w:pPr>
        <w:ind w:right="100" w:firstLine="419"/>
        <w:spacing w:after="0" w:line="282" w:lineRule="auto"/>
        <w:tabs>
          <w:tab w:leader="none" w:pos="67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deliver to the Representatives prior to the Closing Date a properly completed and executed United States Treasury Department Form W-8 (if the Selling Stockholder is a non-United States person) or Form W-9 (if the Selling Stockholder is a United States Person).</w:t>
      </w:r>
    </w:p>
    <w:p>
      <w:pPr>
        <w:spacing w:after="0" w:line="53" w:lineRule="exact"/>
        <w:rPr>
          <w:rFonts w:ascii="Times New Roman" w:cs="Times New Roman" w:eastAsia="Times New Roman" w:hAnsi="Times New Roman"/>
          <w:sz w:val="18"/>
          <w:szCs w:val="18"/>
          <w:color w:val="auto"/>
        </w:rPr>
      </w:pPr>
    </w:p>
    <w:p>
      <w:pPr>
        <w:ind w:right="100" w:firstLine="419"/>
        <w:spacing w:after="0" w:line="258" w:lineRule="auto"/>
        <w:tabs>
          <w:tab w:leader="none" w:pos="6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Stockholder agrees with each Underwriter to pay (directly or by reimbursement) all fees and expenses incident to the performance of their obligations under this Agreement that are not otherwise specifically provided for herein, including but not limited to (i) fees and expenses of counsel and other advisors for the Selling Stockholder (except to the extent such fees are required to be paid by the Company pursuant to this Agreement) and (ii) expenses and taxes incident to the sale and delivery of the Shares to be sold by the Selling Stockholder to the Underwriters hereunder.</w:t>
      </w:r>
    </w:p>
    <w:p>
      <w:pPr>
        <w:spacing w:after="0" w:line="73" w:lineRule="exact"/>
        <w:rPr>
          <w:rFonts w:ascii="Times New Roman" w:cs="Times New Roman" w:eastAsia="Times New Roman" w:hAnsi="Times New Roman"/>
          <w:sz w:val="18"/>
          <w:szCs w:val="18"/>
          <w:color w:val="auto"/>
        </w:rPr>
      </w:pPr>
    </w:p>
    <w:p>
      <w:pPr>
        <w:ind w:left="540" w:right="180" w:firstLine="408"/>
        <w:spacing w:after="0" w:line="261" w:lineRule="auto"/>
        <w:tabs>
          <w:tab w:leader="none" w:pos="112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Underwriters</w:t>
      </w:r>
      <w:r>
        <w:rPr>
          <w:rFonts w:ascii="Times New Roman" w:cs="Times New Roman" w:eastAsia="Times New Roman" w:hAnsi="Times New Roman"/>
          <w:sz w:val="18"/>
          <w:szCs w:val="18"/>
          <w:color w:val="auto"/>
        </w:rPr>
        <w:t>. Each Underwriter, severally and not jointly, covenants with the Company not to take any 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71" w:lineRule="exact"/>
        <w:rPr>
          <w:rFonts w:ascii="Times New Roman" w:cs="Times New Roman" w:eastAsia="Times New Roman" w:hAnsi="Times New Roman"/>
          <w:sz w:val="18"/>
          <w:szCs w:val="18"/>
          <w:color w:val="auto"/>
        </w:rPr>
      </w:pPr>
    </w:p>
    <w:p>
      <w:pPr>
        <w:ind w:left="540" w:firstLine="408"/>
        <w:spacing w:after="0" w:line="253" w:lineRule="auto"/>
        <w:tabs>
          <w:tab w:leader="none" w:pos="1211"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Indemnity and Contribution. </w:t>
      </w:r>
      <w:r>
        <w:rPr>
          <w:rFonts w:ascii="Times New Roman" w:cs="Times New Roman" w:eastAsia="Times New Roman" w:hAnsi="Times New Roman"/>
          <w:sz w:val="18"/>
          <w:szCs w:val="18"/>
          <w:color w:val="auto"/>
        </w:rPr>
        <w:t>(a) (i) The Company agrees to indemnify and hold harmless each Underwriter, each person,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Statements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relating to any Underwriter furnished to the Company in writing by</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60"/>
          </w:cols>
          <w:pgMar w:left="880" w:top="270" w:right="459" w:bottom="1440" w:gutter="0" w:footer="0" w:header="0"/>
        </w:sectPr>
      </w:pPr>
    </w:p>
    <w:bookmarkStart w:id="37" w:name="page38"/>
    <w:bookmarkEnd w:id="37"/>
    <w:p>
      <w:pPr>
        <w:ind w:left="540"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Underwriter through the Representatives expressly for use therein, it being understood and agreed that the only such information furnished by the Underwriters through the Representatives consists of the Underwriter Information; and (ii) the Selling Stockholder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Statements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but only with reference to the Selling Stockholder Information. Notwithstanding anything to the contrary in this Section 10(a), the aggregate liability of the Selling Stockholder under this Section 10(a) shall not exceed the net proceeds (after deducting underwriting discounts and commissions but before deducting other offering expenses) received by the Selling Stockholder from the sale of Shares pursuant to this Agreement. The Selling Stockholder’s indemnification obligations under this Section 10(a) shall be several and not joint with the Company.</w:t>
      </w:r>
    </w:p>
    <w:p>
      <w:pPr>
        <w:spacing w:after="0" w:line="85" w:lineRule="exact"/>
        <w:rPr>
          <w:sz w:val="20"/>
          <w:szCs w:val="20"/>
          <w:color w:val="auto"/>
        </w:rPr>
      </w:pPr>
    </w:p>
    <w:p>
      <w:pPr>
        <w:ind w:right="140" w:firstLine="419"/>
        <w:spacing w:after="0" w:line="255" w:lineRule="auto"/>
        <w:tabs>
          <w:tab w:leader="none" w:pos="6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Statements, the Selling Stockholder and each person, if any, who controls the Company or the Selling Stockholder within the meaning of either Section 15 of the Securities Act or Section 20 of the Exchange Act to the same extent as the foregoing indemnity from the Company or the Selling Stockholder to such Underwriter, but only with reference to information relating to such Underwriter furnished to the Company in writing by such Underwriter through the Representatives expressly for use in the Registration Statements, any preliminary prospectus, the Time of Sale Prospectus, any issuer free writing prospectus, road show, or the Prospectus or any amendment or supplement thereto; it being understood and agreed that the only such information furnished by the Underwriters consists of the Underwriter Information.</w:t>
      </w:r>
    </w:p>
    <w:p>
      <w:pPr>
        <w:spacing w:after="0" w:line="80" w:lineRule="exact"/>
        <w:rPr>
          <w:rFonts w:ascii="Times New Roman" w:cs="Times New Roman" w:eastAsia="Times New Roman" w:hAnsi="Times New Roman"/>
          <w:sz w:val="18"/>
          <w:szCs w:val="18"/>
          <w:color w:val="auto"/>
        </w:rPr>
      </w:pPr>
    </w:p>
    <w:p>
      <w:pPr>
        <w:ind w:firstLine="419"/>
        <w:spacing w:after="0" w:line="266" w:lineRule="auto"/>
        <w:tabs>
          <w:tab w:leader="none" w:pos="6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10(a) or10(b),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40"/>
          </w:cols>
          <w:pgMar w:left="880" w:top="270" w:right="479" w:bottom="1440" w:gutter="0" w:footer="0" w:header="0"/>
        </w:sectPr>
      </w:pPr>
    </w:p>
    <w:bookmarkStart w:id="38" w:name="page39"/>
    <w:bookmarkEnd w:id="3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(with the consent of the Selling Stockholder, such consent not to be unreasonably withheld, conditioned or delayed, in the case where the Selling Stockholder is the indemnifying party), in the case of parties indemnified pursuant to Section 10(a), and by the Company or the Selling Stockholder, as applicable, in the case of parties indemnified pursuant to Section 10(b).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 statement as to or an admission of fault, culpability or a failure to act by or on behalf of any indemnified party.</w:t>
      </w:r>
    </w:p>
    <w:p>
      <w:pPr>
        <w:spacing w:after="0" w:line="97" w:lineRule="exact"/>
        <w:rPr>
          <w:sz w:val="20"/>
          <w:szCs w:val="20"/>
          <w:color w:val="auto"/>
        </w:rPr>
      </w:pPr>
    </w:p>
    <w:p>
      <w:pPr>
        <w:jc w:val="both"/>
        <w:ind w:right="60" w:firstLine="419"/>
        <w:spacing w:after="0" w:line="261"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10(a) or 10(b)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60"/>
          </w:cols>
          <w:pgMar w:left="880" w:top="270" w:right="459" w:bottom="1440" w:gutter="0" w:footer="0" w:header="0"/>
        </w:sectPr>
      </w:pPr>
    </w:p>
    <w:bookmarkStart w:id="39" w:name="page40"/>
    <w:bookmarkEnd w:id="39"/>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relative benefits received by the Company and the Selling Stockholder, severally, on the one hand and the Underwriters on the other hand from the offering of the Securities or (ii) if the allocation provided by clause 10(d)(i) above is not permitted by applicable law, in such proportion as is appropriate to reflect not only the relative benefits referred to in clause 10(d)(i) above but also the relative fault of the Company and the Selling Stockholder, severally, on the one hand and of the Underwriters on the other hand in connection with the statements or omissions that resulted in such losses, claims, damages or liabilities, as well as any other relevant equitable considerations. The relative benefits received by the Company and the Selling Stockholder, severally, on the one hand and the Underwriters on the other hand in connection with the offering of the Securities shall be deemed to be in the same respective proportions as the net proceeds from the offering of the Securities (before deducting expenses) received by the Company and the Selling Stockholder and the total underwriting discounts and commissions received by the Underwriters, in each case as set forth in the table on the cover of the Prospectus, bear to the aggregate (i) Public Offering Price of the Shares and (ii) the Public Offering Price Per Warrant of the Pre-Funded Warrants. The relative fault of the Company and the Selling Stockholder, severally,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the Selling Stockholder or by the Underwriters and the parties’ relative intent, knowledge, access to information and opportunity to correct or prevent such statement or omission. The Underwriters’ respective obligations to contribute pursuant to this Section 10 are several in proportion to the respective number of Securities they have purchased hereunder, and not joint. Notwithstanding the provisions of this Section 10, the Selling Stockholder shall not be required to contribute any amount in excess of the net proceeds (after deducting underwriting discounts and commissions but before deducting other offering expenses) received by the Selling Stockholder from the sale of Shares pursuant to this Agreement. The Selling Stockholder’s contribution obligations shall be several and not joint with the Company.</w:t>
      </w:r>
    </w:p>
    <w:p>
      <w:pPr>
        <w:spacing w:after="0" w:line="84" w:lineRule="exact"/>
        <w:rPr>
          <w:sz w:val="20"/>
          <w:szCs w:val="20"/>
          <w:color w:val="auto"/>
        </w:rPr>
      </w:pPr>
    </w:p>
    <w:p>
      <w:pPr>
        <w:ind w:right="40" w:firstLine="419"/>
        <w:spacing w:after="0" w:line="254" w:lineRule="auto"/>
        <w:tabs>
          <w:tab w:leader="none" w:pos="66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the Selling Stockholder and the Underwriters agree that it would not be just or equitable if contribution pursuant to this Section 10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(even if the Underwriters were treated as one entity for such purpose) or by any other method of allocation that does not take account of the equitable considerations referred to in Section 10(d). The amount paid or payable by an indemnified party as a result of the losses, claims, damages and liabilities referred to in Section 10(d) shall be deemed to include, subject to the limitations set forth above, any legal or other expenses reasonably incurred by such indemnified party in connection with investigating or defending any such action or claim. Notwithstanding the provisions of this Section 10, no Underwriter shall be required to contribute any amount in excess of the amount by which the total price at which the Securities underwritten by it and distributed to the public were offered to the public exceeds the amount of any damages that such Underwriter has otherwise been required to pay by reason of such untrue or alleged untrue statement or omission or alleged omission. No person guilty of fraudulent misrepresentation (within the meaning of</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60"/>
          </w:cols>
          <w:pgMar w:left="880" w:top="270" w:right="459" w:bottom="1440" w:gutter="0" w:footer="0" w:header="0"/>
        </w:sectPr>
      </w:pPr>
    </w:p>
    <w:bookmarkStart w:id="40" w:name="page41"/>
    <w:bookmarkEnd w:id="40"/>
    <w:p>
      <w:pPr>
        <w:ind w:left="44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11(f) of the Securities Act) shall be entitled to contribution from any person who was not guilty of such fraudulent misrepresentation. The remedies provided for in this Section 10 are not exclusive and shall not limit any rights or remedies which may otherwise be available to any indemnified party at law or in equity.</w:t>
      </w:r>
    </w:p>
    <w:p>
      <w:pPr>
        <w:spacing w:after="0" w:line="68" w:lineRule="exact"/>
        <w:rPr>
          <w:sz w:val="20"/>
          <w:szCs w:val="20"/>
          <w:color w:val="auto"/>
        </w:rPr>
      </w:pPr>
    </w:p>
    <w:p>
      <w:pPr>
        <w:ind w:left="440" w:right="260" w:firstLine="419"/>
        <w:spacing w:after="0" w:line="258" w:lineRule="auto"/>
        <w:tabs>
          <w:tab w:leader="none" w:pos="108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indemnity and contribution provisions contained in this Section 10 and the representations, warranties and other statements of the Company and the Selling Stockholder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the Selling Stockholder or any person controlling the Company or the Selling Stockholder and (iii) acceptance of and payment for any of the Securities.</w:t>
      </w:r>
    </w:p>
    <w:p>
      <w:pPr>
        <w:spacing w:after="0" w:line="73" w:lineRule="exact"/>
        <w:rPr>
          <w:rFonts w:ascii="Times New Roman" w:cs="Times New Roman" w:eastAsia="Times New Roman" w:hAnsi="Times New Roman"/>
          <w:sz w:val="18"/>
          <w:szCs w:val="18"/>
          <w:color w:val="auto"/>
        </w:rPr>
      </w:pPr>
    </w:p>
    <w:p>
      <w:pPr>
        <w:ind w:left="980" w:right="100" w:firstLine="408"/>
        <w:spacing w:after="0" w:line="268" w:lineRule="auto"/>
        <w:tabs>
          <w:tab w:leader="none" w:pos="1644" w:val="left"/>
        </w:tabs>
        <w:numPr>
          <w:ilvl w:val="2"/>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The Underwriters may terminate this Agreement by notice given by the Representatives to the Company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Selling Stockholder, if after the execution and delivery of this Agreement and prior to or on the Closing Date or any Option Closing Date, as the case may be, (i) trading generally shall have been suspended or materially limited on, or by, as the case may be, any of the New York Stock Exchange, the NYSE American, the Nasdaq,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w:t>
      </w:r>
    </w:p>
    <w:p>
      <w:pPr>
        <w:spacing w:after="0" w:line="4" w:lineRule="exact"/>
        <w:rPr>
          <w:rFonts w:ascii="Times New Roman" w:cs="Times New Roman" w:eastAsia="Times New Roman" w:hAnsi="Times New Roman"/>
          <w:sz w:val="17"/>
          <w:szCs w:val="17"/>
          <w:color w:val="auto"/>
        </w:rPr>
      </w:pPr>
    </w:p>
    <w:p>
      <w:pPr>
        <w:ind w:left="980" w:right="100" w:firstLine="7"/>
        <w:spacing w:after="0" w:line="253" w:lineRule="auto"/>
        <w:tabs>
          <w:tab w:leader="none" w:pos="123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Securities on the terms and in the manner contemplated in the Time of Sale Prospectus or the Prospectus.</w:t>
      </w:r>
    </w:p>
    <w:p>
      <w:pPr>
        <w:spacing w:after="0" w:line="78" w:lineRule="exact"/>
        <w:rPr>
          <w:rFonts w:ascii="Times New Roman" w:cs="Times New Roman" w:eastAsia="Times New Roman" w:hAnsi="Times New Roman"/>
          <w:sz w:val="18"/>
          <w:szCs w:val="18"/>
          <w:color w:val="auto"/>
        </w:rPr>
      </w:pPr>
    </w:p>
    <w:p>
      <w:pPr>
        <w:ind w:left="980" w:right="260" w:firstLine="408"/>
        <w:spacing w:after="0" w:line="284" w:lineRule="auto"/>
        <w:tabs>
          <w:tab w:leader="none" w:pos="1651"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 Defaulting Underwriters</w:t>
      </w:r>
      <w:r>
        <w:rPr>
          <w:rFonts w:ascii="Times New Roman" w:cs="Times New Roman" w:eastAsia="Times New Roman" w:hAnsi="Times New Roman"/>
          <w:sz w:val="18"/>
          <w:szCs w:val="18"/>
          <w:color w:val="auto"/>
        </w:rPr>
        <w:t>. This Agreement shall become effective upon the execution and delivery hereof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hereto.</w:t>
      </w:r>
    </w:p>
    <w:p>
      <w:pPr>
        <w:spacing w:after="0" w:line="16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If, on the Closing Date or an Option Closing Date, as the case may be, any one or more of the Underwriters shall fail or refuse to purchase Securities that it has or they have agreed to purchase hereunder on such date, and the aggregate number of Securities which such defaulting Underwriter or Underwriters agreed but failed or refused to purchase is not more than one-tenth of the aggregate number of the Securities to be purchased on such date, the other Underwriters shall be obligated severally in the proportions that the number of Firm Securities set forth opposite their respective names in Schedule I bears to the aggregate number of Firm Securities set forth opposite the names of all such non-defaulting Underwriters, or in such other proportions as the Representatives may specify, to purchase the Securities which such defaulting Underwriter or Underwriters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1" w:name="page42"/>
    <w:bookmarkEnd w:id="41"/>
    <w:p>
      <w:pPr>
        <w:ind w:left="4"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agreed but failed or refused to purchase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the number of Securities that any Underwriter has agreed to purchase pursuant to this Agreement be increased pursuant to this Section 12 by an amount in excess of one-ninth of such number of Securities without the written consent of such Underwriter. If, on the Closing Date, any Underwriter or Underwriters shall fail or refuse to purchase Firm Securities and the aggregate number of Firm Securities with respect to which such default occurs is more than one-tenth of the aggregate number of Firm Securities to be purchased on such date, and arrangements satisfactory to the Representatives and the Company and the Selling Stockholder for the purchase of such Firm Securities are not made within 36 hours after such default, this Agreement shall terminate without liability on the part of any non-defaulting Underwriter, the Company or the Selling Stockholder. In any such case either the Representatives or the Company shall have the right to postpone the Closing Date, but in no event for longer than seven days, in order that the required changes, if any, in the Registration Statements,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w:t>
      </w:r>
    </w:p>
    <w:p>
      <w:pPr>
        <w:spacing w:after="0" w:line="4" w:lineRule="exact"/>
        <w:rPr>
          <w:sz w:val="20"/>
          <w:szCs w:val="20"/>
          <w:color w:val="auto"/>
        </w:rPr>
      </w:pPr>
    </w:p>
    <w:p>
      <w:pPr>
        <w:ind w:left="4" w:right="60" w:hanging="4"/>
        <w:spacing w:after="0" w:line="255" w:lineRule="auto"/>
        <w:tabs>
          <w:tab w:leader="none" w:pos="26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86" w:lineRule="exact"/>
        <w:rPr>
          <w:sz w:val="20"/>
          <w:szCs w:val="20"/>
          <w:color w:val="auto"/>
        </w:rPr>
      </w:pPr>
    </w:p>
    <w:p>
      <w:pPr>
        <w:ind w:left="4" w:right="80" w:firstLine="991"/>
        <w:spacing w:after="0" w:line="277" w:lineRule="auto"/>
        <w:rPr>
          <w:sz w:val="20"/>
          <w:szCs w:val="20"/>
          <w:color w:val="auto"/>
        </w:rPr>
      </w:pPr>
      <w:r>
        <w:rPr>
          <w:rFonts w:ascii="Times New Roman" w:cs="Times New Roman" w:eastAsia="Times New Roman" w:hAnsi="Times New Roman"/>
          <w:sz w:val="17"/>
          <w:szCs w:val="17"/>
          <w:color w:val="auto"/>
        </w:rPr>
        <w:t>If this Agreement shall be terminated by the Underwriters, or any of them, because of any failure or refusal on the part of the Company or the Selling Stockholder to comply with the terms or to fulfill any of the conditions of this Agreement, or if for any reason the Company or the Selling Stockholder shall be unable to perform its obligations under this Agreement, the Company and the Selling Stockholder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contemplated hereunder.</w:t>
      </w:r>
    </w:p>
    <w:p>
      <w:pPr>
        <w:spacing w:after="0" w:line="58" w:lineRule="exact"/>
        <w:rPr>
          <w:sz w:val="20"/>
          <w:szCs w:val="20"/>
          <w:color w:val="auto"/>
        </w:rPr>
      </w:pPr>
    </w:p>
    <w:p>
      <w:pPr>
        <w:ind w:left="984" w:right="120" w:firstLine="408"/>
        <w:spacing w:after="0" w:line="258" w:lineRule="auto"/>
        <w:tabs>
          <w:tab w:leader="none" w:pos="165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Failure of the Selling Stockholders to Sell and Deliver Firm Shares. </w:t>
      </w:r>
      <w:r>
        <w:rPr>
          <w:rFonts w:ascii="Times New Roman" w:cs="Times New Roman" w:eastAsia="Times New Roman" w:hAnsi="Times New Roman"/>
          <w:sz w:val="18"/>
          <w:szCs w:val="18"/>
          <w:color w:val="auto"/>
        </w:rPr>
        <w:t>If the Selling Stockholder shall fail to sell and deliver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Underwriters the Firm Shares to be sold and delivered by such Selling Stockholder at the Closing Date pursuant to this Agreement, then the Underwriters may at their option, by written notice from the Representatives to the Company and the Selling Stockholder, either</w:t>
      </w:r>
    </w:p>
    <w:p>
      <w:pPr>
        <w:ind w:left="984" w:firstLine="7"/>
        <w:spacing w:after="0" w:line="253" w:lineRule="auto"/>
        <w:tabs>
          <w:tab w:leader="none" w:pos="119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Agreement without any liability on the part of any Underwriter or, except as provided in Section 7(i), Section 8(e) and Section 10 hereof, the Company, or (ii) purchase the shares which the Company has agreed to sell and deliver in accordance with the terms hereof. If the Selling Stockholder shall fail to sell and deliver to the Underwriters the Firm Shares to be sold and delivered by the Selling Stockholders pursuant to this Agreement at the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68" w:right="459" w:bottom="1440" w:gutter="0" w:footer="0" w:header="0"/>
        </w:sectPr>
      </w:pPr>
    </w:p>
    <w:bookmarkStart w:id="42" w:name="page43"/>
    <w:bookmarkEnd w:id="42"/>
    <w:p>
      <w:pPr>
        <w:ind w:left="5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Closing Date or the applicable Option Closing Date, then the Underwriters shall have the right, by written notice from the Representatives to the Company and the Selling Stockholder, to postpone the Closing Date or the applicable Option Closing Date, as the case may be, but in no event for longer than seven days in order that the required changes, if any, to the Registration Statements and the Prospectus or any other documents or arrangements may be effected.</w:t>
      </w:r>
    </w:p>
    <w:p>
      <w:pPr>
        <w:spacing w:after="0" w:line="70" w:lineRule="exact"/>
        <w:rPr>
          <w:sz w:val="20"/>
          <w:szCs w:val="20"/>
          <w:color w:val="auto"/>
        </w:rPr>
      </w:pPr>
    </w:p>
    <w:p>
      <w:pPr>
        <w:ind w:left="540" w:right="80" w:firstLine="408"/>
        <w:spacing w:after="0" w:line="261" w:lineRule="auto"/>
        <w:tabs>
          <w:tab w:leader="none" w:pos="121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together with any contemporaneous written agreements and any prior written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not superseded by this Agreement) that relate to the offering of the Securities, represents the entire agreement between the Company, the Selling Stockholder and the Underwriters with respect to the preparation of any preliminary prospectus, the Time of Sale Prospectus, the Prospectus, the conduct of the offering, and the purchase and sale of the Securities.</w:t>
      </w:r>
    </w:p>
    <w:p>
      <w:pPr>
        <w:spacing w:after="0" w:line="73" w:lineRule="exact"/>
        <w:rPr>
          <w:rFonts w:ascii="Times New Roman" w:cs="Times New Roman" w:eastAsia="Times New Roman" w:hAnsi="Times New Roman"/>
          <w:sz w:val="18"/>
          <w:szCs w:val="18"/>
          <w:color w:val="auto"/>
        </w:rPr>
      </w:pPr>
    </w:p>
    <w:p>
      <w:pPr>
        <w:ind w:right="20" w:firstLine="419"/>
        <w:spacing w:after="0" w:line="254" w:lineRule="auto"/>
        <w:tabs>
          <w:tab w:leader="none" w:pos="6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Selling Stockholder acknowledge that in connection with the offering of the Securities: (i) the Underwriters have acted at arm’s length, are not agents of, and owe no fiduciary duties to, the Company, the Selling Stockholder or any other person, (ii) the Underwriters owe the Company and the Selling Stockholder only those duties and obligations set forth in this Agreement, any contemporaneous written agreements and prior written agreements (to the extent not superseded by this Agreement), if any, (iii) the Underwriters may have interests that differ from those of the Company and the Selling Stockholder, and (iv) none of the activities of the Underwriters in connection with the transactions contemplated herein constitutes a recommendation, investment advice, or solicitation of any action by the Underwriters with respect to any entity or natural person. The Company and the Selling Stockholder waive to the full extent permitted by applicable law any claims it may have against the Underwriters arising from an alleged breach of fiduciary duty in connection with the offering of the Securities.</w:t>
      </w:r>
    </w:p>
    <w:p>
      <w:pPr>
        <w:spacing w:after="0" w:line="81" w:lineRule="exact"/>
        <w:rPr>
          <w:rFonts w:ascii="Times New Roman" w:cs="Times New Roman" w:eastAsia="Times New Roman" w:hAnsi="Times New Roman"/>
          <w:sz w:val="18"/>
          <w:szCs w:val="18"/>
          <w:color w:val="auto"/>
        </w:rPr>
      </w:pPr>
    </w:p>
    <w:p>
      <w:pPr>
        <w:ind w:left="540" w:firstLine="408"/>
        <w:spacing w:after="0" w:line="258" w:lineRule="auto"/>
        <w:tabs>
          <w:tab w:leader="none" w:pos="1211"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any Underwriter that is a Covered Entity becomes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77" w:lineRule="exact"/>
        <w:rPr>
          <w:sz w:val="20"/>
          <w:szCs w:val="20"/>
          <w:color w:val="auto"/>
        </w:rPr>
      </w:pPr>
    </w:p>
    <w:p>
      <w:pPr>
        <w:ind w:right="60" w:firstLine="419"/>
        <w:spacing w:after="0" w:line="261" w:lineRule="auto"/>
        <w:tabs>
          <w:tab w:leader="none" w:pos="6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560"/>
          </w:cols>
          <w:pgMar w:left="880" w:top="270" w:right="459" w:bottom="1440" w:gutter="0" w:footer="0" w:header="0"/>
        </w:sectPr>
      </w:pPr>
    </w:p>
    <w:bookmarkStart w:id="43" w:name="page44"/>
    <w:bookmarkEnd w:id="43"/>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77" w:lineRule="exact"/>
        <w:rPr>
          <w:sz w:val="20"/>
          <w:szCs w:val="20"/>
          <w:color w:val="auto"/>
        </w:rPr>
      </w:pPr>
    </w:p>
    <w:p>
      <w:pPr>
        <w:ind w:left="980" w:right="140" w:firstLine="408"/>
        <w:spacing w:after="0" w:line="258" w:lineRule="auto"/>
        <w:tabs>
          <w:tab w:leader="none" w:pos="16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This Agreement may be signed in two or more counterparts, each of which shall be an original, with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7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w:t>
      </w:r>
    </w:p>
    <w:p>
      <w:pPr>
        <w:spacing w:after="0" w:line="2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York.</w:t>
      </w:r>
    </w:p>
    <w:p>
      <w:pPr>
        <w:spacing w:after="0" w:line="96" w:lineRule="exact"/>
        <w:rPr>
          <w:rFonts w:ascii="Times New Roman" w:cs="Times New Roman" w:eastAsia="Times New Roman" w:hAnsi="Times New Roman"/>
          <w:sz w:val="18"/>
          <w:szCs w:val="18"/>
          <w:color w:val="auto"/>
        </w:rPr>
      </w:pPr>
    </w:p>
    <w:p>
      <w:pPr>
        <w:ind w:left="980" w:right="140" w:firstLine="408"/>
        <w:spacing w:after="0" w:line="284" w:lineRule="auto"/>
        <w:tabs>
          <w:tab w:leader="none" w:pos="16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a part of this Agreement.</w:t>
      </w:r>
    </w:p>
    <w:p>
      <w:pPr>
        <w:spacing w:after="0" w:line="50" w:lineRule="exact"/>
        <w:rPr>
          <w:rFonts w:ascii="Times New Roman" w:cs="Times New Roman" w:eastAsia="Times New Roman" w:hAnsi="Times New Roman"/>
          <w:sz w:val="18"/>
          <w:szCs w:val="18"/>
          <w:color w:val="auto"/>
        </w:rPr>
      </w:pPr>
    </w:p>
    <w:p>
      <w:pPr>
        <w:ind w:left="980" w:right="300" w:firstLine="408"/>
        <w:spacing w:after="0" w:line="260" w:lineRule="auto"/>
        <w:tabs>
          <w:tab w:leader="none" w:pos="165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communications hereunder shall be in writing and effective only upon receipt and if to the Underwriters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mailed or sent to in care of Jefferies LLC, 520 Madison Avenue, New York, New York 10022, Attention: Global Head of Syndicate; Leerink Partners LLC in the care of Leerink Partners LLC, 1301 Avenue of the Americas, 12th Floor, New York, New York 10022, Attention: Stuart Nayman; if to the Company shall be delivered, mailed or sent to 321 Arsenal Street, Suite 101, Watertown, Massachusetts 02472, Attention: Chief Executive Officer; and if to the Selling Stockholder shall be delivered to c/o Access Industries Management, LLC, 40 West 57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New York 10019, Attention: Matthew Auten.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6" w:right="459" w:bottom="144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John Quisel</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7"/>
          <w:szCs w:val="17"/>
          <w:color w:val="auto"/>
        </w:rPr>
        <w:t>Title:</w:t>
        <w:tab/>
        <w:t>President and Chief Executive Officer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AI DMI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Access Industries Management,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Alejandro Moreno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Alejandro Moreno</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Suzette Del Giudice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3751580</wp:posOffset>
            </wp:positionH>
            <wp:positionV relativeFrom="paragraph">
              <wp:posOffset>17145</wp:posOffset>
            </wp:positionV>
            <wp:extent cx="2606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Suzette Del Giudice</w:t>
      </w:r>
    </w:p>
    <w:p>
      <w:pPr>
        <w:spacing w:after="0" w:line="23"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Executive Vice President</w:t>
      </w:r>
    </w:p>
    <w:p>
      <w:pPr>
        <w:spacing w:after="0" w:line="13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9280"/>
          </w:cols>
          <w:pgMar w:left="1440" w:top="270" w:right="11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Cantor Fitzgerald &amp; Co.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Acting severally on behalf of themselves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several Underwriters named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Jefferies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Brinkman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Michael Brinkman</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Leerink Partners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Sean Pitt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Sean Pitt</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Senior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Morgan Stanley &amp; Co.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Kalli Dircks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Kalli Dircks</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Cantor Fitzgerald &amp; 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Asif Ahmed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186055</wp:posOffset>
            </wp:positionH>
            <wp:positionV relativeFrom="paragraph">
              <wp:posOffset>17145</wp:posOffset>
            </wp:positionV>
            <wp:extent cx="26060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Asif Ahmed</w:t>
      </w:r>
    </w:p>
    <w:p>
      <w:pPr>
        <w:spacing w:after="0" w:line="23"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Managing Director – Co-Head of ECM</w:t>
      </w:r>
    </w:p>
    <w:p>
      <w:pPr>
        <w:spacing w:after="0" w:line="13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019"/>
          </w:cols>
          <w:pgMar w:left="440" w:top="270" w:right="1440"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 Firm</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Pre-</w:t>
            </w:r>
          </w:p>
        </w:tc>
        <w:tc>
          <w:tcPr>
            <w:tcW w:w="0" w:type="dxa"/>
            <w:vAlign w:val="bottom"/>
          </w:tcPr>
          <w:p>
            <w:pPr>
              <w:spacing w:after="0"/>
              <w:rPr>
                <w:sz w:val="1"/>
                <w:szCs w:val="1"/>
                <w:color w:val="auto"/>
              </w:rPr>
            </w:pPr>
          </w:p>
        </w:tc>
      </w:tr>
      <w:tr>
        <w:trPr>
          <w:trHeight w:val="148"/>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980" w:type="dxa"/>
            <w:vAlign w:val="bottom"/>
            <w:vMerge w:val="restart"/>
          </w:tcPr>
          <w:p>
            <w:pPr>
              <w:spacing w:after="0"/>
              <w:rPr>
                <w:sz w:val="12"/>
                <w:szCs w:val="12"/>
                <w:color w:val="auto"/>
              </w:rPr>
            </w:pPr>
          </w:p>
        </w:tc>
        <w:tc>
          <w:tcPr>
            <w:tcW w:w="4440" w:type="dxa"/>
            <w:vAlign w:val="bottom"/>
          </w:tcPr>
          <w:p>
            <w:pPr>
              <w:spacing w:after="0"/>
              <w:rPr>
                <w:sz w:val="12"/>
                <w:szCs w:val="12"/>
                <w:color w:val="auto"/>
              </w:rPr>
            </w:pPr>
          </w:p>
        </w:tc>
        <w:tc>
          <w:tcPr>
            <w:tcW w:w="166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Funded Warrants</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4440" w:type="dxa"/>
            <w:vAlign w:val="bottom"/>
          </w:tcPr>
          <w:p>
            <w:pPr>
              <w:spacing w:after="0"/>
              <w:rPr>
                <w:sz w:val="15"/>
                <w:szCs w:val="15"/>
                <w:color w:val="auto"/>
              </w:rPr>
            </w:pPr>
          </w:p>
        </w:tc>
        <w:tc>
          <w:tcPr>
            <w:tcW w:w="166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11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to Be Purchased</w:t>
            </w:r>
          </w:p>
        </w:tc>
        <w:tc>
          <w:tcPr>
            <w:tcW w:w="0" w:type="dxa"/>
            <w:vAlign w:val="bottom"/>
          </w:tcPr>
          <w:p>
            <w:pPr>
              <w:spacing w:after="0"/>
              <w:rPr>
                <w:sz w:val="1"/>
                <w:szCs w:val="1"/>
                <w:color w:val="auto"/>
              </w:rPr>
            </w:pPr>
          </w:p>
        </w:tc>
      </w:tr>
      <w:tr>
        <w:trPr>
          <w:trHeight w:val="203"/>
        </w:trPr>
        <w:tc>
          <w:tcPr>
            <w:tcW w:w="37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LLC</w:t>
            </w:r>
          </w:p>
        </w:tc>
        <w:tc>
          <w:tcPr>
            <w:tcW w:w="44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947,918</w:t>
            </w:r>
          </w:p>
        </w:tc>
        <w:tc>
          <w:tcPr>
            <w:tcW w:w="6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19,345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61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802,084</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16,369</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61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656,251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13,393</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610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379,166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7,738</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Wedbush Securities Inc.</w:t>
            </w:r>
          </w:p>
        </w:tc>
        <w:tc>
          <w:tcPr>
            <w:tcW w:w="610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72,916</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4440" w:type="dxa"/>
            <w:vAlign w:val="bottom"/>
          </w:tcPr>
          <w:p>
            <w:pPr>
              <w:spacing w:after="0"/>
              <w:rPr>
                <w:sz w:val="18"/>
                <w:szCs w:val="18"/>
                <w:color w:val="auto"/>
              </w:rPr>
            </w:pPr>
          </w:p>
        </w:tc>
        <w:tc>
          <w:tcPr>
            <w:tcW w:w="16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58,333</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1,190</w:t>
            </w:r>
          </w:p>
        </w:tc>
        <w:tc>
          <w:tcPr>
            <w:tcW w:w="0" w:type="dxa"/>
            <w:vAlign w:val="bottom"/>
          </w:tcPr>
          <w:p>
            <w:pPr>
              <w:spacing w:after="0"/>
              <w:rPr>
                <w:sz w:val="1"/>
                <w:szCs w:val="1"/>
                <w:color w:val="auto"/>
              </w:rPr>
            </w:pPr>
          </w:p>
        </w:tc>
      </w:tr>
      <w:tr>
        <w:trPr>
          <w:trHeight w:val="27"/>
        </w:trPr>
        <w:tc>
          <w:tcPr>
            <w:tcW w:w="7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44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4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2,916,668</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59,523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6100" w:type="dxa"/>
            <w:vAlign w:val="bottom"/>
            <w:gridSpan w:val="3"/>
          </w:tcPr>
          <w:p>
            <w:pPr>
              <w:jc w:val="right"/>
              <w:ind w:right="4260"/>
              <w:spacing w:after="0"/>
              <w:rPr>
                <w:sz w:val="20"/>
                <w:szCs w:val="20"/>
                <w:color w:val="auto"/>
              </w:rPr>
            </w:pPr>
            <w:r>
              <w:rPr>
                <w:rFonts w:ascii="Times New Roman" w:cs="Times New Roman" w:eastAsia="Times New Roman" w:hAnsi="Times New Roman"/>
                <w:sz w:val="18"/>
                <w:szCs w:val="18"/>
                <w:color w:val="auto"/>
              </w:rPr>
              <w:t>I-1</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dated August 8, 2024 relating to the Shelf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Prospectus dated January 24, 2023 relating to the Resale Shelf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Prospectus Supplement dated October 20,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share to the public: $84.00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offered by the Company: 2,619,049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firm shares offered by the Selling Stockholder: 297,619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 from the Selling Stockholder: 446,428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per pre-funded warrant to the public: $83.9999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pre-funded warrants offered by the Company: 59,523</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Leerink Partners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Jefferies LLC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520 Madison Avenue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Leerink Partners LLC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53 State Street, 40th Floor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Morgan Stanley &amp; Co. LLC</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1585 Broadway, 29th Floor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80" w:firstLine="440"/>
        <w:spacing w:after="0" w:line="278" w:lineRule="auto"/>
        <w:rPr>
          <w:sz w:val="20"/>
          <w:szCs w:val="20"/>
          <w:color w:val="auto"/>
        </w:rPr>
      </w:pPr>
      <w:r>
        <w:rPr>
          <w:rFonts w:ascii="Times New Roman" w:cs="Times New Roman" w:eastAsia="Times New Roman" w:hAnsi="Times New Roman"/>
          <w:sz w:val="17"/>
          <w:szCs w:val="17"/>
          <w:color w:val="auto"/>
        </w:rPr>
        <w:t>The undersigned understands that Jefferies LLC, Leerink Partners LLC and Morgan Stanley &amp; Co. LLC (the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propose to enter into an Underwriting Agreement (the “</w:t>
      </w:r>
      <w:r>
        <w:rPr>
          <w:rFonts w:ascii="Times New Roman" w:cs="Times New Roman" w:eastAsia="Times New Roman" w:hAnsi="Times New Roman"/>
          <w:sz w:val="17"/>
          <w:szCs w:val="17"/>
          <w:b w:val="1"/>
          <w:bCs w:val="1"/>
          <w:color w:val="auto"/>
        </w:rPr>
        <w:t>Underwriting Agreement</w:t>
      </w:r>
      <w:r>
        <w:rPr>
          <w:rFonts w:ascii="Times New Roman" w:cs="Times New Roman" w:eastAsia="Times New Roman" w:hAnsi="Times New Roman"/>
          <w:sz w:val="17"/>
          <w:szCs w:val="17"/>
          <w:color w:val="auto"/>
        </w:rPr>
        <w:t>”) with Disc Medicine,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providing for the public offering (the “</w:t>
      </w:r>
      <w:r>
        <w:rPr>
          <w:rFonts w:ascii="Times New Roman" w:cs="Times New Roman" w:eastAsia="Times New Roman" w:hAnsi="Times New Roman"/>
          <w:sz w:val="17"/>
          <w:szCs w:val="17"/>
          <w:b w:val="1"/>
          <w:bCs w:val="1"/>
          <w:color w:val="auto"/>
        </w:rPr>
        <w:t>Public Offering</w:t>
      </w:r>
      <w:r>
        <w:rPr>
          <w:rFonts w:ascii="Times New Roman" w:cs="Times New Roman" w:eastAsia="Times New Roman" w:hAnsi="Times New Roman"/>
          <w:sz w:val="17"/>
          <w:szCs w:val="17"/>
          <w:color w:val="auto"/>
        </w:rPr>
        <w:t>”) by the several Underwriters, including the Representatives (the “</w:t>
      </w:r>
      <w:r>
        <w:rPr>
          <w:rFonts w:ascii="Times New Roman" w:cs="Times New Roman" w:eastAsia="Times New Roman" w:hAnsi="Times New Roman"/>
          <w:sz w:val="17"/>
          <w:szCs w:val="17"/>
          <w:b w:val="1"/>
          <w:bCs w:val="1"/>
          <w:color w:val="auto"/>
        </w:rPr>
        <w:t>Underwriters</w:t>
      </w:r>
      <w:r>
        <w:rPr>
          <w:rFonts w:ascii="Times New Roman" w:cs="Times New Roman" w:eastAsia="Times New Roman" w:hAnsi="Times New Roman"/>
          <w:sz w:val="17"/>
          <w:szCs w:val="17"/>
          <w:color w:val="auto"/>
        </w:rPr>
        <w:t>”), of shares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the common stock, par value $0.0001 per share, of the Company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in lieu of Common Stock to certain investors that so choose, pre-funded warrants to purchase shares of Common Stock (the “</w:t>
      </w:r>
      <w:r>
        <w:rPr>
          <w:rFonts w:ascii="Times New Roman" w:cs="Times New Roman" w:eastAsia="Times New Roman" w:hAnsi="Times New Roman"/>
          <w:sz w:val="17"/>
          <w:szCs w:val="17"/>
          <w:b w:val="1"/>
          <w:bCs w:val="1"/>
          <w:color w:val="auto"/>
        </w:rPr>
        <w:t>Pre-Funded Warrants</w:t>
      </w:r>
      <w:r>
        <w:rPr>
          <w:rFonts w:ascii="Times New Roman" w:cs="Times New Roman" w:eastAsia="Times New Roman" w:hAnsi="Times New Roman"/>
          <w:sz w:val="17"/>
          <w:szCs w:val="17"/>
          <w:color w:val="auto"/>
        </w:rPr>
        <w:t>” and together with the Shares, the “</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and will not publicly disclose an intention to, during the period commencing on the date hereof and ending 45 days after the date of the prospectus (the “</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 purchase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by the undersigned or any other securities so owned convertible into or exercisable or exchangeable for Common Stock or (2) enter into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49" w:name="page50"/>
    <w:bookmarkEnd w:id="49"/>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w:t>
      </w:r>
    </w:p>
    <w:p>
      <w:pPr>
        <w:spacing w:after="0" w:line="176" w:lineRule="exact"/>
        <w:rPr>
          <w:sz w:val="20"/>
          <w:szCs w:val="20"/>
          <w:color w:val="auto"/>
        </w:rPr>
      </w:pPr>
    </w:p>
    <w:p>
      <w:pPr>
        <w:jc w:val="both"/>
        <w:ind w:left="4" w:right="340" w:firstLine="436"/>
        <w:spacing w:after="0" w:line="266" w:lineRule="auto"/>
        <w:tabs>
          <w:tab w:leader="none" w:pos="6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relating to shares of Common Stock or other securities acquired in the Public Offering or in open market transactions after the completion of the Public Offering,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filing under Section 16(a) of the Exchange Act shall be required or shall be voluntarily made in connection with subsequent sales of Common Stock or other securities acquired in the Public Offering or in such open market transactions;</w:t>
      </w:r>
    </w:p>
    <w:p>
      <w:pPr>
        <w:spacing w:after="0" w:line="17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161"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member of the immediate family of the undersigned or any trust for the direct or indirect benefit of the undersigned or the immediate family of the undersigned in a transaction not involving a disposition for value;</w:t>
      </w:r>
    </w:p>
    <w:p>
      <w:pPr>
        <w:spacing w:after="0" w:line="175"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general or limited partners, members, beneficiaries or other equityholders of the undersigned, its direct or indirect affiliates (as defined in Rule 405 promulgated under the Securities Act of 1933, as amended) or to an investment fund or other entity that controls or manages, or is under common control with, the undersigned;</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89"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(i) by will, other testamentary document or intestate succession to the legal representative, heir, beneficiary or a member of the immediate family of the undersigned upon the death of the undersigned or (ii) by operation of law pursuant to orders of a court or regulatory agency, in connection with a negotiated divorce settlement or pursuant to a qualified domestic relations order;</w:t>
      </w:r>
    </w:p>
    <w:p>
      <w:pPr>
        <w:spacing w:after="0" w:line="179" w:lineRule="exact"/>
        <w:rPr>
          <w:rFonts w:ascii="Times New Roman" w:cs="Times New Roman" w:eastAsia="Times New Roman" w:hAnsi="Times New Roman"/>
          <w:sz w:val="18"/>
          <w:szCs w:val="18"/>
          <w:color w:val="auto"/>
        </w:rPr>
      </w:pPr>
    </w:p>
    <w:p>
      <w:pPr>
        <w:ind w:left="4" w:right="140" w:firstLine="436"/>
        <w:spacing w:after="0" w:line="269" w:lineRule="auto"/>
        <w:tabs>
          <w:tab w:leader="none" w:pos="669"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transfers or dispositions of shares of Common Stock or any security convertible into or exercisable or exchangeable for Common Stock to the Company pursuant to any contractual arrangement in effect on the date of this agreement and disclosed to the Underwriters in writing that provides for the repurchase of the undersigned’s Common Stock or other securities by the Company or in connection with the termination of the undersigned’s employment with or service to the Company;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repurchase price for any such shares or securities shall not exceed the original purchase price (subject to appropriate adjustment in the event of any stock dividend, stock split, combination or other similar recapitalization) paid and</w:t>
      </w:r>
    </w:p>
    <w:p>
      <w:pPr>
        <w:spacing w:after="0" w:line="2" w:lineRule="exact"/>
        <w:rPr>
          <w:rFonts w:ascii="Times New Roman" w:cs="Times New Roman" w:eastAsia="Times New Roman" w:hAnsi="Times New Roman"/>
          <w:sz w:val="17"/>
          <w:szCs w:val="17"/>
          <w:color w:val="auto"/>
        </w:rPr>
      </w:pPr>
    </w:p>
    <w:p>
      <w:pPr>
        <w:ind w:left="4" w:right="500" w:hanging="4"/>
        <w:spacing w:after="0" w:line="260" w:lineRule="auto"/>
        <w:tabs>
          <w:tab w:leader="none" w:pos="2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filing under Section 16(a) of the Exchange Act reporting a reduction in beneficial ownership of shares of Common Stock shall indicate by footnote disclosure or otherwise the nature of the transfer or disposition);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0" w:name="page51"/>
    <w:bookmarkEnd w:id="50"/>
    <w:p>
      <w:pPr>
        <w:ind w:left="-40" w:firstLine="436"/>
        <w:spacing w:after="0" w:line="253"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transfers or dispositions of shares of Common Stock or other securities to the Company in connection with the conversion of any convertible security into, or the exercise of any option or warrant for, shares of Common Stock (including by way of “net” or “cashless” exercise solely to cover withholding tax obligations in connection with such exercise or transfer to the Company for the payment of taxes as a result of such exercise);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194"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65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or dispositions of shares of Common Stock in connection with the vesting or settlement of restricted stock units, so long as such sale is effected pursuant to the Company’s sell to cover policy solely in an amount sufficient to cover withholding taxes due in connection with such restricted stock units;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filing under Section 16(a) of the Exchange Act shall indicate in the footnotes thereto that the filing relates to the applicable circumstances described in this clause and (ii) no other public announcement shall be required or shall be made voluntarily in connection with such transfer;</w:t>
      </w:r>
    </w:p>
    <w:p>
      <w:pPr>
        <w:spacing w:after="0" w:line="183" w:lineRule="exact"/>
        <w:rPr>
          <w:rFonts w:ascii="Times New Roman" w:cs="Times New Roman" w:eastAsia="Times New Roman" w:hAnsi="Times New Roman"/>
          <w:sz w:val="18"/>
          <w:szCs w:val="18"/>
          <w:color w:val="auto"/>
        </w:rPr>
      </w:pPr>
    </w:p>
    <w:p>
      <w:pPr>
        <w:ind w:left="-40" w:right="80" w:firstLine="436"/>
        <w:spacing w:after="0" w:line="258" w:lineRule="auto"/>
        <w:tabs>
          <w:tab w:leader="none" w:pos="6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establishment of a trading plan on behalf of a stockholder,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w:t>
      </w:r>
    </w:p>
    <w:p>
      <w:pPr>
        <w:spacing w:after="0" w:line="183"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61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securities convertible into or exercisable or exchangeable for Common Stock) pursuant to a bona fide third-party tender offer for shares of the Company’s capital stock made to all holders of the Company’s securities, merger, consolidation or other similar transaction approved by the Company’s board of directors and occurring after the closing of the Public Offering, the result of which is that any person (as defined in Section 13(d)(3) of the Exchange Act), or group of persons, other than the Company, becomes the beneficial owner (as defined in Rules 13d-3 and 13d-5 of the Exchange Act) of more than 50% of the total voting power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480" w:top="270" w:right="499" w:bottom="1440" w:gutter="0" w:footer="0" w:header="0"/>
        </w:sectPr>
      </w:pPr>
    </w:p>
    <w:bookmarkStart w:id="51" w:name="page52"/>
    <w:bookmarkEnd w:id="51"/>
    <w:p>
      <w:pPr>
        <w:jc w:val="both"/>
        <w:ind w:right="22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voting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such change of control transaction is not completed, the shares of Common Stock (or any security convertible into or exercisable or exchangeable for Common Stock) owned by the undersigned shall remain subject to the restrictions contained in this agreement and title to the undersigned’s shares shall remain with the undersigned; or</w:t>
      </w:r>
    </w:p>
    <w:p>
      <w:pPr>
        <w:spacing w:after="0" w:line="175" w:lineRule="exact"/>
        <w:rPr>
          <w:sz w:val="20"/>
          <w:szCs w:val="20"/>
          <w:color w:val="auto"/>
        </w:rPr>
      </w:pPr>
    </w:p>
    <w:p>
      <w:pPr>
        <w:ind w:firstLine="436"/>
        <w:spacing w:after="0" w:line="258" w:lineRule="auto"/>
        <w:tabs>
          <w:tab w:leader="none" w:pos="6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 transfer of shares of Common Stock pursuant to a written trading plan that has been entered into by the undersigned prior to the date of this letter agreement pursuant to Rule 10b5-1 under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amendments or other modifications are made to such plans during the Restricted Period and that, to the extent a public announcement or filing under the Exchange Act, if any, is required or voluntarily made by or on behalf of the undersigned or the Company regarding such sales or transfers, such announcement or filing shall include a statement to the effect that the sale or transfer was made pursuant to a trading plan pursuant to Rule 10b5-1 of the Exchange Act;</w:t>
      </w:r>
    </w:p>
    <w:p>
      <w:pPr>
        <w:spacing w:after="0" w:line="18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transfer or distribution pursuant to clause (b), (c), (d) or (e), (i) each transferee, donee or distributee shall sign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 a lock-up agreement substantially in the form of this agreement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with respect to the Company under the Exchange Act, in which case any such filing will indicate by footnote disclosure or otherwise the nature of the transfer or disposition).</w:t>
      </w:r>
    </w:p>
    <w:p>
      <w:pPr>
        <w:spacing w:after="0" w:line="184"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For purposes of this agreement, “immediate family” shall mean any relationship by blood, marriage, domestic partnership or adoption, not more remote than first cousin. 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 In addition, the undersigned agrees that, without the prior written consent of each of the Representatives on behalf of the Underwriters,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8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Underwriters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8" w:right="459" w:bottom="1440" w:gutter="0" w:footer="0" w:header="0"/>
        </w:sectPr>
      </w:pPr>
    </w:p>
    <w:bookmarkStart w:id="52" w:name="page53"/>
    <w:bookmarkEnd w:id="52"/>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undersigned acknowledges and agrees that the Underwriters have not provided any recommendation or investment advice nor have the Underwriters solicited any action from the undersigned with respect to the Public Offering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Public Offering, the Underwriters are not making a recommendation to you to participate in the Public Offering or sell any Securities at the price determined in the Public Offering, and nothing set forth in such disclosures or documentation is intended to suggest that any Underwriter is making such a recommendation. The undersigned further acknowledges and agrees that none of the Underwriters has made any recommendation or provided any investment or other advice to the undersigned with respect to this agreement or the subject matter hereof, and the undersigned has consulted its own legal, accounting, financial, regulatory, tax and other advisors with respect to this agreement and the subject matter hereof to the extent the undersigned has deemed appropriate.</w:t>
      </w:r>
    </w:p>
    <w:p>
      <w:pPr>
        <w:spacing w:after="0" w:line="194"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162" w:lineRule="exact"/>
        <w:rPr>
          <w:sz w:val="20"/>
          <w:szCs w:val="20"/>
          <w:color w:val="auto"/>
        </w:rPr>
      </w:pPr>
    </w:p>
    <w:p>
      <w:pPr>
        <w:ind w:left="4" w:right="180" w:firstLine="440"/>
        <w:spacing w:after="0" w:line="270" w:lineRule="auto"/>
        <w:rPr>
          <w:sz w:val="20"/>
          <w:szCs w:val="20"/>
          <w:color w:val="auto"/>
        </w:rPr>
      </w:pPr>
      <w:r>
        <w:rPr>
          <w:rFonts w:ascii="Times New Roman" w:cs="Times New Roman" w:eastAsia="Times New Roman" w:hAnsi="Times New Roman"/>
          <w:sz w:val="17"/>
          <w:szCs w:val="17"/>
          <w:color w:val="auto"/>
        </w:rPr>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 (iii) the registration statement related to the Public Offering is withdrawn prior to the execution of the Underwriting Agreement or</w:t>
      </w:r>
    </w:p>
    <w:p>
      <w:pPr>
        <w:spacing w:after="0" w:line="3" w:lineRule="exact"/>
        <w:rPr>
          <w:sz w:val="20"/>
          <w:szCs w:val="20"/>
          <w:color w:val="auto"/>
        </w:rPr>
      </w:pPr>
    </w:p>
    <w:p>
      <w:pPr>
        <w:ind w:left="4" w:hanging="4"/>
        <w:spacing w:after="0" w:line="255" w:lineRule="auto"/>
        <w:tabs>
          <w:tab w:leader="none" w:pos="30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 is not executed on or before November 14, 2025, then, in each case, this agreement shall automatically, and without any action on the part of any other party, be of no further force and effect, and the undersigned shall be automatically released from all obligations under this agreement.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32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3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FORM OF PRE-FUNDED WARRANT TO PURCHASE COMMON STOCK</w:t>
      </w:r>
    </w:p>
    <w:p>
      <w:pPr>
        <w:sectPr>
          <w:pgSz w:w="11900" w:h="16838" w:orient="portrait"/>
          <w:cols w:equalWidth="0" w:num="1">
            <w:col w:w="11024"/>
          </w:cols>
          <w:pgMar w:left="436" w:top="117" w:right="439" w:bottom="1440" w:gutter="0" w:footer="0" w:header="0"/>
        </w:sect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5"/>
          <w:szCs w:val="15"/>
          <w:color w:val="auto"/>
        </w:rPr>
        <w:t>Warrant No. [ </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tabs>
          <w:tab w:leader="none" w:pos="1660" w:val="left"/>
        </w:tabs>
        <w:rPr>
          <w:sz w:val="20"/>
          <w:szCs w:val="20"/>
          <w:color w:val="auto"/>
        </w:rPr>
      </w:pPr>
      <w:r>
        <w:rPr>
          <w:rFonts w:ascii="Times New Roman" w:cs="Times New Roman" w:eastAsia="Times New Roman" w:hAnsi="Times New Roman"/>
          <w:sz w:val="18"/>
          <w:szCs w:val="18"/>
          <w:color w:val="auto"/>
        </w:rPr>
        <w:t>Number of Shares: [ </w:t>
        <w:tab/>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adjustment)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Original Issue Date: October [__], 2025</w:t>
      </w:r>
    </w:p>
    <w:p>
      <w:pPr>
        <w:spacing w:after="0" w:line="200" w:lineRule="exact"/>
        <w:rPr>
          <w:sz w:val="20"/>
          <w:szCs w:val="20"/>
          <w:color w:val="auto"/>
        </w:rPr>
      </w:pPr>
    </w:p>
    <w:p>
      <w:pPr>
        <w:sectPr>
          <w:pgSz w:w="11900" w:h="16838" w:orient="portrait"/>
          <w:cols w:equalWidth="0" w:num="3">
            <w:col w:w="1044" w:space="180"/>
            <w:col w:w="3800" w:space="720"/>
            <w:col w:w="5280"/>
          </w:cols>
          <w:pgMar w:left="436" w:top="117" w:right="439" w:bottom="1440" w:gutter="0" w:footer="0" w:header="0"/>
          <w:type w:val="continuous"/>
        </w:sectPr>
      </w:pPr>
    </w:p>
    <w:p>
      <w:pPr>
        <w:spacing w:after="0" w:line="1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certifies that, for good and valuable consideration, the receipt and sufficiency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which are hereby acknowledged, [            ], or its permitted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to purchase from the Company up to a total of [ 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shares of common stock, $0.0001 par value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the Company (each such share, a “</w:t>
      </w:r>
      <w:r>
        <w:rPr>
          <w:rFonts w:ascii="Times New Roman" w:cs="Times New Roman" w:eastAsia="Times New Roman" w:hAnsi="Times New Roman"/>
          <w:sz w:val="18"/>
          <w:szCs w:val="18"/>
          <w:u w:val="single" w:color="auto"/>
          <w:color w:val="auto"/>
        </w:rPr>
        <w:t>Warrant Share</w:t>
      </w:r>
      <w:r>
        <w:rPr>
          <w:rFonts w:ascii="Times New Roman" w:cs="Times New Roman" w:eastAsia="Times New Roman" w:hAnsi="Times New Roman"/>
          <w:sz w:val="18"/>
          <w:szCs w:val="18"/>
          <w:color w:val="auto"/>
        </w:rPr>
        <w:t>” and all such shares,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at an exercise price per share equal to $0.0001 per share (as adjusted from time to time as provided in Section 9 herein,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upon surrender of this Warrant to Purchase Common Stock (including any Warrants to Purchase Common Stock issued in exchange,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transfer or replacement hereof,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and subject to the following terms and conditions: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Warrant, the following terms shall have the following meanings:</w:t>
      </w:r>
    </w:p>
    <w:p>
      <w:pPr>
        <w:spacing w:after="0" w:line="117" w:lineRule="exact"/>
        <w:rPr>
          <w:sz w:val="20"/>
          <w:szCs w:val="20"/>
          <w:color w:val="auto"/>
        </w:rPr>
      </w:pPr>
    </w:p>
    <w:p>
      <w:pPr>
        <w:ind w:left="4" w:right="120" w:hanging="4"/>
        <w:spacing w:after="0" w:line="282" w:lineRule="auto"/>
        <w:tabs>
          <w:tab w:leader="none" w:pos="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1" w:lineRule="exact"/>
        <w:rPr>
          <w:rFonts w:ascii="Times New Roman" w:cs="Times New Roman" w:eastAsia="Times New Roman" w:hAnsi="Times New Roman"/>
          <w:sz w:val="18"/>
          <w:szCs w:val="18"/>
          <w:color w:val="auto"/>
        </w:rPr>
      </w:pPr>
    </w:p>
    <w:p>
      <w:pPr>
        <w:ind w:left="4" w:right="160" w:hanging="4"/>
        <w:spacing w:after="0" w:line="258" w:lineRule="auto"/>
        <w:tabs>
          <w:tab w:leader="none" w:pos="25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means, collectively, the following Persons and entities: (i) any direct or indirect Affiliates of the Holder, (ii) any Person acting or who could be deemed to be acting as a Group together with the Holder or any Attribution Parties and (iii) any other Persons whose beneficial ownership of the Company’s Common Stock would or could be aggregated with the Holder’s and the other Attribution Parties for purposes of Section 13(d) or Section 16 of the Exchange Act. For clarity, the purpose of the foregoing is to subject collectively the Holder and all other Attribution Parties to the Maximum Percentage and the HSR Threshold (each as defined below).</w:t>
      </w:r>
    </w:p>
    <w:p>
      <w:pPr>
        <w:spacing w:after="0" w:line="183" w:lineRule="exact"/>
        <w:rPr>
          <w:rFonts w:ascii="Times New Roman" w:cs="Times New Roman" w:eastAsia="Times New Roman" w:hAnsi="Times New Roman"/>
          <w:sz w:val="18"/>
          <w:szCs w:val="18"/>
          <w:color w:val="auto"/>
        </w:rPr>
      </w:pPr>
    </w:p>
    <w:p>
      <w:pPr>
        <w:ind w:left="4" w:right="40" w:hanging="4"/>
        <w:spacing w:after="0" w:line="253" w:lineRule="auto"/>
        <w:tabs>
          <w:tab w:leader="none" w:pos="24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Sale Price</w:t>
      </w:r>
      <w:r>
        <w:rPr>
          <w:rFonts w:ascii="Times New Roman" w:cs="Times New Roman" w:eastAsia="Times New Roman" w:hAnsi="Times New Roman"/>
          <w:sz w:val="18"/>
          <w:szCs w:val="18"/>
          <w:color w:val="auto"/>
        </w:rPr>
        <w:t>” means, for any security as of any date, the last trade price for such security on the Principal Trading Market for such security, as reported by Bloomberg Financial Markets, or, if such Principal Trading Market begins to operate on an extended hours basis and does not designate the last trade price, then the last trade price of such security prior to 4:00 P.M., New York City time, as reported by Bloomberg Financial Markets, or if the foregoing do not apply, the last trade price of such security in the over-the-counter market on the electronic bulletin board for such security as reported by Bloomberg Financial Markets, or, if no last trade price is reported for such security by Bloomberg Financial Markets, the average of the bid and ask prices, of any market makers for such security as reported in the OTC Link or “pink sheets” by OTC Markets Group Inc. (formerly OTC Markets Inc.). If the Closing Sale Price cannot be calculated for a security on a particular date on any of the foregoing bases, the Closing Sale Price of such security on such date shall be the fair market value as mutually determined by the Company and the Holder. If the Company and the Holder are unable to agree upon the fair market value of such security, then the Board of Directors of the Company shall use its good faith judgment to determine the fair market value. The determination of the Board of Directors of the Company shall be binding upon all parties absent demonstrable error. All such determinations shall be appropriately adjusted for any stock dividend, stock split, stock combination or other similar transaction during the applicable calculation period.</w:t>
      </w:r>
    </w:p>
    <w:p>
      <w:pPr>
        <w:spacing w:after="0" w:line="18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means the Hart-Scott-Rodino Antitrust Improvements Act of 1976, as amended.</w:t>
      </w:r>
    </w:p>
    <w:p>
      <w:pPr>
        <w:spacing w:after="0" w:line="225" w:lineRule="exact"/>
        <w:rPr>
          <w:sz w:val="20"/>
          <w:szCs w:val="20"/>
          <w:color w:val="auto"/>
        </w:rPr>
      </w:pPr>
    </w:p>
    <w:p>
      <w:pPr>
        <w:ind w:left="4" w:right="180" w:hanging="4"/>
        <w:spacing w:after="0" w:line="282"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a limited liability company, a partnership, a joint venture, a corporation, a trust, an unincorporated organization, any other entity and a government or any department or agency thereof.</w:t>
      </w:r>
    </w:p>
    <w:p>
      <w:pPr>
        <w:spacing w:after="0" w:line="94"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type w:val="continuous"/>
        </w:sectPr>
      </w:pPr>
    </w:p>
    <w:bookmarkStart w:id="54" w:name="page55"/>
    <w:bookmarkEnd w:id="54"/>
    <w:p>
      <w:pPr>
        <w:ind w:left="4" w:right="220" w:hanging="4"/>
        <w:spacing w:after="0" w:line="282"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Principal Trading Market</w:t>
      </w:r>
      <w:r>
        <w:rPr>
          <w:rFonts w:ascii="Times New Roman" w:cs="Times New Roman" w:eastAsia="Times New Roman" w:hAnsi="Times New Roman"/>
          <w:sz w:val="18"/>
          <w:szCs w:val="18"/>
          <w:color w:val="auto"/>
        </w:rPr>
        <w:t>” means the national securities exchange or other trading market on which the Common Stock is primarily listed on and quoted for trading, which, as of the Original Issue Date shall be the Nasdaq Global Market.</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means the Company’s Registration Statement on Form S-3 (File No. 333-281359), that became effective on August 8, 2024.</w:t>
      </w:r>
    </w:p>
    <w:p>
      <w:pPr>
        <w:spacing w:after="0" w:line="236"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color w:val="auto"/>
        </w:rPr>
      </w:pPr>
    </w:p>
    <w:p>
      <w:pPr>
        <w:ind w:left="4" w:right="420" w:hanging="4"/>
        <w:spacing w:after="0" w:line="266" w:lineRule="auto"/>
        <w:tabs>
          <w:tab w:leader="none" w:pos="2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for the Company’s primary trading market or quotation system with respect to the Common Stock that is in effect on the date of delivery of an applicable Exercise Notice (as defined below), which as of the Original Issue Date was “T+1”.</w:t>
      </w:r>
    </w:p>
    <w:p>
      <w:pPr>
        <w:spacing w:after="0" w:line="17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any weekday on which the Principal Trading Market is normally open for trading.</w:t>
      </w:r>
    </w:p>
    <w:p>
      <w:pPr>
        <w:spacing w:after="0" w:line="225" w:lineRule="exact"/>
        <w:rPr>
          <w:rFonts w:ascii="Times New Roman" w:cs="Times New Roman" w:eastAsia="Times New Roman" w:hAnsi="Times New Roman"/>
          <w:sz w:val="18"/>
          <w:szCs w:val="18"/>
          <w:color w:val="auto"/>
        </w:rPr>
      </w:pPr>
    </w:p>
    <w:p>
      <w:pPr>
        <w:ind w:left="4" w:right="320" w:hanging="4"/>
        <w:spacing w:after="0" w:line="282"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Broadridge Corporate Issuer Solutions, Inc., the Company’s transfer agent and registrar for the Common Stock, and any successor appointed in such capacity.</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means the Company.</w:t>
      </w:r>
    </w:p>
    <w:p>
      <w:pPr>
        <w:spacing w:after="0" w:line="225" w:lineRule="exact"/>
        <w:rPr>
          <w:sz w:val="20"/>
          <w:szCs w:val="20"/>
          <w:color w:val="auto"/>
        </w:rPr>
      </w:pPr>
    </w:p>
    <w:p>
      <w:pPr>
        <w:ind w:left="4" w:right="20" w:hanging="4"/>
        <w:spacing w:after="0" w:line="254" w:lineRule="auto"/>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Warrants</w:t>
      </w:r>
      <w:r>
        <w:rPr>
          <w:rFonts w:ascii="Times New Roman" w:cs="Times New Roman" w:eastAsia="Times New Roman" w:hAnsi="Times New Roman"/>
          <w:sz w:val="18"/>
          <w:szCs w:val="18"/>
          <w:color w:val="auto"/>
        </w:rPr>
        <w:t>. This Warrant, as initially issued by the Company, is offered and sold pursuant to the Registration Statement. As of the Original Issue Date, the Warrant Shares are issuable under the Registration Statement. Accordingly, the Warrant and, assuming issuance pursuant to the Registration Statement or an exchange meeting the requirements of Section 3(a)(9) of the Securities Act as in effect on the Original Issue Date, the Warrant Shares are not “restricted securities” under Rule 144 promulgated under the Securities Act. The Company shall register ownership of this Warrant upon records to be maintained by the Warrant Agent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(which shall include the initial Holder or, as the case may be, any registered assignee to which this Warrant is permissibly assigned hereunder)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91" w:lineRule="exact"/>
        <w:rPr>
          <w:rFonts w:ascii="Times New Roman" w:cs="Times New Roman" w:eastAsia="Times New Roman" w:hAnsi="Times New Roman"/>
          <w:sz w:val="18"/>
          <w:szCs w:val="18"/>
          <w:color w:val="auto"/>
        </w:rPr>
      </w:pPr>
    </w:p>
    <w:p>
      <w:pPr>
        <w:ind w:left="4" w:right="60" w:hanging="4"/>
        <w:spacing w:after="0" w:line="253" w:lineRule="auto"/>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of Transfers</w:t>
      </w:r>
      <w:r>
        <w:rPr>
          <w:rFonts w:ascii="Times New Roman" w:cs="Times New Roman" w:eastAsia="Times New Roman" w:hAnsi="Times New Roman"/>
          <w:sz w:val="18"/>
          <w:szCs w:val="18"/>
          <w:color w:val="auto"/>
        </w:rPr>
        <w:t>. Subject to compliance with all applicable securities laws, the Company shall, or will cause the Warrant Agent to, register the transfer of all or any portion of this Warrant in the Warrant Register, upon surrender of this Warrant, together with a written assignment of this Warrant substantially in the form attached hereto as Schedule 2 duly executed by the Holder, and payment for all applicable transfer taxes accompanied by reasonable evidence of authority of the party making such request that may be required by the Warrant Agent. Upon any such registration or transfer, a new warrant to purchase Common Stock in substantially the form of this Warrant (any such new warrant, a “</w:t>
      </w:r>
      <w:r>
        <w:rPr>
          <w:rFonts w:ascii="Times New Roman" w:cs="Times New Roman" w:eastAsia="Times New Roman" w:hAnsi="Times New Roman"/>
          <w:sz w:val="18"/>
          <w:szCs w:val="18"/>
          <w:u w:val="single" w:color="auto"/>
          <w:color w:val="auto"/>
        </w:rPr>
        <w:t>New Warrant</w:t>
      </w:r>
      <w:r>
        <w:rPr>
          <w:rFonts w:ascii="Times New Roman" w:cs="Times New Roman" w:eastAsia="Times New Roman" w:hAnsi="Times New Roman"/>
          <w:sz w:val="18"/>
          <w:szCs w:val="18"/>
          <w:color w:val="auto"/>
        </w:rPr>
        <w: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in respect of the New Warrant that the Holder has in respect of this Warrant. The Company shall, or will cause the Warrant Agent to, prepare, issue and deliver at the Company’s own expense any New Warrant under this Section 3. Until due presentment for registration of transfer, the Company may treat the registered Holder hereof as the owner and holder for all purposes, and the Company shall not be affected by any notice to the contrary.</w:t>
      </w:r>
    </w:p>
    <w:p>
      <w:pPr>
        <w:spacing w:after="0" w:line="191"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40" w:hanging="4"/>
        <w:spacing w:after="0" w:line="282" w:lineRule="auto"/>
        <w:tabs>
          <w:tab w:leader="none" w:pos="2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this Warrant shall be exercisable by the registered Holder in any manner permitted by Section 10 of this Warrant at any time and from time to time on or after the Original Issue Date and such rights shall not expire.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5" w:name="page56"/>
    <w:bookmarkEnd w:id="55"/>
    <w:p>
      <w:pPr>
        <w:ind w:left="4" w:right="20" w:hanging="4"/>
        <w:spacing w:after="0" w:line="255" w:lineRule="auto"/>
        <w:tabs>
          <w:tab w:leader="none" w:pos="25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Holder may exercise this Warrant by delivering to the Company (i) an exercise notice, in the form attached as Schedule 1 hereto (the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completed and duly signed, and (ii) payment of the Exercise Price for the number of Warrant Shares as to which this Warrant is being exercised (which may take the form of a “cashless exercise” if so indicated in the Exercise Notice pursuant to Section 10 below), and the date on which the last of such items is delivered to the Company (as determined in accordance with the notice provisions hereof) is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The Holder shall not be required to deliver the original Warrant in order to effect an exercise hereunder. Execution and delivery of the Exercise Notice shall have the same effect as cancellation of the original Warrant and issuance of a New Warrant evidencing the right to purchase the remaining number of Warrant Shares, if any.</w:t>
      </w:r>
    </w:p>
    <w:p>
      <w:pPr>
        <w:spacing w:after="0" w:line="189" w:lineRule="exact"/>
        <w:rPr>
          <w:sz w:val="20"/>
          <w:szCs w:val="20"/>
          <w:color w:val="auto"/>
        </w:rPr>
      </w:pPr>
    </w:p>
    <w:p>
      <w:pPr>
        <w:ind w:left="184" w:hanging="184"/>
        <w:spacing w:after="0"/>
        <w:tabs>
          <w:tab w:leader="none" w:pos="18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hanging="4"/>
        <w:spacing w:after="0" w:line="270" w:lineRule="auto"/>
        <w:tabs>
          <w:tab w:leader="none" w:pos="24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exercise of this Warrant, the Company shall, or shall cause the Transfer Agent to, promptly (but in no event later than the number of Trading Days comprising the Standard Settlement Period) credit such aggregate number of shares of Common Stock to which the Holder is entitled pursuant to such exercise to the Holder’s or its designee’s balance account with The Depository Trust Company (“</w:t>
      </w:r>
      <w:r>
        <w:rPr>
          <w:rFonts w:ascii="Times New Roman" w:cs="Times New Roman" w:eastAsia="Times New Roman" w:hAnsi="Times New Roman"/>
          <w:sz w:val="17"/>
          <w:szCs w:val="17"/>
          <w:u w:val="single" w:color="auto"/>
          <w:color w:val="auto"/>
        </w:rPr>
        <w:t>DTC</w:t>
      </w:r>
      <w:r>
        <w:rPr>
          <w:rFonts w:ascii="Times New Roman" w:cs="Times New Roman" w:eastAsia="Times New Roman" w:hAnsi="Times New Roman"/>
          <w:sz w:val="17"/>
          <w:szCs w:val="17"/>
          <w:color w:val="auto"/>
        </w:rPr>
        <w:t>”) through its Deposit/Withdrawal At Custodian system provided that the Transfer Agent is then a participant in the DTC Fast Automated Securities Transfer Program and either (A) there is an effective registration statement permitting the issuance of such Warrant Shares to or resale of such Warrant Shares by the Holder or (B) such Warrant Shares are eligible for resale by the Holder without volume or manner-of-sale limitations pursuant to Rule 144 promulgated under the Securities Act (assuming cashless exercise of this Warrant), and otherwise issue such Warrant Shares in the name of the Holder or its designee in restricted book-entry form in the Company’s share register. The Holder, or any Person permissibly so designated by the Holder to receive Warrant Shares, shall be deemed to have become the holder of record of such Warrant Shares as of the Exercise Date, irrespective of the date such Warrant Shares are credited to the Holder’s or its designee’s DTC account or the date of the book entry positions evidencing such Warrant Shares, as the case may be.</w:t>
      </w:r>
    </w:p>
    <w:p>
      <w:pPr>
        <w:spacing w:after="0" w:line="176"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the Standard Settlement Period after the Exercise Date, the Company fails to deliver to the Holder or its designee the required number of Warrant Shares in the manner required pursuant to Section 5(a) or fails to credit the Holder’s or its designee’s balance account with DTC for such number of Warrant Shares to which the Holder is entitled (other than a failure caused by incorrect or incomplete information provided by the Holder to the Company), and if after such number of Trading Days comprising the Standard Settlement Period and prior to the receipt of such Warrant Shares, the Holder purchases (in an open market transaction or otherwise)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xml:space="preserve">”), then the Company shall, within two (2) Trading Days after the Holder’s request and in the Holder’s sole discretion, either (1) pay in cash to the Holder an amount equal to the Holder’s total purchase price (including brokerage commissions, if any) for the shares of Common Stock so purchased, at which point the Company’s obligation to issue such Warrant Shares shall terminate or (2) promptly honor its obligation to deliver to the Holder or its designee such Warrant Shares or credit the Holder’s or its designee’s balance account with DTC for such Warrant Shares and pay cash to the Holder in an amount equal to the Holder’s total purchase price (including brokerage commissions, if any) for the shares of Common Stock so purchased in the Buy-In,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product of (A) the number of shares of Common Stock purchased in the Buy-In, and (B) the Closing Sale Price of a share of Common Stock on the Exercise Date.</w:t>
      </w:r>
    </w:p>
    <w:p>
      <w:pPr>
        <w:spacing w:after="0" w:line="189" w:lineRule="exact"/>
        <w:rPr>
          <w:rFonts w:ascii="Times New Roman" w:cs="Times New Roman" w:eastAsia="Times New Roman" w:hAnsi="Times New Roman"/>
          <w:sz w:val="18"/>
          <w:szCs w:val="18"/>
          <w:color w:val="auto"/>
        </w:rPr>
      </w:pPr>
    </w:p>
    <w:p>
      <w:pPr>
        <w:ind w:left="4" w:hanging="4"/>
        <w:spacing w:after="0" w:line="254" w:lineRule="auto"/>
        <w:tabs>
          <w:tab w:leader="none" w:pos="24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and subject to Section 5(b), the Company’s obligations to issue and deliver Warrant Shares in accordance with and subject to the terms hereof (including the limitations set forth in Section 11 below)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or any breach or alleged breach by the Holder or any other Person of any obligation to the Company or any violation or alleged violation of law by the Holder or any other Person, and irrespective of any other circumstance that might otherwise limit such obligation of the Company to the Holder in connection with the issuance of Warrant Shares. Subject to Section 5(b),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56" w:name="page57"/>
    <w:bookmarkEnd w:id="56"/>
    <w:p>
      <w:pPr>
        <w:ind w:left="4" w:right="40" w:hanging="4"/>
        <w:spacing w:after="0" w:line="256" w:lineRule="auto"/>
        <w:tabs>
          <w:tab w:leader="none" w:pos="18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Taxes and Expenses</w:t>
      </w:r>
      <w:r>
        <w:rPr>
          <w:rFonts w:ascii="Times New Roman" w:cs="Times New Roman" w:eastAsia="Times New Roman" w:hAnsi="Times New Roman"/>
          <w:sz w:val="18"/>
          <w:szCs w:val="18"/>
          <w:color w:val="auto"/>
        </w:rPr>
        <w:t>. Issuance and delivery of shares of Common Stock upon exercise of this Warrant shall be made without charge to the Holder for any issue or transfer tax, transfer agent fee or other incidental tax or expense (excluding any applicable stamp duties) in respect of the issuance of such shares, all of which taxes and expenses shall be paid by the Company; provided, however, that the Company shall not be required to pay any tax that may be payable in respect of any transfer involved in the registration of any Warrant Shares or the Warrants in a name other than that of the Holder or an Affiliate thereof. The Holder shall be responsible for all other tax liability that may arise as a result of holding or transferring this Warrant or receiving Warrant Shares upon exercise hereof.</w:t>
      </w:r>
    </w:p>
    <w:p>
      <w:pPr>
        <w:spacing w:after="0" w:line="187" w:lineRule="exact"/>
        <w:rPr>
          <w:rFonts w:ascii="Times New Roman" w:cs="Times New Roman" w:eastAsia="Times New Roman" w:hAnsi="Times New Roman"/>
          <w:sz w:val="18"/>
          <w:szCs w:val="18"/>
          <w:color w:val="auto"/>
        </w:rPr>
      </w:pPr>
    </w:p>
    <w:p>
      <w:pPr>
        <w:ind w:left="4" w:right="20" w:hanging="4"/>
        <w:spacing w:after="0" w:line="256" w:lineRule="auto"/>
        <w:tabs>
          <w:tab w:leader="none" w:pos="18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Warrant</w:t>
      </w:r>
      <w:r>
        <w:rPr>
          <w:rFonts w:ascii="Times New Roman" w:cs="Times New Roman" w:eastAsia="Times New Roman" w:hAnsi="Times New Roman"/>
          <w:sz w:val="18"/>
          <w:szCs w:val="18"/>
          <w:color w:val="auto"/>
        </w:rPr>
        <w:t>. If this Warrant is mutilated, lost, stolen or destroyed, the Company shall issue or cause to be issued in exchange and substitution for and upon cancellation hereof, or in lieu of and substitution for this Warrant, a New Warrant, but only upon receipt of evidence reasonably satisfactory to the Company of such loss, theft or destruction (in such case) and, in each case, a customary and reasonable indemnity, if requested by the Company, but without any requirement that a surety bond be procured, provided or posted unless requested by a third-party transfer agent. If a New Warrant is requested as a result of a mutilation of this Warrant, then the Holder shall deliver such mutilated Warrant to the Company as a condition precedent to the Company’s obligation to issue the New Warrant.</w:t>
      </w:r>
    </w:p>
    <w:p>
      <w:pPr>
        <w:spacing w:after="0" w:line="187" w:lineRule="exact"/>
        <w:rPr>
          <w:rFonts w:ascii="Times New Roman" w:cs="Times New Roman" w:eastAsia="Times New Roman" w:hAnsi="Times New Roman"/>
          <w:sz w:val="18"/>
          <w:szCs w:val="18"/>
          <w:color w:val="auto"/>
        </w:rPr>
      </w:pPr>
    </w:p>
    <w:p>
      <w:pPr>
        <w:ind w:left="4" w:hanging="4"/>
        <w:spacing w:after="0" w:line="252" w:lineRule="auto"/>
        <w:tabs>
          <w:tab w:leader="none" w:pos="18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Warrant Shares</w:t>
      </w:r>
      <w:r>
        <w:rPr>
          <w:rFonts w:ascii="Times New Roman" w:cs="Times New Roman" w:eastAsia="Times New Roman" w:hAnsi="Times New Roman"/>
          <w:sz w:val="18"/>
          <w:szCs w:val="18"/>
          <w:color w:val="auto"/>
        </w:rPr>
        <w:t>. The Company covenants that it will, at all times while this Warrant is outstanding, reserve and keep available out of the aggregate of its authorized but unissued and otherwise unreserved Common Stock, solely for the purpose of enabling it to issue Warrant Shares upon exercise of this Warrant as herein provided, the number of Warrant Shares that are issuable and deliverable upon the exercise of this entire Warrant, free from preemptive rights or any other contingent purchase rights of persons other than the Holder (taking into account the adjustments and restrictions of Section 9). The failure of the Company to reserve and keep available out of the aggregate of its authorized but unissued and otherwise unreserved Common Stock a sufficient number of shares of Common Stock to enable it to issue Warrant Shares upon exercise of this Warrant as herein provided is referred to herein as an “</w:t>
      </w:r>
      <w:r>
        <w:rPr>
          <w:rFonts w:ascii="Times New Roman" w:cs="Times New Roman" w:eastAsia="Times New Roman" w:hAnsi="Times New Roman"/>
          <w:sz w:val="18"/>
          <w:szCs w:val="18"/>
          <w:u w:val="single" w:color="auto"/>
          <w:color w:val="auto"/>
        </w:rPr>
        <w:t>Authorized Share Failure</w:t>
      </w:r>
      <w:r>
        <w:rPr>
          <w:rFonts w:ascii="Times New Roman" w:cs="Times New Roman" w:eastAsia="Times New Roman" w:hAnsi="Times New Roman"/>
          <w:sz w:val="18"/>
          <w:szCs w:val="18"/>
          <w:color w:val="auto"/>
        </w:rPr>
        <w:t>.” The Company covenants that all Warrant Shares so issuable and deliverable shall, upon issuance and the payment of the applicable Exercise Price in accordance with the terms hereof, be duly and validly authorized, issued and fully paid and non-assessable. The Company will take all actions as may be necessary to assure that such shares of Common Stock may be issued as provided herein without violation of any applicable law or regulation, or of any requirements of any securities exchange or automated quotation system upon which the Common Stock may be listed. The Company further covenants that it will not, without the prior written consent of the Holder, take any actions to increase the par value of the Common Stock at any time while this Warrant is outstanding. In furtherance of the Company’s obligations set forth in this Section 8, as soon as practicable after the date of the occurrence of an Authorized Share Failure, but in no event later than ninety (90)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reasonable best efforts to solicit its stockholders’ approval of such increase in authorized shares of Common Stock and to cause its board of directors to recommend to the stockholders that they approve such proposal.</w:t>
      </w:r>
    </w:p>
    <w:p>
      <w:pPr>
        <w:spacing w:after="0" w:line="193" w:lineRule="exact"/>
        <w:rPr>
          <w:rFonts w:ascii="Times New Roman" w:cs="Times New Roman" w:eastAsia="Times New Roman" w:hAnsi="Times New Roman"/>
          <w:sz w:val="18"/>
          <w:szCs w:val="18"/>
          <w:color w:val="auto"/>
        </w:rPr>
      </w:pPr>
    </w:p>
    <w:p>
      <w:pPr>
        <w:ind w:left="4" w:right="80" w:hanging="4"/>
        <w:spacing w:after="0" w:line="282" w:lineRule="auto"/>
        <w:tabs>
          <w:tab w:leader="none" w:pos="18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 The Exercise Price and number of Warrant Shares issuable upon exercise of this Warrant are subject to adjustment from time to time as set forth in this Section 9.</w:t>
      </w:r>
    </w:p>
    <w:p>
      <w:pPr>
        <w:spacing w:after="0" w:line="162" w:lineRule="exact"/>
        <w:rPr>
          <w:sz w:val="20"/>
          <w:szCs w:val="20"/>
          <w:color w:val="auto"/>
        </w:rPr>
      </w:pPr>
    </w:p>
    <w:p>
      <w:pPr>
        <w:ind w:left="4" w:right="20" w:hanging="4"/>
        <w:spacing w:after="0" w:line="253" w:lineRule="auto"/>
        <w:tabs>
          <w:tab w:leader="none" w:pos="2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on its Common Stock or otherwise makes a distribution on any class of capital stock issued and outstanding on the Original Issue Date and in accordance with the terms of such stock on the Original Issue Date or as amended, that is payable in shares of Common Stock, (ii) subdivides its outstanding shares of Common Stock into a larger number of shares of Common Stock, (iii) combines its outstanding shares of Common Stock into a smaller number of shares of Common Stock or (iv) issues by reclassification of shares of capital stock any additional shares of Common Stock of the Company, then in each such case the Exercise Price shall be multiplied by a fraction, the numerator of which shall be the number of shares of Common Stock outstanding immediately before such event and the denominator of which shall be the number of shares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57" w:name="page58"/>
    <w:bookmarkEnd w:id="57"/>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Exercise Price shall be recomputed accordingly as of the close of business on such record date and thereafter the Exercise Price shall be adjusted pursuant to this paragraph as of the time of actual payment of such dividends. Any adjustment pursuant to clause (ii), (iii) or (iv) of this paragraph shall become effective immediately after the effective date of such subdivision or combination.</w:t>
      </w:r>
    </w:p>
    <w:p>
      <w:pPr>
        <w:spacing w:after="0" w:line="176" w:lineRule="exact"/>
        <w:rPr>
          <w:sz w:val="20"/>
          <w:szCs w:val="20"/>
          <w:color w:val="auto"/>
        </w:rPr>
      </w:pPr>
    </w:p>
    <w:p>
      <w:pPr>
        <w:ind w:left="4" w:hanging="4"/>
        <w:spacing w:after="0" w:line="252" w:lineRule="auto"/>
        <w:tabs>
          <w:tab w:leader="none" w:pos="25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on or after the Original Issue Date, the Company shall declare or make any dividend or other pro rata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but, for the avoidance of doubt, excluding any distribution of shares of Common Stock subject to Section 9(a), any distribution of Purchase Rights (as defined below) subject to Section 9(c) and any Fundamental Transaction (as defined below) subject to Section 9(d))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or the HSR Threshold) immediately before the date on which a record is taken for such Distribution, or, if no such record is taken, the date as of which the record holders of shares of Common Stock are to be determined for the participation in such Distribution (provided, that to the extent that the Holder’s right to participate in any such Distribution would result in the Holder and the other Attribution Parties exceeding the Maximum Percentage or the HSR Threshold,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benefit of the Holder until such time or times as its right thereto would not result in the Holder and the other Attribution Parties exceeding the Maximum Percentage or the HSR Threshold, at which time or times the Holder shall be granted such Distribution (and any Distributions declared or made on such initial Distribution or on any subsequent Distribution held similarly in abeyance) to the same extent as if there had been no such limitation).</w:t>
      </w:r>
    </w:p>
    <w:p>
      <w:pPr>
        <w:spacing w:after="0" w:line="193" w:lineRule="exact"/>
        <w:rPr>
          <w:rFonts w:ascii="Times New Roman" w:cs="Times New Roman" w:eastAsia="Times New Roman" w:hAnsi="Times New Roman"/>
          <w:sz w:val="18"/>
          <w:szCs w:val="18"/>
          <w:color w:val="auto"/>
        </w:rPr>
      </w:pPr>
    </w:p>
    <w:p>
      <w:pPr>
        <w:ind w:left="4" w:hanging="4"/>
        <w:spacing w:after="0" w:line="252" w:lineRule="auto"/>
        <w:tabs>
          <w:tab w:leader="none" w:pos="2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If at any time on or after the Original Issue Date, the Company grants, issues or sells any Options, Convertible Securities or rights to purchase stock, warrants, securities or other property, in each case pro rata to the record holders of any class of Common Stock (the “</w:t>
      </w:r>
      <w:r>
        <w:rPr>
          <w:rFonts w:ascii="Times New Roman" w:cs="Times New Roman" w:eastAsia="Times New Roman" w:hAnsi="Times New Roman"/>
          <w:sz w:val="18"/>
          <w:szCs w:val="18"/>
          <w:u w:val="single" w:color="auto"/>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or the HSR Threshold) immediately before the date on which a record is taken for the grant, issuance or sale of such Purchase Rights, or, if no such record is taken, the date as of which the record holders of Common Stock are to be determined for the grant, issuance or sale of such Purchase Rights (provided, that to the extent that the Holder’s right to participate in any such Purchase Right would result in the Holder and the other Attribution Parties exceeding the Maximum Percentage or the HSR Threshold, then the Holder shall not be entitled to participate in such Purchase Right to such extent (and shall not be entitled to beneficial ownership of such Common Stock as a result of such Purchase Right (and beneficial ownership) to such extent) and such Purchase Right to such extent shall be held in abeyance for the benefit of the Holder until such time or times as its right thereto would not result in the Holder and the other Attribution Parties exceeding the Maximum Percentage or the HSR Threshold, at which time or times the Holder shall be granted such right (and any Purchase Right granted, issued or sold on such initial Purchase Right or on any subsequent Purchase Right to be held similarly in abeyance) to the same extent as if there had been no such limitation). As used in this Section 9(c), (i)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means any rights, warrants or options to subscribe for or purchase shares of Common Stock or Convertible Securities and (ii) “</w:t>
      </w:r>
      <w:r>
        <w:rPr>
          <w:rFonts w:ascii="Times New Roman" w:cs="Times New Roman" w:eastAsia="Times New Roman" w:hAnsi="Times New Roman"/>
          <w:sz w:val="18"/>
          <w:szCs w:val="18"/>
          <w:u w:val="single" w:color="auto"/>
          <w:color w:val="auto"/>
        </w:rPr>
        <w:t>Convertible Securities</w:t>
      </w:r>
      <w:r>
        <w:rPr>
          <w:rFonts w:ascii="Times New Roman" w:cs="Times New Roman" w:eastAsia="Times New Roman" w:hAnsi="Times New Roman"/>
          <w:sz w:val="18"/>
          <w:szCs w:val="18"/>
          <w:color w:val="auto"/>
        </w:rPr>
        <w:t>” means any stock or securities (other than Options) directly or indirectly convertible into or exercisable or exchangeable for shares of Common Stock.</w:t>
      </w:r>
    </w:p>
    <w:p>
      <w:pPr>
        <w:spacing w:after="0" w:line="194" w:lineRule="exact"/>
        <w:rPr>
          <w:rFonts w:ascii="Times New Roman" w:cs="Times New Roman" w:eastAsia="Times New Roman" w:hAnsi="Times New Roman"/>
          <w:sz w:val="18"/>
          <w:szCs w:val="18"/>
          <w:color w:val="auto"/>
        </w:rPr>
      </w:pPr>
    </w:p>
    <w:p>
      <w:pPr>
        <w:ind w:left="4" w:right="60" w:hanging="4"/>
        <w:spacing w:after="0" w:line="272" w:lineRule="auto"/>
        <w:tabs>
          <w:tab w:leader="none" w:pos="259"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Transactions</w:t>
      </w:r>
      <w:r>
        <w:rPr>
          <w:rFonts w:ascii="Times New Roman" w:cs="Times New Roman" w:eastAsia="Times New Roman" w:hAnsi="Times New Roman"/>
          <w:sz w:val="17"/>
          <w:szCs w:val="17"/>
          <w:color w:val="auto"/>
        </w:rPr>
        <w:t>. If, at any time while this Warrant is outstanding (i) the Company effects any merger or consolidation of the Company with or into another Person, in which the Company is not the surviving entity or the stockholders of the Company immediately prior to such merger or consolidation do not own, directly or indirectly, at least 50% of the voting power of the surviving entity immediately after such merger or consolidation,</w:t>
      </w:r>
    </w:p>
    <w:p>
      <w:pPr>
        <w:spacing w:after="0" w:line="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effects any sale to another Person of all or substantially all of its assets in one or a series of related</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58" w:name="page59"/>
    <w:bookmarkEnd w:id="58"/>
    <w:p>
      <w:pPr>
        <w:ind w:left="4" w:right="20"/>
        <w:spacing w:after="0" w:line="26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(iii) pursuant to any tender offer or exchange offer (whether by the Company or another Person), holders of capital stock who tender shares representing more than 50% of the voting power of the capital stock of the Company and the Company or such other Person, as applicable, accepts such tender for payment, (iv) the Company consummates a stock purchase agreement or other business combination (including, without limitation, a reorganization, recapitalization, spin-off or scheme of arrangement) with another Person whereby such other Person acquires more than the 50% of the voting power of the capital stock of the Company (except for any such transaction in which the stockholders of the Company immediately prior to such transaction maintain, in substantially the same proportions, the voting power of such Person immediately after the transaction) or (v) the Company effects any reclassification of the Common Stock or any compulsory share exchange pursuant to which the Common Stock is effectively converted into or exchanged for other securities, cash or property (other than as a result of a subdivision, combination or reclassification of shares of Common Stock covered by Section 9(a) above) (in any such case,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following such Fundamental Transaction the Holder shall have the right to receive, upon exercise of this Warrant, the same amount and kind of securities, cash or property as it would have been entitled to receive upon the occurrence of such Fundamental Transaction if it had been, immediately prior to such Fundamental Transaction, the holder of the number of Warrant Shares then issuable upon exercise in full of this Warrant without regard to any limitations on exercise contained herein, including, without limitation, the Maximum Percentage or the HSR Threshold (the “</w:t>
      </w:r>
      <w:r>
        <w:rPr>
          <w:rFonts w:ascii="Times New Roman" w:cs="Times New Roman" w:eastAsia="Times New Roman" w:hAnsi="Times New Roman"/>
          <w:sz w:val="17"/>
          <w:szCs w:val="17"/>
          <w:u w:val="single" w:color="auto"/>
          <w:color w:val="auto"/>
        </w:rPr>
        <w:t>Alternate Consideration</w:t>
      </w:r>
      <w:r>
        <w:rPr>
          <w:rFonts w:ascii="Times New Roman" w:cs="Times New Roman" w:eastAsia="Times New Roman" w:hAnsi="Times New Roman"/>
          <w:sz w:val="17"/>
          <w:szCs w:val="17"/>
          <w:color w:val="auto"/>
        </w:rPr>
        <w:t>”). The Company shall not effect any Fundamental Transaction in which the Company is not the surviving entity or the Alternate Consideration includes securities of another Person unless (i) the Alternate Consideration is solely cash and the Company provides for the simultaneous “cashless exercise” of this Warrant pursuant to Section 10 below or</w:t>
      </w:r>
    </w:p>
    <w:p>
      <w:pPr>
        <w:spacing w:after="0" w:line="8" w:lineRule="exact"/>
        <w:rPr>
          <w:sz w:val="20"/>
          <w:szCs w:val="20"/>
          <w:color w:val="auto"/>
        </w:rPr>
      </w:pPr>
    </w:p>
    <w:p>
      <w:pPr>
        <w:ind w:left="4" w:right="40" w:hanging="4"/>
        <w:spacing w:after="0" w:line="253" w:lineRule="auto"/>
        <w:tabs>
          <w:tab w:leader="none" w:pos="269"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simultaneously with the consummation thereof, any successor to the Company, surviving entity or other Person (including any purchaser of assets of the Company) shall assume the obligation to deliver to the Holder such Alternate Consideration as, in accordance with the foregoing provisions, the Holder may be entitled to receive, and the other obligations under this Warrant. The provisions of this paragraph (d) shall similarly apply to subsequent transactions analogous of a Fundamental Transaction type.</w:t>
      </w:r>
    </w:p>
    <w:p>
      <w:pPr>
        <w:spacing w:after="0" w:line="189" w:lineRule="exact"/>
        <w:rPr>
          <w:sz w:val="20"/>
          <w:szCs w:val="20"/>
          <w:color w:val="auto"/>
        </w:rPr>
      </w:pPr>
    </w:p>
    <w:p>
      <w:pPr>
        <w:ind w:left="4" w:right="180" w:hanging="4"/>
        <w:spacing w:after="0" w:line="261" w:lineRule="auto"/>
        <w:tabs>
          <w:tab w:leader="none" w:pos="248"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Warrant Shares</w:t>
      </w:r>
      <w:r>
        <w:rPr>
          <w:rFonts w:ascii="Times New Roman" w:cs="Times New Roman" w:eastAsia="Times New Roman" w:hAnsi="Times New Roman"/>
          <w:sz w:val="18"/>
          <w:szCs w:val="18"/>
          <w:color w:val="auto"/>
        </w:rPr>
        <w:t>. Simultaneously with any adjustment to the Exercise Price pursuant to paragraph (a) of this Section 9,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in effect immediately prior to such adjustment.</w:t>
      </w:r>
    </w:p>
    <w:p>
      <w:pPr>
        <w:spacing w:after="0" w:line="179"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9 shall be made to the nearest one tenth of one cent or the nearest share, as applicable.</w:t>
      </w:r>
    </w:p>
    <w:p>
      <w:pPr>
        <w:spacing w:after="0" w:line="225" w:lineRule="exact"/>
        <w:rPr>
          <w:rFonts w:ascii="Times New Roman" w:cs="Times New Roman" w:eastAsia="Times New Roman" w:hAnsi="Times New Roman"/>
          <w:sz w:val="18"/>
          <w:szCs w:val="18"/>
          <w:color w:val="auto"/>
        </w:rPr>
      </w:pPr>
    </w:p>
    <w:p>
      <w:pPr>
        <w:ind w:left="4" w:right="80" w:hanging="4"/>
        <w:spacing w:after="0" w:line="256"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Adjustments</w:t>
      </w:r>
      <w:r>
        <w:rPr>
          <w:rFonts w:ascii="Times New Roman" w:cs="Times New Roman" w:eastAsia="Times New Roman" w:hAnsi="Times New Roman"/>
          <w:sz w:val="18"/>
          <w:szCs w:val="18"/>
          <w:color w:val="auto"/>
        </w:rPr>
        <w:t>. Upon the occurrence of each adjustment pursuant to this Section 9, the Company at its expense will, at the written request of the Holder, promptly compute such adjustment, in good faith, in accordance with the terms of this Warrant and prepare a certificate setting forth such adjustment, including a statement of the adjusted Exercise Price and adjusted number or type of Warrant Shares or other securities issuable upon exercise of this Warrant (as applicable), describing the transactions giving rise to such adjustments and showing in detail the facts upon which such adjustment is based. Upon written request, the Company will promptly deliver a copy of each such certificate to the Holder and to the Company’s transfer agent.</w:t>
      </w:r>
    </w:p>
    <w:p>
      <w:pPr>
        <w:spacing w:after="0" w:line="187"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Corporate Events</w:t>
      </w:r>
      <w:r>
        <w:rPr>
          <w:rFonts w:ascii="Times New Roman" w:cs="Times New Roman" w:eastAsia="Times New Roman" w:hAnsi="Times New Roman"/>
          <w:sz w:val="18"/>
          <w:szCs w:val="18"/>
          <w:color w:val="auto"/>
        </w:rPr>
        <w:t>. If, while this Warrant is outstanding, the Company (i) declares a dividend or any other pro rata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Fundamental Transaction or (iii) authorizes the voluntary dissolution, liquidation or winding up of the affairs of the Company, then the Company shall deliver to the Holder a notice of such transaction at least fifteen (15)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 In addition, if while this Warrant is outstanding, the Company authorizes or approves, enters into any agreement contemplating or solicits stockholder approval for any Fundamental Transaction contemplated by Section 9(d), other than a Fundamental Transaction under clause (iii) of Section 9(d), the Company shall deliver to the Holder a notice of such Fundamental Transaction at least thirty (30) days prior to the date such Fundamental Transaction is consummated. The Holder agrees to maintain any information disclosed pursuant to this Section 9(h) in confidence until such information is publicly available, and shall comply with applicable law with respect to trading in the Company’s securities following receipt of any such information.</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59" w:name="page60"/>
    <w:bookmarkEnd w:id="59"/>
    <w:p>
      <w:pPr>
        <w:ind w:left="4" w:right="80" w:hanging="4"/>
        <w:spacing w:after="0" w:line="266" w:lineRule="auto"/>
        <w:tabs>
          <w:tab w:leader="none" w:pos="2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Exercise Price</w:t>
      </w:r>
      <w:r>
        <w:rPr>
          <w:rFonts w:ascii="Times New Roman" w:cs="Times New Roman" w:eastAsia="Times New Roman" w:hAnsi="Times New Roman"/>
          <w:sz w:val="18"/>
          <w:szCs w:val="18"/>
          <w:color w:val="auto"/>
        </w:rPr>
        <w:t>. Notwithstanding anything contained herein to the contrary, the Holder may, in its sole discretion, satisfy its obligation to pay the Exercise Price through a “cashless exercise,” in which event the Company shall issue to the Holder the number of Warrant Shares in an exchange of securities effected pursuant to Section 3(a)(9) of the Securities Act, determined as follows:</w:t>
      </w:r>
    </w:p>
    <w:p>
      <w:pPr>
        <w:spacing w:after="0" w:line="17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X = Y [(A-B)/A]</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“X” equals the number of Warrant Shares to be issued to the Holder;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“Y” equals the total number of Warrant Shares with respect to which this Warrant is then being exercised;</w:t>
      </w:r>
    </w:p>
    <w:p>
      <w:pPr>
        <w:spacing w:after="0" w:line="225"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“A” equals the Closing Sale Price of the shares of Common Stock (as reported by Bloomberg Financial Markets) as of the Trading Day on the date immediately preceding the Exercise Date; and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 equals the Exercise Price then in effect for the applicable Warrant Shares at the time of such exercise.</w:t>
      </w:r>
    </w:p>
    <w:p>
      <w:pPr>
        <w:spacing w:after="0" w:line="225"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For purposes of Rule 144 promulgated under the Securities Act, it is intended, understood and acknowledged that the Warrant Shares issued in a “cashless exercise” transaction shall be deemed to have been acquired by the Holder, and the holding period for the Warrant Shares shall be deemed to have commenced, on the date this Warrant was originally issued (provided that the SEC continues to take the position that such treatment is proper at the time of such exercise).</w:t>
      </w:r>
    </w:p>
    <w:p>
      <w:pPr>
        <w:spacing w:after="0" w:line="180"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In the event that a registration statement registering the issuance of the Warrant Shares is, for any reason, not effective at the time of exercise of this Warrant, then the Warrant may only be exercised through a cashless exercise, as set forth in this Section 10. If Warrant Shares are issued in such a cashless exercise, the Company acknowledges and agrees that, in accordance with Section 3(a)(9) of the Securities Act, the Warrant Shares shall take on the characteristics of the Warrants being exercised, and the holding period of the Warrants being exercised may be tacked on to the holding period of the Warrant Shares (provided that the SEC continues to take the position that such treatment is proper at the time of such exercise).</w:t>
      </w:r>
    </w:p>
    <w:p>
      <w:pPr>
        <w:spacing w:after="0" w:line="183" w:lineRule="exact"/>
        <w:rPr>
          <w:sz w:val="20"/>
          <w:szCs w:val="20"/>
          <w:color w:val="auto"/>
        </w:rPr>
      </w:pPr>
    </w:p>
    <w:p>
      <w:pPr>
        <w:ind w:left="264" w:hanging="264"/>
        <w:spacing w:after="0"/>
        <w:tabs>
          <w:tab w:leader="none" w:pos="26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hanging="4"/>
        <w:spacing w:after="0" w:line="253" w:lineRule="auto"/>
        <w:tabs>
          <w:tab w:leader="none" w:pos="24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immediately prior to or after giving effect to such exercise, the Holder, together with the other Attribution Parties, collectively would beneficially own in excess of [4.99%][9.99%][19.99%][24.99%] (the “</w:t>
      </w:r>
      <w:r>
        <w:rPr>
          <w:rFonts w:ascii="Times New Roman" w:cs="Times New Roman" w:eastAsia="Times New Roman" w:hAnsi="Times New Roman"/>
          <w:sz w:val="18"/>
          <w:szCs w:val="18"/>
          <w:u w:val="single" w:color="auto"/>
          <w:color w:val="auto"/>
        </w:rPr>
        <w:t>Maximum Percentage</w:t>
      </w:r>
      <w:r>
        <w:rPr>
          <w:rFonts w:ascii="Times New Roman" w:cs="Times New Roman" w:eastAsia="Times New Roman" w:hAnsi="Times New Roman"/>
          <w:sz w:val="18"/>
          <w:szCs w:val="18"/>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including any other Warrants) beneficially owned by the Holder or any other Attribution Party subject to a limitation on conversion or exercise analogous to the limitation contained in this Section 11(a). For purposes of this Section 11(a), beneficial ownership</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60" w:name="page61"/>
    <w:bookmarkEnd w:id="60"/>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be calculated in accordance with Section 13(d) of the Exchange Act, it being acknowledged by the Holder that the Company is not representing to the Holder that such calculation is in compliance with Section 13(d) of the Exchange Act and the Holder is solely responsible for any schedules required to be filed in accordance therewith. In addition, a determination as to any group status as contemplated above shall be determined in accordance with Section 13(d) of the Exchange Act and the rules and regulations promulgated thereunder.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and Current Reports on Form 8-K or other public filing with the SEC, as the case may be, (y) a more recent public announcement by the Company or (z) any other written notice by the Company setting forth the number of shares of Common Stock outstanding (the “</w:t>
      </w:r>
      <w:r>
        <w:rPr>
          <w:rFonts w:ascii="Times New Roman" w:cs="Times New Roman" w:eastAsia="Times New Roman" w:hAnsi="Times New Roman"/>
          <w:sz w:val="18"/>
          <w:szCs w:val="18"/>
          <w:u w:val="single" w:color="auto"/>
          <w:color w:val="auto"/>
        </w:rPr>
        <w:t>Reported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Outstanding Share Number</w:t>
      </w:r>
      <w:r>
        <w:rPr>
          <w:rFonts w:ascii="Times New Roman" w:cs="Times New Roman" w:eastAsia="Times New Roman" w:hAnsi="Times New Roman"/>
          <w:sz w:val="18"/>
          <w:szCs w:val="18"/>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11(a), to exceed the Maximum Percentage, the Holder must notify the Company of a reduced number of Warrant Shares to be purchased pursuant to such Exercise Notice (the number of shares by which such purchase is reduced, the “</w:t>
      </w:r>
      <w:r>
        <w:rPr>
          <w:rFonts w:ascii="Times New Roman" w:cs="Times New Roman" w:eastAsia="Times New Roman" w:hAnsi="Times New Roman"/>
          <w:sz w:val="18"/>
          <w:szCs w:val="18"/>
          <w:u w:val="single" w:color="auto"/>
          <w:color w:val="auto"/>
        </w:rPr>
        <w:t>Reduction Shares</w:t>
      </w:r>
      <w:r>
        <w:rPr>
          <w:rFonts w:ascii="Times New Roman" w:cs="Times New Roman" w:eastAsia="Times New Roman" w:hAnsi="Times New Roman"/>
          <w:sz w:val="18"/>
          <w:szCs w:val="18"/>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exceeds the Maximum Percentage (the “</w:t>
      </w:r>
      <w:r>
        <w:rPr>
          <w:rFonts w:ascii="Times New Roman" w:cs="Times New Roman" w:eastAsia="Times New Roman" w:hAnsi="Times New Roman"/>
          <w:sz w:val="18"/>
          <w:szCs w:val="18"/>
          <w:u w:val="single" w:color="auto"/>
          <w:color w:val="auto"/>
        </w:rPr>
        <w:t>Excess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xml:space="preserve">”) shall be deemed null and void and shall be cancelled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and the Holder shall not have the power to vote or to transfer the Excess Shares. As soon as reasonably practicable after the issuance of the Excess Shares has been deemed null and void, the Company shall return to the Holder the exercise price paid by the Holder for the Excess Shares. Upon delivery of a written notice to the Company, the Holder may from time to time increase or decrease the Maximum Percentage to any other percentage (not in excess of 24.99% of the issued and outstanding shares of Common Stock immediately after giving effect to the issuance of the shares of Common Stock issuable upon exercise of this Warrant, regardless of whether exceeding that limit would result in a change of control under Nasdaq Listing Rule 5635(b) or any successor rule) as specified in such notice; provided that (i) any such increase in the Maximum Percentage will not be effective until the sixty-first (61st) day after such notice is delivered to the Company and (ii) any such increase or decrease will apply only to the Holder and the other Attribution Parties and not to any other holder of Warrants that is not an Attribution Party of the Holder, and (iii) no such decrease shall affect the validity of any prior exercise of Warrants by Holder or any Attribution Party. For purposes of clarity, the shares of Common Stock issuable pursuant to the terms of this Warrant in excess of the Maximum Percentage shall not be deemed to be beneficially owned by the Holder for any purpose including for purposes of Section 13(d) of the Exchange Act or Rule 16a-1(a)(1) promulgated under the Exchange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11(a) to the extent necessary to correct this paragraph or any portion of this paragraph which may be defective or inconsistent with the intended beneficial ownership limitation contained in this Section 11(a) or to make changes or supplements necessary or desirable to properly give effect to such limitation. The limitation contained in this paragraph may not be waived and shall apply to a successor holder of this Warrant.</w:t>
      </w:r>
    </w:p>
    <w:p>
      <w:pPr>
        <w:spacing w:after="0" w:line="198" w:lineRule="exact"/>
        <w:rPr>
          <w:sz w:val="20"/>
          <w:szCs w:val="20"/>
          <w:color w:val="auto"/>
        </w:rPr>
      </w:pPr>
    </w:p>
    <w:p>
      <w:pPr>
        <w:ind w:left="4" w:right="80" w:hanging="4"/>
        <w:spacing w:after="0" w:line="289" w:lineRule="auto"/>
        <w:tabs>
          <w:tab w:leader="none" w:pos="259"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contained herein, if any exercise of this Warrant would result in the Holder, together with the other Attribution Parties, acquiring beneficial ownership of Warrant Shares (together with all other equity of the Company owned by the Holder at such time) with a value equal to or in excess of the notification threshold applicable to the Holder under the HSR Act as of the date of delivery of the applicable</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61" w:name="page62"/>
    <w:bookmarkEnd w:id="61"/>
    <w:p>
      <w:pPr>
        <w:ind w:left="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Exercise Notice (the “HSR Threshold”), and no exemption to filing a notice and report form under the HSR Act is applicable, then only such portion of this Warrant, which when exercised does not exceed the HSR Threshold, shall be exercisable and the applicable Exercise Notice shall be deemed to relate only to such portion of this Warrant, and the remaining portion of this Warrant in excess of the HSR Threshold shall not be exercisable until the expiration or early termination of the applicable waiting period under the HSR Act or receipt of applicable approval. Upon expiration or early termination of the applicable waiting period under the HSR Act or receipt of applicable approval, such Holder shall not be subject to the limitations set forth in Section 11(a) hereto.</w:t>
      </w:r>
    </w:p>
    <w:p>
      <w:pPr>
        <w:spacing w:after="0" w:line="187" w:lineRule="exact"/>
        <w:rPr>
          <w:sz w:val="20"/>
          <w:szCs w:val="20"/>
          <w:color w:val="auto"/>
        </w:rPr>
      </w:pPr>
    </w:p>
    <w:p>
      <w:pPr>
        <w:jc w:val="both"/>
        <w:ind w:left="4" w:right="180" w:hanging="4"/>
        <w:spacing w:after="0" w:line="266" w:lineRule="auto"/>
        <w:tabs>
          <w:tab w:leader="none" w:pos="249"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11 shall not restrict the number of shares of Common Stock which a Holder may receive or beneficially own in order to determine the amount of securities or other consideration that such Holder may receive in the event of a Fundamental Transaction as contemplated in Section 9(d) of this Warrant.</w:t>
      </w:r>
    </w:p>
    <w:p>
      <w:pPr>
        <w:spacing w:after="0" w:line="176" w:lineRule="exact"/>
        <w:rPr>
          <w:sz w:val="20"/>
          <w:szCs w:val="20"/>
          <w:color w:val="auto"/>
        </w:rPr>
      </w:pPr>
    </w:p>
    <w:p>
      <w:pPr>
        <w:jc w:val="both"/>
        <w:ind w:left="4" w:right="260" w:hanging="4"/>
        <w:spacing w:after="0" w:line="266" w:lineRule="auto"/>
        <w:tabs>
          <w:tab w:leader="none" w:pos="2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w:t>
      </w:r>
      <w:r>
        <w:rPr>
          <w:rFonts w:ascii="Times New Roman" w:cs="Times New Roman" w:eastAsia="Times New Roman" w:hAnsi="Times New Roman"/>
          <w:sz w:val="18"/>
          <w:szCs w:val="18"/>
          <w:color w:val="auto"/>
        </w:rPr>
        <w:t>. No fractional Warrant Shares will be issued in connection with any exercise of this Warrant. In lieu of any fractional shares that would otherwise be issuable, the number of Warrant Shares to be issued shall be rounded down to the next whole number and the Company shall pay the Holder in cash the fair market value (based on the Closing Sale Price) for any such fractional shares.</w:t>
      </w:r>
    </w:p>
    <w:p>
      <w:pPr>
        <w:spacing w:after="0" w:line="175" w:lineRule="exact"/>
        <w:rPr>
          <w:rFonts w:ascii="Times New Roman" w:cs="Times New Roman" w:eastAsia="Times New Roman" w:hAnsi="Times New Roman"/>
          <w:sz w:val="18"/>
          <w:szCs w:val="18"/>
          <w:color w:val="auto"/>
        </w:rPr>
      </w:pPr>
    </w:p>
    <w:p>
      <w:pPr>
        <w:ind w:left="4" w:right="140" w:hanging="4"/>
        <w:spacing w:after="0" w:line="255" w:lineRule="auto"/>
        <w:tabs>
          <w:tab w:leader="none" w:pos="27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Whenever notice is required to be given under this Warrant, including, without limitation, an Exercise Notice, unless otherwise provided herein, such notice shall be given effective on the earliest of: (a) the time of transmission, if such notice or communication is delivered via email attachment at the email address as set forth below at or prior to 5:30 p.m. (New York City time) on a Trading Day, (b) the next Trading Day after the date of transmission, if such notice or communication is delivered via email attachment at the email address as set forth below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and will be delivered and addressed as follows:</w:t>
      </w:r>
    </w:p>
    <w:p>
      <w:pPr>
        <w:spacing w:after="0" w:line="1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If to the Company,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John Quisel</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William D. Collins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 if to the Holder, at such address or other contact information delivered by the Holder to Company or as is on the books and records of the Company.</w:t>
      </w:r>
    </w:p>
    <w:p>
      <w:pPr>
        <w:spacing w:after="0" w:line="225" w:lineRule="exact"/>
        <w:rPr>
          <w:sz w:val="20"/>
          <w:szCs w:val="20"/>
          <w:color w:val="auto"/>
        </w:rPr>
      </w:pPr>
    </w:p>
    <w:p>
      <w:pPr>
        <w:ind w:left="4" w:hanging="4"/>
        <w:spacing w:after="0" w:line="256" w:lineRule="auto"/>
        <w:tabs>
          <w:tab w:leader="none" w:pos="27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Agent</w:t>
      </w:r>
      <w:r>
        <w:rPr>
          <w:rFonts w:ascii="Times New Roman" w:cs="Times New Roman" w:eastAsia="Times New Roman" w:hAnsi="Times New Roman"/>
          <w:sz w:val="18"/>
          <w:szCs w:val="18"/>
          <w:color w:val="auto"/>
        </w:rPr>
        <w:t>. The Warrant Agent shall initially serve as warrant agent under this Warrant. Upon thirty (30) days’ notice to the Holder, the Company may appoint a new warrant agent. Any corporation into which the Warrant Agent or any new warrant agent may be merged or any corporation resulting from any consolidation to which the Warrant Agent or any new warrant agent shall be a party or any corporation to which the Warrant Agent or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62" w:name="page63"/>
    <w:bookmarkEnd w:id="62"/>
    <w:p>
      <w:pPr>
        <w:ind w:left="264" w:hanging="264"/>
        <w:spacing w:after="0"/>
        <w:tabs>
          <w:tab w:leader="none" w:pos="26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hanging="4"/>
        <w:spacing w:after="0" w:line="272" w:lineRule="auto"/>
        <w:tabs>
          <w:tab w:leader="none" w:pos="248"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Rights as a Stockholder</w:t>
      </w:r>
      <w:r>
        <w:rPr>
          <w:rFonts w:ascii="Times New Roman" w:cs="Times New Roman" w:eastAsia="Times New Roman" w:hAnsi="Times New Roman"/>
          <w:sz w:val="17"/>
          <w:szCs w:val="17"/>
          <w:color w:val="auto"/>
        </w:rPr>
        <w:t>. Except as otherwise set forth in this Warrant,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amalgamation, conveyance or otherwise), receive notice of meetings, receive dividends or subscription rights, or otherwise, prior to the issuance to the Holder of the Warrant Shares which such Holder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w:t>
      </w:r>
    </w:p>
    <w:p>
      <w:pPr>
        <w:spacing w:after="0" w:line="171"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hanging="4"/>
        <w:spacing w:after="0" w:line="254" w:lineRule="auto"/>
        <w:tabs>
          <w:tab w:leader="none" w:pos="21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or articles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88" w:lineRule="exact"/>
        <w:rPr>
          <w:rFonts w:ascii="Times New Roman" w:cs="Times New Roman" w:eastAsia="Times New Roman" w:hAnsi="Times New Roman"/>
          <w:sz w:val="18"/>
          <w:szCs w:val="18"/>
          <w:color w:val="auto"/>
        </w:rPr>
      </w:pPr>
    </w:p>
    <w:p>
      <w:pPr>
        <w:jc w:val="both"/>
        <w:ind w:left="4" w:right="560" w:hanging="4"/>
        <w:spacing w:after="0" w:line="266" w:lineRule="auto"/>
        <w:tabs>
          <w:tab w:leader="none" w:pos="2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 w:hanging="4"/>
        <w:spacing w:after="0" w:line="258" w:lineRule="auto"/>
        <w:tabs>
          <w:tab w:leader="none" w:pos="24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compliance with applicable securities laws, this Warrant may be transferred or assigned by the Holder. This Warrant may not be assigned by the Company without the written consent of the Holder except to a successor in the event of a Fundamental Transaction. This Warrant shall be binding on and inure to the benefit of the Company and the Holder and their respective successors and assigns. Subject to the preceding sentence, nothing in this Warrant shall be construed to give to any Person other than the Company and the Holder any legal or equitable right, remedy or cause of action under this Warrant.</w:t>
      </w:r>
    </w:p>
    <w:p>
      <w:pPr>
        <w:spacing w:after="0" w:line="183" w:lineRule="exact"/>
        <w:rPr>
          <w:rFonts w:ascii="Times New Roman" w:cs="Times New Roman" w:eastAsia="Times New Roman" w:hAnsi="Times New Roman"/>
          <w:sz w:val="18"/>
          <w:szCs w:val="18"/>
          <w:color w:val="auto"/>
        </w:rPr>
      </w:pPr>
    </w:p>
    <w:p>
      <w:pPr>
        <w:ind w:left="4" w:right="40" w:hanging="4"/>
        <w:spacing w:after="0" w:line="312" w:lineRule="auto"/>
        <w:tabs>
          <w:tab w:leader="none" w:pos="259"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Restrictions</w:t>
      </w:r>
      <w:r>
        <w:rPr>
          <w:rFonts w:ascii="Times New Roman" w:cs="Times New Roman" w:eastAsia="Times New Roman" w:hAnsi="Times New Roman"/>
          <w:sz w:val="17"/>
          <w:szCs w:val="17"/>
          <w:color w:val="auto"/>
        </w:rPr>
        <w:t>. The Holder acknowledges that the Warrant Shares acquired upon the exercise of this Warrant, if not registered and if the Holder does not utilize cashless exercise after expiration of the Rule 144 holding period, will contain a legend to the effect that the Warrant Shares are not registered.</w:t>
      </w:r>
    </w:p>
    <w:p>
      <w:pPr>
        <w:spacing w:after="0" w:line="139"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Warrant may be amended only in writing signed by the Company and the Holder, or their successors and assigns.</w:t>
      </w:r>
    </w:p>
    <w:p>
      <w:pPr>
        <w:spacing w:after="0" w:line="27" w:lineRule="exact"/>
        <w:rPr>
          <w:rFonts w:ascii="Times New Roman" w:cs="Times New Roman" w:eastAsia="Times New Roman" w:hAnsi="Times New Roman"/>
          <w:sz w:val="18"/>
          <w:szCs w:val="18"/>
          <w:color w:val="auto"/>
        </w:rPr>
      </w:pPr>
    </w:p>
    <w:p>
      <w:pPr>
        <w:ind w:left="4"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provisions of the Warrants may be amended and the Company may take any action herein prohibited, or omit to perform any act herein required to be performed by it, only if the Company has obtained the written consent of the Holder.</w:t>
      </w:r>
    </w:p>
    <w:p>
      <w:pPr>
        <w:spacing w:after="0" w:line="18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Acceptance</w:t>
      </w:r>
      <w:r>
        <w:rPr>
          <w:rFonts w:ascii="Times New Roman" w:cs="Times New Roman" w:eastAsia="Times New Roman" w:hAnsi="Times New Roman"/>
          <w:sz w:val="18"/>
          <w:szCs w:val="18"/>
          <w:color w:val="auto"/>
        </w:rPr>
        <w:t>. Receipt of this Warrant by the Holder shall constitute acceptance of and agreement to all of the terms and conditions contained herein.</w:t>
      </w:r>
    </w:p>
    <w:p>
      <w:pPr>
        <w:spacing w:after="0" w:line="157" w:lineRule="exact"/>
        <w:rPr>
          <w:rFonts w:ascii="Times New Roman" w:cs="Times New Roman" w:eastAsia="Times New Roman" w:hAnsi="Times New Roman"/>
          <w:sz w:val="18"/>
          <w:szCs w:val="18"/>
          <w:color w:val="auto"/>
        </w:rPr>
      </w:pPr>
    </w:p>
    <w:p>
      <w:pPr>
        <w:ind w:left="5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63" w:name="page64"/>
    <w:bookmarkEnd w:id="63"/>
    <w:p>
      <w:pPr>
        <w:ind w:left="4" w:right="40" w:hanging="4"/>
        <w:spacing w:after="0" w:line="252"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Governing Law; Jurisdiction</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OF THE COMPANY AND THE HOLDER HEREBY IRREVOCABLY SUBMITS TO THE EXCLUSIVE JURISDICTION OF THE STATE AND FEDERAL COURTS SITTING IN THE STATE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EACH OF THE COMPANY AND THE HOLDER HEREBY IRREVOCABLY WAIVES PERSONAL SERVICE OF PROCESS AND CONSENTS TO PROCESS BEING SERVED IN ANY SUCH SUIT, ACTION OR PROCEEDING BY MAILING A COPY THEREOF VIA REGISTERED OR CERTIFIED MAIL OR OVERNIGHT DELIVERY (WITH EVIDENCE OF DELIVERY) TO SUCH PERSON AT THE ADDRESS IN EFFECT FOR NOTICES TO IT AND AGREES THAT SUCH SERVICE SHALL CONSTITUTE GOOD AND SUFFICIENT SERVICE OF PROCESS AND NOTICE THEREOF. NOTHING CONTAINED HEREIN SHALL BE DEEMED TO LIMIT IN ANY WAY ANY RIGHT TO SERVE PROCESS IN ANY MANNER PERMITTED BY LAW. EACH OF THE COMPANY AND THE HOLDER HEREBY WAIVES ALL RIGHTS TO A TRIAL BY JURY.</w:t>
      </w:r>
    </w:p>
    <w:p>
      <w:pPr>
        <w:spacing w:after="0" w:line="195" w:lineRule="exact"/>
        <w:rPr>
          <w:rFonts w:ascii="Times New Roman" w:cs="Times New Roman" w:eastAsia="Times New Roman" w:hAnsi="Times New Roman"/>
          <w:sz w:val="18"/>
          <w:szCs w:val="18"/>
          <w:color w:val="auto"/>
        </w:rPr>
      </w:pPr>
    </w:p>
    <w:p>
      <w:pPr>
        <w:ind w:left="4" w:right="40" w:hanging="4"/>
        <w:spacing w:after="0" w:line="282"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Warrant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4" w:hanging="4"/>
        <w:spacing w:after="0" w:line="256" w:lineRule="auto"/>
        <w:tabs>
          <w:tab w:leader="none" w:pos="21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one or more of the provisions of this Warrant is held by a court of competent jurisdiction to be shall be invalid, illegal, void or unenforceable in any respect, the validity and enforceability of the remaining terms and provisions of this Warrant shall not in any way be affected or impaired thereby, and the Company and the Holder will attempt in good faith to agree upon a valid and enforceable provision which shall be a commercially reasonable substitute therefor, and upon so agreeing, shall incorporate such substitute provision in this Warrant.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70"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Company has caused this Warrant to be duly executed as of the Original Issue Date set out above.</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019"/>
          </w:cols>
          <w:pgMar w:left="440" w:top="270" w:right="1440" w:bottom="1440" w:gutter="0" w:footer="0" w:header="0"/>
        </w:sectPr>
      </w:pPr>
    </w:p>
    <w:bookmarkStart w:id="65" w:name="page66"/>
    <w:bookmarkEnd w:id="65"/>
    <w:p>
      <w:pPr>
        <w:jc w:val="center"/>
        <w:ind w:right="-24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color w:val="auto"/>
        </w:rPr>
        <w:t>FORM OF EXERCISE NOTICE</w:t>
      </w:r>
    </w:p>
    <w:p>
      <w:pPr>
        <w:spacing w:after="0" w:line="225" w:lineRule="exact"/>
        <w:rPr>
          <w:sz w:val="20"/>
          <w:szCs w:val="20"/>
          <w:color w:val="auto"/>
        </w:rPr>
      </w:pPr>
    </w:p>
    <w:p>
      <w:pPr>
        <w:ind w:left="2344"/>
        <w:spacing w:after="0"/>
        <w:rPr>
          <w:sz w:val="20"/>
          <w:szCs w:val="20"/>
          <w:color w:val="auto"/>
        </w:rPr>
      </w:pPr>
      <w:r>
        <w:rPr>
          <w:rFonts w:ascii="Times New Roman" w:cs="Times New Roman" w:eastAsia="Times New Roman" w:hAnsi="Times New Roman"/>
          <w:sz w:val="18"/>
          <w:szCs w:val="18"/>
          <w:color w:val="auto"/>
        </w:rPr>
        <w:t>[To be executed by the Holder to purchase shares of Common Stock under the Warrant]</w:t>
      </w:r>
    </w:p>
    <w:p>
      <w:pPr>
        <w:spacing w:after="0" w:line="200" w:lineRule="exact"/>
        <w:rPr>
          <w:sz w:val="20"/>
          <w:szCs w:val="20"/>
          <w:color w:val="auto"/>
        </w:rPr>
      </w:pPr>
    </w:p>
    <w:p>
      <w:pPr>
        <w:spacing w:after="0" w:line="237" w:lineRule="exact"/>
        <w:rPr>
          <w:sz w:val="20"/>
          <w:szCs w:val="20"/>
          <w:color w:val="auto"/>
        </w:rPr>
      </w:pPr>
    </w:p>
    <w:p>
      <w:pPr>
        <w:jc w:val="center"/>
        <w:ind w:right="-243"/>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80" w:hanging="4"/>
        <w:spacing w:after="0" w:line="282"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the Holder of Warrant No. _____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issued by Disc Medicine,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herein and not otherwise defined herein have the respective meanings set forth in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exercises its right to purchase Warrant Shares pursuant to the Warrant.</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intends that payment of the Exercise Price shall be made as (check one):</w:t>
      </w:r>
    </w:p>
    <w:p>
      <w:pPr>
        <w:spacing w:after="0" w:line="117" w:lineRule="exact"/>
        <w:rPr>
          <w:sz w:val="20"/>
          <w:szCs w:val="20"/>
          <w:color w:val="auto"/>
        </w:rPr>
      </w:pPr>
    </w:p>
    <w:p>
      <w:pPr>
        <w:ind w:left="204" w:hanging="204"/>
        <w:spacing w:after="0"/>
        <w:tabs>
          <w:tab w:leader="none" w:pos="204"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 Exercise</w:t>
      </w:r>
    </w:p>
    <w:p>
      <w:pPr>
        <w:spacing w:after="0" w:line="225" w:lineRule="exact"/>
        <w:rPr>
          <w:rFonts w:ascii="MS PGothic" w:cs="MS PGothic" w:eastAsia="MS PGothic" w:hAnsi="MS PGothic"/>
          <w:sz w:val="18"/>
          <w:szCs w:val="18"/>
          <w:color w:val="auto"/>
        </w:rPr>
      </w:pPr>
    </w:p>
    <w:p>
      <w:pPr>
        <w:ind w:left="204" w:hanging="204"/>
        <w:spacing w:after="0"/>
        <w:tabs>
          <w:tab w:leader="none" w:pos="204" w:val="left"/>
        </w:tabs>
        <w:numPr>
          <w:ilvl w:val="0"/>
          <w:numId w:val="9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“Cashless Exercise” under Section 10 of the Warrant</w:t>
      </w:r>
    </w:p>
    <w:p>
      <w:pPr>
        <w:spacing w:after="0" w:line="225" w:lineRule="exact"/>
        <w:rPr>
          <w:sz w:val="20"/>
          <w:szCs w:val="20"/>
          <w:color w:val="auto"/>
        </w:rPr>
      </w:pPr>
    </w:p>
    <w:p>
      <w:pPr>
        <w:ind w:left="4" w:right="540" w:hanging="4"/>
        <w:spacing w:after="0" w:line="282" w:lineRule="auto"/>
        <w:tabs>
          <w:tab w:leader="none" w:pos="25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has elected a Cash Exercise, the Holder shall pay the sum of $__________ in immediately available funds to the Company in accordance with the terms of the Warrant.</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this Exercise Notice, the Company shall deliver to the Holder Warrant Shares determined in accordance with the terms of the Warrant.</w:t>
      </w:r>
    </w:p>
    <w:p>
      <w:pPr>
        <w:spacing w:after="0" w:line="236"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its delivery of this Exercise Notice, the undersigned represents and warrants to the Company that in giving effect to the exercise evidenced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hereby the Holder, together with the other Attribution Parties, will not beneficially own in excess of the Maximum Percentage or the HSR Threshold.</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1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 of Holder:</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17145</wp:posOffset>
            </wp:positionV>
            <wp:extent cx="24345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22860</wp:posOffset>
            </wp:positionV>
            <wp:extent cx="2434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434590" cy="8890"/>
                    </a:xfrm>
                    <a:prstGeom prst="rect">
                      <a:avLst/>
                    </a:prstGeom>
                    <a:noFill/>
                  </pic:spPr>
                </pic:pic>
              </a:graphicData>
            </a:graphic>
          </wp:anchor>
        </w:drawing>
        <w:drawing>
          <wp:anchor simplePos="0" relativeHeight="251657728" behindDoc="1" locked="0" layoutInCell="0" allowOverlap="1">
            <wp:simplePos x="0" y="0"/>
            <wp:positionH relativeFrom="column">
              <wp:posOffset>360045</wp:posOffset>
            </wp:positionH>
            <wp:positionV relativeFrom="paragraph">
              <wp:posOffset>-121920</wp:posOffset>
            </wp:positionV>
            <wp:extent cx="24345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434590" cy="8890"/>
                    </a:xfrm>
                    <a:prstGeom prst="rect">
                      <a:avLst/>
                    </a:prstGeom>
                    <a:noFill/>
                  </pic:spPr>
                </pic:pic>
              </a:graphicData>
            </a:graphic>
          </wp:anchor>
        </w:drawing>
      </w:r>
    </w:p>
    <w:p>
      <w:pPr>
        <w:spacing w:after="0" w:line="227" w:lineRule="exact"/>
        <w:rPr>
          <w:sz w:val="20"/>
          <w:szCs w:val="20"/>
          <w:color w:val="auto"/>
        </w:rPr>
      </w:pPr>
    </w:p>
    <w:p>
      <w:pPr>
        <w:ind w:left="1984"/>
        <w:spacing w:after="0"/>
        <w:rPr>
          <w:sz w:val="20"/>
          <w:szCs w:val="20"/>
          <w:color w:val="auto"/>
        </w:rPr>
      </w:pPr>
      <w:r>
        <w:rPr>
          <w:rFonts w:ascii="Times New Roman" w:cs="Times New Roman" w:eastAsia="Times New Roman" w:hAnsi="Times New Roman"/>
          <w:sz w:val="18"/>
          <w:szCs w:val="18"/>
          <w:color w:val="auto"/>
        </w:rPr>
        <w:t>(Signature must conform in all respects to name of Holder as specified on the face of the Warrant)</w:t>
      </w:r>
    </w:p>
    <w:p>
      <w:pPr>
        <w:sectPr>
          <w:pgSz w:w="11900" w:h="16838" w:orient="portrait"/>
          <w:cols w:equalWidth="0" w:num="1">
            <w:col w:w="10784"/>
          </w:cols>
          <w:pgMar w:left="436" w:top="270" w:right="679" w:bottom="1440" w:gutter="0" w:footer="0" w:header="0"/>
        </w:sectPr>
      </w:pPr>
    </w:p>
    <w:bookmarkStart w:id="66" w:name="page67"/>
    <w:bookmarkEnd w:id="66"/>
    <w:p>
      <w:pPr>
        <w:ind w:left="45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ACKNOWLEDGMENT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hereby acknowledges this Exercise Notice and hereby directs the Transfer Agent to issue the above indicated number of shares of Common Stock within the Standard Settlement Period.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DISC MEDICINE,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380"/>
          </w:cols>
          <w:pgMar w:left="440" w:top="266" w:right="1079" w:bottom="1440" w:gutter="0" w:footer="0" w:header="0"/>
        </w:sectPr>
      </w:pPr>
    </w:p>
    <w:bookmarkStart w:id="67" w:name="page68"/>
    <w:bookmarkEnd w:id="67"/>
    <w:p>
      <w:pPr>
        <w:jc w:val="center"/>
        <w:ind w:right="-93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25" w:lineRule="exact"/>
        <w:rPr>
          <w:sz w:val="20"/>
          <w:szCs w:val="20"/>
          <w:color w:val="auto"/>
        </w:rPr>
      </w:pPr>
    </w:p>
    <w:p>
      <w:pPr>
        <w:jc w:val="center"/>
        <w:ind w:right="-939"/>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firstLine="943"/>
        <w:spacing w:after="0" w:line="517"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(Please Print)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5715</wp:posOffset>
            </wp:positionV>
            <wp:extent cx="32829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ind w:left="594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Phone Number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Email Address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ectPr>
          <w:pgSz w:w="11900" w:h="16838" w:orient="portrait"/>
          <w:cols w:equalWidth="0" w:num="1">
            <w:col w:w="10060"/>
          </w:cols>
          <w:pgMar w:left="440" w:top="270" w:right="139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u w:val="single" w:color="auto"/>
          <w:color w:val="auto"/>
        </w:rPr>
        <w:t>Securities Registered under Registration Statements on Form S-3</w:t>
      </w:r>
    </w:p>
    <w:p>
      <w:pPr>
        <w:spacing w:after="0" w:line="22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 have acted as counsel to you in connection with (i) your filing of a Registration Statement on Form S-3 (File No. 333-281359) (as amended or supplemented, the “Shelf Registration Statement”) filed on August 8, 2024 with the Securities and Exchange Commission (the “Commission”) pursuant to the Securities Act of 1933, as amended (the “Securities Act”), relating to the registration of the offer by Disc Medicine, Inc., a Delaware corporation (the “Company”), of up to an indeterminate amount of any combination of securities of the types specified therein and (ii) your filing of a Registration Statement on Form S-3 (File No. 333-269270) (as amended or supplemented, the “Resale Registration Statement” and, together with the Shelf Registration Statement, the “Registration Statements”) filed on January 18, 2023 with the Commission pursuant to the Securities Act, relating to the registration of 12,635,956 shares of the Company’s common stock, par value $0.0001 per share (the “Common Stock”) offered by the selling stockholders named therein. Reference is made to (i) our opinion letter dated August 8, 2024 and included as Exhibit 5.1 to the Shelf Registration Statement and (ii) our opinion letter dated January 17, 2023 and included as Exhibit 5.1 to the Resale Registration Statement. We are delivering this supplemental opinion letter in connection with the prospectus supplement (the “Prospectus Supplement”) dated October 20, 2025, filed by the Company with the Commission pursuant to Rule 424 under the Securities Act. The Prospectus Supplement relates to the offering (i) by the Company of up to (a) 2,619,049 shares (the “Common Shares”) of Common Stock, and (b) pre-funded warrants (the “Pre-Funded Warrants”) to purchase up to 59,523 shares of Common Stock (such shares issuable upon exercise of the Pre-Funded Warrants, the “Pre-Funded Warrant Shares,” and together with the Common Shares, the “Primary Shares”) covered by the Shelf Registration Statement, and (ii) by the Selling Stockholders of 744,047 shares of Common Stock (the “Selling Stockholder Shares,” together with the Common and Primary Shares, the “Shares”) covered by the Resale Registration Statement. The Shares include an over-allotment option granted to the underwriters of the offering to purchase 446,428 Shares. The Common Shares, Pre-Funded Warrants and Selling Stockholder Shares are being sold to the several underwriters named in, and pursuant to, an underwriting agreement (the “Underwriting Agreement”) among the Company, the representatives of such underwriters, and the selling stockholder named therein (the “Selling Stockholder”).</w:t>
      </w:r>
    </w:p>
    <w:p>
      <w:pPr>
        <w:spacing w:after="0" w:line="19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 For purposes of the opinion set forth in paragraph 3 below, we have assumed that before the Pre-Funded Warrant Shares are issued, the Company does not issue shares of Common Stock or reduce the total number of shares of Common Stock the Company is authorized to issue under its certificate of incorporation such that the number of unissued shares of Common Stock authorized under the Company’s certificate of incorporation is less than the number of Pre-Funded Warrant Shares.</w:t>
      </w:r>
    </w:p>
    <w:p>
      <w:pPr>
        <w:sectPr>
          <w:pgSz w:w="11900" w:h="16838" w:orient="portrait"/>
          <w:cols w:equalWidth="0" w:num="1">
            <w:col w:w="11020"/>
          </w:cols>
          <w:pgMar w:left="440" w:top="117"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 Medicine,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opinions set forth below are limited to the Delaware General Corporation Law and, with respect to opinion paragraph 2, the law of the State of New York.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on the foregoing, we are of the opinion that:</w:t>
      </w:r>
    </w:p>
    <w:p>
      <w:pPr>
        <w:spacing w:after="0" w:line="131" w:lineRule="exact"/>
        <w:rPr>
          <w:sz w:val="20"/>
          <w:szCs w:val="20"/>
          <w:color w:val="auto"/>
        </w:rPr>
      </w:pPr>
    </w:p>
    <w:p>
      <w:pPr>
        <w:ind w:left="960" w:right="540" w:hanging="532"/>
        <w:spacing w:after="0" w:line="282"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duly authorized and, when delivered and paid for in accordance with the terms of the Underwriting Agreement, will be validly issued, fully paid and non-assessable.</w:t>
      </w:r>
    </w:p>
    <w:p>
      <w:pPr>
        <w:spacing w:after="0" w:line="67"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Pre-Funded Warrants have been duly authorized and executed by the Company and, when delivered and paid for in accordance with the terms of the Underwriting Agreement, will be valid and binding obligations of the Company.</w:t>
      </w:r>
    </w:p>
    <w:p>
      <w:pPr>
        <w:spacing w:after="0" w:line="67" w:lineRule="exact"/>
        <w:rPr>
          <w:rFonts w:ascii="Times New Roman" w:cs="Times New Roman" w:eastAsia="Times New Roman" w:hAnsi="Times New Roman"/>
          <w:sz w:val="18"/>
          <w:szCs w:val="18"/>
          <w:color w:val="auto"/>
        </w:rPr>
      </w:pPr>
    </w:p>
    <w:p>
      <w:pPr>
        <w:ind w:left="960" w:right="380" w:hanging="532"/>
        <w:spacing w:after="0" w:line="282"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Pre-Funded Warrant Shares were issued today in accordance with the terms of the Pre-Funded Warrants, they would be validly issued, fully paid and non-assessable.</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opinions set forth above are subject to bankruptcy, insolvency, fraudulent transfer, reorganization, moratorium and other similar laws of general application affecting the rights and remedies of creditors and to general principles of equity.</w:t>
      </w:r>
    </w:p>
    <w:p>
      <w:pPr>
        <w:spacing w:after="0" w:line="16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 xml:space="preserve">This opinion letter and the opinion it contains shall be interpreted in accordance with the Core Opinion Principles as published in 74 </w:t>
      </w:r>
      <w:r>
        <w:rPr>
          <w:rFonts w:ascii="Times New Roman" w:cs="Times New Roman" w:eastAsia="Times New Roman" w:hAnsi="Times New Roman"/>
          <w:sz w:val="18"/>
          <w:szCs w:val="18"/>
          <w:i w:val="1"/>
          <w:iCs w:val="1"/>
          <w:color w:val="auto"/>
        </w:rPr>
        <w:t>Business Lawyer</w:t>
      </w:r>
      <w:r>
        <w:rPr>
          <w:rFonts w:ascii="Times New Roman" w:cs="Times New Roman" w:eastAsia="Times New Roman" w:hAnsi="Times New Roman"/>
          <w:sz w:val="18"/>
          <w:szCs w:val="18"/>
          <w:color w:val="auto"/>
        </w:rPr>
        <w:t xml:space="preserve"> 815 (Summer 2019).</w:t>
      </w:r>
    </w:p>
    <w:p>
      <w:pPr>
        <w:spacing w:after="0" w:line="16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This opinion is being furnished to you for submission to the Commission as an exhibit to the Company’s Current Report on Form 8-K relating to the Shares and Pre-Funded Warrants (the “Current Report”), which is incorporated by reference in the Registration Statements. We hereby consent to the inclusion of this opinion as Exhibit 5.1 to the Current Report and its incorporation by reference in the Registration Statements and the reference to our firm under the caption “Legal Matters” in the Prospectus Supplement. In giving our consent, we do not admit that we are in the category of persons whose consent is required under Section 7 of the Securities Act or the rules and regulations thereunder.</w:t>
      </w:r>
    </w:p>
    <w:p>
      <w:pPr>
        <w:spacing w:after="0" w:line="21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Goodwin Procter LLP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GOODWIN PROCTER </w:t>
      </w:r>
      <w:r>
        <w:rPr>
          <w:rFonts w:ascii="Times New Roman" w:cs="Times New Roman" w:eastAsia="Times New Roman" w:hAnsi="Times New Roman"/>
          <w:sz w:val="14"/>
          <w:szCs w:val="14"/>
          <w:color w:val="auto"/>
        </w:rPr>
        <w:t>LLP</w:t>
      </w:r>
    </w:p>
    <w:p>
      <w:pPr>
        <w:sectPr>
          <w:pgSz w:w="11900" w:h="16838" w:orient="portrait"/>
          <w:cols w:equalWidth="0" w:num="1">
            <w:col w:w="10960"/>
          </w:cols>
          <w:pgMar w:left="440" w:top="270" w:right="49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7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542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Announces Proposed Public Offering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Common Stock and Pre-Funded Warrants</w:t>
      </w:r>
    </w:p>
    <w:p>
      <w:pPr>
        <w:spacing w:after="0" w:line="20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WATERTOWN, Mass. (October 20, 2025) – Disc Medicine, Inc. (NASDAQ: IRON) (Disc), a clinical-stage biopharmaceutical company focused on the discovery, development, and commercialization of novel treatments for patients suffering from serious hematologic diseases, today announced the commencement of an underwritten offering of $220.0 million of shares of its common stock and, in lieu of common stock to certain investors that so choose, pre-funded warrants to purchase shares of its common stock, of which $200.0 million of shares are to be offered by Disc and $20.0 million of shares are to be offered by AI DMI LLC (the Selling Stockholder). In addition, the Selling Stockholder intends to grant the underwriters a 30-day option to purchase up to an additional $33.0 million of shares at the public offering price, less underwriting discounts and commissions. The proposed offering is subject to market and other conditions, and there can be no assurance as to whether or when the offering may be completed, or as to the actual size or terms of the offering.</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Disc intends to use the net proceeds from the proposed offering to support the potential commercialization of bitopertin for erythropoietic protoporphyria (EPP) and X-linked protoporphyria (XLP), to fund research and clinical development of its current or additional product candidates, and for working capital and other general corporate purposes. Disc will not receive any proceeds from the sale of shares to be offered by the Selling Stockholder.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Leerink Partners, Morgan Stanley and Cantor are acting as joint book-running managers for the proposed offering.</w:t>
      </w:r>
    </w:p>
    <w:p>
      <w:pPr>
        <w:spacing w:after="0" w:line="22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proposed offering is being made pursuant to an automatic shelf registration statement on Form S-3 (No. 333-281359) that was previously filed with the Securities and Exchange Commission (SEC) on August 8, 2024 and a resale registration statement on Form S-3 (No. 333-269270) that was previously filed with the SEC on January 18, 2023. This proposed offering is being made only by means of a prospectus supplement and accompanying prospectuses that form a part of the registration statements. A preliminary prospectus supplement and accompanying prospectuses related to the proposed offering will be filed with the SEC and will be available on the SEC’s website at www.sec.gov. Copies of the preliminary prospectus supplement and the accompanying prospectuses relating to this proposed offering may also be obtained, when available, by contacting: Jefferies LLC, Attention: Equity Syndicate Prospectus Department, 520 Madison Avenue, 2nd Floor, New York, NY 10022, by telephone at (877) 821-7388, or by email at prospectus_department@jefferies.com; Leerink Partners LLC, Attention: Syndicate Department, 53 State Street, 40th Floor, Boston, MA 02109, (800) 808-7525 ext. 6105 or by email at syndicate@leerink.com; Morgan Stanley &amp; Co. LLC, Attention: Prospectus Department, 180 Varick Street, 2nd Floor, New York, New York 10014; or Cantor Fitzgerald &amp; Co., Attention: Capital Markets, 110 East 59th Street, 6th Floor, New York, New York, 10022, or by email at prospectus@cantor.com.</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ectPr>
          <w:pgSz w:w="11900" w:h="16838" w:orient="portrait"/>
          <w:cols w:equalWidth="0" w:num="1">
            <w:col w:w="11020"/>
          </w:cols>
          <w:pgMar w:left="440" w:top="117"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54250" cy="3511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2254250" cy="351155"/>
                    </a:xfrm>
                    <a:prstGeom prst="rect">
                      <a:avLst/>
                    </a:prstGeom>
                    <a:noFill/>
                  </pic:spPr>
                </pic:pic>
              </a:graphicData>
            </a:graphic>
          </wp:anchor>
        </w:drawing>
        <w:t>About Disc Medicine</w:t>
      </w:r>
    </w:p>
    <w:p>
      <w:pPr>
        <w:spacing w:after="0" w:line="121"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as amended, including, without limitation, express or implied statements related to Disc’s expectations regarding the timing of the proposed offering, the anticipated use of proceeds from the offering and the anticipated grant to the underwriters of an option to purchase additional shares.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completion of the public offering on the anticipated terms or at all and other risks identified in our SEC filings, including our Quarterly Report on Form 10-Q for the quarter ended June 30, 2025, and in the preliminary prospectus supplement related to the proposed offering we will file with the SEC. We caution you not to place undue reliance on any forward-looking statements, which speak only as of the date they are made. We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christina.tartaglia@precisionaq.com</w:t>
      </w:r>
    </w:p>
    <w:p>
      <w:pPr>
        <w:sectPr>
          <w:pgSz w:w="11900" w:h="16838" w:orient="portrait"/>
          <w:cols w:equalWidth="0" w:num="1">
            <w:col w:w="11000"/>
          </w:cols>
          <w:pgMar w:left="440" w:top="968" w:right="45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2254250" cy="3517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5425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Disc Medicine Announces Pricing of $250 Million Upsized Public Offering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Common Stock and Pre-Funded Warrants</w:t>
      </w:r>
    </w:p>
    <w:p>
      <w:pPr>
        <w:spacing w:after="0" w:line="2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WATERTOWN, Mass. (October 21, 2025) – Disc Medicine, Inc. (NASDAQ: IRON) (Disc), a clinical-stage biopharmaceutical company focused on the discovery, development, and commercialization of novel treatments for patients suffering from serious hematologic diseases, today announced the pricing of the upsized underwritten offering of shares of its common stock and, in lieu of common stock to certain investors that so choose, pre-funded warrants to purchase shares of its common stock. Disc is selling 2,619,049 shares of common stock and pre-funded warrants to purchase 59,523 shares of common stock and AI DMI LLC (the Selling Stockholder) is selling 297,619 shares of common stock in the offering. The shares of common stock are being sold at an offering price of $84.00 per share, and the pre-funded warrants are being sold at an offering price of $83.9999 per pre-funded warrant, which represents the per share offering price for the common stock less the $0.0001 per share exercise price for each such pre-funded warrant. The aggregate gross proceeds to Disc from this offering are expected to be approximately $225 million, before deducting underwriting discounts and commissions and other offering expenses, excluding the exercise of any pre-funded warrants. The aggregate gross proceeds to the Selling Stockholder from this offering are expected to be approximately $25 million, before deducting underwriting discounts and commissions. In addition, the Selling Stockholder has granted the underwriters a 30-day option to purchase up to an additional 446,428 shares at the public offering price, less underwriting discounts and commissions. The offering is expected to close on October 22, 2025, subject to the satisfaction of customary closing conditions.</w:t>
      </w:r>
    </w:p>
    <w:p>
      <w:pPr>
        <w:spacing w:after="0" w:line="190"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Disc intends to use the net proceeds from the offering to support the potential commercialization of bitopertin for erythropoietic protoporphyria (EPP) and X-linked protoporphyria (XLP), to fund research and clinical development of its current or additional product candidates, and for working capital and other general corporate purposes. Disc will not receive any proceeds from the sale of shares to be offered by the Selling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Jefferies, Leerink Partners, Morgan Stanley and Cantor are acting as joint book-running managers for the offering. Wedbush PacGrow and H.C.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Wainwright &amp; Co. are acting as co-managers for the offering.</w:t>
      </w:r>
    </w:p>
    <w:p>
      <w:pPr>
        <w:spacing w:after="0" w:line="20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offering is being made pursuant to an automatic shelf registration statement on Form S-3 (No. 333-281359) that was previously filed with the Securities and Exchange Commission (SEC) on August 8, 2024 and a resale registration statement on Form S-3 (No. 333-269270) that was previously filed with the SEC on January 18, 2023. This offering is being made only by means of a prospectus supplement and accompanying prospectuses that form a part of the registration statements. A final prospectus supplement and accompanying prospectuses related to the offering will be filed with the SEC and will be available on the SEC’s website at www.sec.gov. Copies of the final prospectus supplement and the accompanying prospectuses relating to this offering may also be obtained, when available, by contacting: Jefferies LLC, Attention: Equity Syndicate Prospectus Department, 520 Madison Avenue, 2nd Floor, New York, NY 10022, by telephone at (877) 821-7388, or by email at prospectus_department@jefferies.com; Leerink Partners LLC, Attention: Syndicate Department, 53 State Street, 40th Floor, Boston, MA 02109, (800) 808-7525 ext. 6105 or by email at syndicate@leerink.com; Morgan Stanley &amp; Co. LLC, Attention: Prospectus Department, 180 Varick Street, 2nd Floor, New York, New York 10014; or Cantor Fitzgerald &amp; Co., Attention: Capital Markets, 110 East 59th Street, 6th Floor, New York, New York, 10022, or by email at prospectus@cantor.com.</w:t>
      </w:r>
    </w:p>
    <w:p>
      <w:pPr>
        <w:sectPr>
          <w:pgSz w:w="11900" w:h="16838" w:orient="portrait"/>
          <w:cols w:equalWidth="0" w:num="1">
            <w:col w:w="11020"/>
          </w:cols>
          <w:pgMar w:left="440" w:top="117" w:right="439" w:bottom="1440" w:gutter="0" w:footer="0" w:header="0"/>
        </w:sectPr>
      </w:pPr>
    </w:p>
    <w:bookmarkStart w:id="73" w:name="page74"/>
    <w:bookmarkEnd w:id="73"/>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2288540" cy="360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2288540" cy="360045"/>
                    </a:xfrm>
                    <a:prstGeom prst="rect">
                      <a:avLst/>
                    </a:prstGeom>
                    <a:noFill/>
                  </pic:spPr>
                </pic:pic>
              </a:graphicData>
            </a:graphic>
          </wp:anchor>
        </w:drawing>
        <w:t>This press release does not constitute an offer to sell or a solicitation of an offer to buy these securities, nor shall there be any sale of these securities in any state or jurisdiction in which such offer, solicitation or sale would be unlawful prior to registration or qualification under the securities laws of that state or jurisdiction.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Disc Medicine</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Disc Medicine (NASDAQ: IRON) is a clinical-stage biopharmaceutical company committed to discovering, developing, and commercializing novel treatments for patients who suffer from serious hematologic diseases. We are building a portfolio of innovative, potentially first-in-class therapeutic candidates that aim to address a wide spectrum of hematologic diseases by targeting fundamental biological pathways of red blood cell biology, specifically heme biosynthesis and iron homeostasis.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including, without limitation, express or implied statements related to Disc’s expectations regarding the timing and closing of the offering, and the anticipated use of proceeds from the offering. The words “may,” “will,” “could,” “would,” “should,” “expect,” “plan,” “anticipate,” “intend,” “believe,” “estimate,” “predict,” “project,” “potential,” “continue,” “seek,”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These risks and uncertainties include fluctuations in Disc’s stock price, changes in market conditions, the satisfaction of customary closing conditions related to the underwritten offering, and other risks identified in our SEC filings, including our Quarterly Report on Form 10-Q for the quarter ended June 30, 2025, and in the prospectus supplement related to the offering we will file with the SEC. We caution you not to place undue reliance on any forward-looking statements, which speak only as of the date they are made. We disclaim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 Rusconi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peg.rusconi@deerfieldgroup.com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 Tartaglia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Precision AQ</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christina.tartaglia@precisionaq.com</w:t>
      </w:r>
    </w:p>
    <w:sectPr>
      <w:pgSz w:w="11900" w:h="16838" w:orient="portrait"/>
      <w:cols w:equalWidth="0" w:num="1">
        <w:col w:w="10940"/>
      </w:cols>
      <w:pgMar w:left="440" w:top="98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
      <w:numFmt w:val="bullet"/>
      <w:start w:val="1"/>
    </w:lvl>
  </w:abstractNum>
  <w:abstractNum w:abstractNumId="2">
    <w:nsid w:val="32FFF902"/>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3">
    <w:nsid w:val="684A481A"/>
    <w:multiLevelType w:val="hybridMultilevel"/>
    <w:lvl w:ilvl="0">
      <w:lvlJc w:val="left"/>
      <w:lvlText w:val="%1"/>
      <w:numFmt w:val="lowerRoman"/>
      <w:start w:val="1"/>
    </w:lvl>
    <w:lvl w:ilvl="1">
      <w:lvlJc w:val="left"/>
      <w:lvlText w:val="(%2)"/>
      <w:numFmt w:val="lowerLetter"/>
      <w:start w:val="1"/>
    </w:lvl>
    <w:lvl w:ilvl="2">
      <w:lvlJc w:val="left"/>
      <w:lvlText w:val="%3"/>
      <w:numFmt w:val="decimal"/>
      <w:start w:val="1"/>
    </w:lvl>
  </w:abstractNum>
  <w:abstractNum w:abstractNumId="4">
    <w:nsid w:val="579478FE"/>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5">
    <w:nsid w:val="749ABB43"/>
    <w:multiLevelType w:val="hybridMultilevel"/>
    <w:lvl w:ilvl="0">
      <w:lvlJc w:val="left"/>
      <w:lvlText w:val="(%1)"/>
      <w:numFmt w:val="lowerLetter"/>
      <w:start w:val="3"/>
    </w:lvl>
  </w:abstractNum>
  <w:abstractNum w:abstractNumId="6">
    <w:nsid w:val="3DC240FB"/>
    <w:multiLevelType w:val="hybridMultilevel"/>
    <w:lvl w:ilvl="0">
      <w:lvlJc w:val="left"/>
      <w:lvlText w:val="(%1)"/>
      <w:numFmt w:val="lowerLetter"/>
      <w:start w:val="7"/>
    </w:lvl>
  </w:abstractNum>
  <w:abstractNum w:abstractNumId="7">
    <w:nsid w:val="1BA026FA"/>
    <w:multiLevelType w:val="hybridMultilevel"/>
    <w:lvl w:ilvl="0">
      <w:lvlJc w:val="left"/>
      <w:lvlText w:val="(%1)"/>
      <w:numFmt w:val="lowerLetter"/>
      <w:start w:val="11"/>
    </w:lvl>
  </w:abstractNum>
  <w:abstractNum w:abstractNumId="8">
    <w:nsid w:val="79A1DEAA"/>
    <w:multiLevelType w:val="hybridMultilevel"/>
    <w:lvl w:ilvl="0">
      <w:lvlJc w:val="left"/>
      <w:lvlText w:val="(%1)"/>
      <w:numFmt w:val="lowerLetter"/>
      <w:start w:val="14"/>
    </w:lvl>
  </w:abstractNum>
  <w:abstractNum w:abstractNumId="9">
    <w:nsid w:val="75C6C33A"/>
    <w:multiLevelType w:val="hybridMultilevel"/>
    <w:lvl w:ilvl="0">
      <w:lvlJc w:val="left"/>
      <w:lvlText w:val="(%1)"/>
      <w:numFmt w:val="lowerLetter"/>
      <w:start w:val="19"/>
    </w:lvl>
  </w:abstractNum>
  <w:abstractNum w:abstractNumId="10">
    <w:nsid w:val="12E685FB"/>
    <w:multiLevelType w:val="hybridMultilevel"/>
    <w:lvl w:ilvl="0">
      <w:lvlJc w:val="left"/>
      <w:lvlText w:val="(%1)"/>
      <w:numFmt w:val="lowerLetter"/>
      <w:start w:val="20"/>
    </w:lvl>
  </w:abstractNum>
  <w:abstractNum w:abstractNumId="11">
    <w:nsid w:val="70C6A529"/>
    <w:multiLevelType w:val="hybridMultilevel"/>
    <w:lvl w:ilvl="0">
      <w:lvlJc w:val="left"/>
      <w:lvlText w:val="(%1)"/>
      <w:numFmt w:val="lowerLetter"/>
      <w:start w:val="25"/>
    </w:lvl>
  </w:abstractNum>
  <w:abstractNum w:abstractNumId="12">
    <w:nsid w:val="520EEDD1"/>
    <w:multiLevelType w:val="hybridMultilevel"/>
    <w:lvl w:ilvl="0">
      <w:lvlJc w:val="left"/>
      <w:lvlText w:val="(%1)"/>
      <w:numFmt w:val="lowerLetter"/>
      <w:start w:val="27"/>
    </w:lvl>
  </w:abstractNum>
  <w:abstractNum w:abstractNumId="13">
    <w:nsid w:val="374A3FE6"/>
    <w:multiLevelType w:val="hybridMultilevel"/>
    <w:lvl w:ilvl="0">
      <w:lvlJc w:val="left"/>
      <w:lvlText w:val="(%1)"/>
      <w:numFmt w:val="lowerLetter"/>
      <w:start w:val="28"/>
    </w:lvl>
  </w:abstractNum>
  <w:abstractNum w:abstractNumId="14">
    <w:nsid w:val="4F4EF005"/>
    <w:multiLevelType w:val="hybridMultilevel"/>
    <w:lvl w:ilvl="0">
      <w:lvlJc w:val="left"/>
      <w:lvlText w:val="(%1)"/>
      <w:numFmt w:val="lowerLetter"/>
      <w:start w:val="32"/>
    </w:lvl>
  </w:abstractNum>
  <w:abstractNum w:abstractNumId="15">
    <w:nsid w:val="23F9C13C"/>
    <w:multiLevelType w:val="hybridMultilevel"/>
    <w:lvl w:ilvl="0">
      <w:lvlJc w:val="left"/>
      <w:lvlText w:val="(%1)"/>
      <w:numFmt w:val="lowerLetter"/>
      <w:start w:val="34"/>
    </w:lvl>
    <w:lvl w:ilvl="1">
      <w:lvlJc w:val="left"/>
      <w:lvlText w:val="(%2)"/>
      <w:numFmt w:val="lowerRoman"/>
      <w:start w:val="2"/>
    </w:lvl>
    <w:lvl w:ilvl="2">
      <w:lvlJc w:val="left"/>
      <w:lvlText w:val="(%3)"/>
      <w:numFmt w:val="upperLetter"/>
      <w:start w:val="1"/>
    </w:lvl>
  </w:abstractNum>
  <w:abstractNum w:abstractNumId="16">
    <w:nsid w:val="649BB77C"/>
    <w:multiLevelType w:val="hybridMultilevel"/>
    <w:lvl w:ilvl="0">
      <w:lvlJc w:val="left"/>
      <w:lvlText w:val="(%1)"/>
      <w:numFmt w:val="lowerRoman"/>
      <w:start w:val="2"/>
    </w:lvl>
    <w:lvl w:ilvl="1">
      <w:lvlJc w:val="left"/>
      <w:lvlText w:val="(%2)"/>
      <w:numFmt w:val="upperLetter"/>
      <w:start w:val="1"/>
    </w:lvl>
  </w:abstractNum>
  <w:abstractNum w:abstractNumId="17">
    <w:nsid w:val="275AC794"/>
    <w:multiLevelType w:val="hybridMultilevel"/>
    <w:lvl w:ilvl="0">
      <w:lvlJc w:val="left"/>
      <w:lvlText w:val="(%1)"/>
      <w:numFmt w:val="lowerLetter"/>
      <w:start w:val="36"/>
    </w:lvl>
  </w:abstractNum>
  <w:abstractNum w:abstractNumId="18">
    <w:nsid w:val="39386575"/>
    <w:multiLevelType w:val="hybridMultilevel"/>
    <w:lvl w:ilvl="0">
      <w:lvlJc w:val="left"/>
      <w:lvlText w:val="(%1)"/>
      <w:numFmt w:val="lowerLetter"/>
      <w:start w:val="38"/>
    </w:lvl>
  </w:abstractNum>
  <w:abstractNum w:abstractNumId="19">
    <w:nsid w:val="1CF10FD8"/>
    <w:multiLevelType w:val="hybridMultilevel"/>
    <w:lvl w:ilvl="0">
      <w:lvlJc w:val="left"/>
      <w:lvlText w:val="(%1)"/>
      <w:numFmt w:val="lowerLetter"/>
      <w:start w:val="41"/>
    </w:lvl>
  </w:abstractNum>
  <w:abstractNum w:abstractNumId="20">
    <w:nsid w:val="180115BE"/>
    <w:multiLevelType w:val="hybridMultilevel"/>
    <w:lvl w:ilvl="0">
      <w:lvlJc w:val="left"/>
      <w:lvlText w:val="(%1)"/>
      <w:numFmt w:val="lowerLetter"/>
      <w:start w:val="42"/>
    </w:lvl>
  </w:abstractNum>
  <w:abstractNum w:abstractNumId="21">
    <w:nsid w:val="235BA861"/>
    <w:multiLevelType w:val="hybridMultilevel"/>
    <w:lvl w:ilvl="0">
      <w:lvlJc w:val="left"/>
      <w:lvlText w:val="(%1)"/>
      <w:numFmt w:val="lowerLetter"/>
      <w:start w:val="47"/>
    </w:lvl>
  </w:abstractNum>
  <w:abstractNum w:abstractNumId="22">
    <w:nsid w:val="47398C89"/>
    <w:multiLevelType w:val="hybridMultilevel"/>
    <w:lvl w:ilvl="0">
      <w:lvlJc w:val="left"/>
      <w:lvlText w:val="%1"/>
      <w:numFmt w:val="lowerLetter"/>
      <w:start w:val="1"/>
    </w:lvl>
    <w:lvl w:ilvl="1">
      <w:lvlJc w:val="left"/>
      <w:lvlText w:val="%2."/>
      <w:numFmt w:val="decimal"/>
      <w:start w:val="2"/>
    </w:lvl>
  </w:abstractNum>
  <w:abstractNum w:abstractNumId="23">
    <w:nsid w:val="354FE9F9"/>
    <w:multiLevelType w:val="hybridMultilevel"/>
    <w:lvl w:ilvl="0">
      <w:lvlJc w:val="left"/>
      <w:lvlText w:val="(%1)"/>
      <w:numFmt w:val="lowerLetter"/>
      <w:start w:val="1"/>
    </w:lvl>
    <w:lvl w:ilvl="1">
      <w:lvlJc w:val="left"/>
      <w:lvlText w:val="%2"/>
      <w:numFmt w:val="decimal"/>
      <w:start w:val="1"/>
    </w:lvl>
  </w:abstractNum>
  <w:abstractNum w:abstractNumId="24">
    <w:nsid w:val="15B5AF5C"/>
    <w:multiLevelType w:val="hybridMultilevel"/>
    <w:lvl w:ilvl="0">
      <w:lvlJc w:val="left"/>
      <w:lvlText w:val="%1"/>
      <w:numFmt w:val="lowerLetter"/>
      <w:start w:val="1"/>
    </w:lvl>
    <w:lvl w:ilvl="1">
      <w:lvlJc w:val="left"/>
      <w:lvlText w:val="(%2)"/>
      <w:numFmt w:val="lowerLetter"/>
      <w:start w:val="4"/>
    </w:lvl>
  </w:abstractNum>
  <w:abstractNum w:abstractNumId="25">
    <w:nsid w:val="741226BB"/>
    <w:multiLevelType w:val="hybridMultilevel"/>
    <w:lvl w:ilvl="0">
      <w:lvlJc w:val="left"/>
      <w:lvlText w:val="(%1)"/>
      <w:numFmt w:val="lowerLetter"/>
      <w:start w:val="9"/>
    </w:lvl>
    <w:lvl w:ilvl="1">
      <w:lvlJc w:val="left"/>
      <w:lvlText w:val="(%2)"/>
      <w:numFmt w:val="lowerLetter"/>
      <w:start w:val="5"/>
    </w:lvl>
  </w:abstractNum>
  <w:abstractNum w:abstractNumId="26">
    <w:nsid w:val="D34B6A8"/>
    <w:multiLevelType w:val="hybridMultilevel"/>
    <w:lvl w:ilvl="0">
      <w:lvlJc w:val="left"/>
      <w:lvlText w:val="(%1)"/>
      <w:numFmt w:val="lowerLetter"/>
      <w:start w:val="7"/>
    </w:lvl>
  </w:abstractNum>
  <w:abstractNum w:abstractNumId="27">
    <w:nsid w:val="10233C99"/>
    <w:multiLevelType w:val="hybridMultilevel"/>
    <w:lvl w:ilvl="0">
      <w:lvlJc w:val="left"/>
      <w:lvlText w:val="%1."/>
      <w:numFmt w:val="decimal"/>
      <w:start w:val="3"/>
    </w:lvl>
  </w:abstractNum>
  <w:abstractNum w:abstractNumId="28">
    <w:nsid w:val="3F6AB60F"/>
    <w:multiLevelType w:val="hybridMultilevel"/>
    <w:lvl w:ilvl="0">
      <w:lvlJc w:val="left"/>
      <w:lvlText w:val="%1."/>
      <w:numFmt w:val="decimal"/>
      <w:start w:val="4"/>
    </w:lvl>
  </w:abstractNum>
  <w:abstractNum w:abstractNumId="29">
    <w:nsid w:val="61574095"/>
    <w:multiLevelType w:val="hybridMultilevel"/>
    <w:lvl w:ilvl="0">
      <w:lvlJc w:val="left"/>
      <w:lvlText w:val="%1."/>
      <w:numFmt w:val="decimal"/>
      <w:start w:val="5"/>
    </w:lvl>
  </w:abstractNum>
  <w:abstractNum w:abstractNumId="30">
    <w:nsid w:val="7E0C57B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1">
    <w:nsid w:val="77AE35E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2">
    <w:nsid w:val="579BE4F1"/>
    <w:multiLevelType w:val="hybridMultilevel"/>
    <w:lvl w:ilvl="0">
      <w:lvlJc w:val="left"/>
      <w:lvlText w:val="(%1)"/>
      <w:numFmt w:val="lowerLetter"/>
      <w:start w:val="2"/>
    </w:lvl>
  </w:abstractNum>
  <w:abstractNum w:abstractNumId="33">
    <w:nsid w:val="310C50B3"/>
    <w:multiLevelType w:val="hybridMultilevel"/>
    <w:lvl w:ilvl="0">
      <w:lvlJc w:val="left"/>
      <w:lvlText w:val="%1"/>
      <w:numFmt w:val="lowerLetter"/>
      <w:start w:val="1"/>
    </w:lvl>
    <w:lvl w:ilvl="1">
      <w:lvlJc w:val="left"/>
      <w:lvlText w:val="(%2)"/>
      <w:numFmt w:val="lowerRoman"/>
      <w:start w:val="1"/>
    </w:lvl>
  </w:abstractNum>
  <w:abstractNum w:abstractNumId="34">
    <w:nsid w:val="5FF87E05"/>
    <w:multiLevelType w:val="hybridMultilevel"/>
    <w:lvl w:ilvl="0">
      <w:lvlJc w:val="left"/>
      <w:lvlText w:val="(%1)"/>
      <w:numFmt w:val="lowerLetter"/>
      <w:start w:val="4"/>
    </w:lvl>
    <w:lvl w:ilvl="1">
      <w:lvlJc w:val="left"/>
      <w:lvlText w:val="%2"/>
      <w:numFmt w:val="lowerRoman"/>
      <w:start w:val="1"/>
    </w:lvl>
  </w:abstractNum>
  <w:abstractNum w:abstractNumId="35">
    <w:nsid w:val="2F305DEF"/>
    <w:multiLevelType w:val="hybridMultilevel"/>
    <w:lvl w:ilvl="0">
      <w:lvlJc w:val="left"/>
      <w:lvlText w:val="(%1)"/>
      <w:numFmt w:val="lowerRoman"/>
      <w:start w:val="1"/>
    </w:lvl>
  </w:abstractNum>
  <w:abstractNum w:abstractNumId="36">
    <w:nsid w:val="25A70BF7"/>
    <w:multiLevelType w:val="hybridMultilevel"/>
    <w:lvl w:ilvl="0">
      <w:lvlJc w:val="left"/>
      <w:lvlText w:val="(%1)"/>
      <w:numFmt w:val="lowerLetter"/>
      <w:start w:val="10"/>
    </w:lvl>
  </w:abstractNum>
  <w:abstractNum w:abstractNumId="37">
    <w:nsid w:val="1DBABF00"/>
    <w:multiLevelType w:val="hybridMultilevel"/>
    <w:lvl w:ilvl="0">
      <w:lvlJc w:val="left"/>
      <w:lvlText w:val="(%1)"/>
      <w:numFmt w:val="lowerLetter"/>
      <w:start w:val="15"/>
    </w:lvl>
    <w:lvl w:ilvl="1">
      <w:lvlJc w:val="left"/>
      <w:lvlText w:val="(%2)"/>
      <w:numFmt w:val="lowerRoman"/>
      <w:start w:val="1"/>
    </w:lvl>
  </w:abstractNum>
  <w:abstractNum w:abstractNumId="38">
    <w:nsid w:val="4AD084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8"/>
    </w:lvl>
  </w:abstractNum>
  <w:abstractNum w:abstractNumId="39">
    <w:nsid w:val="1F48EAA1"/>
    <w:multiLevelType w:val="hybridMultilevel"/>
    <w:lvl w:ilvl="0">
      <w:lvlJc w:val="left"/>
      <w:lvlText w:val="%1"/>
      <w:numFmt w:val="lowerLetter"/>
      <w:start w:val="1"/>
    </w:lvl>
    <w:lvl w:ilvl="1">
      <w:lvlJc w:val="left"/>
      <w:lvlText w:val="%2."/>
      <w:numFmt w:val="decimal"/>
      <w:start w:val="7"/>
    </w:lvl>
    <w:lvl w:ilvl="2">
      <w:lvlJc w:val="left"/>
      <w:lvlText w:val="%3"/>
      <w:numFmt w:val="lowerRoman"/>
      <w:start w:val="1"/>
    </w:lvl>
  </w:abstractNum>
  <w:abstractNum w:abstractNumId="40">
    <w:nsid w:val="1381823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1">
    <w:nsid w:val="5DB70AE5"/>
    <w:multiLevelType w:val="hybridMultilevel"/>
    <w:lvl w:ilvl="0">
      <w:lvlJc w:val="left"/>
      <w:lvlText w:val="(%1)"/>
      <w:numFmt w:val="lowerLetter"/>
      <w:start w:val="3"/>
    </w:lvl>
  </w:abstractNum>
  <w:abstractNum w:abstractNumId="42">
    <w:nsid w:val="100F8FCA"/>
    <w:multiLevelType w:val="hybridMultilevel"/>
    <w:lvl w:ilvl="0">
      <w:lvlJc w:val="left"/>
      <w:lvlText w:val="(%1)"/>
      <w:numFmt w:val="lowerLetter"/>
      <w:start w:val="7"/>
    </w:lvl>
  </w:abstractNum>
  <w:abstractNum w:abstractNumId="43">
    <w:nsid w:val="6590700B"/>
    <w:multiLevelType w:val="hybridMultilevel"/>
    <w:lvl w:ilvl="0">
      <w:lvlJc w:val="left"/>
      <w:lvlText w:val="(%1)"/>
      <w:numFmt w:val="lowerLetter"/>
      <w:start w:val="10"/>
    </w:lvl>
  </w:abstractNum>
  <w:abstractNum w:abstractNumId="44">
    <w:nsid w:val="15014ACB"/>
    <w:multiLevelType w:val="hybridMultilevel"/>
    <w:lvl w:ilvl="0">
      <w:lvlJc w:val="left"/>
      <w:lvlText w:val="%1"/>
      <w:numFmt w:val="lowerLetter"/>
      <w:start w:val="1"/>
    </w:lvl>
    <w:lvl w:ilvl="1">
      <w:lvlJc w:val="left"/>
      <w:lvlText w:val="%2."/>
      <w:numFmt w:val="decimal"/>
      <w:start w:val="8"/>
    </w:lvl>
  </w:abstractNum>
  <w:abstractNum w:abstractNumId="45">
    <w:nsid w:val="5F5E7FD0"/>
    <w:multiLevelType w:val="hybridMultilevel"/>
    <w:lvl w:ilvl="0">
      <w:lvlJc w:val="left"/>
      <w:lvlText w:val="(%1)"/>
      <w:numFmt w:val="lowerLetter"/>
      <w:start w:val="1"/>
    </w:lvl>
    <w:lvl w:ilvl="1">
      <w:lvlJc w:val="left"/>
      <w:lvlText w:val="%2"/>
      <w:numFmt w:val="decimal"/>
      <w:start w:val="1"/>
    </w:lvl>
  </w:abstractNum>
  <w:abstractNum w:abstractNumId="46">
    <w:nsid w:val="98A3148"/>
    <w:multiLevelType w:val="hybridMultilevel"/>
    <w:lvl w:ilvl="0">
      <w:lvlJc w:val="left"/>
      <w:lvlText w:val="(%1)"/>
      <w:numFmt w:val="lowerLetter"/>
      <w:start w:val="4"/>
    </w:lvl>
    <w:lvl w:ilvl="1">
      <w:lvlJc w:val="left"/>
      <w:lvlText w:val="%2."/>
      <w:numFmt w:val="decimal"/>
      <w:start w:val="9"/>
    </w:lvl>
  </w:abstractNum>
  <w:abstractNum w:abstractNumId="47">
    <w:nsid w:val="799D0247"/>
    <w:multiLevelType w:val="hybridMultilevel"/>
    <w:lvl w:ilvl="0">
      <w:lvlJc w:val="left"/>
      <w:lvlText w:val="(%1)"/>
      <w:numFmt w:val="lowerLetter"/>
      <w:start w:val="2"/>
    </w:lvl>
  </w:abstractNum>
  <w:abstractNum w:abstractNumId="48">
    <w:nsid w:val="6B94764"/>
    <w:multiLevelType w:val="hybridMultilevel"/>
    <w:lvl w:ilvl="0">
      <w:lvlJc w:val="left"/>
      <w:lvlText w:val="(%1)"/>
      <w:numFmt w:val="lowerLetter"/>
      <w:start w:val="4"/>
    </w:lvl>
  </w:abstractNum>
  <w:abstractNum w:abstractNumId="49">
    <w:nsid w:val="42C296BD"/>
    <w:multiLevelType w:val="hybridMultilevel"/>
    <w:lvl w:ilvl="0">
      <w:lvlJc w:val="left"/>
      <w:lvlText w:val="(%1)"/>
      <w:numFmt w:val="lowerLetter"/>
      <w:start w:val="5"/>
    </w:lvl>
  </w:abstractNum>
  <w:abstractNum w:abstractNumId="50">
    <w:nsid w:val="168E121F"/>
    <w:multiLevelType w:val="hybridMultilevel"/>
    <w:lvl w:ilvl="0">
      <w:lvlJc w:val="left"/>
      <w:lvlText w:val="(%1)"/>
      <w:numFmt w:val="lowerLetter"/>
      <w:start w:val="6"/>
    </w:lvl>
    <w:lvl w:ilvl="1">
      <w:lvlJc w:val="left"/>
      <w:lvlText w:val="(%2)"/>
      <w:numFmt w:val="lowerRoman"/>
      <w:start w:val="4"/>
    </w:lvl>
    <w:lvl w:ilvl="2">
      <w:lvlJc w:val="left"/>
      <w:lvlText w:val="%3."/>
      <w:numFmt w:val="decimal"/>
      <w:start w:val="11"/>
    </w:lvl>
  </w:abstractNum>
  <w:abstractNum w:abstractNumId="51">
    <w:nsid w:val="1EBA5D2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2"/>
    </w:lvl>
  </w:abstractNum>
  <w:abstractNum w:abstractNumId="52">
    <w:nsid w:val="661E3F1E"/>
    <w:multiLevelType w:val="hybridMultilevel"/>
    <w:lvl w:ilvl="0">
      <w:lvlJc w:val="left"/>
      <w:lvlText w:val="(%1)"/>
      <w:numFmt w:val="lowerRoman"/>
      <w:start w:val="2"/>
    </w:lvl>
  </w:abstractNum>
  <w:abstractNum w:abstractNumId="53">
    <w:nsid w:val="5DC79EA8"/>
    <w:multiLevelType w:val="hybridMultilevel"/>
    <w:lvl w:ilvl="0">
      <w:lvlJc w:val="left"/>
      <w:lvlText w:val="%1"/>
      <w:numFmt w:val="lowerRoman"/>
      <w:start w:val="1"/>
    </w:lvl>
    <w:lvl w:ilvl="1">
      <w:lvlJc w:val="left"/>
      <w:lvlText w:val="%2."/>
      <w:numFmt w:val="decimal"/>
      <w:start w:val="13"/>
    </w:lvl>
  </w:abstractNum>
  <w:abstractNum w:abstractNumId="54">
    <w:nsid w:val="540A471C"/>
    <w:multiLevelType w:val="hybridMultilevel"/>
    <w:lvl w:ilvl="0">
      <w:lvlJc w:val="left"/>
      <w:lvlText w:val="(%1)"/>
      <w:numFmt w:val="lowerRoman"/>
      <w:start w:val="1"/>
    </w:lvl>
    <w:lvl w:ilvl="1">
      <w:lvlJc w:val="left"/>
      <w:lvlText w:val="%2"/>
      <w:numFmt w:val="decimal"/>
      <w:start w:val="1"/>
    </w:lvl>
  </w:abstractNum>
  <w:abstractNum w:abstractNumId="55">
    <w:nsid w:val="7BD3EE7B"/>
    <w:multiLevelType w:val="hybridMultilevel"/>
    <w:lvl w:ilvl="0">
      <w:lvlJc w:val="left"/>
      <w:lvlText w:val="%1"/>
      <w:numFmt w:val="lowerLetter"/>
      <w:start w:val="1"/>
    </w:lvl>
    <w:lvl w:ilvl="1">
      <w:lvlJc w:val="left"/>
      <w:lvlText w:val="%2."/>
      <w:numFmt w:val="decimal"/>
      <w:start w:val="14"/>
    </w:lvl>
  </w:abstractNum>
  <w:abstractNum w:abstractNumId="56">
    <w:nsid w:val="51D9C564"/>
    <w:multiLevelType w:val="hybridMultilevel"/>
    <w:lvl w:ilvl="0">
      <w:lvlJc w:val="left"/>
      <w:lvlText w:val="(%1)"/>
      <w:numFmt w:val="lowerLetter"/>
      <w:start w:val="2"/>
    </w:lvl>
    <w:lvl w:ilvl="1">
      <w:lvlJc w:val="left"/>
      <w:lvlText w:val="%2."/>
      <w:numFmt w:val="decimal"/>
      <w:start w:val="15"/>
    </w:lvl>
  </w:abstractNum>
  <w:abstractNum w:abstractNumId="57">
    <w:nsid w:val="613EFDC5"/>
    <w:multiLevelType w:val="hybridMultilevel"/>
    <w:lvl w:ilvl="0">
      <w:lvlJc w:val="left"/>
      <w:lvlText w:val="(%1)"/>
      <w:numFmt w:val="lowerLetter"/>
      <w:start w:val="2"/>
    </w:lvl>
  </w:abstractNum>
  <w:abstractNum w:abstractNumId="58">
    <w:nsid w:val="BF72B14"/>
    <w:multiLevelType w:val="hybridMultilevel"/>
    <w:lvl w:ilvl="0">
      <w:lvlJc w:val="left"/>
      <w:lvlText w:val="%1."/>
      <w:numFmt w:val="decimal"/>
      <w:start w:val="16"/>
    </w:lvl>
  </w:abstractNum>
  <w:abstractNum w:abstractNumId="59">
    <w:nsid w:val="11447B73"/>
    <w:multiLevelType w:val="hybridMultilevel"/>
    <w:lvl w:ilvl="0">
      <w:lvlJc w:val="left"/>
      <w:lvlText w:val="%1"/>
      <w:numFmt w:val="lowerLetter"/>
      <w:start w:val="1"/>
    </w:lvl>
    <w:lvl w:ilvl="1">
      <w:lvlJc w:val="left"/>
      <w:lvlText w:val="(%2)"/>
      <w:numFmt w:val="lowerLetter"/>
      <w:start w:val="1"/>
    </w:lvl>
  </w:abstractNum>
  <w:abstractNum w:abstractNumId="60">
    <w:nsid w:val="42963E5A"/>
    <w:multiLevelType w:val="hybridMultilevel"/>
    <w:lvl w:ilvl="0">
      <w:lvlJc w:val="left"/>
      <w:lvlText w:val="(%1)"/>
      <w:numFmt w:val="lowerLetter"/>
      <w:start w:val="35"/>
    </w:lvl>
    <w:lvl w:ilvl="1">
      <w:lvlJc w:val="left"/>
      <w:lvlText w:val="%2"/>
      <w:numFmt w:val="lowerLetter"/>
      <w:start w:val="1"/>
    </w:lvl>
  </w:abstractNum>
  <w:abstractNum w:abstractNumId="61">
    <w:nsid w:val="A0382C5"/>
    <w:multiLevelType w:val="hybridMultilevel"/>
    <w:lvl w:ilvl="0">
      <w:lvlJc w:val="left"/>
      <w:lvlText w:val="(%1)"/>
      <w:numFmt w:val="lowerLetter"/>
      <w:start w:val="7"/>
    </w:lvl>
  </w:abstractNum>
  <w:abstractNum w:abstractNumId="62">
    <w:nsid w:val="8F2B15E"/>
    <w:multiLevelType w:val="hybridMultilevel"/>
    <w:lvl w:ilvl="0">
      <w:lvlJc w:val="left"/>
      <w:lvlText w:val="(%1)"/>
      <w:numFmt w:val="lowerLetter"/>
      <w:start w:val="11"/>
    </w:lvl>
  </w:abstractNum>
  <w:abstractNum w:abstractNumId="63">
    <w:nsid w:val="1A32234B"/>
    <w:multiLevelType w:val="hybridMultilevel"/>
    <w:lvl w:ilvl="0">
      <w:lvlJc w:val="left"/>
      <w:lvlText w:val="(%1)"/>
      <w:numFmt w:val="lowerRoman"/>
      <w:start w:val="4"/>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7"/>
    </w:lvl>
  </w:abstractNum>
  <w:abstractNum w:abstractNumId="66">
    <w:nsid w:val="4962813B"/>
    <w:multiLevelType w:val="hybridMultilevel"/>
    <w:lvl w:ilvl="0">
      <w:lvlJc w:val="left"/>
      <w:lvlText w:val="(%1)"/>
      <w:numFmt w:val="lowerLetter"/>
      <w:start w:val="8"/>
    </w:lvl>
  </w:abstractNum>
  <w:abstractNum w:abstractNumId="67">
    <w:nsid w:val="60B6DF70"/>
    <w:multiLevelType w:val="hybridMultilevel"/>
    <w:lvl w:ilvl="0">
      <w:lvlJc w:val="left"/>
      <w:lvlText w:val="%1."/>
      <w:numFmt w:val="decimal"/>
      <w:start w:val="2"/>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2"/>
    </w:lvl>
  </w:abstractNum>
  <w:abstractNum w:abstractNumId="70">
    <w:nsid w:val="7FFFCA11"/>
    <w:multiLevelType w:val="hybridMultilevel"/>
    <w:lvl w:ilvl="0">
      <w:lvlJc w:val="left"/>
      <w:lvlText w:val="%1."/>
      <w:numFmt w:val="decimal"/>
      <w:start w:val="5"/>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decimal"/>
      <w:start w:val="6"/>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lowerLetter"/>
      <w:start w:val="2"/>
    </w:lvl>
  </w:abstractNum>
  <w:abstractNum w:abstractNumId="75">
    <w:nsid w:val="6EB5BD4"/>
    <w:multiLevelType w:val="hybridMultilevel"/>
    <w:lvl w:ilvl="0">
      <w:lvlJc w:val="left"/>
      <w:lvlText w:val="(%1)"/>
      <w:numFmt w:val="lowerLetter"/>
      <w:start w:val="35"/>
    </w:lvl>
  </w:abstractNum>
  <w:abstractNum w:abstractNumId="76">
    <w:nsid w:val="6F6DD9AC"/>
    <w:multiLevelType w:val="hybridMultilevel"/>
    <w:lvl w:ilvl="0">
      <w:lvlJc w:val="left"/>
      <w:lvlText w:val="(%1)"/>
      <w:numFmt w:val="lowerRoman"/>
      <w:start w:val="2"/>
    </w:lvl>
  </w:abstractNum>
  <w:abstractNum w:abstractNumId="77">
    <w:nsid w:val="94211F2"/>
    <w:multiLevelType w:val="hybridMultilevel"/>
    <w:lvl w:ilvl="0">
      <w:lvlJc w:val="left"/>
      <w:lvlText w:val="(%1)"/>
      <w:numFmt w:val="lowerLetter"/>
      <w:start w:val="5"/>
    </w:lvl>
  </w:abstractNum>
  <w:abstractNum w:abstractNumId="78">
    <w:nsid w:val="885E1B"/>
    <w:multiLevelType w:val="hybridMultilevel"/>
    <w:lvl w:ilvl="0">
      <w:lvlJc w:val="left"/>
      <w:lvlText w:val="%1."/>
      <w:numFmt w:val="decimal"/>
      <w:start w:val="10"/>
    </w:lvl>
  </w:abstractNum>
  <w:abstractNum w:abstractNumId="79">
    <w:nsid w:val="76272110"/>
    <w:multiLevelType w:val="hybridMultilevel"/>
    <w:lvl w:ilvl="0">
      <w:lvlJc w:val="left"/>
      <w:lvlText w:val="%1."/>
      <w:numFmt w:val="decimal"/>
      <w:start w:val="11"/>
    </w:lvl>
  </w:abstractNum>
  <w:abstractNum w:abstractNumId="80">
    <w:nsid w:val="4C04A8AF"/>
    <w:multiLevelType w:val="hybridMultilevel"/>
    <w:lvl w:ilvl="0">
      <w:lvlJc w:val="left"/>
      <w:lvlText w:val="(%1)"/>
      <w:numFmt w:val="lowerLetter"/>
      <w:start w:val="1"/>
    </w:lvl>
  </w:abstractNum>
  <w:abstractNum w:abstractNumId="81">
    <w:nsid w:val="1716703B"/>
    <w:multiLevelType w:val="hybridMultilevel"/>
    <w:lvl w:ilvl="0">
      <w:lvlJc w:val="left"/>
      <w:lvlText w:val="(%1)"/>
      <w:numFmt w:val="lowerLetter"/>
      <w:start w:val="2"/>
    </w:lvl>
  </w:abstractNum>
  <w:abstractNum w:abstractNumId="82">
    <w:nsid w:val="14E17E33"/>
    <w:multiLevelType w:val="hybridMultilevel"/>
    <w:lvl w:ilvl="0">
      <w:lvlJc w:val="left"/>
      <w:lvlText w:val="(%1)"/>
      <w:numFmt w:val="lowerLetter"/>
      <w:start w:val="3"/>
    </w:lvl>
  </w:abstractNum>
  <w:abstractNum w:abstractNumId="83">
    <w:nsid w:val="3222E7CD"/>
    <w:multiLevelType w:val="hybridMultilevel"/>
    <w:lvl w:ilvl="0">
      <w:lvlJc w:val="left"/>
      <w:lvlText w:val="%1."/>
      <w:numFmt w:val="decimal"/>
      <w:start w:val="12"/>
    </w:lvl>
  </w:abstractNum>
  <w:abstractNum w:abstractNumId="84">
    <w:nsid w:val="74DE0EE3"/>
    <w:multiLevelType w:val="hybridMultilevel"/>
    <w:lvl w:ilvl="0">
      <w:lvlJc w:val="left"/>
      <w:lvlText w:val="%1."/>
      <w:numFmt w:val="decimal"/>
      <w:start w:val="14"/>
    </w:lvl>
  </w:abstractNum>
  <w:abstractNum w:abstractNumId="85">
    <w:nsid w:val="68EBC550"/>
    <w:multiLevelType w:val="hybridMultilevel"/>
    <w:lvl w:ilvl="0">
      <w:lvlJc w:val="left"/>
      <w:lvlText w:val="%1."/>
      <w:numFmt w:val="decimal"/>
      <w:start w:val="15"/>
    </w:lvl>
  </w:abstractNum>
  <w:abstractNum w:abstractNumId="86">
    <w:nsid w:val="2DF6D648"/>
    <w:multiLevelType w:val="hybridMultilevel"/>
    <w:lvl w:ilvl="0">
      <w:lvlJc w:val="left"/>
      <w:lvlText w:val="(%1)"/>
      <w:numFmt w:val="lowerLetter"/>
      <w:start w:val="1"/>
    </w:lvl>
  </w:abstractNum>
  <w:abstractNum w:abstractNumId="87">
    <w:nsid w:val="46B7D447"/>
    <w:multiLevelType w:val="hybridMultilevel"/>
    <w:lvl w:ilvl="0">
      <w:lvlJc w:val="left"/>
      <w:lvlText w:val="(%1)"/>
      <w:numFmt w:val="lowerRoman"/>
      <w:start w:val="1"/>
    </w:lvl>
  </w:abstractNum>
  <w:abstractNum w:abstractNumId="88">
    <w:nsid w:val="4A2AC315"/>
    <w:multiLevelType w:val="hybridMultilevel"/>
    <w:lvl w:ilvl="0">
      <w:lvlJc w:val="left"/>
      <w:lvlText w:val="(%1)"/>
      <w:numFmt w:val="lowerLetter"/>
      <w:start w:val="3"/>
    </w:lvl>
  </w:abstractNum>
  <w:abstractNum w:abstractNumId="89">
    <w:nsid w:val="39EE015C"/>
    <w:multiLevelType w:val="hybridMultilevel"/>
    <w:lvl w:ilvl="0">
      <w:lvlJc w:val="left"/>
      <w:lvlText w:val="(%1)"/>
      <w:numFmt w:val="lowerLetter"/>
      <w:start w:val="7"/>
    </w:lvl>
  </w:abstractNum>
  <w:abstractNum w:abstractNumId="90">
    <w:nsid w:val="57FC4FBB"/>
    <w:multiLevelType w:val="hybridMultilevel"/>
    <w:lvl w:ilvl="0">
      <w:lvlJc w:val="left"/>
      <w:lvlText w:val="(%1)"/>
      <w:numFmt w:val="decimal"/>
      <w:start w:val="1"/>
    </w:lvl>
  </w:abstractNum>
  <w:abstractNum w:abstractNumId="91">
    <w:nsid w:val="CC1016F"/>
    <w:multiLevelType w:val="hybridMultilevel"/>
    <w:lvl w:ilvl="0">
      <w:lvlJc w:val="left"/>
      <w:lvlText w:val="☐"/>
      <w:numFmt w:val="bullet"/>
      <w:start w:val="1"/>
    </w:lvl>
  </w:abstractNum>
  <w:abstractNum w:abstractNumId="92">
    <w:nsid w:val="43F18422"/>
    <w:multiLevelType w:val="hybridMultilevel"/>
    <w:lvl w:ilvl="0">
      <w:lvlJc w:val="left"/>
      <w:lvlText w:val="(%1)"/>
      <w:numFmt w:val="decimal"/>
      <w:start w:val="4"/>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2025-10-22T08:15:18Z</dcterms:created>
  <dcterms:modified xsi:type="dcterms:W3CDTF">2025-10-22T08:15:18Z</dcterms:modified>
</cp:coreProperties>
</file>