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0001812049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Atlas Venture Fund XII, LP</w:t>
      </w:r>
    </w:p>
    <w:p>
      <w:pPr>
        <w:spacing w:after="0" w:line="44"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148</w:t>
            </w:r>
          </w:p>
        </w:tc>
        <w:tc>
          <w:tcPr>
            <w:tcW w:w="114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13538</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37750162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12/17/2025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05/01/2020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148</w:t>
      </w:r>
      <w:r>
        <w:rPr>
          <w:sz w:val="20"/>
          <w:szCs w:val="20"/>
          <w:color w:val="auto"/>
        </w:rPr>
        <w:tab/>
      </w:r>
      <w:r>
        <w:rPr>
          <w:rFonts w:ascii="Times New Roman" w:cs="Times New Roman" w:eastAsia="Times New Roman" w:hAnsi="Times New Roman"/>
          <w:sz w:val="21"/>
          <w:szCs w:val="21"/>
          <w:color w:val="auto"/>
        </w:rPr>
        <w:t>05/01/2020 Cash</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See attached Table II for sales of securities over the last three months.</w:t>
      </w:r>
    </w:p>
    <w:p>
      <w:pPr>
        <w:spacing w:after="0" w:line="56" w:lineRule="exact"/>
        <w:rPr>
          <w:sz w:val="20"/>
          <w:szCs w:val="20"/>
          <w:color w:val="auto"/>
        </w:rPr>
      </w:pPr>
    </w:p>
    <w:p>
      <w:pPr>
        <w:sectPr>
          <w:pgSz w:w="11900" w:h="16838" w:orient="portrait"/>
          <w:cols w:equalWidth="0" w:num="2">
            <w:col w:w="1320" w:space="720"/>
            <w:col w:w="92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12/17/2025</w:t>
      </w:r>
    </w:p>
    <w:p>
      <w:pPr>
        <w:spacing w:after="0" w:line="50" w:lineRule="exact"/>
        <w:rPr>
          <w:sz w:val="20"/>
          <w:szCs w:val="20"/>
          <w:color w:val="auto"/>
        </w:rPr>
      </w:pPr>
    </w:p>
    <w:p>
      <w:pPr>
        <w:sectPr>
          <w:pgSz w:w="11900" w:h="16838" w:orient="portrait"/>
          <w:cols w:equalWidth="0" w:num="2">
            <w:col w:w="1320" w:space="720"/>
            <w:col w:w="92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11"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2025-12-17T16:14:14Z</dcterms:created>
  <dcterms:modified xsi:type="dcterms:W3CDTF">2025-12-17T16:14:14Z</dcterms:modified>
</cp:coreProperties>
</file>