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74930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31, 2025</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19"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90"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7"/>
          <w:szCs w:val="17"/>
          <w:b w:val="1"/>
          <w:bCs w:val="1"/>
          <w:color w:val="auto"/>
        </w:rPr>
        <w:t>For the transition period from __________________ to __________________</w:t>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Commission File Number: 001-39438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97790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Disc Medicine, Inc.</w:t>
      </w:r>
    </w:p>
    <w:p>
      <w:pPr>
        <w:sectPr>
          <w:pgSz w:w="11900" w:h="16838" w:orient="portrait"/>
          <w:cols w:equalWidth="0" w:num="1">
            <w:col w:w="11240"/>
          </w:cols>
          <w:pgMar w:left="320" w:top="1288" w:right="339" w:bottom="1440" w:gutter="0" w:footer="0" w:header="0"/>
        </w:sectPr>
      </w:pPr>
    </w:p>
    <w:p>
      <w:pPr>
        <w:spacing w:after="0" w:line="5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2"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14"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1"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85-1612845</w:t>
      </w:r>
    </w:p>
    <w:p>
      <w:pPr>
        <w:spacing w:after="0" w:line="2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2" w:lineRule="exact"/>
        <w:rPr>
          <w:sz w:val="24"/>
          <w:szCs w:val="24"/>
          <w:color w:val="auto"/>
        </w:rPr>
      </w:pPr>
    </w:p>
    <w:p>
      <w:pPr>
        <w:sectPr>
          <w:pgSz w:w="11900" w:h="16838" w:orient="portrait"/>
          <w:cols w:equalWidth="0" w:num="2">
            <w:col w:w="7520" w:space="340"/>
            <w:col w:w="3380"/>
          </w:cols>
          <w:pgMar w:left="320" w:top="1288"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3960" w:type="dxa"/>
            <w:vAlign w:val="bottom"/>
          </w:tcPr>
          <w:p>
            <w:pPr>
              <w:jc w:val="center"/>
              <w:ind w:left="1579"/>
              <w:spacing w:after="0"/>
              <w:rPr>
                <w:sz w:val="20"/>
                <w:szCs w:val="20"/>
                <w:color w:val="auto"/>
              </w:rPr>
            </w:pPr>
            <w:r>
              <w:rPr>
                <w:rFonts w:ascii="Times New Roman" w:cs="Times New Roman" w:eastAsia="Times New Roman" w:hAnsi="Times New Roman"/>
                <w:sz w:val="17"/>
                <w:szCs w:val="17"/>
                <w:b w:val="1"/>
                <w:bCs w:val="1"/>
                <w:color w:val="auto"/>
              </w:rPr>
              <w:t>321 Arsenal Street, Suite 101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960" w:type="dxa"/>
            <w:vAlign w:val="bottom"/>
          </w:tcPr>
          <w:p>
            <w:pPr>
              <w:jc w:val="center"/>
              <w:ind w:left="1579"/>
              <w:spacing w:after="0"/>
              <w:rPr>
                <w:sz w:val="20"/>
                <w:szCs w:val="20"/>
                <w:color w:val="auto"/>
              </w:rPr>
            </w:pPr>
            <w:r>
              <w:rPr>
                <w:rFonts w:ascii="Times New Roman" w:cs="Times New Roman" w:eastAsia="Times New Roman" w:hAnsi="Times New Roman"/>
                <w:sz w:val="17"/>
                <w:szCs w:val="17"/>
                <w:b w:val="1"/>
                <w:bCs w:val="1"/>
                <w:color w:val="auto"/>
              </w:rPr>
              <w:t>Watertown, Massachusetts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920" w:type="dxa"/>
            <w:vAlign w:val="bottom"/>
          </w:tcPr>
          <w:p>
            <w:pPr>
              <w:jc w:val="right"/>
              <w:ind w:right="2521"/>
              <w:spacing w:after="0"/>
              <w:rPr>
                <w:sz w:val="20"/>
                <w:szCs w:val="20"/>
                <w:color w:val="auto"/>
              </w:rPr>
            </w:pPr>
            <w:r>
              <w:rPr>
                <w:rFonts w:ascii="Times New Roman" w:cs="Times New Roman" w:eastAsia="Times New Roman" w:hAnsi="Times New Roman"/>
                <w:sz w:val="17"/>
                <w:szCs w:val="17"/>
                <w:b w:val="1"/>
                <w:bCs w:val="1"/>
                <w:color w:val="auto"/>
              </w:rPr>
              <w:t>02472</w:t>
            </w:r>
          </w:p>
        </w:tc>
        <w:tc>
          <w:tcPr>
            <w:tcW w:w="0" w:type="dxa"/>
            <w:vAlign w:val="bottom"/>
          </w:tcPr>
          <w:p>
            <w:pPr>
              <w:spacing w:after="0"/>
              <w:rPr>
                <w:sz w:val="1"/>
                <w:szCs w:val="1"/>
                <w:color w:val="auto"/>
              </w:rPr>
            </w:pPr>
          </w:p>
        </w:tc>
      </w:tr>
      <w:tr>
        <w:trPr>
          <w:trHeight w:val="190"/>
        </w:trPr>
        <w:tc>
          <w:tcPr>
            <w:tcW w:w="7320" w:type="dxa"/>
            <w:vAlign w:val="bottom"/>
            <w:gridSpan w:val="8"/>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920" w:type="dxa"/>
            <w:vAlign w:val="bottom"/>
          </w:tcPr>
          <w:p>
            <w:pPr>
              <w:jc w:val="center"/>
              <w:ind w:right="162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51"/>
        </w:trPr>
        <w:tc>
          <w:tcPr>
            <w:tcW w:w="3960" w:type="dxa"/>
            <w:vAlign w:val="bottom"/>
          </w:tcPr>
          <w:p>
            <w:pPr>
              <w:spacing w:after="0"/>
              <w:rPr>
                <w:sz w:val="21"/>
                <w:szCs w:val="21"/>
                <w:color w:val="auto"/>
              </w:rPr>
            </w:pPr>
          </w:p>
        </w:tc>
        <w:tc>
          <w:tcPr>
            <w:tcW w:w="224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(617) 674-9274</w:t>
            </w:r>
          </w:p>
        </w:tc>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960" w:type="dxa"/>
            <w:vAlign w:val="bottom"/>
          </w:tcPr>
          <w:p>
            <w:pPr>
              <w:spacing w:after="0"/>
              <w:rPr>
                <w:sz w:val="20"/>
                <w:szCs w:val="20"/>
                <w:color w:val="auto"/>
              </w:rPr>
            </w:pPr>
          </w:p>
        </w:tc>
        <w:tc>
          <w:tcPr>
            <w:tcW w:w="3360" w:type="dxa"/>
            <w:vAlign w:val="bottom"/>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39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3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396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960" w:type="dxa"/>
            <w:vAlign w:val="bottom"/>
            <w:vMerge w:val="restart"/>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gridSpan w:val="4"/>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920" w:type="dxa"/>
            <w:vAlign w:val="bottom"/>
            <w:vMerge w:val="restart"/>
          </w:tcPr>
          <w:p>
            <w:pPr>
              <w:jc w:val="center"/>
              <w:ind w:right="1041"/>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4"/>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960" w:type="dxa"/>
            <w:vAlign w:val="bottom"/>
            <w:tcBorders>
              <w:top w:val="single" w:sz="8" w:color="auto"/>
            </w:tcBorders>
          </w:tcPr>
          <w:p>
            <w:pPr>
              <w:jc w:val="center"/>
              <w:ind w:left="259"/>
              <w:spacing w:after="0"/>
              <w:rPr>
                <w:sz w:val="20"/>
                <w:szCs w:val="20"/>
                <w:color w:val="auto"/>
              </w:rPr>
            </w:pPr>
            <w:r>
              <w:rPr>
                <w:rFonts w:ascii="Times New Roman" w:cs="Times New Roman" w:eastAsia="Times New Roman" w:hAnsi="Times New Roman"/>
                <w:sz w:val="17"/>
                <w:szCs w:val="17"/>
                <w:b w:val="1"/>
                <w:bCs w:val="1"/>
                <w:color w:val="auto"/>
              </w:rPr>
              <w:t>Common Stock, $0.0001 Par Value</w:t>
            </w:r>
          </w:p>
        </w:tc>
        <w:tc>
          <w:tcPr>
            <w:tcW w:w="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center"/>
              <w:ind w:right="24"/>
              <w:spacing w:after="0"/>
              <w:rPr>
                <w:sz w:val="20"/>
                <w:szCs w:val="20"/>
                <w:color w:val="auto"/>
              </w:rPr>
            </w:pPr>
            <w:r>
              <w:rPr>
                <w:rFonts w:ascii="Times New Roman" w:cs="Times New Roman" w:eastAsia="Times New Roman" w:hAnsi="Times New Roman"/>
                <w:sz w:val="17"/>
                <w:szCs w:val="17"/>
                <w:b w:val="1"/>
                <w:bCs w:val="1"/>
                <w:color w:val="auto"/>
                <w:w w:val="99"/>
              </w:rPr>
              <w:t>IRON</w:t>
            </w:r>
          </w:p>
        </w:tc>
        <w:tc>
          <w:tcPr>
            <w:tcW w:w="120" w:type="dxa"/>
            <w:vAlign w:val="bottom"/>
          </w:tcPr>
          <w:p>
            <w:pPr>
              <w:spacing w:after="0"/>
              <w:rPr>
                <w:sz w:val="19"/>
                <w:szCs w:val="19"/>
                <w:color w:val="auto"/>
              </w:rPr>
            </w:pPr>
          </w:p>
        </w:tc>
        <w:tc>
          <w:tcPr>
            <w:tcW w:w="1120" w:type="dxa"/>
            <w:vAlign w:val="bottom"/>
            <w:tcBorders>
              <w:top w:val="single" w:sz="8" w:color="auto"/>
            </w:tcBorders>
            <w:gridSpan w:val="2"/>
          </w:tcPr>
          <w:p>
            <w:pPr>
              <w:spacing w:after="0"/>
              <w:rPr>
                <w:sz w:val="19"/>
                <w:szCs w:val="19"/>
                <w:color w:val="auto"/>
              </w:rPr>
            </w:pPr>
          </w:p>
        </w:tc>
        <w:tc>
          <w:tcPr>
            <w:tcW w:w="3920" w:type="dxa"/>
            <w:vAlign w:val="bottom"/>
            <w:tcBorders>
              <w:top w:val="single" w:sz="8" w:color="auto"/>
            </w:tcBorders>
          </w:tcPr>
          <w:p>
            <w:pPr>
              <w:jc w:val="center"/>
              <w:ind w:right="1041"/>
              <w:spacing w:after="0"/>
              <w:rPr>
                <w:sz w:val="20"/>
                <w:szCs w:val="20"/>
                <w:color w:val="auto"/>
              </w:rPr>
            </w:pPr>
            <w:r>
              <w:rPr>
                <w:rFonts w:ascii="Times New Roman" w:cs="Times New Roman" w:eastAsia="Times New Roman" w:hAnsi="Times New Roman"/>
                <w:sz w:val="17"/>
                <w:szCs w:val="17"/>
                <w:b w:val="1"/>
                <w:bCs w:val="1"/>
                <w:color w:val="auto"/>
              </w:rPr>
              <w:t>The Nasdaq Global Market</w:t>
            </w:r>
          </w:p>
        </w:tc>
        <w:tc>
          <w:tcPr>
            <w:tcW w:w="0" w:type="dxa"/>
            <w:vAlign w:val="bottom"/>
          </w:tcPr>
          <w:p>
            <w:pPr>
              <w:spacing w:after="0"/>
              <w:rPr>
                <w:sz w:val="1"/>
                <w:szCs w:val="1"/>
                <w:color w:val="auto"/>
              </w:rPr>
            </w:pPr>
          </w:p>
        </w:tc>
      </w:tr>
    </w:tbl>
    <w:p>
      <w:pPr>
        <w:spacing w:after="0" w:line="35" w:lineRule="exact"/>
        <w:rPr>
          <w:sz w:val="24"/>
          <w:szCs w:val="24"/>
          <w:color w:val="auto"/>
        </w:rPr>
      </w:pPr>
    </w:p>
    <w:p>
      <w:pPr>
        <w:ind w:right="80" w:firstLine="599"/>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ind w:right="200" w:firstLine="599"/>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340" w:hanging="332"/>
        <w:spacing w:after="0" w:line="196" w:lineRule="exact"/>
        <w:tabs>
          <w:tab w:leader="none" w:pos="34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55" w:lineRule="exact"/>
        <w:rPr>
          <w:sz w:val="24"/>
          <w:szCs w:val="24"/>
          <w:color w:val="auto"/>
        </w:rPr>
      </w:pPr>
    </w:p>
    <w:p>
      <w:pPr>
        <w:jc w:val="both"/>
        <w:ind w:right="240" w:firstLine="599"/>
        <w:spacing w:after="0" w:line="25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68"/>
        </w:trPr>
        <w:tc>
          <w:tcPr>
            <w:tcW w:w="1880" w:type="dxa"/>
            <w:vAlign w:val="bottom"/>
          </w:tcPr>
          <w:p>
            <w:pPr>
              <w:spacing w:after="0" w:line="168" w:lineRule="exact"/>
              <w:rPr>
                <w:sz w:val="20"/>
                <w:szCs w:val="20"/>
                <w:color w:val="auto"/>
              </w:rPr>
            </w:pPr>
            <w:r>
              <w:rPr>
                <w:rFonts w:ascii="Times New Roman" w:cs="Times New Roman" w:eastAsia="Times New Roman" w:hAnsi="Times New Roman"/>
                <w:sz w:val="17"/>
                <w:szCs w:val="17"/>
                <w:color w:val="auto"/>
              </w:rPr>
              <w:t>Large accelerated filer</w:t>
            </w:r>
          </w:p>
        </w:tc>
        <w:tc>
          <w:tcPr>
            <w:tcW w:w="3640" w:type="dxa"/>
            <w:vAlign w:val="bottom"/>
          </w:tcPr>
          <w:p>
            <w:pPr>
              <w:ind w:left="360"/>
              <w:spacing w:after="0" w:line="168"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line="168" w:lineRule="exact"/>
              <w:rPr>
                <w:sz w:val="20"/>
                <w:szCs w:val="20"/>
                <w:color w:val="auto"/>
              </w:rPr>
            </w:pPr>
            <w:r>
              <w:rPr>
                <w:rFonts w:ascii="Times New Roman" w:cs="Times New Roman" w:eastAsia="Times New Roman" w:hAnsi="Times New Roman"/>
                <w:sz w:val="17"/>
                <w:szCs w:val="17"/>
                <w:color w:val="auto"/>
              </w:rPr>
              <w:t>Accelerated filer</w:t>
            </w:r>
          </w:p>
        </w:tc>
        <w:tc>
          <w:tcPr>
            <w:tcW w:w="400" w:type="dxa"/>
            <w:vAlign w:val="bottom"/>
          </w:tcPr>
          <w:p>
            <w:pPr>
              <w:ind w:left="240"/>
              <w:spacing w:after="0" w:line="168" w:lineRule="exact"/>
              <w:rPr>
                <w:sz w:val="20"/>
                <w:szCs w:val="20"/>
                <w:color w:val="auto"/>
              </w:rPr>
            </w:pPr>
            <w:r>
              <w:rPr>
                <w:rFonts w:ascii="MS PGothic" w:cs="MS PGothic" w:eastAsia="MS PGothic" w:hAnsi="MS PGothic"/>
                <w:sz w:val="17"/>
                <w:szCs w:val="17"/>
                <w:color w:val="auto"/>
                <w:w w:val="82"/>
              </w:rPr>
              <w:t>☐</w:t>
            </w:r>
          </w:p>
        </w:tc>
      </w:tr>
      <w:tr>
        <w:trPr>
          <w:trHeight w:val="203"/>
        </w:trPr>
        <w:tc>
          <w:tcPr>
            <w:tcW w:w="18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640" w:type="dxa"/>
            <w:vAlign w:val="bottom"/>
          </w:tcPr>
          <w:p>
            <w:pPr>
              <w:ind w:left="36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7"/>
        </w:trPr>
        <w:tc>
          <w:tcPr>
            <w:tcW w:w="18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240" w:type="dxa"/>
            <w:vAlign w:val="bottom"/>
          </w:tcPr>
          <w:p>
            <w:pPr>
              <w:ind w:left="3120"/>
              <w:spacing w:after="0"/>
              <w:rPr>
                <w:sz w:val="20"/>
                <w:szCs w:val="20"/>
                <w:color w:val="auto"/>
              </w:rPr>
            </w:pPr>
            <w:r>
              <w:rPr>
                <w:rFonts w:ascii="Times New Roman" w:cs="Times New Roman" w:eastAsia="Times New Roman" w:hAnsi="Times New Roman"/>
                <w:sz w:val="17"/>
                <w:szCs w:val="17"/>
                <w:color w:val="auto"/>
              </w:rPr>
              <w:t>Emerging growth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37" w:lineRule="exact"/>
        <w:rPr>
          <w:sz w:val="24"/>
          <w:szCs w:val="24"/>
          <w:color w:val="auto"/>
        </w:rPr>
      </w:pPr>
    </w:p>
    <w:p>
      <w:pPr>
        <w:jc w:val="both"/>
        <w:ind w:right="100" w:firstLine="599"/>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ind w:left="600" w:right="1740"/>
        <w:spacing w:after="0" w:line="25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April 30, 2025 there were 34,634,295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8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5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257"/>
        </w:trPr>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31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9"/>
              </w:rPr>
              <w:t>FORWARD LOOKING STATEMENTS</w:t>
            </w:r>
          </w:p>
        </w:tc>
        <w:tc>
          <w:tcPr>
            <w:tcW w:w="7300" w:type="dxa"/>
            <w:vAlign w:val="bottom"/>
            <w:gridSpan w:val="10"/>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226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RISK FACTOR SUMMARY</w:t>
            </w:r>
          </w:p>
        </w:tc>
        <w:tc>
          <w:tcPr>
            <w:tcW w:w="20" w:type="dxa"/>
            <w:vAlign w:val="bottom"/>
            <w:tcBorders>
              <w:bottom w:val="single" w:sz="8" w:color="0000EE"/>
            </w:tcBorders>
          </w:tcPr>
          <w:p>
            <w:pPr>
              <w:spacing w:after="0"/>
              <w:rPr>
                <w:sz w:val="17"/>
                <w:szCs w:val="17"/>
                <w:color w:val="auto"/>
              </w:rPr>
            </w:pPr>
          </w:p>
        </w:tc>
        <w:tc>
          <w:tcPr>
            <w:tcW w:w="818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41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2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2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800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or Quarterly Report, of Disc Medicine, Inc., or the Company, contains or incorporates statements that constitute forward-looking statements within the meaning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Quarterly Report on Form 10-Q may include, for example, statements about:</w:t>
      </w:r>
    </w:p>
    <w:p>
      <w:pPr>
        <w:spacing w:after="0" w:line="84" w:lineRule="exact"/>
        <w:rPr>
          <w:sz w:val="20"/>
          <w:szCs w:val="20"/>
          <w:color w:val="auto"/>
        </w:rPr>
      </w:pPr>
    </w:p>
    <w:p>
      <w:pPr>
        <w:jc w:val="both"/>
        <w:ind w:left="760" w:hanging="378"/>
        <w:spacing w:after="0" w:line="26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our ongoing APOLLO clinical trial of bitopertin, our ongoing and planned clinical trials of DISC-0974 and our planned Phase 2 clinical trial of DISC-3405, and including statements regarding the timing of initiation and completion of studies or trials and related preparatory work, the period during which the results of the trials will become available, and our research and development programs;</w:t>
      </w:r>
    </w:p>
    <w:p>
      <w:pPr>
        <w:spacing w:after="0" w:line="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discover and develop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potential to successfully manufacture our drug substances and product candidates for preclinical use, for clinical trials and on a larger scale for commercial use, if approved;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seek and obtain approval for bitopertin under the U.S. Food and Drug Administration’s, or FDA’s, Accelerated Approval Program, including the FDA's acceptance of the APOLLO clinical study as a post-marketing confirmatory trial, the timeline for a potential New Drug Application, or NDA, submission, and whether the NDA submission will meet the standards for accelerated approval;</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and any other approved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the material weakness in our internal control over financial reporting;</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both"/>
        <w:ind w:left="760" w:hanging="378"/>
        <w:spacing w:after="0" w:line="26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developments on our business, including rising inflation and capital market disruptions, geopolitical conflicts, including the conflicts between Russia and Ukraine and in the Middle East, economic sanctions and economic slowdowns or recessions that may result from such developments which could harm our research and development efforts as well as the value of our common stock and our ability to access capital markets; and</w:t>
      </w:r>
    </w:p>
    <w:p>
      <w:pPr>
        <w:spacing w:after="0" w:line="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to us at the time of this Quarterly Report on Form 10-Q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Factors that could cause actual results to differ include, but are not limited to, those discussed in the section titled “Risk Factors” included within Item 1A of this Quarterly Report on Form 10-Q.</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believe are material to our investors can be found below under the heading “Item 1A. Risk Factors” and should be carefully considered, together with other information in this Quarterly Report on Form 10-Q and our other filings with the Securities and Exchange Commission, or SEC, before making an investment decision regarding our common stock.</w:t>
      </w:r>
    </w:p>
    <w:p>
      <w:pPr>
        <w:spacing w:after="0" w:line="75"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may make it difficult for you to evaluate the success of our business to date and to assess our future viability.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our inception and anticipate that we will continue to incur losses for the foreseeable future.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products approved for commercial sale and have not generated any revenue from product sales.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and any future indebtedness could adversely affect our ability to operate our business.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substantial additional funding. If we are unable to raise capital when needed or on terms acceptable to us, we may be forced to delay, reduce, or eliminate some of our product development programs or commercialization efforts.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yet progressed any product candidates through a Phase 3 clinical trial and may be unable to successfully complete any additional clinical trials for any product candidates we develop. Certain of our programs are still in preclinical development and may never advance to clinical development.</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programs are focused on the development of therapeutics for patients with hematologic diseases, which is a rapidly evolving area of science, and the approach we are taking to discover and develop product candidates is novel and may never lead to approved or marketable products.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initial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our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or those of our future collaborators may reveal significant adverse events not seen in prior preclinical studies or clinical trials and may result in a safety profile that could inhibit regulatory approval or market acceptance of any of our product candidates.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p>
    <w:p>
      <w:pPr>
        <w:spacing w:after="0" w:line="67"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conducted and are currently conducting clinical trials for bitopertin in Australia and may in the future conduct additional clinical trials of our product candidates outside the United States, and the FDA and comparable foreign regulatory authorities may not accept data from such trials.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or if there are delays in obtaining, required regulatory approvals for any of our product candidates, we will not be able to commercialize, or will be delayed in commercializing, such product candidates, and our ability to generate revenue will be materially impaired.</w:t>
      </w:r>
    </w:p>
    <w:p>
      <w:pPr>
        <w:spacing w:after="0" w:line="6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current product candidates or any future product candidates do not achieve broad market acceptance, the revenue that we generate from our sales may be limited, and we may never become profitable.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57"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 for our product candidates, as well as potential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substantially harmed.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realize the anticipated benefits of our current collaborations with Mabwell or NIH, or any other collaborations we enter into in the future.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obtain or grant licenses or sublicenses to intellectual property rights in all markets on equally or sufficiently favorable terms with third parties.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regulatory approval of our product candidates in one jurisdiction does not mean that we will be successful in obtaining regulatory approval of our product candidates in other jurisdictions.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seek approval from the FDA for bitopertin or any of our other current or future product candidates under the Accelerated Approval Program. If we are not able to use such program, we may be required to conduct additional clinical trials beyond those that are contemplated, which would increase the expense of obtaining, and delay the receipt of, necessary marketing approvals, if we receive them at all. In addition, even if the Accelerated Approval Program is available to us, it may not ultimately lead to expedited approval of our product candidates, or approval at all.</w:t>
      </w:r>
    </w:p>
    <w:p>
      <w:pPr>
        <w:spacing w:after="0" w:line="75"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funding for the NIH, CMS, FDA, the SEC and other government agencies, including from government shut downs, or other disruptions to these agencies’ operations, including significant leadership, personnel, or policy changes,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key executives and experienced scientists and to attract, retain, and motivate qualified personnel.</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political, trade or regulatory developments, unfavorable global economic conditions, and other circumstances beyond our control, could have a material adverse effect on our business, financial condition or results of operations.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is expected to be volatile.</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will continue to incur increased costs and increased demands upon management as a result of complying with the laws and regulations affecting public companies.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 material weakness in our internal controls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section contains forward-looking statements. You should refer to the explanation of the qualifications and limitations on forward-looking statements beginning on page 1.</w:t>
      </w: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16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980" w:type="dxa"/>
            <w:vAlign w:val="bottom"/>
          </w:tcPr>
          <w:p>
            <w:pPr>
              <w:spacing w:after="0"/>
              <w:rPr>
                <w:sz w:val="15"/>
                <w:szCs w:val="15"/>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122,675</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571,987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10,938</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705,600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operating leases</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5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20" w:type="dxa"/>
            <w:vAlign w:val="bottom"/>
            <w:gridSpan w:val="2"/>
          </w:tcPr>
          <w:p>
            <w:pPr>
              <w:ind w:left="180"/>
              <w:spacing w:after="0" w:line="21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perscript"/>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709,266</w:t>
            </w:r>
          </w:p>
        </w:tc>
        <w:tc>
          <w:tcPr>
            <w:tcW w:w="3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520" w:type="dxa"/>
            <w:vAlign w:val="bottom"/>
            <w:gridSpan w:val="2"/>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external research and development expenses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accrued expenses</w:t>
            </w:r>
          </w:p>
        </w:tc>
        <w:tc>
          <w:tcPr>
            <w:tcW w:w="5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18,741</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5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5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98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 shares issued or</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20" w:type="dxa"/>
            <w:vAlign w:val="bottom"/>
            <w:gridSpan w:val="2"/>
            <w:vMerge w:val="restart"/>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7"/>
                <w:szCs w:val="17"/>
                <w:color w:val="auto"/>
              </w:rPr>
            </w:pPr>
          </w:p>
        </w:tc>
        <w:tc>
          <w:tcPr>
            <w:tcW w:w="16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698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as of March 31, 2025 and December 31, 2024</w:t>
            </w:r>
          </w:p>
        </w:tc>
        <w:tc>
          <w:tcPr>
            <w:tcW w:w="1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820" w:type="dxa"/>
            <w:vAlign w:val="bottom"/>
            <w:gridSpan w:val="2"/>
            <w:vMerge w:val="continue"/>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6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980" w:type="dxa"/>
            <w:vAlign w:val="bottom"/>
            <w:vMerge w:val="continue"/>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5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69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as of March 31, 2025 and</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2024; 34,581,222 and 29,865,030 shares issued and outstanding as of March</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 2025 and December 31, 2024, respectively</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991,911</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741,297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5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(332,087)</w:t>
            </w:r>
          </w:p>
        </w:tc>
        <w:tc>
          <w:tcPr>
            <w:tcW w:w="2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(298,002)</w:t>
            </w:r>
          </w:p>
        </w:tc>
        <w:tc>
          <w:tcPr>
            <w:tcW w:w="0" w:type="dxa"/>
            <w:vAlign w:val="bottom"/>
          </w:tcPr>
          <w:p>
            <w:pPr>
              <w:spacing w:after="0"/>
              <w:rPr>
                <w:sz w:val="1"/>
                <w:szCs w:val="1"/>
                <w:color w:val="auto"/>
              </w:rPr>
            </w:pPr>
          </w:p>
        </w:tc>
      </w:tr>
      <w:tr>
        <w:trPr>
          <w:trHeight w:val="20"/>
        </w:trPr>
        <w:tc>
          <w:tcPr>
            <w:tcW w:w="69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660,362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20" w:type="dxa"/>
            <w:vAlign w:val="bottom"/>
            <w:gridSpan w:val="2"/>
            <w:shd w:val="clear" w:color="auto" w:fill="CFF0FC"/>
          </w:tcPr>
          <w:p>
            <w:pPr>
              <w:ind w:left="180"/>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709,266</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496,773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-3805555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-3805555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-3248660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-3248660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-1833880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-316865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-25400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2"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980" w:type="dxa"/>
            <w:vAlign w:val="bottom"/>
          </w:tcPr>
          <w:p>
            <w:pPr>
              <w:spacing w:after="0"/>
              <w:rPr>
                <w:sz w:val="12"/>
                <w:szCs w:val="12"/>
                <w:color w:val="auto"/>
              </w:rPr>
            </w:pPr>
          </w:p>
        </w:tc>
        <w:tc>
          <w:tcPr>
            <w:tcW w:w="1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Borders>
              <w:top w:val="single" w:sz="8" w:color="auto"/>
            </w:tcBorders>
          </w:tcPr>
          <w:p>
            <w:pPr>
              <w:jc w:val="right"/>
              <w:ind w:right="7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tcPr>
          <w:p>
            <w:pPr>
              <w:jc w:val="right"/>
              <w:ind w:right="9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23,704</w:t>
            </w:r>
          </w:p>
        </w:tc>
        <w:tc>
          <w:tcPr>
            <w:tcW w:w="100" w:type="dxa"/>
            <w:vAlign w:val="bottom"/>
          </w:tcPr>
          <w:p>
            <w:pPr>
              <w:spacing w:after="0"/>
              <w:rPr>
                <w:sz w:val="18"/>
                <w:szCs w:val="18"/>
                <w:color w:val="auto"/>
              </w:rPr>
            </w:pPr>
          </w:p>
        </w:tc>
      </w:tr>
      <w:tr>
        <w:trPr>
          <w:trHeight w:val="216"/>
        </w:trPr>
        <w:tc>
          <w:tcPr>
            <w:tcW w:w="69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12,183</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31,462</w:t>
            </w:r>
          </w:p>
        </w:tc>
        <w:tc>
          <w:tcPr>
            <w:tcW w:w="100" w:type="dxa"/>
            <w:vAlign w:val="bottom"/>
          </w:tcPr>
          <w:p>
            <w:pPr>
              <w:spacing w:after="0"/>
              <w:rPr>
                <w:sz w:val="18"/>
                <w:szCs w:val="18"/>
                <w:color w:val="auto"/>
              </w:rPr>
            </w:pPr>
          </w:p>
        </w:tc>
      </w:tr>
      <w:tr>
        <w:trPr>
          <w:trHeight w:val="21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(39,946)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(31,462)</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1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69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100" w:type="dxa"/>
            <w:vAlign w:val="bottom"/>
            <w:tcBorders>
              <w:top w:val="single" w:sz="8" w:color="CFF0FC"/>
            </w:tcBorders>
          </w:tcPr>
          <w:p>
            <w:pPr>
              <w:spacing w:after="0"/>
              <w:rPr>
                <w:sz w:val="18"/>
                <w:szCs w:val="18"/>
                <w:color w:val="auto"/>
              </w:rPr>
            </w:pPr>
          </w:p>
        </w:tc>
      </w:tr>
      <w:tr>
        <w:trPr>
          <w:trHeight w:val="209"/>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(33,966)</w:t>
            </w:r>
          </w:p>
        </w:tc>
        <w:tc>
          <w:tcPr>
            <w:tcW w:w="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(26,944)</w:t>
            </w: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1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69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shd w:val="clear" w:color="auto" w:fill="CFF0FC"/>
          </w:tcPr>
          <w:p>
            <w:pPr>
              <w:jc w:val="right"/>
              <w:ind w:right="938"/>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(34,085)</w:t>
            </w:r>
          </w:p>
        </w:tc>
        <w:tc>
          <w:tcPr>
            <w:tcW w:w="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(26,949)</w:t>
            </w:r>
          </w:p>
        </w:tc>
      </w:tr>
      <w:tr>
        <w:trPr>
          <w:trHeight w:val="20"/>
        </w:trPr>
        <w:tc>
          <w:tcPr>
            <w:tcW w:w="698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100" w:type="dxa"/>
            <w:vAlign w:val="bottom"/>
          </w:tcPr>
          <w:p>
            <w:pPr>
              <w:jc w:val="right"/>
              <w:ind w:right="938"/>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69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9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1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33,324,745</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24,809,869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7"/>
        </w:trPr>
        <w:tc>
          <w:tcPr>
            <w:tcW w:w="6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Pr>
          <w:p>
            <w:pPr>
              <w:jc w:val="right"/>
              <w:ind w:right="938"/>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(34,085)</w:t>
            </w:r>
          </w:p>
        </w:tc>
        <w:tc>
          <w:tcPr>
            <w:tcW w:w="100" w:type="dxa"/>
            <w:vAlign w:val="bottom"/>
          </w:tcPr>
          <w:p>
            <w:pPr>
              <w:spacing w:after="0"/>
              <w:rPr>
                <w:sz w:val="18"/>
                <w:szCs w:val="18"/>
                <w:color w:val="auto"/>
              </w:rPr>
            </w:pP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(26,949)</w:t>
            </w: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11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1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3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100" w:type="dxa"/>
            <w:vAlign w:val="bottom"/>
            <w:shd w:val="clear" w:color="auto" w:fill="CFF0FC"/>
          </w:tcPr>
          <w:p>
            <w:pPr>
              <w:jc w:val="right"/>
              <w:ind w:right="938"/>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(33,839)</w:t>
            </w:r>
          </w:p>
        </w:tc>
        <w:tc>
          <w:tcPr>
            <w:tcW w:w="1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(26,949)</w:t>
            </w:r>
          </w:p>
        </w:tc>
      </w:tr>
      <w:tr>
        <w:trPr>
          <w:trHeight w:val="20"/>
        </w:trPr>
        <w:tc>
          <w:tcPr>
            <w:tcW w:w="69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-2887980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-2887980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-2047875</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-1473835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-1165225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-1148080</wp:posOffset>
            </wp:positionV>
            <wp:extent cx="77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-316865</wp:posOffset>
            </wp:positionV>
            <wp:extent cx="77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p>
      <w:pPr>
        <w:spacing w:after="0" w:line="6" w:lineRule="exact"/>
        <w:rPr>
          <w:sz w:val="20"/>
          <w:szCs w:val="20"/>
          <w:color w:val="auto"/>
        </w:rPr>
      </w:pPr>
    </w:p>
    <w:p>
      <w:pPr>
        <w:ind w:right="200"/>
        <w:spacing w:after="0" w:line="221" w:lineRule="auto"/>
        <w:rPr>
          <w:sz w:val="20"/>
          <w:szCs w:val="20"/>
          <w:color w:val="auto"/>
        </w:rPr>
      </w:pPr>
      <w:r>
        <w:rPr>
          <w:rFonts w:ascii="Times New Roman" w:cs="Times New Roman" w:eastAsia="Times New Roman" w:hAnsi="Times New Roman"/>
          <w:sz w:val="14"/>
          <w:szCs w:val="14"/>
          <w:color w:val="auto"/>
        </w:rPr>
        <w:t>Issuance of common stock upon exercise of stock options</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14"/>
          <w:szCs w:val="14"/>
          <w:color w:val="auto"/>
        </w:rPr>
        <w:t>Issuance of common stock upon vesting of restricted stock units</w:t>
      </w:r>
    </w:p>
    <w:p>
      <w:pPr>
        <w:spacing w:after="0" w:line="1" w:lineRule="exact"/>
        <w:rPr>
          <w:sz w:val="20"/>
          <w:szCs w:val="20"/>
          <w:color w:val="auto"/>
        </w:rPr>
      </w:pPr>
    </w:p>
    <w:p>
      <w:pPr>
        <w:ind w:right="220"/>
        <w:spacing w:after="0" w:line="221" w:lineRule="auto"/>
        <w:rPr>
          <w:sz w:val="20"/>
          <w:szCs w:val="20"/>
          <w:color w:val="auto"/>
        </w:rPr>
      </w:pPr>
      <w:r>
        <w:rPr>
          <w:rFonts w:ascii="Times New Roman" w:cs="Times New Roman" w:eastAsia="Times New Roman" w:hAnsi="Times New Roman"/>
          <w:sz w:val="14"/>
          <w:szCs w:val="14"/>
          <w:color w:val="auto"/>
        </w:rPr>
        <w:t>Issuance of common stock under employee stock purchase plan</w:t>
      </w:r>
    </w:p>
    <w:p>
      <w:pPr>
        <w:spacing w:after="0" w:line="1" w:lineRule="exact"/>
        <w:rPr>
          <w:sz w:val="20"/>
          <w:szCs w:val="20"/>
          <w:color w:val="auto"/>
        </w:rPr>
      </w:pPr>
    </w:p>
    <w:p>
      <w:pPr>
        <w:ind w:left="120" w:right="320" w:hanging="107"/>
        <w:spacing w:after="0" w:line="221" w:lineRule="auto"/>
        <w:rPr>
          <w:sz w:val="20"/>
          <w:szCs w:val="20"/>
          <w:color w:val="auto"/>
        </w:rPr>
      </w:pPr>
      <w:r>
        <w:rPr>
          <w:rFonts w:ascii="Times New Roman" w:cs="Times New Roman" w:eastAsia="Times New Roman" w:hAnsi="Times New Roman"/>
          <w:sz w:val="14"/>
          <w:szCs w:val="14"/>
          <w:color w:val="auto"/>
        </w:rPr>
        <w:t>Sale of common stock in underwritten offering, net of issuance costs of $15,321</w:t>
      </w:r>
    </w:p>
    <w:p>
      <w:pPr>
        <w:spacing w:after="0" w:line="1" w:lineRule="exact"/>
        <w:rPr>
          <w:sz w:val="20"/>
          <w:szCs w:val="20"/>
          <w:color w:val="auto"/>
        </w:rPr>
      </w:pPr>
    </w:p>
    <w:p>
      <w:pPr>
        <w:ind w:left="120" w:hanging="107"/>
        <w:spacing w:after="0" w:line="221" w:lineRule="auto"/>
        <w:rPr>
          <w:sz w:val="20"/>
          <w:szCs w:val="20"/>
          <w:color w:val="auto"/>
        </w:rPr>
      </w:pPr>
      <w:r>
        <w:rPr>
          <w:rFonts w:ascii="Times New Roman" w:cs="Times New Roman" w:eastAsia="Times New Roman" w:hAnsi="Times New Roman"/>
          <w:sz w:val="14"/>
          <w:szCs w:val="14"/>
          <w:color w:val="auto"/>
        </w:rPr>
        <w:t>Sale of pre-funded warrants in underwritten offering, net of issuance costs of $615</w:t>
      </w:r>
    </w:p>
    <w:p>
      <w:pPr>
        <w:spacing w:after="0" w:line="222" w:lineRule="auto"/>
        <w:rPr>
          <w:sz w:val="20"/>
          <w:szCs w:val="20"/>
          <w:color w:val="auto"/>
        </w:rPr>
      </w:pPr>
      <w:r>
        <w:rPr>
          <w:rFonts w:ascii="Times New Roman" w:cs="Times New Roman" w:eastAsia="Times New Roman" w:hAnsi="Times New Roman"/>
          <w:sz w:val="14"/>
          <w:szCs w:val="14"/>
          <w:color w:val="auto"/>
        </w:rPr>
        <w:t>Stock-based compensation expense</w:t>
      </w:r>
    </w:p>
    <w:p>
      <w:pPr>
        <w:spacing w:after="0" w:line="221" w:lineRule="auto"/>
        <w:rPr>
          <w:sz w:val="20"/>
          <w:szCs w:val="20"/>
          <w:color w:val="auto"/>
        </w:rPr>
      </w:pPr>
      <w:r>
        <w:rPr>
          <w:rFonts w:ascii="Times New Roman" w:cs="Times New Roman" w:eastAsia="Times New Roman" w:hAnsi="Times New Roman"/>
          <w:sz w:val="14"/>
          <w:szCs w:val="14"/>
          <w:color w:val="auto"/>
        </w:rPr>
        <w:t>Foreign currency translation adjustments</w:t>
      </w:r>
    </w:p>
    <w:p>
      <w:pPr>
        <w:spacing w:after="0" w:line="221" w:lineRule="auto"/>
        <w:rPr>
          <w:sz w:val="20"/>
          <w:szCs w:val="20"/>
          <w:color w:val="auto"/>
        </w:rPr>
      </w:pPr>
      <w:r>
        <w:rPr>
          <w:rFonts w:ascii="Times New Roman" w:cs="Times New Roman" w:eastAsia="Times New Roman" w:hAnsi="Times New Roman"/>
          <w:sz w:val="14"/>
          <w:szCs w:val="14"/>
          <w:color w:val="auto"/>
        </w:rPr>
        <w:t>Unrealized gain on marketable securities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March 31, 2025</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p>
      <w:pPr>
        <w:spacing w:after="0" w:line="6" w:lineRule="exact"/>
        <w:rPr>
          <w:sz w:val="20"/>
          <w:szCs w:val="20"/>
          <w:color w:val="auto"/>
        </w:rPr>
      </w:pPr>
    </w:p>
    <w:p>
      <w:pPr>
        <w:ind w:right="200"/>
        <w:spacing w:after="0" w:line="221" w:lineRule="auto"/>
        <w:rPr>
          <w:sz w:val="20"/>
          <w:szCs w:val="20"/>
          <w:color w:val="auto"/>
        </w:rPr>
      </w:pPr>
      <w:r>
        <w:rPr>
          <w:rFonts w:ascii="Times New Roman" w:cs="Times New Roman" w:eastAsia="Times New Roman" w:hAnsi="Times New Roman"/>
          <w:sz w:val="14"/>
          <w:szCs w:val="14"/>
          <w:color w:val="auto"/>
        </w:rPr>
        <w:t>Issuance of common stock upon exercise of stock options</w:t>
      </w:r>
    </w:p>
    <w:p>
      <w:pPr>
        <w:spacing w:after="0" w:line="1" w:lineRule="exact"/>
        <w:rPr>
          <w:sz w:val="20"/>
          <w:szCs w:val="20"/>
          <w:color w:val="auto"/>
        </w:rPr>
      </w:pPr>
    </w:p>
    <w:p>
      <w:pPr>
        <w:ind w:right="220"/>
        <w:spacing w:after="0" w:line="221" w:lineRule="auto"/>
        <w:rPr>
          <w:sz w:val="20"/>
          <w:szCs w:val="20"/>
          <w:color w:val="auto"/>
        </w:rPr>
      </w:pPr>
      <w:r>
        <w:rPr>
          <w:rFonts w:ascii="Times New Roman" w:cs="Times New Roman" w:eastAsia="Times New Roman" w:hAnsi="Times New Roman"/>
          <w:sz w:val="14"/>
          <w:szCs w:val="14"/>
          <w:color w:val="auto"/>
        </w:rPr>
        <w:t>Issuance of common stock under employee stock purchase plan</w:t>
      </w:r>
    </w:p>
    <w:p>
      <w:pPr>
        <w:spacing w:after="0" w:line="1" w:lineRule="exact"/>
        <w:rPr>
          <w:sz w:val="20"/>
          <w:szCs w:val="20"/>
          <w:color w:val="auto"/>
        </w:rPr>
      </w:pPr>
    </w:p>
    <w:p>
      <w:pPr>
        <w:ind w:left="120" w:right="220" w:hanging="107"/>
        <w:spacing w:after="0" w:line="221" w:lineRule="auto"/>
        <w:rPr>
          <w:sz w:val="20"/>
          <w:szCs w:val="20"/>
          <w:color w:val="auto"/>
        </w:rPr>
      </w:pPr>
      <w:r>
        <w:rPr>
          <w:rFonts w:ascii="Times New Roman" w:cs="Times New Roman" w:eastAsia="Times New Roman" w:hAnsi="Times New Roman"/>
          <w:sz w:val="14"/>
          <w:szCs w:val="14"/>
          <w:color w:val="auto"/>
        </w:rPr>
        <w:t>Sale of common stock in at-the-market offerings, net of issuance costs of $518</w:t>
      </w:r>
    </w:p>
    <w:p>
      <w:pPr>
        <w:spacing w:after="0" w:line="1" w:lineRule="exact"/>
        <w:rPr>
          <w:sz w:val="20"/>
          <w:szCs w:val="20"/>
          <w:color w:val="auto"/>
        </w:rPr>
      </w:pPr>
    </w:p>
    <w:p>
      <w:pPr>
        <w:ind w:right="1020"/>
        <w:spacing w:after="0" w:line="231" w:lineRule="auto"/>
        <w:rPr>
          <w:sz w:val="20"/>
          <w:szCs w:val="20"/>
          <w:color w:val="auto"/>
        </w:rPr>
      </w:pPr>
      <w:r>
        <w:rPr>
          <w:rFonts w:ascii="Times New Roman" w:cs="Times New Roman" w:eastAsia="Times New Roman" w:hAnsi="Times New Roman"/>
          <w:sz w:val="14"/>
          <w:szCs w:val="14"/>
          <w:color w:val="auto"/>
        </w:rPr>
        <w:t>Stock-based compensation expense Net loss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March 31, 2024</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20" w:type="dxa"/>
            <w:vAlign w:val="bottom"/>
          </w:tcPr>
          <w:p>
            <w:pPr>
              <w:spacing w:after="0"/>
              <w:rPr>
                <w:sz w:val="12"/>
                <w:szCs w:val="12"/>
                <w:color w:val="auto"/>
              </w:rPr>
            </w:pPr>
          </w:p>
        </w:tc>
        <w:tc>
          <w:tcPr>
            <w:tcW w:w="2240" w:type="dxa"/>
            <w:vAlign w:val="bottom"/>
            <w:gridSpan w:val="6"/>
          </w:tcPr>
          <w:p>
            <w:pPr>
              <w:jc w:val="center"/>
              <w:ind w:left="19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9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2240" w:type="dxa"/>
            <w:vAlign w:val="bottom"/>
            <w:tcBorders>
              <w:bottom w:val="single" w:sz="8" w:color="auto"/>
            </w:tcBorders>
            <w:gridSpan w:val="6"/>
          </w:tcPr>
          <w:p>
            <w:pPr>
              <w:jc w:val="center"/>
              <w:ind w:left="190"/>
              <w:spacing w:after="0"/>
              <w:rPr>
                <w:sz w:val="20"/>
                <w:szCs w:val="20"/>
                <w:color w:val="auto"/>
              </w:rPr>
            </w:pPr>
            <w:r>
              <w:rPr>
                <w:rFonts w:ascii="Times New Roman" w:cs="Times New Roman" w:eastAsia="Times New Roman" w:hAnsi="Times New Roman"/>
                <w:sz w:val="13"/>
                <w:szCs w:val="13"/>
                <w:b w:val="1"/>
                <w:bCs w:val="1"/>
                <w:color w:val="auto"/>
                <w:w w:val="96"/>
              </w:rPr>
              <w:t>$0.0001 Par Value</w:t>
            </w:r>
          </w:p>
        </w:tc>
        <w:tc>
          <w:tcPr>
            <w:tcW w:w="3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9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8"/>
        </w:trPr>
        <w:tc>
          <w:tcPr>
            <w:tcW w:w="120" w:type="dxa"/>
            <w:vAlign w:val="bottom"/>
          </w:tcPr>
          <w:p>
            <w:pPr>
              <w:spacing w:after="0"/>
              <w:rPr>
                <w:sz w:val="11"/>
                <w:szCs w:val="11"/>
                <w:color w:val="auto"/>
              </w:rPr>
            </w:pPr>
          </w:p>
        </w:tc>
        <w:tc>
          <w:tcPr>
            <w:tcW w:w="1200" w:type="dxa"/>
            <w:vAlign w:val="bottom"/>
            <w:tcBorders>
              <w:bottom w:val="single" w:sz="8" w:color="auto"/>
            </w:tcBorders>
          </w:tcPr>
          <w:p>
            <w:pPr>
              <w:jc w:val="right"/>
              <w:ind w:right="37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2"/>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2"/>
          </w:tcPr>
          <w:p>
            <w:pPr>
              <w:jc w:val="center"/>
              <w:ind w:right="200"/>
              <w:spacing w:after="0" w:line="129"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2"/>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center"/>
              <w:ind w:right="190"/>
              <w:spacing w:after="0" w:line="129"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29,865,030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5"/>
                <w:szCs w:val="15"/>
                <w:color w:val="auto"/>
              </w:rPr>
            </w:pPr>
          </w:p>
        </w:tc>
        <w:tc>
          <w:tcPr>
            <w:tcW w:w="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741,297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289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(298,002)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443,587</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91,524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575</w:t>
            </w: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83,672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24"/>
                <w:szCs w:val="24"/>
                <w:color w:val="auto"/>
              </w:rPr>
            </w:pPr>
          </w:p>
        </w:tc>
        <w:tc>
          <w:tcPr>
            <w:tcW w:w="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24"/>
                <w:szCs w:val="24"/>
                <w:color w:val="auto"/>
              </w:rPr>
            </w:pPr>
          </w:p>
        </w:tc>
        <w:tc>
          <w:tcPr>
            <w:tcW w:w="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4,533,182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24"/>
                <w:szCs w:val="24"/>
                <w:color w:val="auto"/>
              </w:rPr>
            </w:pPr>
          </w:p>
        </w:tc>
        <w:tc>
          <w:tcPr>
            <w:tcW w:w="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234,003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234,003</w:t>
            </w: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24"/>
                <w:szCs w:val="24"/>
                <w:color w:val="auto"/>
              </w:rPr>
            </w:pPr>
          </w:p>
        </w:tc>
        <w:tc>
          <w:tcPr>
            <w:tcW w:w="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9,386</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9,386</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6,363</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ind w:right="3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ind w:right="30"/>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(34,085)</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(34,085)</w:t>
            </w: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34,581,222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34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991,911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30"/>
              <w:spacing w:after="0" w:line="142" w:lineRule="exact"/>
              <w:rPr>
                <w:sz w:val="20"/>
                <w:szCs w:val="20"/>
                <w:color w:val="auto"/>
              </w:rPr>
            </w:pPr>
            <w:r>
              <w:rPr>
                <w:rFonts w:ascii="Times New Roman" w:cs="Times New Roman" w:eastAsia="Times New Roman" w:hAnsi="Times New Roman"/>
                <w:sz w:val="14"/>
                <w:szCs w:val="14"/>
                <w:color w:val="auto"/>
              </w:rPr>
              <w:t>535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(332,087)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660,362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0" w:type="dxa"/>
            <w:vAlign w:val="bottom"/>
          </w:tcPr>
          <w:p>
            <w:pPr>
              <w:spacing w:after="0"/>
              <w:rPr>
                <w:sz w:val="24"/>
                <w:szCs w:val="24"/>
                <w:color w:val="auto"/>
              </w:rPr>
            </w:pPr>
          </w:p>
        </w:tc>
        <w:tc>
          <w:tcPr>
            <w:tcW w:w="1660" w:type="dxa"/>
            <w:vAlign w:val="bottom"/>
            <w:gridSpan w:val="5"/>
          </w:tcPr>
          <w:p>
            <w:pPr>
              <w:jc w:val="center"/>
              <w:ind w:left="59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60" w:type="dxa"/>
            <w:vAlign w:val="bottom"/>
          </w:tcPr>
          <w:p>
            <w:pPr>
              <w:spacing w:after="0"/>
              <w:rPr>
                <w:sz w:val="24"/>
                <w:szCs w:val="24"/>
                <w:color w:val="auto"/>
              </w:rPr>
            </w:pPr>
          </w:p>
        </w:tc>
        <w:tc>
          <w:tcPr>
            <w:tcW w:w="126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21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8"/>
        </w:trPr>
        <w:tc>
          <w:tcPr>
            <w:tcW w:w="12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5"/>
          </w:tcPr>
          <w:p>
            <w:pPr>
              <w:jc w:val="center"/>
              <w:ind w:left="610"/>
              <w:spacing w:after="0"/>
              <w:rPr>
                <w:sz w:val="20"/>
                <w:szCs w:val="20"/>
                <w:color w:val="auto"/>
              </w:rPr>
            </w:pPr>
            <w:r>
              <w:rPr>
                <w:rFonts w:ascii="Times New Roman" w:cs="Times New Roman" w:eastAsia="Times New Roman" w:hAnsi="Times New Roman"/>
                <w:sz w:val="13"/>
                <w:szCs w:val="13"/>
                <w:b w:val="1"/>
                <w:bCs w:val="1"/>
                <w:color w:val="auto"/>
                <w:w w:val="96"/>
              </w:rPr>
              <w:t>$0.0001 Par Value</w:t>
            </w:r>
          </w:p>
        </w:tc>
        <w:tc>
          <w:tcPr>
            <w:tcW w:w="5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9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8"/>
        </w:trPr>
        <w:tc>
          <w:tcPr>
            <w:tcW w:w="1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47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auto"/>
            </w:tcBorders>
            <w:gridSpan w:val="2"/>
          </w:tcPr>
          <w:p>
            <w:pPr>
              <w:spacing w:after="0"/>
              <w:rPr>
                <w:sz w:val="11"/>
                <w:szCs w:val="11"/>
                <w:color w:val="auto"/>
              </w:rPr>
            </w:pPr>
          </w:p>
        </w:tc>
        <w:tc>
          <w:tcPr>
            <w:tcW w:w="58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340" w:type="dxa"/>
            <w:vAlign w:val="bottom"/>
            <w:tcBorders>
              <w:bottom w:val="single" w:sz="8" w:color="auto"/>
            </w:tcBorders>
          </w:tcPr>
          <w:p>
            <w:pPr>
              <w:spacing w:after="0"/>
              <w:rPr>
                <w:sz w:val="11"/>
                <w:szCs w:val="11"/>
                <w:color w:val="auto"/>
              </w:rPr>
            </w:pPr>
          </w:p>
        </w:tc>
        <w:tc>
          <w:tcPr>
            <w:tcW w:w="12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gridSpan w:val="2"/>
          </w:tcPr>
          <w:p>
            <w:pPr>
              <w:spacing w:after="0"/>
              <w:rPr>
                <w:sz w:val="11"/>
                <w:szCs w:val="11"/>
                <w:color w:val="auto"/>
              </w:rPr>
            </w:pPr>
          </w:p>
        </w:tc>
        <w:tc>
          <w:tcPr>
            <w:tcW w:w="1020" w:type="dxa"/>
            <w:vAlign w:val="bottom"/>
            <w:tcBorders>
              <w:bottom w:val="single" w:sz="8" w:color="auto"/>
            </w:tcBorders>
          </w:tcPr>
          <w:p>
            <w:pPr>
              <w:jc w:val="center"/>
              <w:ind w:right="230"/>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right="190"/>
              <w:spacing w:after="0" w:line="129"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1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center"/>
              <w:ind w:right="210"/>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24,360,233</w:t>
            </w:r>
          </w:p>
        </w:tc>
        <w:tc>
          <w:tcPr>
            <w:tcW w:w="80" w:type="dxa"/>
            <w:vAlign w:val="bottom"/>
          </w:tcPr>
          <w:p>
            <w:pPr>
              <w:spacing w:after="0"/>
              <w:rPr>
                <w:sz w:val="15"/>
                <w:szCs w:val="15"/>
                <w:color w:val="auto"/>
              </w:rPr>
            </w:pPr>
          </w:p>
        </w:tc>
        <w:tc>
          <w:tcPr>
            <w:tcW w:w="3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5"/>
                <w:szCs w:val="15"/>
                <w:color w:val="auto"/>
              </w:rPr>
            </w:pP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gridSpan w:val="2"/>
          </w:tcPr>
          <w:p>
            <w:pPr>
              <w:spacing w:after="0"/>
              <w:rPr>
                <w:sz w:val="15"/>
                <w:szCs w:val="15"/>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533,764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(188,645)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345,121</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95,467</w:t>
            </w:r>
          </w:p>
        </w:tc>
        <w:tc>
          <w:tcPr>
            <w:tcW w:w="80" w:type="dxa"/>
            <w:vAlign w:val="bottom"/>
          </w:tcPr>
          <w:p>
            <w:pPr>
              <w:spacing w:after="0"/>
              <w:rPr>
                <w:sz w:val="16"/>
                <w:szCs w:val="16"/>
                <w:color w:val="auto"/>
              </w:rPr>
            </w:pPr>
          </w:p>
        </w:tc>
        <w:tc>
          <w:tcPr>
            <w:tcW w:w="3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806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806</w:t>
            </w: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5,736</w:t>
            </w:r>
          </w:p>
        </w:tc>
        <w:tc>
          <w:tcPr>
            <w:tcW w:w="80" w:type="dxa"/>
            <w:vAlign w:val="bottom"/>
          </w:tcPr>
          <w:p>
            <w:pPr>
              <w:spacing w:after="0"/>
              <w:rPr>
                <w:sz w:val="24"/>
                <w:szCs w:val="24"/>
                <w:color w:val="auto"/>
              </w:rPr>
            </w:pPr>
          </w:p>
        </w:tc>
        <w:tc>
          <w:tcPr>
            <w:tcW w:w="3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24"/>
                <w:szCs w:val="24"/>
                <w:color w:val="auto"/>
              </w:rPr>
            </w:pP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245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234,449</w:t>
            </w:r>
          </w:p>
        </w:tc>
        <w:tc>
          <w:tcPr>
            <w:tcW w:w="80" w:type="dxa"/>
            <w:vAlign w:val="bottom"/>
          </w:tcPr>
          <w:p>
            <w:pPr>
              <w:spacing w:after="0"/>
              <w:rPr>
                <w:sz w:val="24"/>
                <w:szCs w:val="24"/>
                <w:color w:val="auto"/>
              </w:rPr>
            </w:pPr>
          </w:p>
        </w:tc>
        <w:tc>
          <w:tcPr>
            <w:tcW w:w="3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24"/>
                <w:szCs w:val="24"/>
                <w:color w:val="auto"/>
              </w:rPr>
            </w:pP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14,790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14,790</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4,058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4,058</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(26,949)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(26,949)</w:t>
            </w:r>
          </w:p>
        </w:tc>
        <w:tc>
          <w:tcPr>
            <w:tcW w:w="0" w:type="dxa"/>
            <w:vAlign w:val="bottom"/>
          </w:tcPr>
          <w:p>
            <w:pPr>
              <w:spacing w:after="0"/>
              <w:rPr>
                <w:sz w:val="1"/>
                <w:szCs w:val="1"/>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0" w:type="dxa"/>
            <w:vAlign w:val="bottom"/>
          </w:tcPr>
          <w:p>
            <w:pPr>
              <w:spacing w:after="0"/>
              <w:rPr>
                <w:sz w:val="12"/>
                <w:szCs w:val="12"/>
                <w:color w:val="auto"/>
              </w:rPr>
            </w:pPr>
          </w:p>
        </w:tc>
        <w:tc>
          <w:tcPr>
            <w:tcW w:w="1200" w:type="dxa"/>
            <w:vAlign w:val="bottom"/>
          </w:tcPr>
          <w:p>
            <w:pPr>
              <w:jc w:val="right"/>
              <w:ind w:right="70"/>
              <w:spacing w:after="0" w:line="142" w:lineRule="exact"/>
              <w:rPr>
                <w:sz w:val="20"/>
                <w:szCs w:val="20"/>
                <w:color w:val="auto"/>
              </w:rPr>
            </w:pPr>
            <w:r>
              <w:rPr>
                <w:rFonts w:ascii="Times New Roman" w:cs="Times New Roman" w:eastAsia="Times New Roman" w:hAnsi="Times New Roman"/>
                <w:sz w:val="14"/>
                <w:szCs w:val="14"/>
                <w:color w:val="auto"/>
              </w:rPr>
              <w:t>24,695,885</w:t>
            </w:r>
          </w:p>
        </w:tc>
        <w:tc>
          <w:tcPr>
            <w:tcW w:w="80" w:type="dxa"/>
            <w:vAlign w:val="bottom"/>
          </w:tcPr>
          <w:p>
            <w:pPr>
              <w:spacing w:after="0"/>
              <w:rPr>
                <w:sz w:val="12"/>
                <w:szCs w:val="12"/>
                <w:color w:val="auto"/>
              </w:rPr>
            </w:pPr>
          </w:p>
        </w:tc>
        <w:tc>
          <w:tcPr>
            <w:tcW w:w="3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34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gridSpan w:val="2"/>
            <w:vMerge w:val="continue"/>
          </w:tcPr>
          <w:p>
            <w:pPr>
              <w:spacing w:after="0"/>
              <w:rPr>
                <w:sz w:val="12"/>
                <w:szCs w:val="12"/>
                <w:color w:val="auto"/>
              </w:rPr>
            </w:pPr>
          </w:p>
        </w:tc>
        <w:tc>
          <w:tcPr>
            <w:tcW w:w="1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553,663</w:t>
            </w:r>
          </w:p>
        </w:tc>
        <w:tc>
          <w:tcPr>
            <w:tcW w:w="6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1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60" w:type="dxa"/>
            <w:vAlign w:val="bottom"/>
            <w:gridSpan w:val="2"/>
          </w:tcPr>
          <w:p>
            <w:pPr>
              <w:jc w:val="right"/>
              <w:ind w:right="2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(215,594)</w:t>
            </w:r>
          </w:p>
        </w:tc>
        <w:tc>
          <w:tcPr>
            <w:tcW w:w="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338,071</w:t>
            </w: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-2931160</wp:posOffset>
            </wp:positionV>
            <wp:extent cx="7132320" cy="939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-2647950</wp:posOffset>
            </wp:positionV>
            <wp:extent cx="7132320"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-2271395</wp:posOffset>
            </wp:positionV>
            <wp:extent cx="7132320"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-1893570</wp:posOffset>
            </wp:positionV>
            <wp:extent cx="7132320" cy="939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-1705610</wp:posOffset>
            </wp:positionV>
            <wp:extent cx="7132320" cy="946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-1508125</wp:posOffset>
            </wp:positionV>
            <wp:extent cx="7132320" cy="1200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-976630</wp:posOffset>
            </wp:positionV>
            <wp:extent cx="7132320" cy="939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-693420</wp:posOffset>
            </wp:positionV>
            <wp:extent cx="7132320"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-316230</wp:posOffset>
            </wp:positionV>
            <wp:extent cx="7132320" cy="939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-119380</wp:posOffset>
            </wp:positionV>
            <wp:extent cx="7132320" cy="1200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3060" w:space="100"/>
            <w:col w:w="8080"/>
          </w:cols>
          <w:pgMar w:left="320" w:top="981"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2"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8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8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(34,085)</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(26,949)</w:t>
            </w:r>
          </w:p>
        </w:tc>
      </w:tr>
      <w:tr>
        <w:trPr>
          <w:trHeight w:val="216"/>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operations:</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8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0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6,363</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4,058</w:t>
            </w:r>
          </w:p>
        </w:tc>
      </w:tr>
      <w:tr>
        <w:trPr>
          <w:trHeight w:val="216"/>
        </w:trPr>
        <w:tc>
          <w:tcPr>
            <w:tcW w:w="8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Amortization/accretion of investment securities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Non-cash lease expense</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8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non-cash items</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0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(7,230)</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(4,112)</w:t>
            </w:r>
          </w:p>
        </w:tc>
      </w:tr>
      <w:tr>
        <w:trPr>
          <w:trHeight w:val="216"/>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(7,360)</w:t>
            </w:r>
          </w:p>
        </w:tc>
      </w:tr>
      <w:tr>
        <w:trPr>
          <w:trHeight w:val="216"/>
        </w:trPr>
        <w:tc>
          <w:tcPr>
            <w:tcW w:w="80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Accrued external research and development expenses</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3,763</w:t>
            </w:r>
          </w:p>
        </w:tc>
      </w:tr>
      <w:tr>
        <w:trPr>
          <w:trHeight w:val="216"/>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accrued expenses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r>
      <w:tr>
        <w:trPr>
          <w:trHeight w:val="216"/>
        </w:trPr>
        <w:tc>
          <w:tcPr>
            <w:tcW w:w="806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435</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0"/>
        </w:trPr>
        <w:tc>
          <w:tcPr>
            <w:tcW w:w="8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(41,376)</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(33,599)</w:t>
            </w:r>
          </w:p>
        </w:tc>
      </w:tr>
      <w:tr>
        <w:trPr>
          <w:trHeight w:val="209"/>
        </w:trPr>
        <w:tc>
          <w:tcPr>
            <w:tcW w:w="8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(347,250)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75,468</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09"/>
        </w:trPr>
        <w:tc>
          <w:tcPr>
            <w:tcW w:w="80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(272,633)</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0"/>
        </w:trPr>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sale of common stock in underwritten offering, net of issuance costs paid</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234,003</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sale of pre-funded warrants in underwritten offering, net of issuance costs paid</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9,386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sale of common stock in at-the-market offerings, net of issuance costs paid</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14,849</w:t>
            </w:r>
          </w:p>
        </w:tc>
      </w:tr>
      <w:tr>
        <w:trPr>
          <w:trHeight w:val="216"/>
        </w:trPr>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806</w:t>
            </w:r>
          </w:p>
        </w:tc>
      </w:tr>
      <w:tr>
        <w:trPr>
          <w:trHeight w:val="216"/>
        </w:trPr>
        <w:tc>
          <w:tcPr>
            <w:tcW w:w="80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Contributions from employee stock purchase plan</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287</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245</w:t>
            </w:r>
          </w:p>
        </w:tc>
      </w:tr>
      <w:tr>
        <w:trPr>
          <w:trHeight w:val="210"/>
        </w:trPr>
        <w:tc>
          <w:tcPr>
            <w:tcW w:w="8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244,251</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15,900</w:t>
            </w:r>
          </w:p>
        </w:tc>
      </w:tr>
      <w:tr>
        <w:trPr>
          <w:trHeight w:val="209"/>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(69,758)</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(17,766)</w:t>
            </w:r>
          </w:p>
        </w:tc>
      </w:tr>
      <w:tr>
        <w:trPr>
          <w:trHeight w:val="216"/>
        </w:trPr>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192,672</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360,616</w:t>
            </w:r>
          </w:p>
        </w:tc>
      </w:tr>
      <w:tr>
        <w:trPr>
          <w:trHeight w:val="249"/>
        </w:trPr>
        <w:tc>
          <w:tcPr>
            <w:tcW w:w="80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122,914</w:t>
            </w: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342,850</w:t>
            </w:r>
          </w:p>
        </w:tc>
      </w:tr>
      <w:tr>
        <w:trPr>
          <w:trHeight w:val="320"/>
        </w:trPr>
        <w:tc>
          <w:tcPr>
            <w:tcW w:w="8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00" w:type="dxa"/>
            <w:vAlign w:val="bottom"/>
            <w:gridSpan w:val="4"/>
          </w:tcPr>
          <w:p>
            <w:pPr>
              <w:jc w:val="right"/>
              <w:ind w:right="83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8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tcBorders>
              <w:bottom w:val="single" w:sz="8" w:color="auto"/>
            </w:tcBorders>
          </w:tcPr>
          <w:p>
            <w:pPr>
              <w:spacing w:after="0"/>
              <w:rPr>
                <w:sz w:val="15"/>
                <w:szCs w:val="15"/>
                <w:color w:val="auto"/>
              </w:rPr>
            </w:pPr>
          </w:p>
        </w:tc>
      </w:tr>
      <w:tr>
        <w:trPr>
          <w:trHeight w:val="196"/>
        </w:trPr>
        <w:tc>
          <w:tcPr>
            <w:tcW w:w="8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8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for interest</w:t>
            </w: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698</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34"/>
        </w:trPr>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issuance costs related to underwritten offering included in accounts payable and accrued expenses</w:t>
            </w: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225</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-3311525</wp:posOffset>
            </wp:positionV>
            <wp:extent cx="1028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-2462530</wp:posOffset>
            </wp:positionV>
            <wp:extent cx="1028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-1631315</wp:posOffset>
            </wp:positionV>
            <wp:extent cx="1028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-1056640</wp:posOffset>
            </wp:positionV>
            <wp:extent cx="1028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-1039495</wp:posOffset>
            </wp:positionV>
            <wp:extent cx="1028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the Business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Disc Medicine, Inc. (together with its subsidiaries, the “Company”) is a clinical-stage biopharmaceutical company focused on the discovery, development, and commercialization of novel treatments for patients suffering from serious hematologic diseases. The Company has assembled a portfolio of clinical and preclinical product candidates that aim to modify fundamental biological pathways associated with the formation and function of red blood cells, specifically heme biosynthesis and iron homeostasis. The Company’s current pipeline includes bitopertin for the treatment of erythropoietic porphyrias (“EPs”) including erythropoietic protoporphyria (“EPP”), X-linked protoporphyria (“XLP”), and Diamond-Blackfan Anemia (“DBA”); DISC-0974 for the treatment of anemia of myelofibrosis (“MF”) and anemia of chronic kidney disease (“CKD”); and DISC-3405 for the treatment of polycythemia vera (“PV”) and other hematologic disorders. In addition, the Company’s preclinical programs include DISC-0998, for the treatment of anemia associated with inflammatory diseases. The Company’s approach to product candidate development leverages well-understood molecular mechanisms that have been validated in humans. The Company believes that each of its product candidates, if approved, has the potential to improve the lives of patients suffering from hematologic diseases. The Company was founded in October 2017. The Company’s principal offices are located in Watertown, Massachusetts.</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common to development 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reliance on third-party organizations, protection of proprietary technology, compliance with government regulations, the impact of public health crises such as pandemics and the ability to secure additional capital to fund operations. The Company’s research and development programs will require significant additional research and development efforts, including preclinical and clinical testing and regulatory approval, prior to commercialization. Even if the Company’s product development efforts are successful, it is uncertain when, if ever, the Company will realize revenue from product sales.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on the basis of the Company continuing as a going concern. The Company expects that its existing cash, cash equivalents and marketable securities as of March 31, 2025 of $694.7 million will enable the Company to fund its planned operating expense and capital expenditure requirements for at least twelve months from the date of issuance of these condensed consolidated financial statements. The Company has incurred recurring losses and negative cash flows from operations since inception. As of March 31, 2025, the Company had an accumulated deficit of $332.1 million. The Company expects its operating losses and negative operating cash flows to continue into the foreseeable future. The future viability of the Company is dependent on its ability to generate cash from operating activities or to raise additional capital to finance its operations. There can be no assurance that the Company will ever earn revenues or achieve profitability, or if achieved, that the revenues or profitability will be sustained on a continuing basis. In addition, the Company’s preclinical and clinical development activities, manufacturing and commercialization of the Company’s product candidates, if approved, may require significant additional financing.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 condensed consolidated financial statements are described in the Company’s audited consolidated financial statements as of and for the year ended December 31, 2024 and the notes thereto, which are included in the Company’s Annual Report on Form 10-K. There have been no material changes to the significant accounting policies previously disclosed in the Company’s Annual Report on Form 10-K for the year ended December 31,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wholly-owned subsidiaries. All intercompany transactions and balances have been eliminated in consolidation.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condensed consolidated financial statements are prepared in accordance with U.S. generally accepted accounting principles (“GAAP”). Any reference in these notes to applicable guidance is meant to refer to the authoritative accounting principles generally accepted in the United States as found in the Accounting Standard Codification (“ASC”) and Accounting Standards Updates (“ASU”) of the Financial Accounting Standards Board (“FASB”).</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Consolidated Financial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as of March 31, 2025 and for the three months ended March 31, 2025 and 2024 are unaudited. The financial data and other information contained in the notes hereto as of March 31, 2025 and for</w:t>
      </w: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three months ended March 31, 2025 and 2024 are also unaudited. The condensed consolidated balance sheet data as of December 31, 2024 was derived from the Company’s audited consolidated financial statements included in the Company’s Annual Report on Form 10-K.</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on the same basis as the audited annual consolidated financial statements, and in the opinion of management, reflect all adjustments, which include only normal recurring adjustments necessary for the fair presentation of the Company’s financial position as of March 31, 2025 and the results of its operations and cash flows for the three months ended March 31, 2025 and 2024. These unaudited condensed consolidated financial statements should be read in conjunction with the audited consolidated financial statements as of and for the year ended December 31, 2024, and the notes thereto, included in the Company’s Annual Report on Form 10-K.</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for the three months ended March 31, 2025 and 2024 are not necessarily indicative of results to be expected for the full years, or any other interim periods, or any future year or period.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requires management to make estimates and assumptions that affect the reported amounts of assets and liabilities and disclosure of contingent assets and liabilities at the date of the condensed consolidated financial statements and the reported amounts of expenses during the reporting period. Significant estimates and assumptions reflected in these condensed consolidated financial statements include, but are not limited to accrued research and development expenses; stock-based compensation expense; the fair value of the common stock prior to the effective date of the reverse merger with Gemini Therapeutics, Inc. ("Gemini") in December 2022; and income taxes. The Company bases its estimates on historical experience, known trends and other market-specific or other relevant factors that it has concluded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of Significant Suppliers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cash equivalents and marketable securities. The Company maintains deposits in federally insured financial institutions in excess of federally insured limits and limits its exposure to cash risk by placing its cash with high credit quality accredited financial institutions. The Company has concluded that it is not subject to unusual credit risk beyond the normal credit risk associated with commercial banking relationships.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relies, and expects to continue to rely, on a small number of vendors to manufacture supplies and to process its product candidates for its development programs. These programs could be adversely affected by a significant interruption in the manufacturing process or supply chain.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accounting standards that have been issued or proposed by the FASB or other standards-setting bodies that do not require adoption until a future date are not expected to have a material impact on the Company’s condensed consolidated financial statements upon adoption.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Cash, Cash Equivalents and Restricted Cash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5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122,675</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192,434</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239</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191"/>
        </w:trPr>
        <w:tc>
          <w:tcPr>
            <w:tcW w:w="75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Total cash, cash equivalents and restricted cash as shown on the condensed consolidated statements of</w:t>
            </w:r>
          </w:p>
        </w:tc>
        <w:tc>
          <w:tcPr>
            <w:tcW w:w="5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122,914</w:t>
            </w:r>
          </w:p>
        </w:tc>
        <w:tc>
          <w:tcPr>
            <w:tcW w:w="4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192,672</w:t>
            </w:r>
          </w:p>
        </w:tc>
        <w:tc>
          <w:tcPr>
            <w:tcW w:w="0" w:type="dxa"/>
            <w:vAlign w:val="bottom"/>
          </w:tcPr>
          <w:p>
            <w:pPr>
              <w:spacing w:after="0"/>
              <w:rPr>
                <w:sz w:val="1"/>
                <w:szCs w:val="1"/>
                <w:color w:val="auto"/>
              </w:rPr>
            </w:pPr>
          </w:p>
        </w:tc>
      </w:tr>
      <w:tr>
        <w:trPr>
          <w:trHeight w:val="99"/>
        </w:trPr>
        <w:tc>
          <w:tcPr>
            <w:tcW w:w="7520" w:type="dxa"/>
            <w:vAlign w:val="bottom"/>
            <w:vMerge w:val="restart"/>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cash flows</w:t>
            </w:r>
          </w:p>
        </w:tc>
        <w:tc>
          <w:tcPr>
            <w:tcW w:w="500" w:type="dxa"/>
            <w:vAlign w:val="bottom"/>
            <w:gridSpan w:val="2"/>
            <w:vMerge w:val="continue"/>
            <w:shd w:val="clear" w:color="auto" w:fill="CFF0FC"/>
          </w:tcPr>
          <w:p>
            <w:pPr>
              <w:spacing w:after="0"/>
              <w:rPr>
                <w:sz w:val="8"/>
                <w:szCs w:val="8"/>
                <w:color w:val="auto"/>
              </w:rPr>
            </w:pPr>
          </w:p>
        </w:tc>
        <w:tc>
          <w:tcPr>
            <w:tcW w:w="1380" w:type="dxa"/>
            <w:vAlign w:val="bottom"/>
            <w:vMerge w:val="continue"/>
            <w:shd w:val="clear" w:color="auto" w:fill="CFF0FC"/>
          </w:tcPr>
          <w:p>
            <w:pPr>
              <w:spacing w:after="0"/>
              <w:rPr>
                <w:sz w:val="8"/>
                <w:szCs w:val="8"/>
                <w:color w:val="auto"/>
              </w:rPr>
            </w:pPr>
          </w:p>
        </w:tc>
        <w:tc>
          <w:tcPr>
            <w:tcW w:w="400" w:type="dxa"/>
            <w:vAlign w:val="bottom"/>
            <w:gridSpan w:val="2"/>
            <w:vMerge w:val="continue"/>
            <w:shd w:val="clear" w:color="auto" w:fill="CFF0FC"/>
          </w:tcPr>
          <w:p>
            <w:pPr>
              <w:spacing w:after="0"/>
              <w:rPr>
                <w:sz w:val="8"/>
                <w:szCs w:val="8"/>
                <w:color w:val="auto"/>
              </w:rPr>
            </w:pPr>
          </w:p>
        </w:tc>
        <w:tc>
          <w:tcPr>
            <w:tcW w:w="144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7520" w:type="dxa"/>
            <w:vAlign w:val="bottom"/>
            <w:tcBorders>
              <w:bottom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1380" w:type="dxa"/>
            <w:vAlign w:val="bottom"/>
            <w:tcBorders>
              <w:bottom w:val="single" w:sz="8" w:color="auto"/>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1440" w:type="dxa"/>
            <w:vAlign w:val="bottom"/>
            <w:tcBorders>
              <w:bottom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restricted cash balance, which is classified within other assets on the condensed consolidated balance sheets, consists of letters of credit related to leased and subleased office space in Watertown, Massachusetts. The Company is required to maintain a separate cash balance to secure its letters of credit.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securities as of March 31, 2025 consisted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120" w:type="dxa"/>
            <w:vAlign w:val="bottom"/>
          </w:tcPr>
          <w:p>
            <w:pPr>
              <w:ind w:left="40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4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4120" w:type="dxa"/>
            <w:vAlign w:val="bottom"/>
          </w:tcPr>
          <w:p>
            <w:pPr>
              <w:ind w:left="40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60" w:type="dxa"/>
            <w:vAlign w:val="bottom"/>
            <w:tcBorders>
              <w:bottom w:val="single" w:sz="8" w:color="auto"/>
            </w:tcBorders>
          </w:tcPr>
          <w:p>
            <w:pPr>
              <w:spacing w:after="0"/>
              <w:rPr>
                <w:sz w:val="17"/>
                <w:szCs w:val="17"/>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80" w:type="dxa"/>
            <w:vAlign w:val="bottom"/>
            <w:tcBorders>
              <w:bottom w:val="single" w:sz="8" w:color="auto"/>
            </w:tcBorders>
          </w:tcPr>
          <w:p>
            <w:pPr>
              <w:spacing w:after="0"/>
              <w:rPr>
                <w:sz w:val="17"/>
                <w:szCs w:val="17"/>
                <w:color w:val="auto"/>
              </w:rPr>
            </w:pPr>
          </w:p>
        </w:tc>
        <w:tc>
          <w:tcPr>
            <w:tcW w:w="1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09"/>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Marketable securities available-for-sale:</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spacing w:after="0"/>
              <w:rPr>
                <w:sz w:val="18"/>
                <w:szCs w:val="18"/>
                <w:color w:val="auto"/>
              </w:rPr>
            </w:pPr>
          </w:p>
        </w:tc>
      </w:tr>
      <w:tr>
        <w:trPr>
          <w:trHeight w:val="216"/>
        </w:trPr>
        <w:tc>
          <w:tcPr>
            <w:tcW w:w="4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471,180</w:t>
            </w:r>
          </w:p>
        </w:tc>
        <w:tc>
          <w:tcPr>
            <w:tcW w:w="6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5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528</w:t>
            </w:r>
          </w:p>
        </w:tc>
        <w:tc>
          <w:tcPr>
            <w:tcW w:w="180" w:type="dxa"/>
            <w:vAlign w:val="bottom"/>
          </w:tcPr>
          <w:p>
            <w:pPr>
              <w:spacing w:after="0"/>
              <w:rPr>
                <w:sz w:val="18"/>
                <w:szCs w:val="18"/>
                <w:color w:val="auto"/>
              </w:rPr>
            </w:pPr>
          </w:p>
        </w:tc>
        <w:tc>
          <w:tcPr>
            <w:tcW w:w="1020" w:type="dxa"/>
            <w:vAlign w:val="bottom"/>
          </w:tcPr>
          <w:p>
            <w:pPr>
              <w:jc w:val="right"/>
              <w:ind w:right="860"/>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471,691</w:t>
            </w:r>
          </w:p>
        </w:tc>
      </w:tr>
      <w:tr>
        <w:trPr>
          <w:trHeight w:val="216"/>
        </w:trPr>
        <w:tc>
          <w:tcPr>
            <w:tcW w:w="41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100,259</w:t>
            </w:r>
          </w:p>
        </w:tc>
        <w:tc>
          <w:tcPr>
            <w:tcW w:w="1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100,296</w:t>
            </w:r>
          </w:p>
        </w:tc>
      </w:tr>
      <w:tr>
        <w:trPr>
          <w:trHeight w:val="209"/>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571,439</w:t>
            </w:r>
          </w:p>
        </w:tc>
        <w:tc>
          <w:tcPr>
            <w:tcW w:w="16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spacing w:after="0"/>
              <w:rPr>
                <w:sz w:val="18"/>
                <w:szCs w:val="18"/>
                <w:color w:val="auto"/>
              </w:rPr>
            </w:pPr>
          </w:p>
        </w:tc>
        <w:tc>
          <w:tcPr>
            <w:tcW w:w="5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586</w:t>
            </w:r>
          </w:p>
        </w:tc>
        <w:tc>
          <w:tcPr>
            <w:tcW w:w="180" w:type="dxa"/>
            <w:vAlign w:val="bottom"/>
          </w:tcPr>
          <w:p>
            <w:pPr>
              <w:spacing w:after="0"/>
              <w:rPr>
                <w:sz w:val="18"/>
                <w:szCs w:val="18"/>
                <w:color w:val="auto"/>
              </w:rPr>
            </w:pPr>
          </w:p>
        </w:tc>
        <w:tc>
          <w:tcPr>
            <w:tcW w:w="1020" w:type="dxa"/>
            <w:vAlign w:val="bottom"/>
          </w:tcPr>
          <w:p>
            <w:pPr>
              <w:jc w:val="right"/>
              <w:ind w:right="860"/>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571,987</w:t>
            </w:r>
          </w:p>
        </w:tc>
      </w:tr>
      <w:tr>
        <w:trPr>
          <w:trHeight w:val="20"/>
        </w:trPr>
        <w:tc>
          <w:tcPr>
            <w:tcW w:w="41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Marketable securities as of December 31, 2024 consisted of the following (in thousands):</w:t>
            </w: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10"/>
        </w:trPr>
        <w:tc>
          <w:tcPr>
            <w:tcW w:w="4120" w:type="dxa"/>
            <w:vAlign w:val="bottom"/>
          </w:tcPr>
          <w:p>
            <w:pPr>
              <w:ind w:left="40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4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96"/>
        </w:trPr>
        <w:tc>
          <w:tcPr>
            <w:tcW w:w="4120" w:type="dxa"/>
            <w:vAlign w:val="bottom"/>
          </w:tcPr>
          <w:p>
            <w:pPr>
              <w:ind w:left="40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60" w:type="dxa"/>
            <w:vAlign w:val="bottom"/>
            <w:tcBorders>
              <w:bottom w:val="single" w:sz="8" w:color="auto"/>
            </w:tcBorders>
          </w:tcPr>
          <w:p>
            <w:pPr>
              <w:spacing w:after="0"/>
              <w:rPr>
                <w:sz w:val="17"/>
                <w:szCs w:val="17"/>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80" w:type="dxa"/>
            <w:vAlign w:val="bottom"/>
            <w:tcBorders>
              <w:bottom w:val="single" w:sz="8" w:color="auto"/>
            </w:tcBorders>
          </w:tcPr>
          <w:p>
            <w:pPr>
              <w:spacing w:after="0"/>
              <w:rPr>
                <w:sz w:val="17"/>
                <w:szCs w:val="17"/>
                <w:color w:val="auto"/>
              </w:rPr>
            </w:pPr>
          </w:p>
        </w:tc>
        <w:tc>
          <w:tcPr>
            <w:tcW w:w="1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1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Marketable securities available-for-sale:</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spacing w:after="0"/>
              <w:rPr>
                <w:sz w:val="18"/>
                <w:szCs w:val="18"/>
                <w:color w:val="auto"/>
              </w:rPr>
            </w:pPr>
          </w:p>
        </w:tc>
      </w:tr>
      <w:tr>
        <w:trPr>
          <w:trHeight w:val="216"/>
        </w:trPr>
        <w:tc>
          <w:tcPr>
            <w:tcW w:w="4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189,409</w:t>
            </w:r>
          </w:p>
        </w:tc>
        <w:tc>
          <w:tcPr>
            <w:tcW w:w="6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5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288</w:t>
            </w:r>
          </w:p>
        </w:tc>
        <w:tc>
          <w:tcPr>
            <w:tcW w:w="180" w:type="dxa"/>
            <w:vAlign w:val="bottom"/>
          </w:tcPr>
          <w:p>
            <w:pPr>
              <w:spacing w:after="0"/>
              <w:rPr>
                <w:sz w:val="18"/>
                <w:szCs w:val="18"/>
                <w:color w:val="auto"/>
              </w:rPr>
            </w:pPr>
          </w:p>
        </w:tc>
        <w:tc>
          <w:tcPr>
            <w:tcW w:w="1020" w:type="dxa"/>
            <w:vAlign w:val="bottom"/>
          </w:tcPr>
          <w:p>
            <w:pPr>
              <w:jc w:val="right"/>
              <w:ind w:right="860"/>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189,663</w:t>
            </w:r>
          </w:p>
        </w:tc>
      </w:tr>
      <w:tr>
        <w:trPr>
          <w:trHeight w:val="216"/>
        </w:trPr>
        <w:tc>
          <w:tcPr>
            <w:tcW w:w="41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107,722</w:t>
            </w:r>
          </w:p>
        </w:tc>
        <w:tc>
          <w:tcPr>
            <w:tcW w:w="1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107,784</w:t>
            </w:r>
          </w:p>
        </w:tc>
      </w:tr>
      <w:tr>
        <w:trPr>
          <w:trHeight w:val="209"/>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297,131</w:t>
            </w:r>
          </w:p>
        </w:tc>
        <w:tc>
          <w:tcPr>
            <w:tcW w:w="6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5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373</w:t>
            </w:r>
          </w:p>
        </w:tc>
        <w:tc>
          <w:tcPr>
            <w:tcW w:w="180" w:type="dxa"/>
            <w:vAlign w:val="bottom"/>
          </w:tcPr>
          <w:p>
            <w:pPr>
              <w:spacing w:after="0"/>
              <w:rPr>
                <w:sz w:val="18"/>
                <w:szCs w:val="18"/>
                <w:color w:val="auto"/>
              </w:rPr>
            </w:pPr>
          </w:p>
        </w:tc>
        <w:tc>
          <w:tcPr>
            <w:tcW w:w="1020" w:type="dxa"/>
            <w:vAlign w:val="bottom"/>
          </w:tcPr>
          <w:p>
            <w:pPr>
              <w:jc w:val="right"/>
              <w:ind w:right="860"/>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297,447</w:t>
            </w:r>
          </w:p>
        </w:tc>
      </w:tr>
      <w:tr>
        <w:trPr>
          <w:trHeight w:val="20"/>
        </w:trPr>
        <w:tc>
          <w:tcPr>
            <w:tcW w:w="4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-1302385</wp:posOffset>
            </wp:positionV>
            <wp:extent cx="1117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-1302385</wp:posOffset>
            </wp:positionV>
            <wp:extent cx="1111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-1302385</wp:posOffset>
            </wp:positionV>
            <wp:extent cx="1111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-170815</wp:posOffset>
            </wp:positionV>
            <wp:extent cx="1117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-170815</wp:posOffset>
            </wp:positionV>
            <wp:extent cx="1111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1111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all of the Company’s marketable securities are available to the Company for use in current operations. As a result, the Company has classified all of these securities as current assets even though the stated maturity of some individual securities may be one year or more beyond the balance sheet date. The following table shows the fair value of the Company’s marketable securities, by contractual maturity, as of March 31, 2025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820" w:type="dxa"/>
            <w:vAlign w:val="bottom"/>
          </w:tcPr>
          <w:p>
            <w:pPr>
              <w:ind w:left="76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jc w:val="right"/>
              <w:ind w:right="1215"/>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0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620" w:type="dxa"/>
            <w:vAlign w:val="bottom"/>
            <w:shd w:val="clear" w:color="auto" w:fill="CFF0FC"/>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28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109,165</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6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462,822</w:t>
            </w:r>
          </w:p>
        </w:tc>
      </w:tr>
      <w:tr>
        <w:trPr>
          <w:trHeight w:val="250"/>
        </w:trPr>
        <w:tc>
          <w:tcPr>
            <w:tcW w:w="78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620" w:type="dxa"/>
            <w:vAlign w:val="bottom"/>
            <w:tcBorders>
              <w:bottom w:val="single" w:sz="8" w:color="auto"/>
            </w:tcBorders>
            <w:shd w:val="clear" w:color="auto" w:fill="CFF0FC"/>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28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571,987</w:t>
            </w:r>
          </w:p>
        </w:tc>
      </w:tr>
    </w:tbl>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aggregate fair value of marketable securities with unrealized losses was $105.2 million and $51.0 million as of March 31, 2025 and December 31, 2024, respectively. As of March 31, 2025 and December 31, 2024, eleven investments and five investments were in an unrealized loss position, respectively. All such investments have been in an unrealized loss position for less than a year and these losses are considered temporary. The Company has the ability and intent to hold these investments until a recovery of their amortized cost, which may not occur until maturity. The Company expects that U.S. treasury and U.S. government agency securities are subject to minimal credit risk. As a result, the Company did not record any charges for credit-related impairments for its available-for-sale securities for three months ended March 31, 2025 and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following tables present information about the Company’s assets and liabilities that are regularly measured and carried at fair value on a recurring basis and indicate the level within the fair value hierarchy of the valuation techniques the Company utilized to determine such fair value, which is described further within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to the consolidated financial statements in the Company’s Annual Report on Form 10-K for the year ended December 31,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on a recurring basis are summarized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60" w:type="dxa"/>
            <w:vAlign w:val="bottom"/>
          </w:tcPr>
          <w:p>
            <w:pPr>
              <w:ind w:left="610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160" w:type="dxa"/>
            <w:vAlign w:val="bottom"/>
          </w:tcPr>
          <w:p>
            <w:pPr>
              <w:ind w:left="610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7"/>
                <w:szCs w:val="17"/>
                <w:color w:val="auto"/>
              </w:rPr>
            </w:pPr>
          </w:p>
        </w:tc>
        <w:tc>
          <w:tcPr>
            <w:tcW w:w="9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w w:val="97"/>
              </w:rPr>
              <w:t>Level 1</w:t>
            </w:r>
          </w:p>
        </w:tc>
        <w:tc>
          <w:tcPr>
            <w:tcW w:w="620" w:type="dxa"/>
            <w:vAlign w:val="bottom"/>
            <w:tcBorders>
              <w:bottom w:val="single" w:sz="8" w:color="auto"/>
            </w:tcBorders>
          </w:tcPr>
          <w:p>
            <w:pPr>
              <w:spacing w:after="0"/>
              <w:rPr>
                <w:sz w:val="17"/>
                <w:szCs w:val="17"/>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spacing w:after="0"/>
              <w:rPr>
                <w:sz w:val="18"/>
                <w:szCs w:val="18"/>
                <w:color w:val="auto"/>
              </w:rPr>
            </w:pPr>
          </w:p>
        </w:tc>
        <w:tc>
          <w:tcPr>
            <w:tcW w:w="4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9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54,419</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52,615</w:t>
            </w: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16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cash equivalents</w:t>
            </w: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54,419</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52,615</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471,691</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100,296</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571,987</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60" w:type="dxa"/>
            <w:vAlign w:val="bottom"/>
            <w:gridSpan w:val="2"/>
          </w:tcPr>
          <w:p>
            <w:pPr>
              <w:ind w:left="20"/>
              <w:spacing w:after="0" w:line="21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perscript"/>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54,419</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624,602</w:t>
            </w: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16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4904105</wp:posOffset>
            </wp:positionH>
            <wp:positionV relativeFrom="paragraph">
              <wp:posOffset>-1666240</wp:posOffset>
            </wp:positionV>
            <wp:extent cx="136525" cy="1797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6010275</wp:posOffset>
            </wp:positionH>
            <wp:positionV relativeFrom="paragraph">
              <wp:posOffset>-1666240</wp:posOffset>
            </wp:positionV>
            <wp:extent cx="136525" cy="179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-942340</wp:posOffset>
            </wp:positionV>
            <wp:extent cx="1111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-942340</wp:posOffset>
            </wp:positionV>
            <wp:extent cx="1111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3"/>
        </w:trPr>
        <w:tc>
          <w:tcPr>
            <w:tcW w:w="6180" w:type="dxa"/>
            <w:vAlign w:val="bottom"/>
          </w:tcPr>
          <w:p>
            <w:pPr>
              <w:ind w:left="610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196"/>
        </w:trPr>
        <w:tc>
          <w:tcPr>
            <w:tcW w:w="6180" w:type="dxa"/>
            <w:vAlign w:val="bottom"/>
          </w:tcPr>
          <w:p>
            <w:pPr>
              <w:ind w:left="610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r>
      <w:tr>
        <w:trPr>
          <w:trHeight w:val="216"/>
        </w:trPr>
        <w:tc>
          <w:tcPr>
            <w:tcW w:w="6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88,735</w:t>
            </w:r>
          </w:p>
        </w:tc>
        <w:tc>
          <w:tcPr>
            <w:tcW w:w="3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91,916</w:t>
            </w: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cash equivalents</w:t>
            </w: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88,735</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4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91,916</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6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189,663</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107,784</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297,447</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gridSpan w:val="2"/>
          </w:tcPr>
          <w:p>
            <w:pPr>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color w:val="auto"/>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88,735</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389,363</w:t>
            </w: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-736600</wp:posOffset>
            </wp:positionV>
            <wp:extent cx="1111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-736600</wp:posOffset>
            </wp:positionV>
            <wp:extent cx="1111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-170815</wp:posOffset>
            </wp:positionV>
            <wp:extent cx="1111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1111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the Company’s Level 1 cash equivalents, consisting of money market funds, is based on quoted market prices in active markets with no valuation adjustment. The fair value of the Company’s Level 2 cash equivalents consisting of U.S. treasury securities with original maturities of three months or less and marketable securities consisting of U.S. treasury and U.S. government agency securities with original maturities 24 months or less, are determined through third-party pricing services. There have been no impairments of the Company’s assets measured and carried at fair value during the three months ended March 31, 2025 and 2024. In addition, there were no changes in valuation techniques or transfers between Level 1, Level 2 and Level 3 financial assets during the three months ended March 31, 2025 and 2024. The Company did not have any non-recurring fair value measurements on any assets or liabilities during the three months ended March 31, 2025 and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Other 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expenses consisted of the following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00" w:type="dxa"/>
            <w:vAlign w:val="bottom"/>
          </w:tcPr>
          <w:p>
            <w:pPr>
              <w:spacing w:after="0"/>
              <w:rPr>
                <w:sz w:val="15"/>
                <w:szCs w:val="15"/>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employee-related expenses</w:t>
            </w:r>
          </w:p>
        </w:tc>
        <w:tc>
          <w:tcPr>
            <w:tcW w:w="112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1,813</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7,211</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12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1,818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531</w:t>
            </w: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1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507</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355</w:t>
            </w: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accrued expenses</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4,138</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8,097</w:t>
            </w:r>
          </w:p>
        </w:tc>
      </w:tr>
      <w:tr>
        <w:trPr>
          <w:trHeight w:val="20"/>
        </w:trPr>
        <w:tc>
          <w:tcPr>
            <w:tcW w:w="77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-170815</wp:posOffset>
            </wp:positionV>
            <wp:extent cx="1200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Development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Stock Purchase Agreement with AbbVie Deutschland GmbH &amp; Co. KG (“AbbVie”)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September 2019, the Company entered into an agreement with AbbVie, pursuant to which AbbVie granted the Company an exclusive license, with the right to grant sublicenses, to certain AbbVie intellectual property.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this agreement, the Company paid a non-refundable, non-creditable upfront fee of $0.6 million. The Company is also obligated to make aggregate payments upon the achievement of certain development, commercialization and sales-based milestones up to $18.0 million, $45.0 million and $87.5 million, respectively on a licensed product-by-licensed product basis. In addition, the Company is also obligated to pay royalties based on net sales of the licensed products on a licensed product-by-licensed product and country-by-country basis.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royalty obligation expires on a licensed product-by-licensed product and country-by-country basis upon the expiration of the last-to-expire valid claim under the licensed intellectual property rights in such country. Unless terminated earlier, the agreement expires upon the expiration of the Company’s royalty obligation for all licensed products. AbbVie can terminate the agreement if the Company fails to make any payments within a specified period after receiving written notice of such failure, or in the event of a material breach by the Company and failure to cure such breach within a certain period of time.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 Company dosed the first patient in the Phase 2 clinical trial of DISC-0974. Per the license agreement, a milestone payment of $3.0 million was paid to AbbVie on January 31, 2025. As of March 31, 2025, no additional milestones had been achieved.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F. Hoffmann-La Roche Ltd and Hoffmann-La Roche Inc. (collectively “Roche”)</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connection with a license agreement with Roche, (the "Roche Agreement"), the Company paid Roche an upfront, non-refundable exclusivity payment of $0.5 million in March 2021. Upon execution of the Roche Agreement in May 2021, the Company paid Roche an additional upfront, non-refundable payment of $4.0 million.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4" w:name="page15"/>
    <w:bookmarkEnd w:id="14"/>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obligated to make contingent payments to Roche up to an aggregate of $50.0 million in development and regulatory milestone payments for development and approval in a first indication and up to an aggregate of $35.0 million in development and regulatory milestone payments for development and approval in a second indication. The Company is also obligated to make contingent payments to Roche up to an aggregate of $120.0 million based on achievement of certain thresholds for annual net sales of licensed products. Roche is also eligible to receive tiered royalties on net sales of commercialized products, at rates ranging from high single-digits to high teens. Pursuant to the terms of the Roche Agreement and in connection with the Company's reverse merger with Gemini, the Company issued 482,313 shares of the Company to Roche for no consideration.</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next potential milestone payments include $10.0 million due upon the initiation of the first Phase 3 clinical trial with a licensed product in a first indication and $15.0 million due upon regulatory approval in the United States with a licensed product in a first indication. As of March 31, 2025, none of the milestones had been achieved.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Mabwell Therapeutics, Inc. ("Mabwell")</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2023, the Company entered into an exclusive license agreement with Mabwell pursuant to which Mabwell granted the Company an exclusive and sublicensable license to certain Mabwell intellectual property.</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agreement, the Company paid Mabwell an upfront payment of $10.0 million in March 2023. In addition, the Company is obligated to pay certain development and regulatory milestone payments for the licensed products, for up to three indications, up to a maximum aggregate amount of $127.5 million, as well as certain commercial milestone payments for certain licensed product net sales achievements, up to a maximum aggregate amount of $275.0 million. The Company is further obligated to pay a tiered percentage of revenue that the Company receives from its sublicensees ranging from a low third decile percentage to a low first decile percentage. In addition, the Company is obligated to pay Mabwell a royalty on annual net sales of all licensed products at a tiered rate ranging from low single-digits to high single-digits.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2023, the Company dosed the first patient in the Phase 1 clinical trial for DISC-3405, resulting in a milestone payment of $5.0 million to Mabwell. The next potential milestone payments include $10.0 million due upon the initiation of a Phase 2 clinical trial for DISC-3405 and $5.0 million due upon the initiation of a Phase 1b clinical trial with a licensed product in a second indication. As of March 31, 2025, neither of these milestones had been achieved.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Oak Bay Biosciences, Inc. (“OBB”)</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2024, the Company entered into an out-license agreement with OBB pursuant to which the Company granted an exclusive license, with the right to grant sublicenses, to certain Gemini intellectual property. Under the terms of the agreement, the Company received an upfront payment of $0.2 million with additional consideration receivable upon the achievement of certain clinical, regulatory and sales milestones up to $7.0 million, $35.0 million, and $160.0 million, respectively. As of March 31, 2025, none of the milestones had been achieved and are not considered probable of achievement.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6, 2024 (the "Closing Date"), the Company entered into a Loan and Security Agreement (the “Hercules Loan Agreement”), with the lenders party thereto (the “Lenders”) and Hercules Capital, Inc., as administrative agent and collateral agent (the “Agent”). The Hercules Loan Agreement provides for up to $200.0 million of senior secured term loans available to the Company in multiple tranches (the “Term Loan Facility”). Under the Hercules Loan Agreement, the Company borrowed an initial amount of $30.0 million on the Closing Date, and at the Company's sole option, can draw an additional $80.0 million on or prior to December 15, 2026, as well as additional term loan advances in an aggregate principal amount of up to $65.0 million during the term of the Term Loan Facility subject to achievement of specified performance milestones, and one additional term loan advance up to an aggregate principal amount of $25.0 million subject to certain terms and conditions. The Company intends to use the proceeds of the Term Loan Facility for working capital and general corporate purposes.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Term Loan Facility will mature on December 1, 2029 (the “Maturity Date”). The outstanding principal balance of the Term Loan Facility bears cash interest at a floating annual rate equal to the greater of (i) 8.25% and (ii) the sum of the Prime Rate and 1.75%. Accrued interest is payable monthly following the funding of each term loan advance. Borrowings under the Hercules Loan Agreement are repayable in monthly interest-only payments through November 2028. At the end of the interest-only payment period, borrowings under the Hercules Loan Agreement are repayable in equal monthly payments of principal and accrued interest until the Maturity Date. At the Company's option, the Company may prepay all or a portion of the outstanding borrowings, subject to a prepayment fee of 3.0% of the principal amount if prepayment occurs during the 18 months following the Closing Date, 2.0% after 18 months following the Closing Date but prior to 36 months following the Closing Date, and 1.0% thereafter.</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obligations under the Hercules Loan Agreement are secured, subject to customary permitted liens and other agreed-upon exceptions, by a first-priority perfected security interest in all of the tangible and intangible assets of the Company, other than intellectual property. The Hercules Loan Agreement includes customary repayment and prepayment terms, events of default, affirmative and negative covenants and representations and warranties. Additionally, the Hercules Loan Agreement contains a minimum cash covenant that requires the Company to maintain certain levels of cash in accounts subject to a control agreement in favor of the Agent at all times beginning on the first day on or after January 1, 2027 (or January 1, 2028, if the Company achieves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a certain milestone) on which the aggregate principal amount of the term loan advances is then more than $50.0 million; provided, however, the minimum cash covenant will be waived during all times that the Company's market capitalization is greater than or equal to $1.0 billion. The Hercules Loan Agreement also includes a subjective acceleration clause for circumstances which could be reasonably expected to have a material adverse effect on the Company.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Hercules Loan Agreement provides for a final payment ("End of Term Charge"), payable upon maturity or the repayment of the obligations in full or in part (on a pro rata basis), equal to 6.75% of the aggregate principal amount of term loans advanced to the Company and repaid on such date, which is being accrued on the Company's condensed consolidated balance sheets.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debt discount and debt issuance costs of $1.8 million upon closing of the Hercules Loan Agreement. Debt discount and unamortized debt issuance costs were recorded as a reduction of the carrying amount on the term loan and are amortized as interest expense using the effective-interest method. In addition, unamortized deferred financing costs of $0.6 million were recorded in other assets as of March 31, 2025, related to the Company's right to borrow additional amounts in the future.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for the three months ended March 31, 2025 was $0.9 million. As of March 31, 2025, the carrying value of the Term Loan Facility approximates its fair value.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obligations under the Term Loan Facility as of March 31, 2025 consisted of the following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20" w:type="dxa"/>
            <w:vAlign w:val="bottom"/>
          </w:tcPr>
          <w:p>
            <w:pPr>
              <w:jc w:val="right"/>
              <w:ind w:right="1073"/>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84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jc w:val="right"/>
              <w:ind w:right="12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8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term loan balance</w:t>
            </w:r>
          </w:p>
        </w:tc>
        <w:tc>
          <w:tcPr>
            <w:tcW w:w="580" w:type="dxa"/>
            <w:vAlign w:val="bottom"/>
            <w:shd w:val="clear" w:color="auto" w:fill="CFF0FC"/>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58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r>
      <w:tr>
        <w:trPr>
          <w:trHeight w:val="216"/>
        </w:trPr>
        <w:tc>
          <w:tcPr>
            <w:tcW w:w="8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end of term fee</w:t>
            </w:r>
          </w:p>
        </w:tc>
        <w:tc>
          <w:tcPr>
            <w:tcW w:w="580" w:type="dxa"/>
            <w:vAlign w:val="bottom"/>
            <w:tcBorders>
              <w:bottom w:val="single" w:sz="8" w:color="auto"/>
            </w:tcBorders>
            <w:shd w:val="clear" w:color="auto" w:fill="CFF0FC"/>
          </w:tcPr>
          <w:p>
            <w:pPr>
              <w:spacing w:after="0"/>
              <w:rPr>
                <w:sz w:val="18"/>
                <w:szCs w:val="18"/>
                <w:color w:val="auto"/>
              </w:rPr>
            </w:pPr>
          </w:p>
        </w:tc>
        <w:tc>
          <w:tcPr>
            <w:tcW w:w="22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177</w:t>
            </w:r>
          </w:p>
        </w:tc>
      </w:tr>
      <w:tr>
        <w:trPr>
          <w:trHeight w:val="21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5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28,529</w:t>
            </w:r>
          </w:p>
        </w:tc>
      </w:tr>
      <w:tr>
        <w:trPr>
          <w:trHeight w:val="20"/>
        </w:trPr>
        <w:tc>
          <w:tcPr>
            <w:tcW w:w="8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304"/>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annual principal payments due under the Term Loan Facility as of March 31, 2025 were as follows (in thousands):</w:t>
            </w:r>
          </w:p>
        </w:tc>
        <w:tc>
          <w:tcPr>
            <w:tcW w:w="2220" w:type="dxa"/>
            <w:vAlign w:val="bottom"/>
          </w:tcPr>
          <w:p>
            <w:pPr>
              <w:spacing w:after="0"/>
              <w:rPr>
                <w:sz w:val="24"/>
                <w:szCs w:val="24"/>
                <w:color w:val="auto"/>
              </w:rPr>
            </w:pPr>
          </w:p>
        </w:tc>
      </w:tr>
      <w:tr>
        <w:trPr>
          <w:trHeight w:val="108"/>
        </w:trPr>
        <w:tc>
          <w:tcPr>
            <w:tcW w:w="8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20" w:type="dxa"/>
            <w:vAlign w:val="bottom"/>
          </w:tcPr>
          <w:p>
            <w:pPr>
              <w:spacing w:after="0"/>
              <w:rPr>
                <w:sz w:val="9"/>
                <w:szCs w:val="9"/>
                <w:color w:val="auto"/>
              </w:rPr>
            </w:pPr>
          </w:p>
        </w:tc>
      </w:tr>
      <w:tr>
        <w:trPr>
          <w:trHeight w:val="216"/>
        </w:trPr>
        <w:tc>
          <w:tcPr>
            <w:tcW w:w="8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580" w:type="dxa"/>
            <w:vAlign w:val="bottom"/>
            <w:shd w:val="clear" w:color="auto" w:fill="CFF0FC"/>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tcPr>
          <w:p>
            <w:pPr>
              <w:spacing w:after="0"/>
              <w:rPr>
                <w:sz w:val="18"/>
                <w:szCs w:val="18"/>
                <w:color w:val="auto"/>
              </w:rPr>
            </w:pPr>
          </w:p>
        </w:tc>
        <w:tc>
          <w:tcPr>
            <w:tcW w:w="2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shd w:val="clear" w:color="auto" w:fill="CFF0FC"/>
          </w:tcPr>
          <w:p>
            <w:pPr>
              <w:spacing w:after="0"/>
              <w:rPr>
                <w:sz w:val="18"/>
                <w:szCs w:val="18"/>
                <w:color w:val="auto"/>
              </w:rPr>
            </w:pPr>
          </w:p>
        </w:tc>
        <w:tc>
          <w:tcPr>
            <w:tcW w:w="22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tcPr>
          <w:p>
            <w:pPr>
              <w:spacing w:after="0"/>
              <w:rPr>
                <w:sz w:val="18"/>
                <w:szCs w:val="18"/>
                <w:color w:val="auto"/>
              </w:rPr>
            </w:pPr>
          </w:p>
        </w:tc>
        <w:tc>
          <w:tcPr>
            <w:tcW w:w="2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2,203</w:t>
            </w:r>
          </w:p>
        </w:tc>
      </w:tr>
      <w:tr>
        <w:trPr>
          <w:trHeight w:val="216"/>
        </w:trPr>
        <w:tc>
          <w:tcPr>
            <w:tcW w:w="8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580" w:type="dxa"/>
            <w:vAlign w:val="bottom"/>
            <w:tcBorders>
              <w:bottom w:val="single" w:sz="8" w:color="auto"/>
            </w:tcBorders>
            <w:shd w:val="clear" w:color="auto" w:fill="CFF0FC"/>
          </w:tcPr>
          <w:p>
            <w:pPr>
              <w:spacing w:after="0"/>
              <w:rPr>
                <w:sz w:val="18"/>
                <w:szCs w:val="18"/>
                <w:color w:val="auto"/>
              </w:rPr>
            </w:pPr>
          </w:p>
        </w:tc>
        <w:tc>
          <w:tcPr>
            <w:tcW w:w="22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27,797</w:t>
            </w:r>
          </w:p>
        </w:tc>
      </w:tr>
      <w:tr>
        <w:trPr>
          <w:trHeight w:val="210"/>
        </w:trPr>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30,000</w:t>
            </w:r>
          </w:p>
        </w:tc>
      </w:tr>
      <w:tr>
        <w:trPr>
          <w:trHeight w:val="20"/>
        </w:trPr>
        <w:tc>
          <w:tcPr>
            <w:tcW w:w="8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of future principal payments excludes the End of Term Charge of $2.0 million, which is due upon the maturity of the loan.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was authorized to issue up to 10,000,000 shares of preferred stock, $0.0001 par value per share. As of March 31, 2025, no shares of preferred stock were issued or outstanding.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was authorized to issue up to 100,000,000 shares of common stock, $0.0001 par value per share. As of March 31, 2025, 34,581,222 shares of common stock were issued and outstanding.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Underwritten Offerings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2025 Offering</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2025, in connection with an underwriting agreement with Jeffries LLC, Leerink Partners LLC, Stifel, Nicolaus &amp; Company, Incorporated and Cantor Fitzgerald &amp; Co., the Company issued 4,533,182 shares of its common stock, which included the exercise in full by the underwriters of their option to purchase up to 615,000 additional shares of common stock, at a public offering price of $55.00 per share. The Company also sold pre-funded warrants to purchase an aggregate of 181,818 shares of common stock at a price of $54.9999 per pre-funded warrant. The Company received aggregate net proceeds of $243.4 million,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ind w:right="1460"/>
        <w:spacing w:after="0" w:line="375" w:lineRule="auto"/>
        <w:rPr>
          <w:sz w:val="20"/>
          <w:szCs w:val="20"/>
          <w:color w:val="auto"/>
        </w:rPr>
      </w:pPr>
      <w:r>
        <w:rPr>
          <w:rFonts w:ascii="Times New Roman" w:cs="Times New Roman" w:eastAsia="Times New Roman" w:hAnsi="Times New Roman"/>
          <w:sz w:val="18"/>
          <w:szCs w:val="18"/>
          <w:color w:val="auto"/>
        </w:rPr>
        <w:t xml:space="preserve">after deducting offering expenses of $15.9 million. As of March 31, 2025, none of the 181,818 pre-funded warrants had been exercised. </w:t>
      </w:r>
      <w:r>
        <w:rPr>
          <w:rFonts w:ascii="Times New Roman" w:cs="Times New Roman" w:eastAsia="Times New Roman" w:hAnsi="Times New Roman"/>
          <w:sz w:val="18"/>
          <w:szCs w:val="18"/>
          <w:i w:val="1"/>
          <w:iCs w:val="1"/>
          <w:color w:val="auto"/>
        </w:rPr>
        <w:t>June 2024 Offering</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2024, the Company entered into an underwriting agreement with Leerink Partners LLC related to an underwritten offering of 4,944,000 shares of common stock of the Company, par value $0.0001 per share, at a price to the public of $36.00 per share. The Company received net proceeds of $172.5 million, after deducting the underwriting discount and offering expenses of $5.5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June 2023 Offering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2023, the Company issued 3,015,919 shares of its common stock upon the completion of its public follow-on offering, which included the exercise in full by the underwriters of their option to purchase up to 420,000 additional shares of common stock, at a public offering price of $49.00 per share. The Company also sold, in lieu of shares of the Company’s common stock, pre-funded warrants to purchase an aggregate of 204,081 shares of common stock at a price of $48.9999 per pre-funded warrant. As of March 31, 2025, none of the 204,081 pre-funded warrants had been exercised.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Programs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Cantor Fitzgerald &amp; Co. (“Cantor”)</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15, 2024, the Company entered into a Controlled Equity Offering Sales Agreement (the “Cantor ATM Agreement”) with Cantor, pursuant to which the Company may, from time to time in its sole discretion, issue and sell to or through Cantor, acting as sales agent, shares of the Company’s common stock, par value $0.0001 per share having an aggregate offering price of up to $200.0 million. This offering was made pursuant to the Company's effective registration statement on Form S-3 filed in August 2024 (the "August 2024 Shelf"). As of March 31, 2025, there been had no issuances or sales under the Cantor ATM Agreement.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Jefferies LLC ("Jefferies")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2023, the Company entered into an Open Market Sale Agreement with Jefferies as sales agent (the “Jefferies ATM Agreement”) to provide for the offering, issuance and sale by the Company of up to $59.7 million of the Company’s common stock from time to time in at-the-market ("ATM") offerings under the Company's registration statement on Form S-3 filed in January 2023. In November 2023, the Company filed a shelf registration statement on Form S-3 with the SEC, which covered the offering, issuance and sale by the Company of up to an aggregate of $400.0 million of the Company’s common stock, preferred stock, debt securities, warrants or units (the “November 2023 Shelf”). On December 5, 2023, the Company and Jefferies entered into an amendment to the Jefferies ATM Agreement to increase the aggregate offering price of the shares of common stock that the Company may offer under the Jefferies ATM Agreement from $59.7 million to $200.0 million. The material terms and conditions of the Jefferies ATM Agreement otherwise remained unchanged. On November 15, 2024, the Company terminated the Jefferies ATM Agreement.</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 Company sold an aggregate of 234,449 shares of common stock in Jefferies ATM offerings under the November 2023 Shelf and pursuant to the Jefferies ATM Agreement. Aggregate gross proceeds from the transactions were $15.3 million and the Company received $14.8 million in net proceeds, after deducting placement agent fees and offering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Plans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grants stock-based awards under its 2021 Stock Option and Incentive Plan (the “2021 Plan”), which was approved by its stockholders in February 2021 and amended and restated in January 2023. The Company also has outstanding stock option awards under its 2017 Stock Option and Grant Plan (the “Private Disc Plan”) but is no longer granting awards under this plan or its 2021 Inducement Plan. The Company also grants awards under its 2021 Employee Stock Purchase Plan (the “2021 ESPP”), which was approved by the Company's stockholders in July 2021 and amended and restated in January 2023.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Out-of-Plan Inducement Grants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grants equity awards to newly hired executives as a material inducement to enter into employment with the Company. These grants are made in accordance with Rule 5635(c)(4) of the Nasdaq Listing Rules and are issued outside the 2021 Plan, the 2021 Inducement Plan and each of the other stock incentive plans described above.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recorded as research and development and selling, general and administrative expenses, respectively, for employees, directors and non-employees is as follows (in thousands):</w:t>
      </w:r>
    </w:p>
    <w:p>
      <w:pPr>
        <w:spacing w:after="0" w:line="47" w:lineRule="exact"/>
        <w:rPr>
          <w:sz w:val="20"/>
          <w:szCs w:val="20"/>
          <w:color w:val="auto"/>
        </w:rPr>
      </w:pPr>
    </w:p>
    <w:p>
      <w:pPr>
        <w:jc w:val="center"/>
        <w:ind w:left="6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63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-3175</wp:posOffset>
            </wp:positionV>
            <wp:extent cx="30175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6480" w:type="dxa"/>
            <w:vAlign w:val="bottom"/>
          </w:tcPr>
          <w:p>
            <w:pPr>
              <w:spacing w:after="0"/>
              <w:rPr>
                <w:sz w:val="16"/>
                <w:szCs w:val="16"/>
                <w:color w:val="auto"/>
              </w:rPr>
            </w:pPr>
          </w:p>
        </w:tc>
        <w:tc>
          <w:tcPr>
            <w:tcW w:w="15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spacing w:after="0"/>
              <w:rPr>
                <w:sz w:val="16"/>
                <w:szCs w:val="16"/>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4"/>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00" w:type="dxa"/>
            <w:vAlign w:val="bottom"/>
            <w:shd w:val="clear" w:color="auto" w:fill="CFF0FC"/>
          </w:tcPr>
          <w:p>
            <w:pPr>
              <w:jc w:val="right"/>
              <w:ind w:right="13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2,959</w:t>
            </w:r>
          </w:p>
        </w:tc>
        <w:tc>
          <w:tcPr>
            <w:tcW w:w="74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1,543</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3,404</w:t>
            </w:r>
          </w:p>
        </w:tc>
        <w:tc>
          <w:tcPr>
            <w:tcW w:w="2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2,515</w:t>
            </w:r>
          </w:p>
        </w:tc>
      </w:tr>
      <w:tr>
        <w:trPr>
          <w:trHeight w:val="249"/>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500" w:type="dxa"/>
            <w:vAlign w:val="bottom"/>
            <w:tcBorders>
              <w:bottom w:val="single" w:sz="8" w:color="auto"/>
            </w:tcBorders>
            <w:shd w:val="clear" w:color="auto" w:fill="CFF0FC"/>
          </w:tcPr>
          <w:p>
            <w:pPr>
              <w:jc w:val="right"/>
              <w:ind w:right="13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6,363</w:t>
            </w:r>
          </w:p>
        </w:tc>
        <w:tc>
          <w:tcPr>
            <w:tcW w:w="2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4,058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-25400</wp:posOffset>
            </wp:positionV>
            <wp:extent cx="1454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1454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did not record a provision or benefit for federal income taxes during the three months ended March 31, 2025 and 2024. The Company recorded state income tax expense of $0.1 million and less than $0.1 million for the three months ended March 31, 2025 and 2024, respectively, due to interest income. The Company continues to maintain a full valuation allowance against all of its deferred tax assets.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involving its ability to realize its deferred tax assets and has considered its history of cumulative net losses incurred since inception and its lack of any commercially ready products. The Company has concluded that it is more likely than not that it will not realize the benefits of its deferred tax assets. The Company reevaluates the positive and negative evidence at each reporting period.</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never been examined by the Internal Revenue Service or any other jurisdiction for any tax years and, as such, all years within the applicable statutes of limitations are potentially subject to audit.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and diluted net loss per share is computed by dividing net loss by the weighted-average common shares outstanding. The weighted-average common shares outstanding used in the basic and diluted net loss per share calculation includes pre-funded warrants issued in connection with the Company’s January 2025 underwritten offering and June 2023 follow-on public offering. As of March 31, 2025 and March 31, 2024, 385,899 and 204,081 pre-funded warrants were outstanding, respectively.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(in thousands, except share and per share data):</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3180" w:type="dxa"/>
            <w:vAlign w:val="bottom"/>
            <w:tcBorders>
              <w:bottom w:val="single" w:sz="8" w:color="auto"/>
            </w:tcBorders>
            <w:gridSpan w:val="4"/>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770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(34,085)</w:t>
            </w: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(26,949)</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33,324,745</w:t>
            </w: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24,809,869</w:t>
            </w:r>
          </w:p>
        </w:tc>
      </w:tr>
      <w:tr>
        <w:trPr>
          <w:trHeight w:val="20"/>
        </w:trPr>
        <w:tc>
          <w:tcPr>
            <w:tcW w:w="7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230"/>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-24765</wp:posOffset>
            </wp:positionV>
            <wp:extent cx="1200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12001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generated a net loss in all periods presented, so the basic and diluted net loss per share are the same, as the inclusion of the potentially dilutive securities would be anti-dilutive. The Company excluded the following potential common shares from the computation of diluted net loss per share because including them would have had an anti-dilutive effect: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40" w:type="dxa"/>
            <w:vAlign w:val="bottom"/>
          </w:tcPr>
          <w:p>
            <w:pPr>
              <w:spacing w:after="0"/>
              <w:rPr>
                <w:sz w:val="15"/>
                <w:szCs w:val="15"/>
                <w:color w:val="auto"/>
              </w:rPr>
            </w:pPr>
          </w:p>
        </w:tc>
        <w:tc>
          <w:tcPr>
            <w:tcW w:w="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3240" w:type="dxa"/>
            <w:vAlign w:val="bottom"/>
            <w:tcBorders>
              <w:bottom w:val="single" w:sz="8" w:color="auto"/>
            </w:tcBorders>
            <w:gridSpan w:val="4"/>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640" w:type="dxa"/>
            <w:vAlign w:val="bottom"/>
          </w:tcPr>
          <w:p>
            <w:pPr>
              <w:spacing w:after="0"/>
              <w:rPr>
                <w:sz w:val="12"/>
                <w:szCs w:val="12"/>
                <w:color w:val="auto"/>
              </w:rPr>
            </w:pPr>
          </w:p>
        </w:tc>
        <w:tc>
          <w:tcPr>
            <w:tcW w:w="3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6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6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889,724</w:t>
            </w:r>
          </w:p>
        </w:tc>
        <w:tc>
          <w:tcPr>
            <w:tcW w:w="14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368,714</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3,364,505</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2,948,273</w:t>
            </w: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program</w:t>
            </w:r>
          </w:p>
        </w:tc>
        <w:tc>
          <w:tcPr>
            <w:tcW w:w="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6,925</w:t>
            </w:r>
          </w:p>
        </w:tc>
        <w:tc>
          <w:tcPr>
            <w:tcW w:w="4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1,919</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manages its operations as a single operating segment for the purposes of assessing performance and making operating decisions, resulting in a single reportable segment. The Company has determined that its Chief Operating Decision Maker</w:t>
      </w: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("CODM") is its Chief Executive Officer. The Company’s CODM reviews the Company’s financial information on a consolidated basis for the purpose of allocating resources and assessing financial performance.</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key measure of segment profit or loss that the CODM uses to allocate resources and assess performance is the Company’s consolidated net loss, as reported on the condensed consolidated statements of operations and comprehensive loss. In addition, the CODM is regularly provided the significant segment expense categories included in the table below, which are reviewed against budgeted expectations to assist in resource allocation decision-making. The categories reflect a change made during the first quarter of 2025 to separately present commercial expense. The prior period has been recast to reflect this update.</w:t>
      </w:r>
    </w:p>
    <w:p>
      <w:pPr>
        <w:spacing w:after="0" w:line="69" w:lineRule="exact"/>
        <w:rPr>
          <w:sz w:val="20"/>
          <w:szCs w:val="20"/>
          <w:color w:val="auto"/>
        </w:rPr>
      </w:pPr>
    </w:p>
    <w:p>
      <w:pPr>
        <w:jc w:val="center"/>
        <w:ind w:left="51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51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-3175</wp:posOffset>
            </wp:positionV>
            <wp:extent cx="37890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18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20" w:type="dxa"/>
            <w:vAlign w:val="bottom"/>
            <w:tcBorders>
              <w:bottom w:val="single" w:sz="8" w:color="auto"/>
            </w:tcBorders>
          </w:tcPr>
          <w:p>
            <w:pPr>
              <w:spacing w:after="0"/>
              <w:rPr>
                <w:sz w:val="15"/>
                <w:szCs w:val="15"/>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jc w:val="right"/>
              <w:ind w:right="12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Bitopertin program external expense</w:t>
            </w:r>
          </w:p>
        </w:tc>
        <w:tc>
          <w:tcPr>
            <w:tcW w:w="1880" w:type="dxa"/>
            <w:vAlign w:val="bottom"/>
            <w:shd w:val="clear" w:color="auto" w:fill="CFF0FC"/>
          </w:tcPr>
          <w:p>
            <w:pPr>
              <w:jc w:val="right"/>
              <w:ind w:right="171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(8,435)</w:t>
            </w:r>
          </w:p>
        </w:tc>
        <w:tc>
          <w:tcPr>
            <w:tcW w:w="80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(6,369)</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DISC-0974 program external expense</w:t>
            </w:r>
          </w:p>
        </w:tc>
        <w:tc>
          <w:tcPr>
            <w:tcW w:w="18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w:t>
            </w: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DISC-3405 program external expense</w:t>
            </w:r>
          </w:p>
        </w:tc>
        <w:tc>
          <w:tcPr>
            <w:tcW w:w="18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(4,701)</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 external research and development expense</w:t>
            </w:r>
          </w:p>
        </w:tc>
        <w:tc>
          <w:tcPr>
            <w:tcW w:w="18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w:t>
            </w: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 and other research and development expense</w:t>
            </w:r>
          </w:p>
        </w:tc>
        <w:tc>
          <w:tcPr>
            <w:tcW w:w="18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(6,748)</w:t>
            </w: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(5,399)</w:t>
            </w:r>
          </w:p>
        </w:tc>
      </w:tr>
      <w:tr>
        <w:trPr>
          <w:trHeight w:val="216"/>
        </w:trPr>
        <w:tc>
          <w:tcPr>
            <w:tcW w:w="5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expense</w:t>
            </w:r>
          </w:p>
        </w:tc>
        <w:tc>
          <w:tcPr>
            <w:tcW w:w="1880" w:type="dxa"/>
            <w:vAlign w:val="bottom"/>
            <w:shd w:val="clear" w:color="auto" w:fill="CFF0FC"/>
          </w:tcPr>
          <w:p>
            <w:pPr>
              <w:jc w:val="right"/>
              <w:ind w:right="171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80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5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880" w:type="dxa"/>
            <w:vAlign w:val="bottom"/>
            <w:shd w:val="clear" w:color="auto" w:fill="CFF0FC"/>
          </w:tcPr>
          <w:p>
            <w:pPr>
              <w:jc w:val="right"/>
              <w:ind w:right="171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(6,858)</w:t>
            </w:r>
          </w:p>
        </w:tc>
        <w:tc>
          <w:tcPr>
            <w:tcW w:w="80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(5,243)</w:t>
            </w:r>
          </w:p>
        </w:tc>
      </w:tr>
      <w:tr>
        <w:trPr>
          <w:trHeight w:val="216"/>
        </w:trPr>
        <w:tc>
          <w:tcPr>
            <w:tcW w:w="5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80" w:type="dxa"/>
            <w:vAlign w:val="bottom"/>
            <w:shd w:val="clear" w:color="auto" w:fill="CFF0FC"/>
          </w:tcPr>
          <w:p>
            <w:pPr>
              <w:jc w:val="right"/>
              <w:ind w:right="171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(6,363)</w:t>
            </w:r>
          </w:p>
        </w:tc>
        <w:tc>
          <w:tcPr>
            <w:tcW w:w="80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(4,058)</w:t>
            </w:r>
          </w:p>
        </w:tc>
      </w:tr>
      <w:tr>
        <w:trPr>
          <w:trHeight w:val="216"/>
        </w:trPr>
        <w:tc>
          <w:tcPr>
            <w:tcW w:w="5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segment items*</w:t>
            </w:r>
          </w:p>
        </w:tc>
        <w:tc>
          <w:tcPr>
            <w:tcW w:w="1880" w:type="dxa"/>
            <w:vAlign w:val="bottom"/>
            <w:shd w:val="clear" w:color="auto" w:fill="CFF0FC"/>
          </w:tcPr>
          <w:p>
            <w:pPr>
              <w:jc w:val="right"/>
              <w:ind w:right="171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5,861</w:t>
            </w:r>
          </w:p>
        </w:tc>
        <w:tc>
          <w:tcPr>
            <w:tcW w:w="80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4,513</w:t>
            </w:r>
          </w:p>
        </w:tc>
      </w:tr>
      <w:tr>
        <w:trPr>
          <w:trHeight w:val="216"/>
        </w:trPr>
        <w:tc>
          <w:tcPr>
            <w:tcW w:w="5280" w:type="dxa"/>
            <w:vAlign w:val="bottom"/>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r>
      <w:tr>
        <w:trPr>
          <w:trHeight w:val="22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880" w:type="dxa"/>
            <w:vAlign w:val="bottom"/>
            <w:shd w:val="clear" w:color="auto" w:fill="CFF0FC"/>
          </w:tcPr>
          <w:p>
            <w:pPr>
              <w:jc w:val="right"/>
              <w:ind w:right="171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(34,085)</w:t>
            </w:r>
          </w:p>
        </w:tc>
        <w:tc>
          <w:tcPr>
            <w:tcW w:w="80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(26,949)</w:t>
            </w:r>
          </w:p>
        </w:tc>
      </w:tr>
      <w:tr>
        <w:trPr>
          <w:trHeight w:val="20"/>
        </w:trPr>
        <w:tc>
          <w:tcPr>
            <w:tcW w:w="528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-24765</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segment items include interest income, interest expense, other expense, and income tax expense as reported on the condensed consolidated statements of operations and comprehensive loss.</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Assets regularly provided to the CODM are consistent with those reported on the condensed consolidated balance sheets with particular emphasis on the Company’s available liquidity, including its cash, cash equivalents and marketable securities balances. All of the Company’s tangible assets are held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its vendors, lessors, contract research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from time to time, may be party to litigation arising in the ordinary course of business. The Company was not subject to any material legal proceedings during the three months ended March 31, 2025 and 2024 and, to the best of its knowledge, no material legal proceedings are currently pending or threatened.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Upon Termination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contract research organizations ("CROs"), contract development and manufacturing organizations ("CDMOs") and other third parties for preclinical studies, clinical trials and manufacturing services. These contracts typically do not contain minimum purchase commitments and are generally cancelable by the Company upon written notice. Payments due upon cancellation consist of payments for services provided or expenses incurred, including noncancelable obligations of the Company’s service providers, up to the date of cancellation and, in the case of certain arrangements with CROs and CDMOs, may include noncancelable fees. Under such agreements, the exact amounts owed by the Company in the event of termination will be based on the timing of the termination and the exact terms of the agreement. As 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spacing w:after="0" w:line="282" w:lineRule="auto"/>
        <w:rPr>
          <w:sz w:val="20"/>
          <w:szCs w:val="20"/>
          <w:color w:val="auto"/>
        </w:rPr>
      </w:pPr>
      <w:r>
        <w:rPr>
          <w:rFonts w:ascii="Times New Roman" w:cs="Times New Roman" w:eastAsia="Times New Roman" w:hAnsi="Times New Roman"/>
          <w:sz w:val="18"/>
          <w:szCs w:val="18"/>
          <w:color w:val="auto"/>
        </w:rPr>
        <w:t>March 31, 2025, the Company has not recognized any amounts related to these contingencies as the amount and timing of such payments are not fixed and estimable.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119" w:lineRule="exact"/>
        <w:rPr>
          <w:sz w:val="20"/>
          <w:szCs w:val="20"/>
          <w:color w:val="auto"/>
        </w:rPr>
      </w:pPr>
    </w:p>
    <w:p>
      <w:pPr>
        <w:ind w:left="5540" w:right="660" w:hanging="5525"/>
        <w:spacing w:after="0" w:line="284" w:lineRule="auto"/>
        <w:rPr>
          <w:sz w:val="20"/>
          <w:szCs w:val="20"/>
          <w:color w:val="auto"/>
        </w:rPr>
      </w:pPr>
      <w:r>
        <w:rPr>
          <w:rFonts w:ascii="Times New Roman" w:cs="Times New Roman" w:eastAsia="Times New Roman" w:hAnsi="Times New Roman"/>
          <w:sz w:val="18"/>
          <w:szCs w:val="18"/>
          <w:color w:val="auto"/>
        </w:rPr>
        <w:t xml:space="preserve">In January 2025 and June 2024, certain existing investors participated in the Company's underwritten offerings (see </w:t>
      </w:r>
      <w:r>
        <w:rPr>
          <w:rFonts w:ascii="Times New Roman" w:cs="Times New Roman" w:eastAsia="Times New Roman" w:hAnsi="Times New Roman"/>
          <w:sz w:val="18"/>
          <w:szCs w:val="18"/>
          <w:i w:val="1"/>
          <w:iCs w:val="1"/>
          <w:color w:val="auto"/>
        </w:rPr>
        <w:t>Note 9 - Stockholders' Equity</w:t>
      </w:r>
      <w:r>
        <w:rPr>
          <w:rFonts w:ascii="Times New Roman" w:cs="Times New Roman" w:eastAsia="Times New Roman" w:hAnsi="Times New Roman"/>
          <w:sz w:val="18"/>
          <w:szCs w:val="18"/>
          <w:color w:val="auto"/>
        </w:rPr>
        <w:t>).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at the beginning of this Quarterly Report on Form 10-Q and our audited consolidated financial statements and related notes appearing at the end of our Annual Report on Form 10-K for the year ended December 31, 2024.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DISC-3405 for the treatment of polycythemia vera, or PV, and other hematologic disorders. In addition, our preclinical programs also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initially developing bitopertin for the treatment of EPs, including EPP and XLP, which are part of a group of severe diseases, known as porphyrias, caused by defects in the heme biosynthesis pathway that cause an accumulation of toxic metabolites referred to as porphyrins, resulting in skin hypersensitivity to sunlight and some types of artificial light. In June and December 2023, we presented interim data from BEACON, a Phase 2 open-label, parallel-dose clinical trial of bitopertin in EPP and XLP patients conducted at sites in Australia. In April 2024, we presented topline data from AURORA, a Phase 2, randomized, double-blind, placebo-controlled clinical trial of bitopertin in EPP patients conducted at sites in the United States. Additional analyses of the BEACON and AURORA trials were presented in June 2024 and in December 2024. In both trials, bitopertin significantly reduced the toxic metabolite, protoporphyrin IX, or PPIX, and was associated with improvements in measures of time spent in sunlight and quality of life, demonstrating a clear association between PPIX reduction and clinical endpoints. In addition, bitopertin was generally well-tolerated. All participants who complete AURORA or BEACON are eligible to participate in HELIOS, an ongoing open-label, long-term extension study of bitopertin in EPP and XLP. In our end-of-Phase 2 meeting, the U.S. Food &amp; Drug Administration, or the FDA, agreed with the potential for reduction of PPIX to serve as a surrogate endpoint to support a potential accelerated approval of bitopertin in EPP and XLP. Under the FDA’s Accelerated Approval Program, we would have the potential to submit a New Drug Application, or NDA, for bitopertin in EPP and XLP based on our existing data, and we would be required to conduct a post-marketing confirmatory clinical trial. In our Type C meeting with the FDA in December 2024, we aligned with the FDA on the design of APOLLO, a randomized, double-blind, placebo-controlled, clinical trial of bitopertin in EPP and XLP patients that in the setting of an accelerated approval would serve as a post-marketing confirmatory clinical trial. We have now initiated the APOLLO trial and anticipate submitting an NDA for accelerated approval of bitopertin in EPP and XLP in the second half of 2025. APOLLO is also intended to serve as a registrational trial with respect to any potential future marketing applications for bitopertin in EPP and XLP in jurisdictions outside the U.S. We have also entered into a collaborative research and development agreement with the National Institutes of Health, or NIH, to conduct a clinical trial of bitopertin in DBA, which began in July 2023. We are planning additional trials of bitopertin in other indications.</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DISC-0974 is the lead product candidate in our iron homeostasis portfolio and was licensed from AbbVie Deutschland GmbH &amp; Co. KG, or AbbVie. DISC-0974 is designed to suppress hepcidin production and increase serum iron levels. We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anemia of MF, and initiated a separate Phase 1b/2 clinical trial in February 2023 in patients with non-dialysis dependent CKD and anemia. We presented interim data from both of these trials in December 2023 as well as additional interim data for anemia of MF in June 2024 and for non-dialysis dependent CKD and anemia in October 2024. This additional interim data included safety data and changes in hepcidin, iron, and hemoglobin levels for additional patients, as well as longer follow-up. In December 2024, we presented additional analyses of the Phase 1b study in anemia of MF and initiated the open-label Phase 2 portion of this clinical trial. We expect to report initial data from this Phase 2 trial in the second half of 2025. We also expect to report data from the multiple-ascending dose, or MAD, portion of the Phase 1b trial in patients with non-dialysis dependent CKD and anemia in the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jc w:val="both"/>
        <w:spacing w:after="0" w:line="261" w:lineRule="auto"/>
        <w:rPr>
          <w:sz w:val="20"/>
          <w:szCs w:val="20"/>
          <w:color w:val="auto"/>
        </w:rPr>
      </w:pPr>
      <w:r>
        <w:rPr>
          <w:rFonts w:ascii="Times New Roman" w:cs="Times New Roman" w:eastAsia="Times New Roman" w:hAnsi="Times New Roman"/>
          <w:sz w:val="18"/>
          <w:szCs w:val="18"/>
          <w:color w:val="auto"/>
        </w:rPr>
        <w:t>second half of 2025. We are also planning additional trials of DISC-0974 in other anemias of inflammation. In addition, we are developing a preclinical anti-hemojuvelin, or HJV, monoclonal antibody, DISC-0998, which also targets hepcidin suppression and was licensed from AbbVie. DISC-0998 is designed to increase serum iron levels and has an extended serum half-life as compared to DISC-0974. We believe this profile may be desirable in certain subsets of patients with anemia associated with inflammatory diseases.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Lastly,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We initiated a Phase 1 clinical trial of DISC-3405 in healthy adult volunteers in October 2023 and presented interim data from the single-ascending dose, or SAD, portion of this clinical trial in June 2024. We presented data from the MAD portion of this Phase 1 healthy volunteer study of DISC-3405 in December 2024. We expect to develop DISC-3405 for the treatment of PV and other hematologic disorders and plan to initiate a Phase 2 clinical trial of DISC-3405 in the first half of 2025.</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2025 we completed an underwritten offering of shares of our common stock and pre-funded warrants for net proceeds of $243.4 million, after deducting offering expenses. As of March 31, 2025, we had cash, cash equivalents and marketable securities of $694.7 million. We believe that our cash, cash equivalents and marketable securities will be sufficient to fund our current operating and capital expenditure plans and our debt service obligations into 2028, without taking into account any potential net cash inflows from bitopertin or any other marketed product, if approved during such period. We have based these estimates on assumptions that may prove to be wrong, and we could exhaust our available capital resources sooner than we expect.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xml:space="preserve"> for additional details.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since our inception and do not expect to generate any revenue from the sale of products in the near future, if at all. If our development efforts are successful and result in commercialization of one or more product candidates or if we enter into collaboration or license agreements with third parties, we may generate revenue in the future from product sales, payments from such collaboration or license agreements or a combination thereof.</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research and development of our product candidates. These expenses include:</w:t>
      </w:r>
    </w:p>
    <w:p>
      <w:pPr>
        <w:spacing w:after="0" w:line="54" w:lineRule="exact"/>
        <w:rPr>
          <w:sz w:val="20"/>
          <w:szCs w:val="20"/>
          <w:color w:val="auto"/>
        </w:rPr>
      </w:pPr>
    </w:p>
    <w:p>
      <w:pPr>
        <w:ind w:lef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stock-based compensation expense, for personnel engaged in research and development functions;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our research and development activities, including under agreements with third parties such as consultants, contractors and contract research organizations, or CROs;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contract development and manufacturing organizations, or CDMOs, that are primarily engaged to provide drug substance and product for our preclinical studies, clinical trials and research and development programs, as well as investigative sites and consultants that conduct our clinical trials, preclinical studies and other scientific development services;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and manufacturing preclinical study and clinical trial materials, including manufacturing registration and validation batches;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Costs incurred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may be reflected in our condensed consolidated financial statements as prepaid or accrued expenses. Nonrefundable advance payments for goods or services to be received in the future for use in research and development activities are recorded as prepaid expenses and expensed as the related goods are delivered or the services are performed or when it is no longer expected that the goods will be delivered or the services rendered.</w:t>
      </w:r>
    </w:p>
    <w:p>
      <w:pPr>
        <w:spacing w:after="0" w:line="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typically use our employee and infrastructure resources across product candidates and development programs. We track external development costs by product candidate or development program, but we do not allocate personnel costs or other internal costs to specific product candidates or development programs.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jc w:val="both"/>
        <w:spacing w:after="0" w:line="256" w:lineRule="auto"/>
        <w:rPr>
          <w:sz w:val="20"/>
          <w:szCs w:val="20"/>
          <w:color w:val="auto"/>
        </w:rPr>
      </w:pPr>
      <w:r>
        <w:rPr>
          <w:rFonts w:ascii="Times New Roman" w:cs="Times New Roman" w:eastAsia="Times New Roman" w:hAnsi="Times New Roman"/>
          <w:sz w:val="18"/>
          <w:szCs w:val="18"/>
          <w:color w:val="auto"/>
        </w:rPr>
        <w:t>We expect that our research and development expenses will increase substantially as we advance our programs into and through clinical development. At this time, we cannot accurately estimate or know the nature, timing and costs of the efforts that will be necessary to complete the preclinical and clinical development of any product candidates we may develop. A change in the outcome of any number of variables with respect to product candidates we may develop could significantly change the costs and timing associated with the development of that product candidate. We may never succeed in obtaining regulatory approval for any product candidates we may develop. The successful development of any product candidate is highly uncertain. This is due to the numerous risks and uncertainties associated with product development, including the following:</w:t>
      </w:r>
    </w:p>
    <w:p>
      <w:pPr>
        <w:spacing w:after="0" w:line="79"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to the extent necessary to complete clinical development of and commercialize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 and the progress of the development efforts of third parties with whom we may enter into such arrangements;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programs;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enrollment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 for any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for use in production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agreements with third-party manufacturers for supply of product candidate components for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other rights in our intellectual property portfolio;</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product candidates, if and when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third-party insurance coverage and adequate reimbursement for any approved products.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related costs for personnel in executive, finance, commercial, corporate and business development, and administrative functions. Selling, general and administrative expenses also include legal fees relating to patent and corporate matters, including noncapitalizable transaction costs; professional fees for accounting, auditing, tax compliance and administrative consulting services; investor and public relations expenses; commercial planning and market research; director and officer insurance costs and other insurance costs; and facility related expenses including maintenance and allocated expenses for rent and other operating costs.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anticipate that our selling, general and administrative expenses will increase substantially in the future as we increase our headcount to support our continued research and development and potential commercialization activities, including establishing a sales, marketing and distribution infrastructure to commercialize any product candidates for which we may obtain marketing approval.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primarily consists of interest earned on cash equivalents, consisting of money market funds, U.S. treasury securities and certificates of deposit, as well as marketable securities, consisting of U.S. treasury securities and U.S. government agency securities.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5540" w:right="800" w:hanging="5525"/>
        <w:spacing w:after="0" w:line="282" w:lineRule="auto"/>
        <w:rPr>
          <w:sz w:val="20"/>
          <w:szCs w:val="20"/>
          <w:color w:val="auto"/>
        </w:rPr>
      </w:pPr>
      <w:r>
        <w:rPr>
          <w:rFonts w:ascii="Times New Roman" w:cs="Times New Roman" w:eastAsia="Times New Roman" w:hAnsi="Times New Roman"/>
          <w:sz w:val="18"/>
          <w:szCs w:val="18"/>
          <w:color w:val="auto"/>
        </w:rPr>
        <w:t>Interest expense primarily consists of amortization of debt issuance costs and discount and interest expense under the Hercules Loan Agreement.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2025 and 2024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73"/>
        </w:trPr>
        <w:tc>
          <w:tcPr>
            <w:tcW w:w="6520" w:type="dxa"/>
            <w:vAlign w:val="bottom"/>
          </w:tcPr>
          <w:p>
            <w:pPr>
              <w:ind w:left="642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29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142"/>
        </w:trPr>
        <w:tc>
          <w:tcPr>
            <w:tcW w:w="6520" w:type="dxa"/>
            <w:vAlign w:val="bottom"/>
          </w:tcPr>
          <w:p>
            <w:pPr>
              <w:ind w:left="64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center"/>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65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4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27,763</w:t>
            </w:r>
          </w:p>
        </w:tc>
        <w:tc>
          <w:tcPr>
            <w:tcW w:w="4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23,704</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4,059</w:t>
            </w:r>
          </w:p>
        </w:tc>
      </w:tr>
      <w:tr>
        <w:trPr>
          <w:trHeight w:val="216"/>
        </w:trPr>
        <w:tc>
          <w:tcPr>
            <w:tcW w:w="652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12,183</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7,758</w:t>
            </w:r>
          </w:p>
        </w:tc>
        <w:tc>
          <w:tcPr>
            <w:tcW w:w="4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4,425</w:t>
            </w:r>
          </w:p>
        </w:tc>
      </w:tr>
      <w:tr>
        <w:trPr>
          <w:trHeight w:val="20"/>
        </w:trPr>
        <w:tc>
          <w:tcPr>
            <w:tcW w:w="652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r>
        <w:trPr>
          <w:trHeight w:val="209"/>
        </w:trPr>
        <w:tc>
          <w:tcPr>
            <w:tcW w:w="6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39,946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31,462</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8,484</w:t>
            </w:r>
          </w:p>
        </w:tc>
      </w:tr>
      <w:tr>
        <w:trPr>
          <w:trHeight w:val="20"/>
        </w:trPr>
        <w:tc>
          <w:tcPr>
            <w:tcW w:w="65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r>
        <w:trPr>
          <w:trHeight w:val="209"/>
        </w:trPr>
        <w:tc>
          <w:tcPr>
            <w:tcW w:w="65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(39,946)</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(31,462)</w:t>
            </w:r>
          </w:p>
        </w:tc>
        <w:tc>
          <w:tcPr>
            <w:tcW w:w="4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(8,484)</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8"/>
                <w:szCs w:val="18"/>
                <w:color w:val="auto"/>
              </w:rPr>
            </w:pPr>
          </w:p>
        </w:tc>
      </w:tr>
      <w:tr>
        <w:trPr>
          <w:trHeight w:val="216"/>
        </w:trPr>
        <w:tc>
          <w:tcPr>
            <w:tcW w:w="652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6,880</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4,519</w:t>
            </w:r>
          </w:p>
        </w:tc>
        <w:tc>
          <w:tcPr>
            <w:tcW w:w="4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2,361</w:t>
            </w: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r>
      <w:tr>
        <w:trPr>
          <w:trHeight w:val="216"/>
        </w:trPr>
        <w:tc>
          <w:tcPr>
            <w:tcW w:w="6520" w:type="dxa"/>
            <w:vAlign w:val="bottom"/>
            <w:tcBorders>
              <w:bottom w:val="single" w:sz="8" w:color="CFF0FC"/>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expense</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6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5,980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4,518</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1,462</w:t>
            </w:r>
          </w:p>
        </w:tc>
      </w:tr>
      <w:tr>
        <w:trPr>
          <w:trHeight w:val="209"/>
        </w:trPr>
        <w:tc>
          <w:tcPr>
            <w:tcW w:w="652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(33,966)</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(26,944)</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(7,022)</w:t>
            </w:r>
          </w:p>
        </w:tc>
      </w:tr>
      <w:tr>
        <w:trPr>
          <w:trHeight w:val="209"/>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65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perscript"/>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(34,085)</w:t>
            </w:r>
          </w:p>
        </w:tc>
        <w:tc>
          <w:tcPr>
            <w:tcW w:w="4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(26,949)</w:t>
            </w:r>
          </w:p>
        </w:tc>
        <w:tc>
          <w:tcPr>
            <w:tcW w:w="4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(7,136)</w:t>
            </w:r>
          </w:p>
        </w:tc>
      </w:tr>
      <w:tr>
        <w:trPr>
          <w:trHeight w:val="20"/>
        </w:trPr>
        <w:tc>
          <w:tcPr>
            <w:tcW w:w="65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-1447800</wp:posOffset>
            </wp:positionV>
            <wp:extent cx="1028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-1447800</wp:posOffset>
            </wp:positionV>
            <wp:extent cx="1028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-607695</wp:posOffset>
            </wp:positionV>
            <wp:extent cx="1028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-607695</wp:posOffset>
            </wp:positionV>
            <wp:extent cx="1028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-316230</wp:posOffset>
            </wp:positionV>
            <wp:extent cx="1028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-316230</wp:posOffset>
            </wp:positionV>
            <wp:extent cx="1028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1028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1028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1028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1028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months ended March 31, 2025 and 2024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73"/>
        </w:trPr>
        <w:tc>
          <w:tcPr>
            <w:tcW w:w="6620" w:type="dxa"/>
            <w:vAlign w:val="bottom"/>
          </w:tcPr>
          <w:p>
            <w:pPr>
              <w:ind w:left="654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42"/>
        </w:trPr>
        <w:tc>
          <w:tcPr>
            <w:tcW w:w="6620" w:type="dxa"/>
            <w:vAlign w:val="bottom"/>
          </w:tcPr>
          <w:p>
            <w:pPr>
              <w:ind w:left="65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Bitopertin</w:t>
            </w: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8,435</w:t>
            </w:r>
          </w:p>
        </w:tc>
        <w:tc>
          <w:tcPr>
            <w:tcW w:w="3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6,369</w:t>
            </w:r>
          </w:p>
        </w:tc>
        <w:tc>
          <w:tcPr>
            <w:tcW w:w="4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2,066</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DISC-0974</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6,121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3,771</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2,350</w:t>
            </w: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DISC-3405</w:t>
            </w: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1,668</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4,701</w:t>
            </w:r>
          </w:p>
        </w:tc>
        <w:tc>
          <w:tcPr>
            <w:tcW w:w="4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(3,033)</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Other research programs and expenses</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2,643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2,429</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Personnel-related (including equity-based compensation)</w:t>
            </w: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8,896</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6,434</w:t>
            </w:r>
          </w:p>
        </w:tc>
        <w:tc>
          <w:tcPr>
            <w:tcW w:w="4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2,462</w:t>
            </w:r>
          </w:p>
        </w:tc>
      </w:tr>
      <w:tr>
        <w:trPr>
          <w:trHeight w:val="20"/>
        </w:trPr>
        <w:tc>
          <w:tcPr>
            <w:tcW w:w="66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r>
        <w:trPr>
          <w:trHeight w:val="209"/>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00" w:type="dxa"/>
            <w:vAlign w:val="bottom"/>
          </w:tcPr>
          <w:p>
            <w:pPr>
              <w:spacing w:after="0" w:line="21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perscript"/>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27,763</w:t>
            </w:r>
          </w:p>
        </w:tc>
        <w:tc>
          <w:tcPr>
            <w:tcW w:w="1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23,704</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4,059</w:t>
            </w:r>
          </w:p>
        </w:tc>
      </w:tr>
      <w:tr>
        <w:trPr>
          <w:trHeight w:val="20"/>
        </w:trPr>
        <w:tc>
          <w:tcPr>
            <w:tcW w:w="6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-170815</wp:posOffset>
            </wp:positionV>
            <wp:extent cx="1028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-170815</wp:posOffset>
            </wp:positionV>
            <wp:extent cx="1028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were $27.8 million for the three months ended March 31, 2025, compared to $23.7 million for the three months ended March 31, 2024. The increase of $4.1 million was primarily due to increases of $2.4 million and $2.1 million in DISC-0974 and bitopertin development expense, respectively, related to advancing the clinical trials and drug manufacturing activity. In addition, personnel-related costs increased $2.5 million related to higher research and development headcount, including an increase of $1.4 million in stock-based compensation driven by awards granted under our equity compensation plans. These increases were partially offset by a decrease of $3.0 million in DISC-3405 development expense related to manufacturing costs incurred in the three months ended March 31, 2024 that did not recur in the three months ended March 31,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selling, general and administrative expenses for the three months ended March 31, 2025 and 2024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73"/>
        </w:trPr>
        <w:tc>
          <w:tcPr>
            <w:tcW w:w="6620" w:type="dxa"/>
            <w:vAlign w:val="bottom"/>
          </w:tcPr>
          <w:p>
            <w:pPr>
              <w:ind w:left="654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42"/>
        </w:trPr>
        <w:tc>
          <w:tcPr>
            <w:tcW w:w="6620" w:type="dxa"/>
            <w:vAlign w:val="bottom"/>
          </w:tcPr>
          <w:p>
            <w:pPr>
              <w:ind w:left="65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Personnel-related (including equity-based compensation)</w:t>
            </w: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6,820</w:t>
            </w:r>
          </w:p>
        </w:tc>
        <w:tc>
          <w:tcPr>
            <w:tcW w:w="3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4,815</w:t>
            </w:r>
          </w:p>
        </w:tc>
        <w:tc>
          <w:tcPr>
            <w:tcW w:w="4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2,005</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Legal, consulting and professional fees</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4,234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2,138</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2,096</w:t>
            </w: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1,129</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805</w:t>
            </w:r>
          </w:p>
        </w:tc>
        <w:tc>
          <w:tcPr>
            <w:tcW w:w="4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324</w:t>
            </w:r>
          </w:p>
        </w:tc>
      </w:tr>
      <w:tr>
        <w:trPr>
          <w:trHeight w:val="20"/>
        </w:trPr>
        <w:tc>
          <w:tcPr>
            <w:tcW w:w="66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r>
        <w:trPr>
          <w:trHeight w:val="210"/>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300" w:type="dxa"/>
            <w:vAlign w:val="bottom"/>
          </w:tcPr>
          <w:p>
            <w:pPr>
              <w:spacing w:after="0" w:line="21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perscript"/>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12,183</w:t>
            </w:r>
          </w:p>
        </w:tc>
        <w:tc>
          <w:tcPr>
            <w:tcW w:w="1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7,758</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4,425</w:t>
            </w:r>
          </w:p>
        </w:tc>
      </w:tr>
      <w:tr>
        <w:trPr>
          <w:trHeight w:val="20"/>
        </w:trPr>
        <w:tc>
          <w:tcPr>
            <w:tcW w:w="6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-170815</wp:posOffset>
            </wp:positionV>
            <wp:extent cx="1028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-170815</wp:posOffset>
            </wp:positionV>
            <wp:extent cx="1028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Selling, general and administrative expenses were $12.2 million for the three months ended March 31, 2025, compared to $7.8 million for the three months ended March 31, 2024. The increase of $4.4 million was due to an increase of $2.0 million in personnel-related costs due to higher selling, general and administrative headcount, including an increase of $0.9 million in stock-based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 w:name="page25"/>
    <w:bookmarkEnd w:id="24"/>
    <w:p>
      <w:pPr>
        <w:jc w:val="both"/>
        <w:spacing w:after="0" w:line="282" w:lineRule="auto"/>
        <w:rPr>
          <w:sz w:val="20"/>
          <w:szCs w:val="20"/>
          <w:color w:val="auto"/>
        </w:rPr>
      </w:pPr>
      <w:r>
        <w:rPr>
          <w:rFonts w:ascii="Times New Roman" w:cs="Times New Roman" w:eastAsia="Times New Roman" w:hAnsi="Times New Roman"/>
          <w:sz w:val="18"/>
          <w:szCs w:val="18"/>
          <w:color w:val="auto"/>
        </w:rPr>
        <w:t>compensation driven by awards granted under our equity compensation plans. There was also a $2.1 million increase in legal, consulting, and professional fees primarily related to developing our commercialization capabilities.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net was $6.0 million for the three months ended March 31, 2025, compared to $4.5 million for the three months ended March 31, 2024. The increase of $1.5 million was primarily due to an increase in interest income based on increases in our cash, cash equivalents and marketable securities balances.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expense was $0.1 million for the three months ended March 31, 2025, compared to less than $0.1 million for the three months ended March 31, 2024. This expense relates to state income tax resulting from an increase in interest income.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We expect to continue to incur significant expenses and operating losses in the foreseeable future as we advance the clinical development of our product candidates. We expect that our research and development and selling, general and administrative costs will continue to increase significantly, including in connection with conducting clinical trials and manufacturing for our product candidates to support potential commercialization and providing selling, general and administrative support for our operations, including the costs associated with operating as a public company. As a result, we may need additional capital to fund our operations, which we may obtain from additional equity or debt financings, collaborations, licensing arrangements or other sources. See “Risk Factors” included within Item 1A of this Quarterly Report on Form 10-Q for additional risks associated with our substantial capital requirements.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we have funded our operations primarily with proceeds from the sale of our convertible preferred stock and common stock, the proceeds from the merger with Gemini, proceeds from various private and public sales of our equity securities and proceeds from borrowings under the Hercules Loan Agreement. Through March 31, 2025, we have received net proceeds of $144.5 million from sales of our Series Seed, Series A and Series B convertible preferred stock, $89.5 million from the merger with Gemini, $721.0 million from various private and public sales of our equity securities, and $27.6 million from borrowings under the Hercules Loan Agreement. As of March 31, 2025, we had cash, cash equivalents and marketable securities of $694.7 million.</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and, as of March 31, 2025, had an accumulated deficit of $332.1 million. In addition, we expect to continue to incur significant and increasing expenses and operating losses for the foreseeable future. We believe that our cash, cash equivalents and marketable securities will be sufficient to fund our current operating and capital expenditure plans and our debt service obligations into 2028 without taking into account any potential net cash inflows from bitopertin or any other marketed product, if approved during such period. We have based these estimates on assumptions that may prove to be wrong, and we could exhaust our available capital resources sooner than we expect. We may also pursue additional cash resources through public or private equity offerings, collaborations or additional debt financings.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each period presented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60" w:type="dxa"/>
            <w:vAlign w:val="bottom"/>
            <w:gridSpan w:val="3"/>
          </w:tcPr>
          <w:p>
            <w:pPr>
              <w:jc w:val="center"/>
              <w:ind w:left="53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20" w:type="dxa"/>
            <w:vAlign w:val="bottom"/>
          </w:tcPr>
          <w:p>
            <w:pPr>
              <w:spacing w:after="0"/>
              <w:rPr>
                <w:sz w:val="13"/>
                <w:szCs w:val="13"/>
                <w:color w:val="auto"/>
              </w:rPr>
            </w:pPr>
          </w:p>
        </w:tc>
      </w:tr>
      <w:tr>
        <w:trPr>
          <w:trHeight w:val="173"/>
        </w:trPr>
        <w:tc>
          <w:tcPr>
            <w:tcW w:w="7700" w:type="dxa"/>
            <w:vAlign w:val="bottom"/>
          </w:tcPr>
          <w:p>
            <w:pPr>
              <w:ind w:left="760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center"/>
              <w:ind w:left="53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20" w:type="dxa"/>
            <w:vAlign w:val="bottom"/>
            <w:tcBorders>
              <w:bottom w:val="single" w:sz="8" w:color="auto"/>
            </w:tcBorders>
          </w:tcPr>
          <w:p>
            <w:pPr>
              <w:spacing w:after="0"/>
              <w:rPr>
                <w:sz w:val="15"/>
                <w:szCs w:val="15"/>
                <w:color w:val="auto"/>
              </w:rPr>
            </w:pPr>
          </w:p>
        </w:tc>
      </w:tr>
      <w:tr>
        <w:trPr>
          <w:trHeight w:val="142"/>
        </w:trPr>
        <w:tc>
          <w:tcPr>
            <w:tcW w:w="7700" w:type="dxa"/>
            <w:vAlign w:val="bottom"/>
          </w:tcPr>
          <w:p>
            <w:pPr>
              <w:ind w:left="76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6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7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(41,376)</w:t>
            </w: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(33,599)</w:t>
            </w:r>
          </w:p>
        </w:tc>
      </w:tr>
      <w:tr>
        <w:trPr>
          <w:trHeight w:val="216"/>
        </w:trPr>
        <w:tc>
          <w:tcPr>
            <w:tcW w:w="77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(272,633)</w:t>
            </w:r>
          </w:p>
        </w:tc>
        <w:tc>
          <w:tcPr>
            <w:tcW w:w="7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244,251</w:t>
            </w: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15,900</w:t>
            </w:r>
          </w:p>
        </w:tc>
      </w:tr>
      <w:tr>
        <w:trPr>
          <w:trHeight w:val="20"/>
        </w:trPr>
        <w:tc>
          <w:tcPr>
            <w:tcW w:w="7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30"/>
        </w:trPr>
        <w:tc>
          <w:tcPr>
            <w:tcW w:w="77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perscript"/>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(69,758)</w:t>
            </w:r>
          </w:p>
        </w:tc>
        <w:tc>
          <w:tcPr>
            <w:tcW w:w="7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(17,766)</w:t>
            </w:r>
          </w:p>
        </w:tc>
      </w:tr>
      <w:tr>
        <w:trPr>
          <w:trHeight w:val="20"/>
        </w:trPr>
        <w:tc>
          <w:tcPr>
            <w:tcW w:w="77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-24765</wp:posOffset>
            </wp:positionV>
            <wp:extent cx="1200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1200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cash flows from operating activities are greatly influenced by our use of cash for operating expenses and working capital requirements to support our business. We have historically experienced negative cash flows from operating activities as we invested in developing our portfolio, drug discovery efforts, conducting clinical trials and manufacturing, and related infrastructure. The cash used in operating activities resulted primarily from our net losses adjusted for non-cash charges and changes in components of operating assets and liabilities, which are primarily the result of increased expenses and timing of vendor payments.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net cash used in operating activities of $41.4 million was primarily due to our net loss of $34.1 million and the change in operating assets and liabilities of $11.5 million. These were partially offset by non-cash</w:t>
      </w: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expenses of $4.2 million which included $6.4 million in stock-based compensation, reduced by $2.5 million from amortization and accretion of investment securities.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net cash used in operating activities of $33.6 million was primarily due to our net loss of $26.9 million, which includes interest income of $4.5 million; and changes in operating assets and liabilities of $10.9 million, including a milestone payment of $5.0 million to Mabwell; offset by non-cash expenses of $4.2 million primarily related to stock-based compensation expense of $4.1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net cash used in investing activities was primarily due to purchases of marketable securities of $347.3 million, partially offset by maturities of marketable securities of $75.5 million.</w:t>
      </w:r>
    </w:p>
    <w:p>
      <w:pPr>
        <w:spacing w:after="0" w:line="54" w:lineRule="exact"/>
        <w:rPr>
          <w:sz w:val="20"/>
          <w:szCs w:val="20"/>
          <w:color w:val="auto"/>
        </w:rPr>
      </w:pPr>
    </w:p>
    <w:p>
      <w:pPr>
        <w:ind w:right="1600"/>
        <w:spacing w:after="0" w:line="375"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2024, net cash used in investing activities was due to purchases of property and equipment. </w:t>
      </w:r>
      <w:r>
        <w:rPr>
          <w:rFonts w:ascii="Times New Roman" w:cs="Times New Roman" w:eastAsia="Times New Roman" w:hAnsi="Times New Roman"/>
          <w:sz w:val="18"/>
          <w:szCs w:val="18"/>
          <w:i w:val="1"/>
          <w:iCs w:val="1"/>
          <w:color w:val="auto"/>
        </w:rPr>
        <w:t>Financing Activities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net cash provided by financing activities of $244.3 million consisted primarily of aggregate net proceeds of $243.4 million from our underwritten offering in January 2025.</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net cash provided by financing activities of $15.9 million consisted primarily of aggregate net proceeds of $14.8 million from the at-the-market offerings.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advance our product candidates into and through clinical development and continue to operate as a public company. Our funding requirements and the timing and amount of our operating expenditures will depend largely on:</w:t>
      </w:r>
    </w:p>
    <w:p>
      <w:pPr>
        <w:spacing w:after="0" w:line="68" w:lineRule="exact"/>
        <w:rPr>
          <w:sz w:val="20"/>
          <w:szCs w:val="20"/>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product candidates or any future product candidates we may develop;</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any product candidates we may develop, including but not limited to clinical trial requirements for approvals;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obtaining materials to produce adequate product supply for any preclinical or clinical development of any product candidate we may develop;</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licensing or other arrangements and the financial terms of such arrangements;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product candidate we may develop for which we obtain marketing approval;</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costs involved in prosecuting patent applications and enforcing patent claims and other intellectual property claims.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may take longer than we anticipate to become commercially available, if they become commercially available at all. Accordingly, we may need to obtain substantial additional funds to achieve our business objectives.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finance our cash needs through a combination of equity offerings, debt financings, collaborations, strategic alliances, and marketing, distribution or licensing arrangements with third parties. However, we may be unable to raise additional funds or enter into such other arrangements when needed on favorable terms or at all. To the extent that we raise additional capital through the sale of equity or convertible debt securities, the ownership interest of our existing stockholders may be materially diluted, and the terms of such securities could include liquidation or other preferences that adversely affect the rights of our common stockholders. Debt financing and preferred equity financing, if available, may involve agreements that include restrictive covenants that limit our ability to take specified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jc w:val="both"/>
        <w:spacing w:after="0" w:line="258" w:lineRule="auto"/>
        <w:rPr>
          <w:sz w:val="20"/>
          <w:szCs w:val="20"/>
          <w:color w:val="auto"/>
        </w:rPr>
      </w:pPr>
      <w:r>
        <w:rPr>
          <w:rFonts w:ascii="Times New Roman" w:cs="Times New Roman" w:eastAsia="Times New Roman" w:hAnsi="Times New Roman"/>
          <w:sz w:val="18"/>
          <w:szCs w:val="18"/>
          <w:color w:val="auto"/>
        </w:rPr>
        <w:t>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March 31, 2025 and the effects that such obligations are expected to have on our liquidity and cash flows in future periods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ind w:left="47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17"/>
        </w:trPr>
        <w:tc>
          <w:tcPr>
            <w:tcW w:w="4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1 to 3</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3 to 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r>
      <w:tr>
        <w:trPr>
          <w:trHeight w:val="173"/>
        </w:trPr>
        <w:tc>
          <w:tcPr>
            <w:tcW w:w="4800" w:type="dxa"/>
            <w:vAlign w:val="bottom"/>
          </w:tcPr>
          <w:p>
            <w:pPr>
              <w:ind w:left="47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00" w:type="dxa"/>
            <w:vAlign w:val="bottom"/>
            <w:tcBorders>
              <w:bottom w:val="single" w:sz="8" w:color="auto"/>
            </w:tcBorders>
          </w:tcPr>
          <w:p>
            <w:pPr>
              <w:spacing w:after="0"/>
              <w:rPr>
                <w:sz w:val="15"/>
                <w:szCs w:val="15"/>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5 Years</w:t>
            </w:r>
          </w:p>
        </w:tc>
      </w:tr>
      <w:tr>
        <w:trPr>
          <w:trHeight w:val="210"/>
        </w:trPr>
        <w:tc>
          <w:tcPr>
            <w:tcW w:w="48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Operating lease commitments</w:t>
            </w:r>
            <w:r>
              <w:rPr>
                <w:rFonts w:ascii="Times New Roman" w:cs="Times New Roman" w:eastAsia="Times New Roman" w:hAnsi="Times New Roman"/>
                <w:sz w:val="24"/>
                <w:szCs w:val="24"/>
                <w:color w:val="auto"/>
                <w:vertAlign w:val="superscript"/>
              </w:rPr>
              <w:t>(1)(2)</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3,742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1,408</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1,545</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8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20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3,742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1,408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1,545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-170815</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-170815</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-170815</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-170815</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65" w:lineRule="exact"/>
        <w:rPr>
          <w:sz w:val="20"/>
          <w:szCs w:val="20"/>
          <w:color w:val="auto"/>
        </w:rPr>
      </w:pPr>
    </w:p>
    <w:p>
      <w:pPr>
        <w:jc w:val="both"/>
        <w:ind w:firstLine="8"/>
        <w:spacing w:after="0" w:line="242" w:lineRule="auto"/>
        <w:tabs>
          <w:tab w:leader="none" w:pos="20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contractual rent payments due for our leased and subleased office spaces in Watertown, Massachusetts as of March 31, 2025 and include contractual payments due under our forward-starting lease which is expected to commence in December 2026. The term date for our existing lease is December 31, 2029 and the term date for our existing sublease is November 30, 2026.</w:t>
      </w:r>
    </w:p>
    <w:p>
      <w:pPr>
        <w:spacing w:after="0" w:line="228" w:lineRule="exact"/>
        <w:rPr>
          <w:rFonts w:ascii="Times New Roman" w:cs="Times New Roman" w:eastAsia="Times New Roman" w:hAnsi="Times New Roman"/>
          <w:sz w:val="14"/>
          <w:szCs w:val="14"/>
          <w:color w:val="auto"/>
        </w:rPr>
      </w:pPr>
    </w:p>
    <w:p>
      <w:pPr>
        <w:ind w:right="20" w:firstLine="8"/>
        <w:spacing w:after="0" w:line="261" w:lineRule="auto"/>
        <w:tabs>
          <w:tab w:leader="none" w:pos="209"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 excludes the impact of tenant improvement allowance reimbursements of $0.2 million which are expected to be received in less than one year. Of this total, $0.1 million relates to our existing leased office space and $0.1 million relates to our forward-starting lease.</w:t>
      </w:r>
    </w:p>
    <w:p>
      <w:pPr>
        <w:spacing w:after="0" w:line="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CDMOs and other third parties for preclinical studies, clinical trials and manufacturing services. These contracts typically do not contain minimum purchase commitments and are generally cancelable by us upon written notice. Payments due upon cancellation consist of payments for services provided or expenses incurred, including noncancelable obligations of our service providers, up to the date of cancellation and, in the case of certain arrangements with CROs and CDMOs, may include non-cancelable fees. These payments are not included in the table above as the amount and timing of such payments are not fixed and estimable.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also entered into license agreements under which we are obligated to make specified milestone and royalty payments. We have not included future payments under these agreements in the table of contractual obligations above since the payment obligations under these agreements are contingent upon future events such as regulatory milestones or generating product sales. We are unable to estimate the timing or likelihood of achieving these milestones or generating future product sales. For additional information about our license agreements and amounts that could become payable in the future under such agreements, see our condensed consolidated financial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management’s discussion and analysis of our financial condition and results of operations is based on our condensed consolidated financial statements, which have been prepared in accordance with U.S. generally accepted accounting principles, or GAAP. The preparation of our condensed consolidated financial statements and related disclosures requires us to make estimates and judgments that affect the reported amounts of assets, liabilities, and costs and expenses.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See our Annual Report on Form 10-K for the year ended December 31, 2024 for more </w:t>
      </w:r>
      <w:r>
        <w:rPr>
          <w:rFonts w:ascii="Times New Roman" w:cs="Times New Roman" w:eastAsia="Times New Roman" w:hAnsi="Times New Roman"/>
          <w:sz w:val="18"/>
          <w:szCs w:val="18"/>
          <w:color w:val="212529"/>
        </w:rPr>
        <w:t>information about critical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policies as well as a description of our other significant accounting policies</w:t>
      </w:r>
      <w:r>
        <w:rPr>
          <w:rFonts w:ascii="Times New Roman" w:cs="Times New Roman" w:eastAsia="Times New Roman" w:hAnsi="Times New Roman"/>
          <w:sz w:val="18"/>
          <w:szCs w:val="18"/>
          <w:color w:val="000000"/>
        </w:rPr>
        <w:t>.</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from those described in Part II, Item 7. “Management’s Discussion and Analysis of Financial Condition and Results of Operations” included in our Annual Report on Form 10-K for the year ended December 31,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A description of recently issued and certain recently adopted accounting pronouncements that have or may potentially impact our financial position and results of operations is included in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to our consolidated financial statements in our Annual Report on Form 10-K for the year ended December 31,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March 31, 2025, we had cash, cash equivalents and marketable securities of $694.7 million which consisted of cash, money market funds U.S. treasury securities and U.S. government agency securities, which are classified as available-for-sale securities. As of December 31, 2024, we had cash and cash equivalents of $489.9 million, which consisted of cash, money market funds and U.S. treasury securities. Our primary investment objectives are the preservation of capital and the maintenance of liquidity, and our investment policy defines allowable investments based on quality of the institutions and financial instruments designed to minimize risk exposure. Our exposure to interest rate sensitivity is affected by changes in the general level of U.S. interest rates. Our marketable securities are subject to interest rate risk and will fall in value if market interest rates increase. Due to the short-term maturities and low risk profiles of our investments, we do not anticipate a significant exposure to interest rate risk. If market interest rates were to increase immediately and uniformly by one percentage point from levels as of March 31, 2025, the net fair value of our marketable securities would decrease by approximately $3.6 million.</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employees and operations are primarily located in the United States. We have, from time to time, engaged in contracts with contractors or other vendors in a currency other than the U.S. dollar. To date, we have had minimal exposure to fluctuations in foreign currency exchange rates as the time period between the date that transactions are initiated, and the date of payment or receipt of payment is generally of short duration. Accordingly, we believe we do not have a material exposure to foreign currency risk.</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contract research. We do not believe that inflation had a material effect on our business, financial condition or results of operations during the three months ended March 31, 2025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Principal Executive Officer (our Chief Executive Officer) and Principal Financial Officer (our Chief Financial Officer), has evaluated the effectiveness of our disclosure controls and procedures as of March 31,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recognizes that any disclosure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2025, our Principal Executive Officer and Principal Financial Officer concluded that, as of such date, our disclosure controls and procedures were not effective at the reasonable assurance level due to the material weakness in the design and maintenance of effective Information Technology General Controls (“ITGC”) over certain key financial IT systems described below.</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in our Annual Report on Form 10-K for the year ended December 31, 2024, we identified a material weakness related to a lack of design and maintenance of effective ITGC's over certain key financial IT systems. Consequently, our IT application controls and IT dependent manual controls that rely upon the ineffective ITGC's, or that use information from the systems impacted by the ineffective ITGC's were also deemed ineffective because they could have been adversely impacted.</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material weakness identified above did not result in any material misstatements in our financial statements or disclosures, and there were no changes to previously released financial results. Our management concluded that the unaudited condensed consolidated financial statements included in this Quarterly Report on Form 10-Q, present fairly, in all material respects, our financial position, results of operations, and cash flows for the periods presented in accordance with accounting principles generally accepted in the United States of America, or U.S. GAAP.</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Material Weakness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with the oversight of the audit committee of the board of directors, is committed to maintaining a strong internal control environment. In response to the material weakness identified above, we have identified and begun to implement remediation efforts which include: (i) developing and implementing additional training and awareness programs addressing ITGCs and policies, including educating control owners concerning the principles and requirements of each control, with a focus on understanding user access and program changes; (ii) engaging third-party consultants to assist with remediation efforts, including enhancing our risk assessment, evaluating gaps in our current processes and controls, and developing a remediation plan; (iii) expanding available resources through internal hiring and; (iv) enhancing quarterly reporting on the remediation measures to the Audit Committee of the Board of Directors.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these actions, when fully implemented, will remediate the material weakness. However, the material weakness will not be considered fully remediated until management designs and implements effective controls that operate for a sufficient period of time and management has concluded, through testing, that these controls are effective. As we continue to evaluate operating effectiveness and monitor improvements to our internal control over financial reporting, we may take additional measures to address control deficiencies or modify the remediation plan described above.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Except as described above, there were no changes in our internal control over financial reporting (as defined in Rules 13a-15(f) and 15d-15(f) under the Exchange Act) that occurred during the three months ended March 31, 2025 that have materially affected, or are reasonably likely to materially affect, our internal control over financial reporting.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legal proceedings and claims in the ordinary course of business. We are not currently aware of any such proceedings or claims that we believe will have, individually or in the aggregate, a material adverse effect on our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Set forth below are the risks that we believe are material to our investors and they should be carefully considered. If any of the following risks and uncertainties actually occurs, our business, prospects, financial condition and results of operations could be materially and adversely affected. The risks described below are not intended to be exhaustive and other factors not presently known to us or that we currently believe are immaterial may affect our business, prospects, financial condition and results of operations if they occur. This section contains forward-looking statements. You should refer to the explanation of the qualifications and limitations on forward-looking statements beginning on page 1 of this Quarterly Report on Form 10-Q.</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commenced operations in 2017 and are a clinical-stage biopharmaceutical company with a limited operating history. Biopharmaceutical product development is a highly speculative undertaking and involves a substantial degree of risk. Since our inception in October 2017, we have devoted substantially all of our efforts to organizing and staffing our company, business planning, capital raising, establishing and maintaining our intellectual property portfolio, building our pipeline of product candidates, conducting drug discovery activities, undertaking preclinical studies, conducting early-stage clinical trials, preparing for the potential commercialization of bitopertin, if approved, and providing general and administrative support for these operations. We have not yet demonstrated our ability to successfully develop any product candidate, obtain regulatory approvals, manufacture a commercial-scale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 or a history of successfully developing and commercializing products.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our inception and anticipate that we will continue to incur losses for the foreseeable future.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net losses were $34.1 million and $26.9 million for the three months ended March 31, 2025 and 2024, respectively. We had an accumulated deficit of $332.1 million as of March 31, 2025. Substantially all of our net losses have resulted from costs incurred in connection with our research and development programs and from selling, general and administrative costs associated with our operations. We expect our research and development expenses to increase significantly in connection with the commencement and continuation of clinical trials of our product candidates. In addition, if we obtain regulatory approval for our product candidates, we will incur significant sales, marketing and manufacturing expenses. We also will continue to incur additional costs associated with operating as a public company and expect to continue to incur significant and increasing operating losses over the next several years and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of our future losses is uncertain and our quarterly and annual operating results may fluctuate significantly in the future due to a variety of factors, many of which are outside of our control and may be difficult to predict, including the following:</w:t>
      </w:r>
    </w:p>
    <w:p>
      <w:pPr>
        <w:spacing w:after="0" w:line="54" w:lineRule="exact"/>
        <w:rPr>
          <w:sz w:val="20"/>
          <w:szCs w:val="20"/>
          <w:color w:val="auto"/>
        </w:rPr>
      </w:pPr>
    </w:p>
    <w:p>
      <w:pPr>
        <w:ind w:left="760" w:right="2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preclinical studies and clinical trials for our product candidates or competing product candidates, or any other change in the competitive landscape of our industry, including consolidation among our competitors or partners;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open clinical trial sites and recruit and retain subjects for clinical trials and any delays caused by difficulties in such efforts;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for our product candidates, and the timing and scope of any such approvals we may receive;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ind w:left="760" w:right="2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product candidates, which may change from time to time;</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and products, should they receive regulatory approval, which may vary depending on the quantity of production and the terms of our agreements with manufacturers;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qualified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develop additional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should they receive regulatory approval, which may vary significantly;</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U.S. and global economic environments, including as a result of public health crises;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us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guidance we may provide.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products approved for commercial sale and have not generated any revenue from product sales.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we have not generated collaborative revenue from our product candidates and have not generated revenue from product sales. We do not expect to generate significant revenue unless and until we obtain regulatory approval of, and begin to sell, one or more of our product candidates, which may take longer than we anticipate, or may not occur at all. Our ability to generate revenue depends on a number of factors, including, but not limited to, our ability to:</w:t>
      </w:r>
    </w:p>
    <w:p>
      <w:pPr>
        <w:spacing w:after="0" w:line="72"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our ongoing and planned preclinical studies for our current and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file and receive acceptance of our Investigational New Drug applications, or INDs, in order to commence our planned clinical trials or future clinical trials;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enroll subjects in and complete, our ongoing and planned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and efficacy studies necessary to obtain U.S. and foreign regulatory approval for our product candidates;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address the prevalence, duration and severity of potential side effects or other safety issues experienced with our product candidates, if any;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file New Drug Applications, or NDAs, and Biologics License Applications, or BLAs, and receive regulatory approvals for our product candidates from the U.S. Food and Drug Administration, or the FDA, and comparable foreign regulatory authorities;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clinical and commercial manufacturing capabilities or make arrangements with third-party manufacturers for clinical supply and commercial manufacturing;</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patent and trade secret protection or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 sales of our products,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acceptance of our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 our product candidates to effectively compete with other therapies;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healthcare coverage and adequate reimbursement;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and defend intellectual property rights and claims;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continued acceptable safety profile of our products following approval.</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and any future indebtedness could adversely affect our ability to operate our business.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we entered into a Loan and Security Agreement, or the Hercules Loan Agreement, with the lenders party thereto, or the Lenders, and Hercules Capital, Inc., as administrative agent and collateral agent, or the Agent. The Hercules Loan Agreement provides for up to $200.0 million of senior secured term loans, or the Term Loan, available to us in multiple tranches. The Term Loan will mature on December 1, 2029. Our obligations under the Hercules Loan Agreement are secured, subject to customary permitted liens and other agreed-upon exceptions, by a first-priority perfected security interest in all of our tangible and intangible assets, other than intellectual property.</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Hercules Loan Agreement contains customary affirmative and negative covenants that could prevent us from taking certain actions without the consent of the Lenders. These covenants may limit our flexibility in operating our business and our ability to take actions that might be advantageous to us and our stockholders. Affirmative covenants include, among others, a financial covenant requiring us to maintain a minimum amount of qualified cash. Negative covenants include, among others: restrictions on transferring any part of our business or intellectual property; incurring additional indebtedness; engaging in mergers or acquisitions; paying dividends or making other distributions; making investments; and creating other liens on our assets, in each case subject to customary exceptions.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Hercules Loan Agreement also contains customary events of default, including the occurrence of a Material Adverse Effect (as defined in the Hercules Loan Agreement), and failure to make payments when due or comply with other covenants therein. We intend to satisfy our current and future debt service obligations with our then-existing cash and cash equivalents. However, we may not have sufficient funds, and may be unable to arrange for additional financing, to pay the amounts due under Hercules Loan Agreement or any other debt instruments. Upon the occurrence and continuance of an event of default, the Lenders may accelerate all of our repayment obligations and take control of our pledged assets, potentially requiring us to renegotiate our agreement on terms less favorable to us or to immediately cease operations. Any declaration by the Lenders of an event of default would therefore significantly harm our business and prospects and could cause the price of our common stock to decline.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raise any additional debt financing, the terms of such additional debt could further restrict our operating and financial flexibility.</w:t>
      </w:r>
    </w:p>
    <w:p>
      <w:pPr>
        <w:spacing w:after="0" w:line="1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substantial additional funding. If we are unable to raise capital when needed or on terms acceptable to us, we may be forced to delay, reduce or eliminate some of our product development programs or commercialization efforts.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development of pharmaceutical products is capital-intensive. We are currently advancing our hematologic disease programs through preclinical and clinical development. We expect our expenses to significantly increase in connection with our ongoing activities, particularly as we continue the research and development of, initiate and complete clinical trials of, and seek regulatory approval for, our product candidates. In addition, depending on the status of regulatory approval or,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presently anticipated. Furthermore, we expect to continue to incur costs associated with operating as a public company. Accordingly, we may need to obtain substantial additional funding in connection with our continuing operations. If we are unable to raise capital when needed or on attractive terms, we may be forced to delay, reduce or eliminate certain of our research and development programs or future commercialization efforts.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cash, cash equivalents and marketable securities will enable us to fund operating expenses and capital expenditure requirements into 2028, without taking into account any potential net cash inflows from bitopertin or any other marketed product, if approved during such period. However, we have based this estimate on assumptions that may prove to be wrong, and we could exhaust our available capital resources sooner than expected. Our future capital requirements will depend on and could increase significantly as a result of many factors, including:</w:t>
      </w:r>
    </w:p>
    <w:p>
      <w:pPr>
        <w:spacing w:after="0" w:line="72"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to the extent necessary to complete clinical development of and commercialize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and maintain existing licensing or collaboration arrangements and the progress of the development efforts of third parties with whom we may enter into such arrangements;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programs;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enrollment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 for any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for use in production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agreements with third-party manufacturers for supply of product candidate components for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other rights in our intellectual property portfolio;</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insurance coverage and adequate reimbursement for any approved products;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additional expenses attributable to adjusting our development plans (including any supply related matters) to any public health crises.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 if any, will be derived from sales of products that may take longer than we anticipate to become commercially available, if they become commercially available at all. Accordingly, we may need to continue to rely on additional financing to achieve our business objectives.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Disruptions in the financial markets in general may make equity and debt financing more difficult to obtain and may have a material adverse effect on our ability to meet our fundraising needs. We cannot guarantee that future financing will be available in sufficient amounts or on terms acceptable to us, if at all.</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we may be required to significantly curtail, delay or discontinue one or more of our research or development programs or the commercialization of any product that has received regulatory approval or be unable to expand our operations or otherwise capitalize on our business opportunities as desired, which could materially affect our business, financial condition and results of operations.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Until such time, if ever, we can generate substantial product revenue, we expect to finance our cash needs through a combination of private and public equity offerings, debt financings, collaborations, strategic alliances and licensing arrangements. Other than up to $80.0 million of additional advances that may be drawn at our option under the Hercules Loan Agreement,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your ownership interest will be diluted, and the terms of those securities may include liquidation or other preferences that may materially adversely affect your rights as a common stockholder. Additional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could be required to seek funds through arrangements with collaborators or otherwise at an earlier stage than otherwise would be desirable. If we raise funds through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product candidates that we would otherwise prefer to develop and market ourself, any of which may have a material adverse effect on our business, operating results and prospects.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not yet progressed any product candidates through a Phase 3 clinical trial and may be unable to successfully complete any additional clinical trials for any product candidates we develop. Certain of our programs are still in preclinical development and may never advance to clinical development.</w:t>
      </w:r>
    </w:p>
    <w:p>
      <w:pPr>
        <w:spacing w:after="0" w:line="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currently have only three product candidates in clinical development, none of which has yet progressed through a completed Phase 3 clinical trial. As such, we have not yet demonstrated our ability to successfully complete large-scale, pivotal clinical trials, obtain regulatory approvals, manufacture a commercial scale product or arrange for a third party to do so on our behalf or conduct sales and marketing activities necessary for successful commercialization. The majority of our programs are still in preclinical and early to mid-stage clinical development. Our clinical programs may not advance to the next stage of clinical development, and our preclinical programs may never advance to clinical development or through clinical development, as applicable. We may not initiate any clinical trial of our product candidates until we have submitted an IND to the FDA or comparable submissions with equivalent regulatory authorities and received regulatory clearance. We may not be able to submit INDs or other regulatory filings for bitopertin or any of our other product candidates on the timelines we expect, if at all. For example, we may experience manufacturing delays or other delays with IND-enabling studies. Moreover, we cannot be sure that submission of regulatory filings with the FDA or other regulatory authorities will result in such regulatory authorities allowing clinical trials to begin on a timely basis or at all, or that, once begun, such trials will be completed on schedule, if at all, or that issues will not arise that require us to revise, postpone, suspend or terminate our clinical trials.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we initiated the study in October 2022. Commencing any of our clinical trials is subject to finalizing the trial design based on discussions with the FDA and other regulatory authorities.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result in the composition of stricter approval conditions than currently expected. For a further example, we relied on the data package generated by F. Hoffmann-La Roche Ltd. and Hoffmann-La Roche Inc., or collectively, Roche, to support our IND submission for bitopertin to initiate our AURORA Phase 2 clinical trial in patients with EPP, as well as our submission of an application with the Australian Therapeutic Goods Administration, or TGA, for our BEACON Phase 2 clinical trial in patients with EPP or XLP, and it is possible that the FDA or TGA, as applicable, may require us to conduct additional preclinical studies to support a future marketing application of bitopertin. Successful completion of our clinical trials is a prerequisite to submitting an NDA or a BLA to the FDA, a Marketing Authorisation Application, or MAA, to the European Medicines Agency, or EMA, or other marketing applications to regulatory authorities in other jurisdictions, for each product candidate and, consequently, the regulatory approval of each product candidate.</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single well-controlled clinical trial may not be sufficient for approval. In general, the FDA requires two well-controlled clinical trials to support registration of a new drug or biologic. Exceptions may be made in cases of a severe disease with few treatment options, and in principle this exception may appear applicable to many of the diseases that we seek to treat, such as EPP, XLP, anemia of MF, DBA and others. Nonetheless, the FDA and other regulators may always require additional clinical trials to support regulatory approval.</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preclinical studies or clinical trials or other testing of our product candidates beyond those that are currently contemplated, if we are unable to successfully complete clinical trials of our product candidates or other testing, if the results of these trials or tests are not positive or are only modestly positive or if there are safety concerns, we may:</w:t>
      </w:r>
    </w:p>
    <w:p>
      <w:pPr>
        <w:spacing w:after="0" w:line="68"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regulatory approval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regulatory approval at all;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regulatory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be subject to post-marketing testing requirements;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having the product removed from the market after obtaining regulatory approval.</w:t>
      </w:r>
    </w:p>
    <w:p>
      <w:pPr>
        <w:spacing w:after="0" w:line="1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programs are focused on the development of therapeutics for patients with hematologic diseases, which is a rapidly evolving area of science, and the approach we are taking to discover and develop product candidates is novel and may never lead to approved or marketable products.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discovery and development of therapeutics for patients with hematologic diseases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 limited. Although we believe, based on our preclinical work and clinical results to date, that our programs have the potential to provide disease-modifying therapies, future clinical results may not confirm this hypothesis or may only confirm it for certain alterations or certain indications. The patient populations for our product candidates are limited to those with specific hematologic diseases. We cannot be certain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4" w:name="page35"/>
    <w:bookmarkEnd w:id="34"/>
    <w:p>
      <w:pPr>
        <w:jc w:val="both"/>
        <w:spacing w:after="0" w:line="282" w:lineRule="auto"/>
        <w:rPr>
          <w:sz w:val="20"/>
          <w:szCs w:val="20"/>
          <w:color w:val="auto"/>
        </w:rPr>
      </w:pPr>
      <w:r>
        <w:rPr>
          <w:rFonts w:ascii="Times New Roman" w:cs="Times New Roman" w:eastAsia="Times New Roman" w:hAnsi="Times New Roman"/>
          <w:sz w:val="18"/>
          <w:szCs w:val="18"/>
          <w:color w:val="auto"/>
        </w:rPr>
        <w:t>that the patient populations for each specific disease will be large enough to allow us to successfully obtain approval for and commercialize our product candidates and achieve profitability.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product development involves a lengthy and expensive process, with an uncertain outcome.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preclinical studies and future and ongoing clinical trials may not be successful. Currently, the majority of our programs are in preclinical and early to mid-stage clinical development. It is impossible to know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 safety and efficacy of our product candidates or the safety, purity and potency of our biological product candidates in humans. There is no guarantee that our product candidates will advance in accordance with the timelines we anticipate, if at all. Clinical testing is expensive, difficult to design and implement, can take many years to complete and outcomes are uncertain. A failure of one or more clinical trials can occur at any stage of testing. The outcome of preclinical development testing and early clinical trials may not be predictive of the success of later clinical trials, and interim, top-line, initial or preliminary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Our preclinical studies and future and ongoing clinical trials may not be successful.</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some of the clinical trials we conduct, such as our completed BEACON Phase 2 clinical trial of bitopertin and our ongoing Phase 2 clinical trial of DISC-0974,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clinical trial may not be predictive of future clinical trial results when studied in a controlled environment with a placebo or active control.</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2021, we entered into a license agreement with Roche, or the Roche Agreement, pursuant to which, among other things, Roche granted us an exclusive and sublicensable (subject to Roche’s consent, except with respect to affiliates) worldwide license under certain of Roche’s patent rights and know-how to develop and commercialize bitopertin. Although bitopertin was originally evaluated by Roche in over 4,000 individuals, Roche did not evaluate bitopertin in EPP or XLP, so the safety data generated from Roche’s clinical trials of bitopertin may not be predictive or indicative of the results of our clinical trials. We may face similar challenges with respect to our other product candidates, for which preclinical results may not be indicative or predictive of future clinical trial results.</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our product candidates are designed to treat diseases for which there are few available therapeutic options. For example, in the United States there are currently no therapies approved to treat anemia of MF and there is only one approved therapy to treat EPP. As a result, the design and conduct of clinical trials of product candidates for the treatment of these diseases may take longer, be more costly or be less effective as part of the novelty of development in these diseases. In some cases, we may use new or novel endpoints or methodologies. The FDA or other regulatory authorities may not consider the endpoints of our clinical trials to be validated or clinically meaningful and we may need to conduct proof-of-concept studies or additional work to refine our endpoints and inform the design of future studies before initiating pivotal studies of our product candidates. Even if applicable regulatory authorities do not object to our proposed endpoints in an earlier stage clinical trial, such regulatory authorities may require evaluation of additional or different clinical endpoints in later-stage clinical trials.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 if the FDA does find our clinical trial success criteria to be sufficiently supported and clinically meaningful at the time, we may not achieve the pre-specified endpoint to a degree of statistical significance in any pivotal or other clinical trials we may conduct for our product candidates. Further, even if we do achieve the pre-specified criteria, our trials may produce results that are unpredictable or inconsistent with the results of the more traditional efficacy endpoints in the trial. The FDA also could change its view or give overriding weight to other efficacy endpoints over a primary endpoint, even if we achieve statistically significant results on that primary endpoint, if for example we do not do so on our secondary efficacy endpoints. The FDA also weighs the benefits of a product candidate against its risks and the FDA may view the efficacy results in the context of safety as not being supportive of approval. Other regulatory authorities in Europe and other countries may make similar findings with respect to these endpoints.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initial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initial or preliminary data from our clinical trials, which is based on a preliminary analysis of then-available data, and the results and related findings and conclusions are subject to change following a more comprehensive review of the data. For example, we announced initial data from our Phase 1b/2 DISC-0974 trial in patients with anemia of MF in December 2023, June 2024, and December 2024, and from our Phase 1b DISC-0974 trial in patients with anemia and NDD-CKD in December 2023 and October 2024. We also announced initial data from the SAD portion of the Phase 1 clinical trial of DISC-3405 in healthy volunteers in June 2024. We also may make assumptions, estimations, calculations and conclusions as part of our analyses of data, and may not have received or had the opportunity to fully and carefully evaluate all data. As a result, the interim, top-line, initial or preliminary results that we report may differ from future results of the same trials, or different conclusions or considerations may qualify such results, once additional data have been received and fully evaluated. Interim, top-line, initial and preliminary data from clinical trials are subject to the risk that one or more of the clinical outcomes may materially change as patient enrollment continues and more patient data become available. Interim, top-line, initial and preliminary data also remain subject to audit and verification procedures that may result in the final data being materially different from the interim, top-line, initial or preliminary data we previously published. As a result, interim, top-line, initial and preliminary data should be viewed with caution until the final data are available. Adverse differences between interim, top-line, initial or preliminary data and final data could significantly harm our business prospects and may cause the price of our common stock to fluctuate or decline.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commercialization of any approved product and the business prospects of the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interim, top-line, initial or preliminary data that we report differs from actual results, or if regulatory authorities or others, disagree with the conclusions reached, our ability to obtain approval for, and commercialize, our product candidates may be significantly impaired, which could materially harm our business, operating results, prospects or financial condition.</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experience delays in initiating or completing our preclinical studies or clinical trials, including as a result of delays in obtaining, or failure to obtain, the FDA’s authorization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authorizations, regulatory approval or commercialize our product candidates, including:</w:t>
      </w:r>
    </w:p>
    <w:p>
      <w:pPr>
        <w:spacing w:after="0" w:line="75" w:lineRule="exact"/>
        <w:rPr>
          <w:sz w:val="20"/>
          <w:szCs w:val="20"/>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receive feedback from regulatory authorities that requires us to modify the design or implementation of our preclinical studies or clinical trials or to delay or terminate a clinical trial;</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IRBs, or ethics committees may delay or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or clinical trials of our product candidates may not produce differentiated or clinically significant results across indications;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anticipated, enrollment in these clinical trials may be slower than anticipated or participants may drop out of these clinical trials or fail to return for post-treatment follow-up at a higher rate than anticipated;</w:t>
      </w:r>
    </w:p>
    <w:p>
      <w:pPr>
        <w:spacing w:after="0" w:line="67"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fail to maintain adequate quality controls, be unable to provide us with sufficient product supply to conduct or complete preclinical studies or clinical trials, fail to meet</w:t>
      </w: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6" w:name="page37"/>
    <w:bookmarkEnd w:id="36"/>
    <w:p>
      <w:pPr>
        <w:ind w:left="760"/>
        <w:spacing w:after="0" w:line="282" w:lineRule="auto"/>
        <w:rPr>
          <w:sz w:val="20"/>
          <w:szCs w:val="20"/>
          <w:color w:val="auto"/>
        </w:rPr>
      </w:pPr>
      <w:r>
        <w:rPr>
          <w:rFonts w:ascii="Times New Roman" w:cs="Times New Roman" w:eastAsia="Times New Roman" w:hAnsi="Times New Roman"/>
          <w:sz w:val="18"/>
          <w:szCs w:val="18"/>
          <w:color w:val="auto"/>
        </w:rPr>
        <w:t>their contractual obligations to us in a timely manner, or at all, or may deviate from the clinical trial protocol or drop out of the trial, which may require that we add new clinical trial sites or investigators;</w:t>
      </w:r>
    </w:p>
    <w:p>
      <w:pPr>
        <w:spacing w:after="0" w:line="54" w:lineRule="exact"/>
        <w:rPr>
          <w:sz w:val="20"/>
          <w:szCs w:val="20"/>
          <w:color w:val="auto"/>
        </w:rPr>
      </w:pPr>
    </w:p>
    <w:p>
      <w:pPr>
        <w:jc w:val="both"/>
        <w:ind w:left="760" w:hanging="378"/>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anticipated;</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and any transfer of manufacturing activities may require unforeseen manufacturing or formulation changes;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regulators or IRBs or ethics committees to suspend or terminate the trials, or reports may arise from preclinical or clinical testing of other hematologic disease therapies that raise safety or efficacy concerns about our product candidates;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collaborators may conduct clinical trials in ways they view as advantageous to them but that are suboptimal for us;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anticipated.</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or ethics committees of the institutions at which such trials are being conducted or by the FDA or other regulatory authorities, or if the Data Safety Monitoring Board, or DSMB, for such trial recommends suspension or termination of the trial. Such authorities may impose or recommend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initiated the study in October 2022.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current and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specific rare hematologic diseases for the development of our product candidates, our ability to enroll eligible patients may be limited or may result in slower enrollment than we anticipate.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experience difficulties with identifying specific patient populations for any defined trial cohorts. The patient eligibility criteria defined in our trial protocols may limit the patient populations eligible for our clinical trials. We will also rely on the</w:t>
      </w: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jc w:val="both"/>
        <w:spacing w:after="0" w:line="282" w:lineRule="auto"/>
        <w:rPr>
          <w:sz w:val="20"/>
          <w:szCs w:val="20"/>
          <w:color w:val="auto"/>
        </w:rPr>
      </w:pPr>
      <w:r>
        <w:rPr>
          <w:rFonts w:ascii="Times New Roman" w:cs="Times New Roman" w:eastAsia="Times New Roman" w:hAnsi="Times New Roman"/>
          <w:sz w:val="18"/>
          <w:szCs w:val="18"/>
          <w:color w:val="auto"/>
        </w:rPr>
        <w:t>willingness and ability of clinicians to screen their patients, such as for specific genetic hematologic conditions, to indicate which patients may be eligible for enrollment in our clinical trials.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some of our competitors have ongoing clinical trials for product candidates that are intended to treat the same indications as our product candidates, and patients who would otherwise be eligible for our clinical trials may choose instead to enroll in clinical trials of our competitors’ product candidates.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process of finding patients may prove costly. We also may not be able to identify, recruit or enroll a sufficient number of patients to complete our clinical trials because of the small patient populations with rare hematologic diseases,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 enrollment may be affected by other factors, including:</w:t>
      </w:r>
    </w:p>
    <w:p>
      <w:pPr>
        <w:spacing w:after="0" w:line="117"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obtain and maintain patient consents and facilitate timely enrollment in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clinical trials before clinical trial completion;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the preliminary results of any of our clinical trials;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we may not be able to control, including the impacts of any public health crises, that may limit patients, principal investigators or staff or clinical site availability.</w:t>
      </w:r>
    </w:p>
    <w:p>
      <w:pPr>
        <w:spacing w:after="0" w:line="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results from early preclinical studies and clinical trials of bitopertin, DISC-0974, DISC-0998, DISC-3405 or our other product candidates or programs may not necessarily be predictive of the results from later preclinical studies and clinical trials. For example, we have announced positive initial data from a Phase 1b/2 clinical trial of DISC-0974 in patients with non-dialysis dependent CKD and anemia. However, there can be no assurance that DISC-0974 will achieve the desired effects in this indication. Additionally, we announced positive results from a Phase 1 clinical trial of DISC-3405 in healthy adult volunteers in December 2024, which may not be indicative or predictive of future clinical trial results.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companies in the biopharmaceutical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or those of our future collaborators may reveal significant adverse events not seen in prior preclinical studies or clinical trials and may result in a safety profile that could inhibit regulatory approval or market acceptance of any of our product candidates.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products, we must demonstrate through lengthy, complex and expensive preclinical studies and clinical trials that our product candidates regulated as drugs are safe and effective and our product candidates regulated as biologics are safe, pure and potent for use in each target indication. Clinical testing is expensive and can take many years to complete, and outcomes are inherently uncertain. Failure can occur at any time during the clinical trial process. Because the majority of our programs and product candidates are in an early stage of development, there is a high risk of failure, and we may never succeed in developing marketable products.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preclinical studies and initial clinical trials. For example, Roche had previously developed bitopertin as a potential therapy for certain symptoms of schizophrenia and obsessive-compulsive disorder, but discontinued the program for lack of efficacy in those indications after completing over 30 clinical trials in over 4,000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jc w:val="both"/>
        <w:spacing w:after="0" w:line="254" w:lineRule="auto"/>
        <w:rPr>
          <w:sz w:val="20"/>
          <w:szCs w:val="20"/>
          <w:color w:val="auto"/>
        </w:rPr>
      </w:pPr>
      <w:r>
        <w:rPr>
          <w:rFonts w:ascii="Times New Roman" w:cs="Times New Roman" w:eastAsia="Times New Roman" w:hAnsi="Times New Roman"/>
          <w:sz w:val="18"/>
          <w:szCs w:val="18"/>
          <w:color w:val="auto"/>
        </w:rPr>
        <w:t>individuals. If the results of our ongoing or future preclinical studies and clinical trials are inconclusive with respect to the safety and efficacy of our programs and product candidates, if we do not meet the clinical endpoints with statistical and clinically meaningful significance, or if there are safety concerns associated with our product candidates, we may be prevented from, or delayed in, obtaining regulatory approval for such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have not yet been observed. For example, bitopertin may demonstrate toxicities in patients with hematologic diseases not previously observed by Roche when it was studied in different indications. Many compounds that initially showed promise in early-stage testing have later been found to cause side effects that prevented further development of the compound. Most product candidates that commence clinical trials are never approved as products, and there can be no assurance that any of our current or future clinical trials will ultimately be successful or support further clinical development or regulatory approval of any of our product candidates.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is the case with many treatments for hematologic and rare diseases, it is likely that there may be side effects associated with the use of our product candidates. If significant adverse events or other side effects are observed in any of our current or future clinical trials, we may have difficulty recruiting patients to our clinical trials, patients may drop out of our trials, or we may be required to abandon the trials or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Even if the side effects do not preclude the product from obtaining or maintaining regulatory approval, undesirable side effects may inhibit market acceptance of the approved product due to its tolerability versus other therapies. Any of these developments could materially harm our business, operating results, financial condition and prospects.</w:t>
      </w:r>
    </w:p>
    <w:p>
      <w:pPr>
        <w:spacing w:after="0" w:line="8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which may result in uncertainty. We select programs for targets based on compelling biological rationale, including evidence of expected biological effects in humans. We explore new programs based on extensive preclinical data analysis which sometimes cannot predict efficacy or safety in humans. 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If our product candidates utilize a novel mechanism of action that has not been the subject of extensive study compared to more well-known product candidates, there is also an increased risk that we may discover previously unknown or unanticipated adverse effects during our preclinical studies and clinical trials. Our product candidates may achieve lower efficacy in patients than expected. Any such events could adversely impact our business prospects, operating results and financial condition.</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and are currently conducting clinical trials for bitopertin in Australia and may in the future conduct additional clinical trials of our product candidates outside the United States, and the FDA and comparable foreign regulatory authorities may not accept data from such trials.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conducted BEACON, our Phase 2 open-label, parallel-dose clinical trial of bitopertin in EPP and XLP patients, at sites in Australia. All participants who complete BEACON are eligible to participate in HELIOS, an open-label, long-term extension study of bitopertin in EPP and XLP patients, that we are also conducting in Australia. We are also planning to conduct APOLLO, a randomized, double-blind, placebo-controlled clinical trial of bitopertin in EPP and XLP patients, in Canada, Europe and Australia, as well as the United States. We may in the future choose to conduct additional clinical trials of our product candidates outside the United States, including in Europe, Australia, or other foreign jurisdictions. The acceptance of trial data from clinical trials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jc w:val="both"/>
        <w:spacing w:after="0" w:line="253" w:lineRule="auto"/>
        <w:rPr>
          <w:sz w:val="20"/>
          <w:szCs w:val="20"/>
          <w:color w:val="auto"/>
        </w:rPr>
      </w:pPr>
      <w:r>
        <w:rPr>
          <w:rFonts w:ascii="Times New Roman" w:cs="Times New Roman" w:eastAsia="Times New Roman" w:hAnsi="Times New Roman"/>
          <w:sz w:val="18"/>
          <w:szCs w:val="18"/>
          <w:color w:val="auto"/>
        </w:rPr>
        <w:t>conducted outside the United States by the FDA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 (i) the data are applicable to the United States population and United States medical practices,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will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our business plan, and which may result in our product candidates not receiving regulatory approval or clearance for commercialization in the applicable jurisdiction.</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intend to explore other therapeutic opportunities in addition to the programs and product candidates that we are currently developing, we may fail to identify viable new product candidates for clinical development for a number of reasons. If we fail to identify additional product candidates, our business could be materially harmed.</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spacing w:after="0" w:line="72"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indications and/or product candidates;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after further study, be shown to have harmful adverse effects or other characteristics that indicate they are unlikely to be effective products; or</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6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there can be no assurance that we will ever be able to identify additional therapeutic opportunities for our product candidates or to develop suitable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any of our product candidates, we will not be able to commercialize, or will be delayed in commercializing, such product candidates, and our ability to generate revenue will be materially impaired.</w:t>
      </w:r>
    </w:p>
    <w:p>
      <w:pPr>
        <w:spacing w:after="0" w:line="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 Currently, all of our product candidates are in discovery, preclinical or clinical development, and we have not received 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us from obtaining regulatory approval or prevent or limit commercial use. In addition, regulatory authorities may find fault with our manufacturing process or facilities or that of third-party contract manufacturers. We may also face greater than expected difficulty in manufacturing our product candidates.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jc w:val="both"/>
        <w:spacing w:after="0" w:line="254"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United States and abroad,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BLA, or equivalent application types, may cause delays in the approval or rejection of an application. The FDA and comparable foreign regulatory authorities have substantial discretion in the approval process and may refuse to accept any application or may decide that our data is insufficient for approval and require additional preclinical, clinical or other studies. Our product candidates could be delayed in receiving, or fail to receive, regulatory approval for many reasons, including the following:</w:t>
      </w:r>
    </w:p>
    <w:p>
      <w:pPr>
        <w:spacing w:after="0" w:line="84"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enroll a sufficient number of patients in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BLA or other submission or to obtain regulatory approval in the United States or elsewhere;</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such that our clinical data are insufficient for approval.</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or if we fail to obtain, approval of our product candidates, the commercial prospects for our product candidates may be harmed and our ability to generate revenue will be materially impaired.</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public health crisis, pandemic, epidemic, or outbreak of an infectious or highly contagious disease, may materially and adversely affect our business and financial results and could cause a disruption to the development of our product candidates.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Public health crises such as pandemics or similar outbreaks could adversely impact our business. The extent to which an outbreak of highly infectious or contagious diseases impacts our operations or those of our third-party partners, including our preclinical studies or clinical trial operations, will depend on future developments, which are highly uncertain and cannot be predicted with confidence, including the scope, severity and duration of the outbreak, actions taken to contain the outbreak or mitigate its impact, and the direct and indirect economic effects of the outbreak and containment measures, among others.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patient populations that our product candidates target may be particularly susceptible to highly infectious or contagious diseases, which may make it more difficult for us to identify patients able to enroll in our current and future clinical trials and may impact the ability of enrolled patients to complete any such trials.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development and commercialization of new products in the biopharmaceutical and related industries is highly competitive. We compete in the segments of the pharmaceutical, biotechnology, and other related markets that develop therapies in the field of hematologic diseases. There are other companies focusing on developing therapies in the field of hematologic diseases. We also compete more broadly across the market for cost-effective and reimbursable treatments. Some of these competitive products and therapies are based on scientific approaches that are the same as or similar to our approach, and others are based on entirely different approaches. These companies include divisions of large pharmaceutical companies and biotechnology companies of various sizes.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jc w:val="both"/>
        <w:spacing w:after="0" w:line="256" w:lineRule="auto"/>
        <w:rPr>
          <w:sz w:val="20"/>
          <w:szCs w:val="20"/>
          <w:color w:val="auto"/>
        </w:rPr>
      </w:pPr>
      <w:r>
        <w:rPr>
          <w:rFonts w:ascii="Times New Roman" w:cs="Times New Roman" w:eastAsia="Times New Roman" w:hAnsi="Times New Roman"/>
          <w:sz w:val="18"/>
          <w:szCs w:val="18"/>
          <w:color w:val="auto"/>
        </w:rPr>
        <w:t>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See the “Business—Competition” section of our Annual Report on Form 10-K for the year ended December 31, 2024 for examples of the competition that our product candidates face.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product candidates that we successfully develop and commercialize will compete with currently approved therapies and new therapies that may become available in the future from segments of the pharmaceutical, biotechnology and other related markets. Key product features that would affect our ability to effectively compete with other therapeutics include the efficacy, safety and convenience of our products. We believe principal competitive factors to our business include, among other things, our ability to successfully transition research programs into clinical development, ability to raise capital and the scalability of the platform, pipeline and business.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the companies that we compete against or which we may compete against in the future have significantly greater financial resources and expertise in research and development, manufacturing, preclinical and clinical testing,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If these or other barriers to entry do not remain in place, other companies may be able to more directly or effectively compete with us.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sooner than we may obtain approval for our product candidates,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level of generic competition and availability of reimbursement from government and other third-party payors.</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programs and product candidates are smaller than we estimate or if any regulatory approval that we obtain is based on a narrower definition of the patient population, our revenue and ability to achieve profitability could be materially adversely affected.</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incidence and prevalence for the target patient populations of our programs and product candidates have not been established with precision. Our lead heme biosynthesis modulation product candidate, bitopertin, is an oral, selective inhibitor of GlyT1. We are initially focused on developing bitopertin for the treatment of EPP and XLP, which are both diseases marked by severe photosensitivity and damage to the hepatobiliary system caused by the accumulation of PPIX. We are initially focused on developing DISC-0974 for anemia of MF and anemia of non-dialysis dependent CKD. We are initially focused on developing DISC-3405 for the treatment of PV. Our projections of both the number of people who have these diseases, as well as the subset of people with these diseases who have the potential to benefit from treatment with our programs and product candidates, are based on our estimates.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total addressable market opportunity will ultimately depend upon, among other things, the diagnosis criteria included in the final label, the indications for which our product candidates are approved for sale, acceptance by the medical community and patient access, product pricing and reimbursement. The number of patients with erythropoietic porphyria and anemias of inflammation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access to capital, we must prioritize development of certain product candidates, which may prove to be the wrong choice and may adversely affect our business.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current product candidates or any future product candidates do not achieve broad market acceptance, the revenue that we generate from our sales may be limited, and we may never become profitable.</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our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we may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jc w:val="both"/>
        <w:spacing w:after="0" w:line="256" w:lineRule="auto"/>
        <w:rPr>
          <w:sz w:val="20"/>
          <w:szCs w:val="20"/>
          <w:color w:val="auto"/>
        </w:rPr>
      </w:pPr>
      <w:r>
        <w:rPr>
          <w:rFonts w:ascii="Times New Roman" w:cs="Times New Roman" w:eastAsia="Times New Roman" w:hAnsi="Times New Roman"/>
          <w:sz w:val="18"/>
          <w:szCs w:val="18"/>
          <w:color w:val="auto"/>
        </w:rPr>
        <w:t>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heme biosynthesis modulation therapies or hepcidin-targeted agents is unsafe, whether related to our or our competitors’ products, our products may not be accepted by the general public or the medical community. Future adverse events in the hematologic diseases or the biopharmaceutical industry could also result in greater governmental regulation, stricter labeling requirements and potential regulatory delays in the testing or approvals of our product candidates.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current product candidates and any future product candidates may require significant resources and may not be successful. If our current product candidates or any future product candidates are approved but do not achieve an adequate level of market acceptance, we could be prevented from or significantly delayed in achieving profitability. The degree of market acceptance of any of our current product candidates and any future product candidates will depend on a number of factors, including:</w:t>
      </w:r>
    </w:p>
    <w:p>
      <w:pPr>
        <w:spacing w:after="0" w:line="72"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associated with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 and the approved claims that we may make for the products;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product’s FDA-approved labeling or those of comparable foreign regulatory authorities, including potential limitations or warnings for our current product candidates and any future product candidates that may be more restrictive than other competitive products;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our current product candidates and any future product candidates, which could reduce the marketing impact of any claims that we could make following FDA approval or approval by comparable foreign regulatory authorities, if obtained;</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compared with the economic and clinical benefit of alternative treatments or therapies;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or reimbursement by third-party payors, including government healthcare programs such as Medicare and Medicaid and other healthcare payors;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concessions required by third-party payors to obtain coverage;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adequate coverage and reimbursement;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marketing and distribution of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or comparable foreign regulatory authorities with respect to our current product candidates and any future product candidates or to which we agree as part of a Risk Evaluation and Mitigation Strategy, or REMS, or voluntary risk management plan;</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current product candidates and any future product candidates, as well as competitive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current product candidates and any future product candidates for sale at competitive prices;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third-party manufacturer and supplier support;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our current product candidates and any future product candidates or favorable publicity about competitive products;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not be successful in addressing these or other factors that might affect the market acceptance of our product candidates. Failure to achieve widespread market acceptance of our product candidates would materially harm our business, financial condition and results of operations.</w:t>
      </w:r>
    </w:p>
    <w:p>
      <w:pPr>
        <w:spacing w:after="0" w:line="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For certain commercial prescription drug and biological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Additionally, under the Food and Drug Omnibus Reform Act of 2022, or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7" w:lineRule="exact"/>
        <w:rPr>
          <w:sz w:val="20"/>
          <w:szCs w:val="20"/>
          <w:color w:val="auto"/>
        </w:rPr>
      </w:pPr>
    </w:p>
    <w:p>
      <w:pPr>
        <w:ind w:left="7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and supply disruptions where regulatory inspections identify observations of noncompliance requiring remediation;</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labeling, including limitation on approved uses or the addition of additional warnings, contraindications or other safety information, including boxed warnings;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REMS which may include distribution or use restrictions;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additional post-market clinical trials to assess the safety of the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holds;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other regulatory enforcement action;</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jc w:val="both"/>
        <w:spacing w:after="0" w:line="256"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for our product candidates, as well as potential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We have relied on and expect to continue to rely on medical institutions, clinical investigators, contract laboratories and other third parties, such as CROs, to conduct or otherwise support our clinical trials for our product candidates, including our APOLLO clinical trial of bitopertin in EPP and XLP, as well as any other product candidates that we develop. We may also rely on academic and private non-academic institutions to conduct and sponsor clinical trials relating to our product candidates, such as the ongoing clinical trial of bitopertin in DBA, which is being conducted by NIH under a collaborative research and development agreement.</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not control the design or conduct of any investigator-sponsored trials, and it is possible that the FDA or non-U.S. regulatory authorities will not view these investigator-sponsored trials as providing adequate support for future clinical trials, whether controlled by us or third parties, for any one or more reasons, including elements of the design or execution of the trials or safety concerns or other trial results. Such arrangements will likely provide us certain information rights with respect to the investigator-sponsored trials, including access to and the ability to use and reference the data, including for our own regulatory filings,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ourself may be adversely affected.</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and expect to continue to rely heavily on third parties for execution of clinical trials for our product candidates and control only certain aspects of our activities. Nevertheless, we are responsible for ensuring that each of our clinical trials is conducted in accordance with the applicable protocol, legal and regulatory requirements and scientific standards, and our reliance on CROs or other third parties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our principal investigators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or the EEA, and comparable foreign regulatory authorities for any products in clinical development. The FDA enforces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GCPs. In addition, our clinical trials must be conducted with product candidates produced under current Good Manufacturing Practice, or cGMP, regulations. Our failure or the failure of our principal investigators or CROs to comply with these regulations may require us to repeat clinical trials, which would delay the regulatory approval process, significantly increase our expenditures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designed our ongoing APOLLO clinical trial of bitopertin and Phase 1b/2 clinical trials of DISC-0974, are designing our planned Phase 2 clinical trial of DISC-3405, and intend to design other future clinical trials for our product candidates, these trials are or will be conducted by CROs and we expect CROs will conduct all of our future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spacing w:after="0" w:line="282" w:lineRule="auto"/>
        <w:rPr>
          <w:sz w:val="20"/>
          <w:szCs w:val="20"/>
          <w:color w:val="auto"/>
        </w:rPr>
      </w:pPr>
      <w:r>
        <w:rPr>
          <w:rFonts w:ascii="Times New Roman" w:cs="Times New Roman" w:eastAsia="Times New Roman" w:hAnsi="Times New Roman"/>
          <w:sz w:val="18"/>
          <w:szCs w:val="18"/>
          <w:color w:val="auto"/>
        </w:rPr>
        <w:t>trials than would be the case if we were relying entirely upon our own staff. Communicating with outside parties can also be challenging, potentially leading to mistakes as well as difficulties in coordinating activities. Outside parties may:</w:t>
      </w:r>
    </w:p>
    <w:p>
      <w:pPr>
        <w:spacing w:after="0" w:line="54"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any of our relationships with these third-party principal investigators or CROs terminate, we may not be able to enter into arrangements with alternative CROs. If principal investigators or CROs do not successfully carry out their contractual obligations or meet expected deadlines, if they need to be replaced or if the quality or accuracy of the clinical data they obtain is compromised due to the failure to adhere to our clinical protocols, regulatory requirements or for other reasons, any clinical trials such principal investigators or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might not realize the anticipated benefits of our current collaborations with Mabwell or NIH, or any other collaborations we enter into in the future.</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development, commercialization and/or strategic collaborations, including those that we have with Mabwell and NIH, are subject to numerous risks, which include the following:</w:t>
      </w:r>
    </w:p>
    <w:p>
      <w:pPr>
        <w:spacing w:after="0" w:line="54" w:lineRule="exact"/>
        <w:rPr>
          <w:sz w:val="20"/>
          <w:szCs w:val="20"/>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have significant control or discretion in determining the efforts and resources that they will apply to a collaboration, and might not commit sufficient efforts and resources or might misapply those efforts and resources;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limited influence or control over the approaches to research, development and/or commercialization of product candidates in the territories in which our collaboration partners lead research, development and/or commercialization;</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not pursue research, development and/or commercialization of collaboration product candidates or might elect not to continue or renew research, development and/or commercialization programs based on preclinical studies and/or clinical trial results, changes in their strategic focus, availability of funding or other factors, such as a business combination that diverts resources or creates competing priorities;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delay, provide insufficient resources to, or modify or stop research or clinical development for collaboration product candidates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sales, marketing and distribution rights to one or more product candidates might not commit sufficient resources to sales, marketing and distribution or might otherwise fail to successfully commercialize those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not properly maintain or defend our intellectual property rights or might use our intellectual property improperly or in a way that jeopardizes our intellectual property or exposes us to potential liability;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activities might result in the collaborator having intellectual property covering our activities or product candidates, which could limit our rights or ability to research, develop and/or commercialize our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not be in compliance with laws applicable to their activities under the collaboration, which could impact the collaboration and us;</w:t>
      </w:r>
    </w:p>
    <w:p>
      <w:pPr>
        <w:spacing w:after="0" w:line="53" w:lineRule="exact"/>
        <w:rPr>
          <w:rFonts w:ascii="Times New Roman" w:cs="Times New Roman" w:eastAsia="Times New Roman" w:hAnsi="Times New Roman"/>
          <w:sz w:val="18"/>
          <w:szCs w:val="18"/>
          <w:color w:val="auto"/>
        </w:rPr>
      </w:pPr>
    </w:p>
    <w:p>
      <w:pPr>
        <w:ind w:left="760" w:right="20" w:hanging="378"/>
        <w:spacing w:after="0" w:line="26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might arise between a collaborator and us that could cause a delay or termination of the collaboration or result in costly litigation that diverts management attention and resources; and</w:t>
      </w: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ind w:left="76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might be terminated, which could result in a need for additional capital to pursue further research, development and/or commercialization of our product candidates.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funding provided by a collaborator might not be sufficient to advance product candidates under the collaboration. 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the development of the relevant product candidate could be significantly delayed, and our cash expenditures could increase significantly if we are to continue research, development and/or commercialization of the relevant product candidates.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one or more of these risks, if realized, could reduce or eliminate future revenue from product candidates under our collaborations, and could have a material adverse effect on our business, financial condition, results of operations and/or growth prospects.</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established collaborations with Mabwell and NIH and may seek to establish additional collaborations, and, if we are not able to establish them on commercially reasonable terms, or at all, we may have to alter our development and commercialization plans.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development programs and the potential commercialization of our product candidates will require substantial additional cash to fund expenses. For some of our product candidates, we may decide to collaborate with pharmaceutical and biotechnology companies, such as our collaborations with Mabwell and NIH, for the development and potential commercialization of those product candidates.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Such factors a potential collaborator will use to evaluate a collaboration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are also restricted by Roche’s right of first negotiation under our current license agreement with them and may in the future be restricted under other license or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Although we believe we have obtained sufficient material to produce bitopertin tablets to complete our ongoing HELIOS and APOLLO clinical trials, and DISC-0974 vials to complete our ongoing Phase 1b/2 clinical trials, we cannot be sure we have correctly estimated our drug product and API requirements or that such drug product or API will not expire before we want to use it. We rely, and expect to continue to rely, on third parties such as contract development and manufacturing organizations, or CDMOs, for the manufacture of our product candidates for preclinical development and clinical testing. We also expect to rely on third parties for the commercial manufacture of our products if any of our product candidates receive regulatory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facilities used by our CDMOs to manufacture our product candidates must be inspected by the FDA pursuant to pre-approval inspections that will be conducted after we submit our marketing applications to the FDA. We do not control the manufacturing process of, and will be completely dependent on, our CDMOs for compliance with cGMPs in connection with the manufacture of our product candidates. If our CDMOs cannot successfully manufacture material that conforms to our specifications and the strict regulatory requirements of the FDA or others, they will not be able to pass regulatory inspections and/or maintain regulatory compliance. In addition, we have no control over the ability of our CDMOs to maintain adequate quality control, quality assurance and qualified personnel. If the FDA or a comparable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any CDMO with whom we contract fails to perform its obligations, we may be forced to enter into an agreement with a different CDMO, which we may not be able to do on reasonable terms, if at all. In such a scenario, our clinical trials supply could be delayed significantly as we establish alternative supply sources. In some cases, the technical skills required to manufacture our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CDMO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our failure, or the failure of our CDMOs, to comply with applicable regulations could result in sanctions,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be unable to establish any additional agreements with CDMOs or do so on acceptable terms. Reliance on CDMOs entails additional risks, including:</w:t>
      </w:r>
    </w:p>
    <w:p>
      <w:pPr>
        <w:spacing w:after="0" w:line="54"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approved products for access to manufacturing facilities. There are a limited number of CDMOs that operate under cGMP regulations and that might be capable of manufacturing for us.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regulatory approval. If our current CDMOs cannot perform as agreed, we may be required to replace such CDMOs. In addition, there has been increased governmental focus in the U.S. on contracting with Chinese companies for the development or manufacturing of pharmaceutical products. For example, there have been Congressional legislative proposals, such as the bill titled the BIOSECURE Act that was previously considered (and not enacted) in Congress, which would have, among other things, prohibited U.S. federal funding in connection with biotechnology equipment or services produced or provided by certain named Chinese “biotechnology companies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8" w:name="page49"/>
    <w:bookmarkEnd w:id="48"/>
    <w:p>
      <w:pPr>
        <w:jc w:val="both"/>
        <w:spacing w:after="0" w:line="253" w:lineRule="auto"/>
        <w:rPr>
          <w:sz w:val="20"/>
          <w:szCs w:val="20"/>
          <w:color w:val="auto"/>
        </w:rPr>
      </w:pPr>
      <w:r>
        <w:rPr>
          <w:rFonts w:ascii="Times New Roman" w:cs="Times New Roman" w:eastAsia="Times New Roman" w:hAnsi="Times New Roman"/>
          <w:sz w:val="18"/>
          <w:szCs w:val="18"/>
          <w:color w:val="auto"/>
        </w:rPr>
        <w:t>of concern” (which includes WuXi AppTech (Hong Kong) Limited and its affiliates, or WuXi) and loans and grants to, and federal contracts with any entity that uses biotechnology equipment or services from one of these entities. The legislation would also have given the federal government the authority to name additional “biotechnology companies of concern” that are engaged in research activities with the Chinese government and that pose a risk of U.S. national security. In addition, in 2025, the United States imposed substantial tariffs on imports from China as well as on other trading partners, including Canada, Mexico, and the EU. We currently rely on certain foreign or foreign-owned third-party vendors, including WuXi and its affiliates, to manufacture certain materials used in clinical trials of our product candidates or to provide services in connection with certain clinical trials or certain discovery activities. Our engagement with these foreign and foreign-owned vendors may be subject to new U.S. legislation similar to the proposed BIOSECURE Act, investigations, sanctions, further escalation of tariffs, trade restrictions and other foreign regulatory requirements, which could cause us to need to identify alternate service providers, increase the cost or reduce the supply of materials available to us, delay the procurement or supply of these materials, delay or impact clinical trials, or have an adverse effect on our ability to secure significant commitments from governments to purchase our potential therapies, any of which could adversely affect our financial condition and business prospects. We continue to assess the legislation and the tariffs as they develop to determine the effect, if any, on our contractual relationships.</w:t>
      </w:r>
    </w:p>
    <w:p>
      <w:pPr>
        <w:spacing w:after="0" w:line="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regulatory approval on a timely and competitive basis.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active pharmaceutical ingredients used in our product candidates are our sole sources of supply, and the loss of any of these suppliers could significantly harm our business.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active pharmaceutical ingredients, or API, used in certain of our product candidates are supplied to us from single-source suppliers. Our ability to successfully develop our product candidates, and to ultimately supply our commercial products in quantities sufficient to meet the market demand, depends in part on our ability to obtain the API for these products in accordance with regulatory requirements and in sufficient quantities for clinical testing and commercialization. We do not currently have arrangements in place for a redundant or second-source supply of any such API in the event any of our current suppliers of such API cease their operations for any reason. We are also unable to predict how changing global economic conditions or potential global health concerns or crises will affect our third-party suppliers and manufacturers. Regional issues may in some cases accentuate these risks. For example, the pharmaceutical industry generally, and in some instances we or other third parties on which we rely, depend on China-based suppliers or service providers for certain raw materials, products and services, or other activities. Our ability or the ability of our collaborators or such other third parties to continue to engage these China-based suppliers or service providers for certain preclinical research programs and clinical development programs could be restricted due to geopolitical developments between the United States and China, including as a result of the further escalation of tariffs or other trade restrictions or if the previously proposed federal legislation known as the BIOSECURE Act or a similar law were to be enacted. Any negative impact of such matters on our third-party suppliers and manufacturers may also have an adverse impact on our results of operations or financial condition.</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all of our product candidates, we intend to identify and qualify additional manufacturers to provide such API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our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Establishing additional or replacement suppliers for the API used in our product candidates, if required, may not be accomplished quickly. If we are able to find a replacement supplier, such replacement supplier would need to be qualified and may require additional regulatory inspection or approval, which could result in further delay. While we seek to maintain adequate inventory of the API used in our product candidates, any interruption or delay in the supply of components or materials, or our inability to obtain such API from alternate sources at acceptable prices in a timely manner could impede, delay, limit or prevent our development efforts, which could harm our business, results of operations, financial condition and prospects.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biologics is complex and our third-party manufacturers may encounter difficulties in production. If any of our third-party manufacturers encounter such difficulties, our ability to provide supply of product candidates for clinical trials or products for patients, if approved, could be delayed or prevented.</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DISC-0974, DISC-0998, and DISC-3405 are monoclonal antibodies. Manufacturing biologics, like monoclonal antibodies, especially in large quantities, is often complex and may require the use of innovative technologies to handle living cells. Each lot of an approved biologic must undergo thorough testing for identity, strength, quality, purity and potency. Manufacturing biologics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manufacturers, such facilities may need to be closed for an extended period of time to investigate and remedy the contamination, which could delay clinical trials and adversely harm our business.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regulatory approval for any of our current product candidates or any future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in the U.S. and other countries for our current or future product candidates, including our current lead product candidates, bitopertin, DISC-0974 and DISC-3405, and our other current or future programs, including DISC-0998, as well as for their respective compositions, formulations, methods used to manufacture them and methods of treatment, in addition to successfully defending these patents against third-party challenges. We seek to protect our proprietary and intellectual property position by, among other methods, filing patent applications in the U.S. and abroad related to our proprietary technology, inventions, and improvements that are important to the development and implementation of our business. Our ability to stop unauthorized third parties from making, using, selling, offering to sell, or importing our product candidates is dependent upon the extent to which we have rights under valid and enforceable patents or trade secrets that cover these activities. We also rely on trade secrets, know-how and continuing technological innovation to develop and maintain our proprietary and intellectual property position.</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in-licensed, and may in the future in-license, a portion of our intellectual property, and, if we fail to comply with our obligations under these license arrangements, we could lose such intellectual property rights or owe damages to the licensor of such intellectual property. In particular, we have exclusively licensed intellectual property rights from Roche to develop and commercialize bitopertin, including certain back-up compounds and derivatives, for all prophylactic and therapeutic uses. The Roche license covers know-how, and certain specified Roche patent rights, including a composition of matter patent for bitopertin that expires in 2025. We also have exclusively licensed intellectual property rights from AbbVie Deutschland GmbH &amp; Co. KG, or AbbVie, to develop and commercialize DISC-0974 and DISC-0998. The AbbVie license covers know-how, and certain specified AbbVie patent rights, including composition of matter and methods of use patents and patent applications for DISC-0974 and DISC-0998. We also have exclusively licensed intellectual property rights from Mabwell to develop and commercialize antibody products containing Mabwell’s MWTX-001, MWTX-002, and MWTX-003 antibodies. The Mabwell license covers know-how and certain specified Mabwell patent rights, including composition of matter and methods of use patents and patent applications for MWTX-001, MWTX-002 and MWTX-003.</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bitopertin, DISC-0974, DISC-3405 or our other current or future product candidates. In addition, if the breadth or strength of protection provided by our patent applications or any patents we may own or in-license is threatened, we could dissuade companies from collaborating with us to license, develop or commercialize current or future product candidates.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0" w:name="page51"/>
    <w:bookmarkEnd w:id="50"/>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laws of foreign countries may not protect our rights to the same extent as the laws of the U.S. For example, in jurisdictions outside the U.S.,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Additionally, our product candidates may or may not be eligible for such extensions or we may not be able to obtain such protections due to procedural or other reasons.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at least 18 months after the earliest priority date of the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Prosecution could require that claim scope narrow such that a clinical or product candidate or program is not adequately protected by the patent.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U.S. and abroad. We may become involved in post-grant proceedings such as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invalidation, or interference proceedings challenging our patent rights or the patent rights of others from whom we may in the future obtain licenses to such rights, in the U.S. Patent and Trademark Office, or USPTO, the European Patent Office, or EPO, or in other countries. In addition, we may be subject to a third-party submission to the USPTO, the EPO, or elsewhere, that may reduce the scope or preclude the granting of claims from our pending patent applications. Competitors may allege that they invented the inventions claimed in our issued patents or patent applications prior to us, or may file patent applications before we do. Competitors may also claim that we are infringing their patents and that we therefore cannot practice our technology as claimed under our patents or patent applications. Competitors may also contest our patents by claiming to an administrative patent authority or judge that the invention was not patent-eligible, was not original, was not novel, was obvious, and/or lacked inventive step, and/or that the patent application filing failed to meet relevant requirements relating to description, basis, enablement, clarity, and/or support; in litigation, a competitor could claim that our patents, if issued, are not valid or are unenforceable for a number of reasons. If a court or administrative patent authority agrees, we would lose our protection of those challenged patents.</w:t>
      </w:r>
    </w:p>
    <w:p>
      <w:pPr>
        <w:spacing w:after="0" w:line="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it,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jc w:val="both"/>
        <w:spacing w:after="0" w:line="282" w:lineRule="auto"/>
        <w:rPr>
          <w:sz w:val="20"/>
          <w:szCs w:val="20"/>
          <w:color w:val="auto"/>
        </w:rPr>
      </w:pPr>
      <w:r>
        <w:rPr>
          <w:rFonts w:ascii="Times New Roman" w:cs="Times New Roman" w:eastAsia="Times New Roman" w:hAnsi="Times New Roman"/>
          <w:sz w:val="18"/>
          <w:szCs w:val="18"/>
          <w:color w:val="auto"/>
        </w:rPr>
        <w:t>the breadth or strength of protection provided by our patents and patent applications is threatened, it could dissuade companies from collaborating with us to license, develop or commercialize current or future product candidates.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products in a non-infringing manner. For example, a third-party may develop a competitive product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 Furthermore, generic manufacturers may develop, seek approval for and launch generic versions of our products, and may challenge the scope, validity or enforceability of our patents, requiring us to engage in complex, lengthy and costly litigation or other proceedings.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intend to rely on regulatory exclusivity for protection of our product candidates, if approved for commercial sale. Implementation and enforcement of regulatory exclusivity, which may consist of regulatory data protection and market protection, varies widely from country to country. Failure to qualify for regulatory exclusivity or failure to obtain or to maintain the extent or duration of such protections that we expect for our product candidates, if approved, could affect our decision on whether to market the products in a particular country or countries or could otherwise have an adverse impact on our revenue or results of operations.</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deadlines, fee payment and other requirements imposed by governmental patent agencies, and our patent protection could be reduced or eliminated if we fail to comply with these requirements. We may miss a filing deadline for patent protection on these inventions.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for our products or company name are not adequately protected in one or more countries where we intend to market our products, we may delay the launch of product brand names, use different trademarks or tradenames in different countries, or face other potentially adverse consequences to building our product brand recognition.</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or from comparable agencies in foreign jurisdictions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 applications or registrations, and our trademark applications or registrations may not survive such proceedings. If we are unable to obtain a registered trademark or establish name recognition based on our trademarks and trade names, we may not be able to compete effectively and our business may be adversely affected.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and enforce our trade secrets, our business and competitive position would be harmed.</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jc w:val="both"/>
        <w:spacing w:after="0" w:line="282" w:lineRule="auto"/>
        <w:rPr>
          <w:sz w:val="20"/>
          <w:szCs w:val="20"/>
          <w:color w:val="auto"/>
        </w:rPr>
      </w:pPr>
      <w:r>
        <w:rPr>
          <w:rFonts w:ascii="Times New Roman" w:cs="Times New Roman" w:eastAsia="Times New Roman" w:hAnsi="Times New Roman"/>
          <w:sz w:val="18"/>
          <w:szCs w:val="18"/>
          <w:color w:val="auto"/>
        </w:rPr>
        <w:t>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Furthermore, the laws of some foreign countries do not protect proprietary rights and trade secrets to the same extent or in the same manner as the laws of the U.S. As a result, we may encounter significant problems in protecting and defending our intellectual property both in the U.S.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If any of our trade secrets were to be lawfully obtained or independently developed by a competitor or other third party, we would have no right to prevent them from using that technology or information to compete with us.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ineffective or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Competitors may infringe any patents we may own or in-license. In addition, any patents we may own or in-license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 271(e)(1). There is also the risk that, even if the validity of these patents is upheld, the court may refuse to stop the other party from using the technology at issue on the grounds that any patents we may own or in-license do not cover the technology in question or that such third-party’s activities do not infringe our patent applications or any patents we may own or in-license. An adverse result in any litigation or defense proceedings could put one or more of any patents we may own or in-license at risk of being invalidated, held unenforceable, or interpreted narrowly and could put our patent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its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Post-grant proceedings provoked by third parties or brought by or before the USPTO or other patent granting authority may be necessary to determine the validity or priority of inventions with respect to our patent applications or any patents we may own or in-license. These proceedings are expensive and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In addition to potential USPTO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jc w:val="both"/>
        <w:spacing w:after="0" w:line="255" w:lineRule="auto"/>
        <w:rPr>
          <w:sz w:val="20"/>
          <w:szCs w:val="20"/>
          <w:color w:val="auto"/>
        </w:rPr>
      </w:pPr>
      <w:r>
        <w:rPr>
          <w:rFonts w:ascii="Times New Roman" w:cs="Times New Roman" w:eastAsia="Times New Roman" w:hAnsi="Times New Roman"/>
          <w:sz w:val="18"/>
          <w:szCs w:val="18"/>
          <w:color w:val="auto"/>
        </w:rPr>
        <w:t>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not be able to detect infringement against any patents we may own or in-license. Even if we detect infringement by a third party of any patents we may own or in-license, we may choose not to pursue litigation against or settlement with the third party. If we later sue such third-party for patent infringement, the third-party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and administrative patent office patent validity challenges in one or more countries could cause us to spend substantial resources and distract our personnel from their normal responsibilities.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w:t>
      </w:r>
    </w:p>
    <w:p>
      <w:pPr>
        <w:spacing w:after="0" w:line="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and other technologies that we have developed, are developing or may develop in the future do not or will not infringe, misappropriate or otherwise violate existing or future patents or other valid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4" w:name="page55"/>
    <w:bookmarkEnd w:id="54"/>
    <w:p>
      <w:pPr>
        <w:jc w:val="both"/>
        <w:spacing w:after="0" w:line="282" w:lineRule="auto"/>
        <w:rPr>
          <w:sz w:val="20"/>
          <w:szCs w:val="20"/>
          <w:color w:val="auto"/>
        </w:rPr>
      </w:pPr>
      <w:r>
        <w:rPr>
          <w:rFonts w:ascii="Times New Roman" w:cs="Times New Roman" w:eastAsia="Times New Roman" w:hAnsi="Times New Roman"/>
          <w:sz w:val="18"/>
          <w:szCs w:val="18"/>
          <w:color w:val="auto"/>
        </w:rPr>
        <w:t>our employees, consultants and advisors, even those related to one or more of our current or future product candidates, are rightfully owned by their former or concurrent employer. Litigation may be necessary to defend against these claims.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certain activities related to development and clinical testing of our current or future product candidates may be subject to safe harbor of patent infringement, such as under 35 U.S.C. §271(e)(1), upon receiving regulatory approval for such candidates we or any of our current or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its intellectual property rights, we may face a number of issues, including, but not limited to:</w:t>
      </w:r>
    </w:p>
    <w:p>
      <w:pPr>
        <w:spacing w:after="0" w:line="54" w:lineRule="exact"/>
        <w:rPr>
          <w:sz w:val="20"/>
          <w:szCs w:val="20"/>
          <w:color w:val="auto"/>
        </w:rPr>
      </w:pPr>
    </w:p>
    <w:p>
      <w:pPr>
        <w:ind w:left="7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current product candidates, including bitopertin, DISC-0974 and DISC-3405, or future product candidates, or from using our proprietary technologies, unless the third-party licenses its product rights to us, which we are not required to do, on commercially reasonable terms or at all;</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may choose to challenge the patentability of claims in a third party’s U.S. patent by requesting that the USPTO review the patent claims in an ex-parte re-exam,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current or future product candidates or proprietary technologies.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jc w:val="both"/>
        <w:spacing w:after="0" w:line="252" w:lineRule="auto"/>
        <w:rPr>
          <w:sz w:val="20"/>
          <w:szCs w:val="20"/>
          <w:color w:val="auto"/>
        </w:rPr>
      </w:pPr>
      <w:r>
        <w:rPr>
          <w:rFonts w:ascii="Times New Roman" w:cs="Times New Roman" w:eastAsia="Times New Roman" w:hAnsi="Times New Roman"/>
          <w:sz w:val="18"/>
          <w:szCs w:val="18"/>
          <w:color w:val="auto"/>
        </w:rPr>
        <w:t>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may be impaired or delayed, which could in turn significantly harm our business. Even if we obtain a license, it may be nonexclusive, thereby giving our competitors access to the same technologies licensed to us.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which could harm our business significantly.</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protection.</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not be able to pursue patent coverage of our current or future product candidates in all countries. Filing, prosecuting and defending patents on current or future product candidates in all countries throughout the world would be prohibitively expensive, and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and/or methods of using biopharmaceutical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jc w:val="both"/>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obtain or grant licenses or sublicenses to intellectual property rights in all markets on equally or sufficiently favorable terms with third parties.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party to license agreements with Roche, AbbVie and Mabwell and we may from time to time in the future be party to other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See “Business-Collaborations and License Agreement” of our Annual Report on Form 10-K for the year ended December 31, 2024 for more information regarding our license agreements with Roche, AbbVie and Mabwell.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termination of these licenses, or if the underlying patents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Disputes may also arise between us and our licensors regarding intellectual property subject to a license agreement, including:</w:t>
      </w:r>
    </w:p>
    <w:p>
      <w:pPr>
        <w:spacing w:after="0" w:line="117"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rights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any patented technology;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current or future licensors and us and our partners.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jc w:val="both"/>
        <w:spacing w:after="0" w:line="261" w:lineRule="auto"/>
        <w:rPr>
          <w:sz w:val="20"/>
          <w:szCs w:val="20"/>
          <w:color w:val="auto"/>
        </w:rPr>
      </w:pPr>
      <w:r>
        <w:rPr>
          <w:rFonts w:ascii="Times New Roman" w:cs="Times New Roman" w:eastAsia="Times New Roman" w:hAnsi="Times New Roman"/>
          <w:sz w:val="18"/>
          <w:szCs w:val="18"/>
          <w:color w:val="auto"/>
        </w:rPr>
        <w:t>which could have a material adverse effect on our business, financial condition, results of operations and prospects. Moreover, if disputes over intellectual property that we may license prevent or impair our ability to maintain future licensing arrangements on acceptable terms, we may be unable to successfully develop and commercialize the affected current or future product candidates, which could have a material adverse effect on our business, financial conditions, results of operations and prospects.</w:t>
      </w:r>
    </w:p>
    <w:p>
      <w:pPr>
        <w:spacing w:after="0" w:line="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Any granted patents we may own or in-license covering our current or future product candidates or other valuable technology could be narrowed or found invalid or unenforceable if challenged in court or before administrative bodies in the U.S. or abroad, including the USPTO and the EPO. A patent asserted in a judicial court could be found invalid or unenforceable during the enforcement proceeding. Administrative or judicial proceedings challenging the validity of our patents or individual patent claims could take months or years to resolve.</w:t>
      </w:r>
    </w:p>
    <w:p>
      <w:pPr>
        <w:spacing w:after="0" w:line="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If we or our licensors or strategic partners initiate legal proceedings against a third party to enforce a patent covering one of our current or future product candidates, the defendant could counterclaim that the patent covering our product candidate, as applicable, is invalid and/or unenforceable. In patent litigation in the U.S.,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patentable subject matter, lack of written description, lack of novelty, obviousness, or non-enablement. Grounds for an unenforceability assertion could be an allegation that someone connected with prosecution of the patent withheld relevant information from the USPTO that was material to patentability, or made a misleading statement, in the process of obtaining the patent during patent prosecution. Third parties may also raise similar claims before administrative bodies in the U.S. or abroad, even outside the context of litigation. Such mechanisms include re-examination, </w:t>
      </w:r>
      <w:r>
        <w:rPr>
          <w:rFonts w:ascii="Times New Roman" w:cs="Times New Roman" w:eastAsia="Times New Roman" w:hAnsi="Times New Roman"/>
          <w:sz w:val="18"/>
          <w:szCs w:val="18"/>
          <w:i w:val="1"/>
          <w:iCs w:val="1"/>
          <w:color w:val="auto"/>
        </w:rPr>
        <w:t xml:space="preserve">inter partes </w:t>
      </w:r>
      <w:r>
        <w:rPr>
          <w:rFonts w:ascii="Times New Roman" w:cs="Times New Roman" w:eastAsia="Times New Roman" w:hAnsi="Times New Roman"/>
          <w:sz w:val="18"/>
          <w:szCs w:val="18"/>
          <w:color w:val="auto"/>
        </w:rPr>
        <w:t>review, post grant review and equivalent proceedings in foreign jurisdictions (such as opposition proceedings). Such proceedings could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revocation or amendment to our patent applications or any patents we may own or in-license in such a way that they no longer cover our current or future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may own or in-license, allow third parties to commercialize our current or future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or our current or future licensors’ priority of invention or other features of patentability with respect to our patent applications and any patents we may own or in-license.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current or future product candidates and other technologies. With respect to the validity question, for example, we cannot be certain that there is no invalidating prior art, of which we or our current or future licensing partners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current or future product candidates. Such a loss of patent protection could have a material adverse impact on our business and our ability to commercialize or license our technology and current or future product candidates.</w:t>
      </w:r>
    </w:p>
    <w:p>
      <w:pPr>
        <w:spacing w:after="0" w:line="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current or future product candidates we may develop. The loss of exclusivity or the 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current or future product candidates.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inventor to file” system. The first-inventor-to-file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and/or validity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that are held to be infringing. We might, if possible, also be forced to redesign current or future product candidates so that we no longer infringes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9" w:name="page60"/>
    <w:bookmarkEnd w:id="5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72"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that we own or may in-license may not lead to issued patents;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should they issue, that we may own or in-license, may not provide us with any competitive advantages, may be narrowed in scope, or may be challenged and held invalid or unenforceable;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make the inventions covered by a patent application that we own or may in-license;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file patent applications covering a particular invention;</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misappropriating or otherwise violating our intellectual property rights;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licenses on reasonable terms or at all;</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third-party may subsequently file a patent covering such trade secrets or know-how;</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the confidentiality of our trade secrets or other proprietary information;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w:t>
      </w: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0" w:name="page61"/>
    <w:bookmarkEnd w:id="60"/>
    <w:p>
      <w:pPr>
        <w:jc w:val="both"/>
        <w:spacing w:after="0" w:line="261" w:lineRule="auto"/>
        <w:rPr>
          <w:sz w:val="20"/>
          <w:szCs w:val="20"/>
          <w:color w:val="auto"/>
        </w:rPr>
      </w:pPr>
      <w:r>
        <w:rPr>
          <w:rFonts w:ascii="Times New Roman" w:cs="Times New Roman" w:eastAsia="Times New Roman" w:hAnsi="Times New Roman"/>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regulatory approvals, our target market will be reduced and our ability to realize the full market potential of our product candidates will be harmed.</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priority review designation for one or more of our product candidates, but we might not receive such designation, and even if we do, such designation may not lead to a faster regulatory review or approval process.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certain of our product candidates, and we may be unsuccessful or may be unable to maintain the benefits associated with orphan drug designation, including the potential for market exclusivity.</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received orphan drug designation from the FDA for bitopertin for the treatment of EPP and for DISC-3405 for the treatment of PV. As part of our business strategy, we may seek orphan drug designation for certain of our product candidates and indications, as appropriate. Regulatory authorities in some jurisdictions, including the United States and Europe, may designate drugs for relatively small patient populations as orphan drugs. Under the Orphan Drug Act, the FDA may designate a drug or biologic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user-fee waivers.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Similarly, in the European Union, the European Commission, upon the recommendation of the EMA’s Committee for Orphan Medicinal Products, grants orphan designation in respect of products that are intended for the diagnosis, prevention or treatment of life-threatening or chronically debilitating conditions affecting no more than 5 in 10,000 persons in the European Union. Additionally, designation may be granted for products intended for the diagnosis, prevention, or treatment of a life-threatening, seriously debilitating or serious and chronic condition when, without incentives, it is unlikely that sales of the product in the European Union would generate sufficient return to justify the necessary investment in developing the product. In each case, there must be no satisfactory method of diagnosis, prevention, or treatment of the applicable condition which is authorized for marketing in the European Union (or, if such a method exists, the applicable product would be of significant benefit to those affected by the condition). In the European Union, orphan designation entitles a party to financial incentives such as reduction of fees or fee waivers. The European Committee for Orphan Medical Products adopted a positive opinion on Orphan Designation for bitopertin for treatment of EPP.</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Generally, if a product with an orphan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the European Union. The European Union market exclusivity period can be reduced to six years if, at the end of the fifth year, it is determined that a product no longer meets the criteria for orphan designation, including if the product is sufficiently profitable so that market exclusivity is no longer justified.</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Even if we obtain orphan drug exclusivity for one of our product candidates, that exclusivity may not effectively protect our product candidate from competition because different products can be approved for the same condition.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 if another product with the same active moiety is determined to be safer, more effective, or represents a major contribution to patient care. Orphan drug designation neither shortens the development time or regulatory review time of a product nor gives the product any advantage in the regulatory review or approval process. While we may seek orphan drug designation for our product candidates, we may never receive such designations. Even if we do receive such designations, there is no guarantee that we will enjoy the benefits of those designations.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jc w:val="both"/>
        <w:spacing w:after="0" w:line="266" w:lineRule="auto"/>
        <w:rPr>
          <w:sz w:val="20"/>
          <w:szCs w:val="20"/>
          <w:color w:val="auto"/>
        </w:rPr>
      </w:pPr>
      <w:r>
        <w:rPr>
          <w:rFonts w:ascii="Times New Roman" w:cs="Times New Roman" w:eastAsia="Times New Roman" w:hAnsi="Times New Roman"/>
          <w:sz w:val="18"/>
          <w:szCs w:val="18"/>
          <w:color w:val="auto"/>
        </w:rPr>
        <w:t>The FDA may further reevaluate its regulations and policies under the Orphan Drug Act. We do not know if, when or how the FDA may change its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received rare pediatric disease designation for bitopertin. However, a marketing application for bitopertin, if approved, may not meet the eligibility criteria for a rare pediatric disease priority review voucher.</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2024, we received rare pediatric disease designation for bitopertin in patients with EPP and XLP. The FDA defines “rare pediatric disease” as a (i) serious or life-threatening disease in which the serious or life-threatening manifestations primarily affect ages from birth to 18 years, including age groups often called neonates, infants, children and adolescents; and (ii) a rare disease or condition within the meaning of the Orphan Drug Act. Designation of a product candidate as a product for a rare pediatric disease does not guarantee that a marketing application for such product candidate will meet the eligibility criteria for a rare pediatric disease priority review voucher at the time the application is approved. The FDA may determine that a marketing application for bitopertin, if approved, does not meet the eligibility criteria for a priority review voucher.</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current statutory sunset provisions, the FDA may only award a priority review voucher for an approved rare pediatric disease product application if the sponsor has rare pediatric disease designation for the drug or biologic that is the subject of such application, and that designation was granted by December 20, 2024. After September 30, 2026, the FDA may not award any rare pediatric disease priority review vouchers. As such, if we do not obtain approval of a marketing application for bitopertin in patients with EPP and XLP on or before September 30, 2026, we may not receive a priority review voucher. However, it is possible that the FDA's authority to grant rare pediatric disease designation or award rare pediatric disease priority review vouchers will be further extended by Congress.</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seek a breakthrough therapy designation for certain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are designated as breakthrough therapies, the FDA may later withdraw the designation if it determines that such product candidates no longer meet the conditions for such designation.</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were granted fast track designation by the FDA for DISC-3405 for the treatment of PV in September 2023 and for DISC-0974 for the treatment of anemia in non-dialysis dependent chronic kidney disease in February 2024, and we may seek fast track designation for certain of our product candidates.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the FDA may disagree and instead decide not to grant it. Even if we do receive fast track designation, we may not experience a faster development process, review or approval compared to conventional FDA procedures. The FDA may withdraw fast track designation if it believes that the designation no longer meets the conditions for such designation. Fast track designation alone does not guarantee qualification for the FDA’s priority review procedures.</w:t>
      </w:r>
    </w:p>
    <w:p>
      <w:pPr>
        <w:spacing w:after="0" w:line="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approval from the FDA for bitopertin or any of our other current or future product candidates under the Accelerated Approval Program. If we are not able to use such program, we may be required to conduct additional clinical trials beyond those that are contemplated, which would increase the expense of obtaining, and delay the receipt of, necessary marketing approvals, if we receive them at all. In addition, even if the Accelerated Approval Program is available to us, it may not lead to expedited approval of our product candidates, or approval at all.</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seek accelerated approval of bitopertin or any of our other current or future product candidates.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It is possible that at the time of submission of a marketing application,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jc w:val="both"/>
        <w:spacing w:after="0" w:line="282" w:lineRule="auto"/>
        <w:rPr>
          <w:sz w:val="20"/>
          <w:szCs w:val="20"/>
          <w:color w:val="auto"/>
        </w:rPr>
      </w:pPr>
      <w:r>
        <w:rPr>
          <w:rFonts w:ascii="Times New Roman" w:cs="Times New Roman" w:eastAsia="Times New Roman" w:hAnsi="Times New Roman"/>
          <w:sz w:val="18"/>
          <w:szCs w:val="18"/>
          <w:color w:val="auto"/>
        </w:rPr>
        <w:t>the FDA may determine that our product candidate is not eligible for accelerated approval or that accelerated approval is not warranted. Moreover, FDA may revise how it implements accelerated approval, which could negatively affect the development of our current or future product candidates.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condition of approval, the FDA generally requires that a sponsor of a drug or biologic receiving accelerated approval perform adequate and well-controlled post-marketing clinical trials. These confirmatory trials must be completed with due diligence. Under FDORA, the FDA is permitted to require, that a post-approval confirmatory trial or trials be underway prior to approval or within a specified time period after the date accelerated approval is granted. FDORA also requires sponsors to send updates to the FDA every 180 days on the status of such trials, including progress toward enrollment targets, and the FDA must promptly post this information publicly. FDORA also gives the FDA increased authority to withdraw approval of a drug or biologic granted accelerated approval on an expedited basis if the sponsor fails to conduct confirmatory studies in a timely manner, send the necessary updates to the FDA, or if such post-approval trials fail to verify the product’s predicted clinical benefit. Under FDORA, the FDA is empowered to take action, such as issuing fines, against companies that fail to conduct with due diligence any post-approval confirmatory trial or submit timely reports to the agency on their progress. In addition, the FDA currently requires, unless the sponsor is otherwise informed by the agency, submission of launch promotional materials during the pre-approval period, which could adversely impact the timing of the commercial launch of the product.</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not able to obtain accelerated approval for a product candidate, we may be required to conduct additional clinical trials beyond those that are contemplated, which would increase the expense of obtaining, and delay the receipt of, full FDA approval, if received at all.</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2024, we announced that, based on discussions with the FDA, reduction in protoporphyrin IX, or PPIX, may be sufficient to serve as a surrogate endpoint supportive of submitting an NDA for bitopertin in EPP and XLP under the FDA’s Accelerated Approval Program based on our existing data. In January 2025, we announced that we had aligned with the FDA on the design of our planned APOLLO trial, which in the setting of an accelerated approval would serve as a post-marketing confirmatory trial, and that we plan to submit an NDA for accelerated approval of bitopertin in EPP and XLP in the second half of 2025. We initiated the APOLLO clinical trial in 2025. However, the FDA could change its position regarding the sufficiency of PPIX as a surrogate endpoint or the design of our APOLLO clinical trial. Further, even if the FDA continues to agree that reduction of PPIX may be sufficient to serve as a surrogate endpoint supportive of submitting an NDA for accelerated approval of bitopertin in EPP and XLP and remains aligned with the design of APOLLO as a post-marketing confirmatory trial, the FDA may not accept for filing any NDA we submit for accelerated approval for bitopertin, may not grant this approval on a timely basis, or may not grant approval at all. Receiving accelerated approval does not provide assurance of ultimate full FDA approval. Even if the Accelerated Approval Program does result in a faster approval process, there is no guarantee that we will be able to begin commercialization of our product at the time of such approval, that the APOLLO trial will confirm and verify clinical benefit, or that we will be otherwise able to maintain such approval.</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drug product candidates or any of our future drug product candidates obtain regulatory approval, additional competitors could enter the market with generic versions of such products, which may result in a material decline in sales of our competing products.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or the Hatch-Waxman Amendments to the Federal Food, Drug, and Cosmetic Act, or the FDCA, a company may file an abbreviated new drug application, or ANDA, seeking approval of a generic version of an approved innovator product. Under the Hatch-Waxman Amendments, a company may also submit an NDA under section 505(b)(2) of the FDCA that references the FDA’s prior approval of the innovator product or preclinical studies and/or clinical trials that were not conducted by, or for, the applicant and for which the applicant has not obtained a right of reference.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the applicable, approved innovator product, a generic or 505(b)(2) applicant that seeks to market our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Accordingly, if any of our product candidates that are regulated as drugs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jc w:val="both"/>
        <w:spacing w:after="0" w:line="261" w:lineRule="auto"/>
        <w:rPr>
          <w:sz w:val="20"/>
          <w:szCs w:val="20"/>
          <w:color w:val="auto"/>
        </w:rPr>
      </w:pPr>
      <w:r>
        <w:rPr>
          <w:rFonts w:ascii="Times New Roman" w:cs="Times New Roman" w:eastAsia="Times New Roman" w:hAnsi="Times New Roman"/>
          <w:sz w:val="18"/>
          <w:szCs w:val="18"/>
          <w:color w:val="auto"/>
        </w:rPr>
        <w:t>We may not be successful in securing or maintaining proprietary patent protection for products and technologies we develop or licenses,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our sales would likely decline rapidly and materially.</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approved, our investigational products regulated as biologics may face competition from biosimilars or interchangeable products approved through an abbreviated regulatory pathway.</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or BPCIA, created an abbreviated approval pathway for biologic products that are biosimilar to or interchangeable with an FDA-licensed reference biologic product. Under the BPCIA, an application for a biosimilar or interchangeable product may not be submitted to the FDA until four years following the date that the reference product was first licensed by the FDA. In addition, the approval of a biosimilar or interchangeable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 product under a BLA should qualify for the 12-year period of exclusivity. However, there is a risk that this exclusivity could be shortened due to congressional action or otherwise, or that the FDA will not consider our investigational medicines to be reference products, potentially creating the opportunity for biosimilar competition sooner than anticipated. Other aspects of the BPCIA, some of which may impact the BPCIA exclusivity provisions, have also been the subject of litigation. Moreover, the extent to which a biosimilar or interchangeable product, once licensed, will be substituted for any one of our reference products in a way that is similar to traditional generic substitution for non-biologic products is not yet clear, and will depend on a number of marketplace and regulatory factors that are still developing. If competitors are able to obtain regulatory approval for biosimilars or interchangeable products referencing our products, our products may become subject to competition from such biosimilars or interchangeable products, with the attendant competitive pressure and consequences.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the EMA and other regulatory authorities may implement additional regulations or restrictions on the development and commercialization of our product candidates, and such changes can be difficult to predict.</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4" w:name="page65"/>
    <w:bookmarkEnd w:id="64"/>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NIH, CMS, FDA, the SEC and other government agencies, including from government shut downs, or other disruptions to these agencies’ operations, including significant leadership, personnel, or policy changes,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NIH’s ability to conduct and partner with industry on important research, and CMS’s ability to operate efficiently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or a widespread freeze on federal funding occurs, it could significantly impact the ability of the FDA to timely review and process our regulatory submissions, NIH to conduct research or provide grants, or other agencies to slow their work, which could have a material adverse effect on our business. Further, future government shutdowns could impact our ability to access the public markets and obtain necessary capital in order to properly capitalize and continue our operations. In addition, the current administration is seeking to reduce the NIH budget for funding of medical research, which could decrease the ability of facilities that rely on NIH funding to enroll and conduct clinical trials or increase the costs to us of conducting clinical trials.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disruptions at the FDA and other federal agencies, including substantial leadership departures, personnel cuts, and policy changes, could result in delays in the FDA’s responsiveness or in its ability to review and/or approve new drug submissions or applications, issue regulations or guidance, or implement or enforce regulatory requirements in a timely fashion, any of which could adversely affect our business. For example, during 2025, certain federal agencies, including the FDA, began conducting significant layoffs and it is currently unclear whether and how such staff reductions may impact our business.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there is substantial uncertainty as to whether and how the current administration will seek to modify or revise the requirements and policies of the FDA and other regulatory agencies with jurisdiction over our product candidates and any products for which we obtain approval. This uncertainty could present new challenges as we navigate development and approval of our product candidates. The current administration could also issue or promulgate executive orders, regulations, policies or guidance that adversely affect us or create a more challenging or costly environment to pursue the development of new therapeutic candidates.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 may have a material adverse effect on our business and results of operations.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U.S. and many foreign jurisdictions have enacted or proposed legislative and regulatory changes affecting the U.S. and global healthcare systems that could prevent or delay regulatory approval of our current or future product candidates or any future product candidates, restrict or regulate post-approval activities and affect our ability to profitably sell a product for which we obtain regulatory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In the U.S., there have been and continue to be, on-going legislative initiatives to contain healthcare costs. For example, the Patient Protection and Affordable Care Act, or the ACA, as amended by the Health Care and Education Reconciliation Act of 2010, substantially changed the way healthcare is financed by both governmental and private insurers, and significantly impacted the U.S. pharmaceutical industry. The ACA, among other things, subjects biological products to potential competition by lower-cost biosimilars,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creates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 Since then, the ACA risk adjustment program payment parameters have been updated annually.</w:t>
      </w:r>
    </w:p>
    <w:p>
      <w:pPr>
        <w:spacing w:after="0" w:line="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the ACA’s enactment, there have been numerous judicial, administrative, executive and legislative challenges to certain aspects of the ACA and we expect that there will be additional challenges and amendments to the ACA in the future. On June 17, 2021, for example, the U.S. Supreme Court dismissed a judicial challenge to the ACA brought by several states without specifically ruling on the constitutionality of the ACA. In addition, multiple executive orders have been issued that seek to reduce prescription drug costs. Although a number of these and other proposed measures may require authorization through additional legislation to become effective, and the current administration may reverse or otherwise change these measures, both the current administration and Congress have indicated that they will continue to seek new measures to control drug costs. It is unclear how healthcare reform measures or other efforts, if any, to challenge repeal or replace the ACA, will impact our business.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In addition, other legislative and regulatory changes have been proposed and adopted in the United States since the ACA was enacted:</w:t>
      </w:r>
    </w:p>
    <w:p>
      <w:pPr>
        <w:spacing w:after="0" w:line="117" w:lineRule="exact"/>
        <w:rPr>
          <w:sz w:val="20"/>
          <w:szCs w:val="20"/>
          <w:color w:val="auto"/>
        </w:rPr>
      </w:pPr>
    </w:p>
    <w:p>
      <w:pPr>
        <w:jc w:val="both"/>
        <w:ind w:left="760" w:hanging="378"/>
        <w:spacing w:after="0" w:line="261"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Budget Control Act of 2011, for example, included aggregate reductions of Medicare payments to providers of 2% per fiscal year that will remain in effect through 2032. Due to the Statutory Pay-As-You-Go Act of 2010, estimated budget deficit increases resulting from the American Rescue Plan Act of 2021, and subsequent legislation, Medicare payments to providers will be further reduced starting in 2025 absent further legislation.</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American Taxpayer Relief Act of 2012 further reduced Medicare payments to several types of providers and increased the statute of limitations period for the government to recover overpayments to providers from three to five years.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American Rescue Plan Act of 2021 eliminated the statutory Medicaid drug rebate cap, previously set at 100% of a drug’s average manufacturer price, for single source and innovator multiple source drugs, effective January 1, 2024.</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Inflation Reduction Act of 2022, or the IRA, includes several provisions that may impact our business, depending on how various aspects of the IRA are implemented. Provisions that may impact our business include a $2,000 out-of-pocket cap for Medicare Part D beneficiaries, the imposition of new manufacturer financial liability on most drugs in Medicare Part D, permitting the U.S. government to negotiate Medicare Part B and Part D pricing for certain high-cost drugs and biologics without generic or biosimilar competition, requiring companies to pay rebates to Medicare for drug prices that increase faster than inflation, and delay until January 1, 2032 the implementation of the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CMS has announced the results of the first round of negotiated prices between CMS and participating drug manufacturers for the ten selected drugs under the IRA’s Medicare drug price negotiation program. These prices go into effect in 2026. CMS has also commenced negotiations for the next 15 drugs selected for the IRA’s Medicare drug price negotiation program. It is unclear whether ongoing litigation will be successful in challenging the constitutionality of the IRA’s Medicare drug price negotiation program and, if so, may provide a mechanism to block the implementation of the program. The effects of the IRA on our business and the healthcare industry in general is not yet known.</w:t>
      </w:r>
    </w:p>
    <w:p>
      <w:pPr>
        <w:spacing w:after="0" w:line="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or the frequency with which any such product candidate is prescribed or used, which could result in reduced demand for our current or future product candidates or additional pricing pressures. In particular any policy changes through CMS as well as local state Medicaid programs could have a significant impact on our business.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prospects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72"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current or future product candidates, if we obtain regulatory approval;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coverage and reimbursement approval for a product;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reduction in reimbursement from Medicare or other government programs may result in a similar reduction in payments from private payors, which may adversely affect our future profitability.</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future profits and earnings.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will play a primary role in the recommendation and prescription of any product candidates for which we obtain regulatory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Restrictions under applicable federal and state healthcare laws and regulations, include the following:</w:t>
      </w:r>
    </w:p>
    <w:p>
      <w:pPr>
        <w:spacing w:after="0" w:line="81" w:lineRule="exact"/>
        <w:rPr>
          <w:sz w:val="20"/>
          <w:szCs w:val="20"/>
          <w:color w:val="auto"/>
        </w:rPr>
      </w:pPr>
    </w:p>
    <w:p>
      <w:pPr>
        <w:jc w:val="both"/>
        <w:ind w:left="760" w:hanging="378"/>
        <w:spacing w:after="0" w:line="253"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of up to ten years,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 The Anti-Kickback Statute has been interpreted to apply to arrangements between pharmaceutical manufacturers, on the one hand, and prescribers, purchasers and formulary managers, on the other. The HHS, Office of Inspector General, or OIG, heavily scrutinizes relationships between pharmaceutical companies and persons in a position to generate referrals for or the purchase of their products, such as physicians, other healthcare providers, and pharmacy benefit managers, among others. However, there are a number of statutory exceptions and regulatory safe harbors protecting some common activities from prosecution;</w:t>
      </w:r>
    </w:p>
    <w:p>
      <w:pPr>
        <w:spacing w:after="0" w:line="81" w:lineRule="exact"/>
        <w:rPr>
          <w:rFonts w:ascii="Times New Roman" w:cs="Times New Roman" w:eastAsia="Times New Roman" w:hAnsi="Times New Roman"/>
          <w:sz w:val="18"/>
          <w:szCs w:val="18"/>
          <w:color w:val="auto"/>
        </w:rPr>
      </w:pPr>
    </w:p>
    <w:p>
      <w:pPr>
        <w:jc w:val="both"/>
        <w:ind w:left="760" w:hanging="378"/>
        <w:spacing w:after="0" w:line="254"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and civil monetary penalties laws, including the federal False Claims Act, or FCA,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of fraudulent claim for purposes of the False Claims Act. The federal False Claims Act also permits a private individual acting as a “whistleblower” to bring actions on behalf of the federal government alleging violations of the federal False Claims Act and to share in any monetary recovery;</w:t>
      </w:r>
    </w:p>
    <w:p>
      <w:pPr>
        <w:spacing w:after="0" w:line="83"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imposes criminal and civil liability for executing a scheme to defraud any healthcare benefit program (e.g. public or private),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jc w:val="both"/>
        <w:ind w:left="760" w:hanging="378"/>
        <w:spacing w:after="0" w:line="257"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transparency requirements, sometimes referred to as the “Sunshine Act” under the ACA, which require manufacturers of drugs, devices, biologics and medical supplies that are reimbursable under Medicare, Medicaid, or the Children’s Health Insurance Program to report to HHS information related to transfers of value made to physicians, nurse practitioners, certified nurse anesthetists,</w:t>
      </w:r>
    </w:p>
    <w:p>
      <w:pPr>
        <w:spacing w:after="0" w:line="1" w:lineRule="exact"/>
        <w:rPr>
          <w:sz w:val="20"/>
          <w:szCs w:val="20"/>
          <w:color w:val="auto"/>
        </w:rPr>
      </w:pPr>
    </w:p>
    <w:p>
      <w:pPr>
        <w:ind w:left="760"/>
        <w:spacing w:after="0" w:line="250" w:lineRule="auto"/>
        <w:rPr>
          <w:sz w:val="20"/>
          <w:szCs w:val="20"/>
          <w:color w:val="auto"/>
        </w:rPr>
      </w:pPr>
      <w:r>
        <w:rPr>
          <w:rFonts w:ascii="Times New Roman" w:cs="Times New Roman" w:eastAsia="Times New Roman" w:hAnsi="Times New Roman"/>
          <w:sz w:val="18"/>
          <w:szCs w:val="18"/>
          <w:color w:val="auto"/>
        </w:rPr>
        <w:t>physician assistants, clinical nurse specialists, and certified nurse midwives as well as teaching hospitals. Manufacturers are also required to disclose ownership and investment interests held by physicians and their immediate family members;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ind w:left="7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also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European Union General Data Protection Regulation,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U.S., to help patients afford our approved product, we may utilize programs to assist them, including patient assistance programs and co-pay coupon programs for eligible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In addition, at least one insurer has directed its network pharmacies to no longer accept co-pay coupons for certain specialty drugs the insurer identified. Our co-pay coupon programs could become the target of similar insurer actions. In addition, in November 2013, the CMS issued guidance to the issuers of qualified health plans sold through the ACA’s marketplaces encouraging such plans to reject patient cost-sharing support from third parties and indicating that the CMS intends to monitor the provision of such support and may take regulatory action to limit it in the future. The CMS subsequently issued a rule requiring individual market qualified health plans to accept third-party premium and cost-sharing payments from certain government-related entities. In September 2014, the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spacing w:after="0" w:line="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Third party patient assistance programs that receive financial support from companies have become the subject of enhanced government and regulatory scrutiny. The OIG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their patient assistance programs under a variety of federal and state laws. It is possible that we may make grants to independent charitable foundations that help financially needy patients with their premium, co-pay, and co-insurance obligations. If we choose to do so, and if we or our vendors or donation recipients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foundation support for our patients who need assistance.</w:t>
      </w:r>
    </w:p>
    <w:p>
      <w:pPr>
        <w:spacing w:after="0" w:line="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8" w:name="page69"/>
    <w:bookmarkEnd w:id="68"/>
    <w:p>
      <w:pPr>
        <w:jc w:val="both"/>
        <w:spacing w:after="0" w:line="253"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disgorgement, imprisonment, the exclusion from participation in federal and state government funded healthcare programs, such as Medicare and Medicaid, reputational harm, and the curtailment or restructuring of our operations. It may also subject us to additional reporting obligations and oversight, if we become subject to a corporate integrity agreement, deferred prosecution agreement, or other agreement to resolve allegations of non-compliance with these laws. If any of the physicians or other providers or entities with whom we expect to do business is found not to be in compliance with applicable laws, they may be subject to similar criminal, civil or administrative sanctions, including exclusions from government funded healthcare programs.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Current or future environmental laws and regulations may impair our research, development and production efforts, which could harm our business, prospects, financial condition or results of operations.</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U.S. and global privacy and security requirements could result in additional costs and liabilities to us or inhibit our ability to collect and process data globally, and the failure to comply with such requirements could expose us to criminal sanctions, civil penalties, contractual damages, reputational harm, administrative burdens and diminished profits and future earnings.</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regulatory framework for the collection, use, safeguarding, sharing, transfer and other processing of information worldwide is rapidly evolving and is likely to remain uncertain for the foreseeable future. We possess and process sensitive information, including patient health information. In the U.S., there are numerous federal and state privacy and data security laws and regulations governing the collection, use, disclosure and protection of personal information, including health information privacy laws, security breach notification laws and consumer protection laws. These federal and state laws, in many cases, are not preempted by HIPAA and may be subject to varying interpretations by the courts and government agencies. These varying interpretations can create complex compliance issues for us and our partners and potentially expose us to additional expense, adverse publicity and liability, any of which could adversely affect our business. There is ongoing concern from privacy advocates, regulators and others regarding data privacy and security issues, and the number of jurisdictions with data privacy and security laws has been increasing. Also, there are ongoing public policy discussions regarding whether the standards for de-identification, anonymization or pseudonymization of health information are sufficient, and the risk of re-identification sufficiently small, to adequately protect patient privacy. We expect that there will continue to be new proposed and amended laws, regulations and industry standards concerning privacy, data protection and information security in the United States. For example, California enacted the California Consumer Privacy Act, or CCPA, a comprehensive privacy law that broadly defines personal information, gives California residents expanded rights to access and delete their personal information, and places stringent privacy and security obligations on businesses covered by the law, including obligations to provide detailed disclosures to California consumers about their data collection, use and sharing practices, and to provide such consumers with ways to opt out of certain sales or transfers of personal information. It also provides for civil penalties for violations, and allows for a private right of action for data breaches that is expected to increase data breach litigation. In addition, the CCPA was amended by the California Privacy Rights Act, or CPRA, which as of January 1, 2023, significantly modified the CCPA by expanding consumer rights with respect to certain sensitive information, and creating a new state agency that is vested with authority to implement and enforce the CCPA.</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Comprehensive laws similar to the CCPA have been passed in numerous other states outside of California. These laws are substantially similar in scope and contain many of the same requirements and exceptions as the CCPA, including a general exemption for clinical trial data and limited obligations for entities regulated by HIPAA. However, we cannot yet determine the full impact these laws or other such future laws, regulations and standards may have on our current or future business. Any of these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9" w:name="page70"/>
    <w:bookmarkEnd w:id="69"/>
    <w:p>
      <w:pPr>
        <w:jc w:val="both"/>
        <w:spacing w:after="0" w:line="253" w:lineRule="auto"/>
        <w:rPr>
          <w:sz w:val="20"/>
          <w:szCs w:val="20"/>
          <w:color w:val="auto"/>
        </w:rPr>
      </w:pPr>
      <w:r>
        <w:rPr>
          <w:rFonts w:ascii="Times New Roman" w:cs="Times New Roman" w:eastAsia="Times New Roman" w:hAnsi="Times New Roman"/>
          <w:sz w:val="18"/>
          <w:szCs w:val="18"/>
          <w:color w:val="auto"/>
        </w:rPr>
        <w:t>laws may broaden their scope in the future, and similar laws have been proposed on both a federal level and in more than half of the states in the U.S. In addition, a number of other states have proposed new privacy laws, some of which are similar to the above discussed recently passed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Furthermore, in addition to comprehensive privacy laws, certain states have enacted laws to focus on particular more limited privacy laws. For example, the state of Washington has passed a law to protect medical and health information not subject to HIPAA. This law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information. The existence of comprehensive privacy laws in different states in the country would make our compliance obligations more complex and costly and may increase the likelihood that we may be subject to enforcement actions or otherwise incur liability for noncompliance. These various privacy and security laws may impact our business activities, including our identification of research subjects, relationships with business partners and ultimately the marketing and distribution of our products. State laws are changing rapidly and there have been proposals for a new comprehensive federal data privacy law to which we may likely become subject, if enacted.</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collection, use, storage, disclosure, transfer or other processing of personal data regarding individuals in the EEA and UK, including personal health data, is subject to the EU General Data Protection Regulation 2016/679, or EU GDPR, with respect to individuals in the EEA and the UK General Data Protection Regulation (following the incorporation of the EU GDPR into UK law), or UK GDPR, with respect to individuals in the UK, and together with the EU GDPR, GDPR. The GDPR is wide-ranging in scope and imposes numerous requirements on companies that process personal data, including requirements relating to having a legal basis or condition for processing personal data, stricter requirements relating to processing sensitive data (such as health data), where required by GDPR obtaining consent of the individuals to whom the personal data relates, providing information to individuals regarding data processing activities, implementing safeguards to protect the security and confidentiality of personal data, providing notification of data breaches, requiring data protection impact assessments for high risk processing and taking certain measures when engaging third-party processors. The GDPR permits data protection authorities to impose large penalties for violations of the GDPR, including potential fines of up to €20 million (£17.5 million for the UK)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GDPR provides that EEA Member States may make their own further laws and regulations in relation to the processing of genetic, biometric or health data, which could result in differences between Member States, limit our ability to use and share personal data or could cause our costs to increase, and harm our business and financial condition.</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GDPR also imposes strict rules on the transfer of personal data to countries outside the EEA and UK not deemed adequate for the transfer of such personal data by competent data protection authorities, or third countries, including the United States in certain circumstances unless a derogation exists or we may need to incorporate a GDPR transfer mechanism (such as the European Commission approved standard contractual clauses, or SCCs or the UK International Data Transfer Addendum, or IDTA) into our agreements with third parties to govern such transfers of personal data and carry out transfer impact assessments. Further, the European Union and United States have adopted its adequacy decision for the EU-U.S. Data Privacy Framework, or the Framework, which entered into force on July 11, 2023. This Framework provides that the protection of personal data transferred between the European Union and the United States is comparable to that offered in the European Union. This provides a further avenue to ensuring transfers to the United States are carried out in line with GDPR. There has been an extension to the Framework to cover UK transfers to the United States. The Framework could be challenged like its predecessor frameworks. The international transfer obligations under the EEA and UK data protection regimes will require effort and cost and may result in us needing to make strategic considerations around where EEA/UK personal data is located and which service providers we can utilize for the processing of EEA/UK personal data.</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the UK is regarded as a third country under the EU GDPR, the European Commission has issued an “Adequacy Decision” recognizing the UK as providing adequate protection under the EU GDPR and, therefore, transfers of personal data subject to the EU GDPR to the UK remain unrestricted. The UK government has confirmed that personal data transfers from the UK to the EEA remain free flowing. The UK Government introduced the Data Protection and Digital Information Bill, which failed in the UK legislative process. A new Data (Use and Access) Bill, or the UK Bill, has been introduced into parliament. If passed, the final version of the UK Bill may have the effect of further altering the similarities between the UK and EU data protection regime and threaten the UK Adequacy Decision from the EU Commission. This may lead to additional compliance costs and could increase our overall risk.</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0" w:name="page71"/>
    <w:bookmarkEnd w:id="70"/>
    <w:p>
      <w:pPr>
        <w:jc w:val="both"/>
        <w:spacing w:after="0" w:line="253" w:lineRule="auto"/>
        <w:rPr>
          <w:sz w:val="20"/>
          <w:szCs w:val="20"/>
          <w:color w:val="auto"/>
        </w:rPr>
      </w:pPr>
      <w:r>
        <w:rPr>
          <w:rFonts w:ascii="Times New Roman" w:cs="Times New Roman" w:eastAsia="Times New Roman" w:hAnsi="Times New Roman"/>
          <w:sz w:val="18"/>
          <w:szCs w:val="18"/>
          <w:color w:val="auto"/>
        </w:rPr>
        <w:t>In the EEA, the NIS 2 Directive, or NIS 2, is replacing the cybersecurity legal framework under the current NIS framework, aiming to ensure a high level of cybersecurity in the region. NIS 2 expands on the scope of the current NIS framework, extending to additional sectors and expanding the list of in-scope healthcare organisations providing services in the EEA, including to certain providers engaged in research and development of medicinal products. To the extent applicable, the new regime imposes direct obligations on management regarding compliance with NIS 2, requiring covered organisations to put in place certain cyber risk management measures, and strengthens incident reporting requirements and provides supervisory authorities with greater oversight. The majority of these obligations will not come into force until national legislation implementing NIS 2 becomes effective in the relevant EU Member State. EU Member States had until October 17, 2024 to transpose NIS 2 into national legislation, although many countries have still not completed this process. As such, the cybersecurity regulatory landscape in the EU is currently fragmented and uncertain. To the extent we become subject to NIS 2, we may need to increase investment in our cybersecurity compliance programs. Under NIS 2, companies may be subject to administrative fines of up to the higher amount of €10 million or 2% of worldwide annual revenue.</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of these evolving compliance and operational requirements impose potentially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If we or third-party CDMOs, CROs or other contractors or consultants fail to comply with U.S. and international data protection laws and regulations, it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financial condition, results of operations and prospects.</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use of new and evolving technologies, such as artificial intelligence, in our business may result in spending material resources and presents risks and challenges that can impact our business including by posing security and other risks to our confidential and/or proprietary information, including personal information, and as a result we may be exposed to reputational harm and liability.</w:t>
      </w:r>
    </w:p>
    <w:p>
      <w:pPr>
        <w:spacing w:after="0" w:line="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may use and integrate artificial intelligence, or AI, into our business processes, and this innovation presents risks and challenges that could affect its adoption, and therefore our business. If we enable or offer solutions that draw controversy due to perceived or actual negative societal impact, we may experience brand or reputational harm, competitive harm or legal liability. The use of certain AI technology can give rise to intellectual property risks, including compromises to proprietary intellectual property and intellectual property infringement. To the extent we develop our own AI systems, then the risk of intellectual property infringement could arise from third party data sources being used to train our AI models, and from the output of AI systems reproducing or incorporating third party intellectual property rights, in each case without the right to do so. Further, a risk of our proprietary intellectual property rights being compromised through the use of AI could arise through third party vendors using our data to train their models and/or to generate output for other users of their systems. If our third party vendors use our data (which includes personal data) to train their AI models and/or to generate output for other users of their systems, this could also give rise to regulatory risks. Additionally, we expect to see increasing government and supranational regulation related to AI use and ethics, which may also significantly increase the burden and cost of research, development and compliance in this area. For example, the European Union’s Artificial Intelligence Act, or the AI Act, the world’s first comprehensive AI law, entered into force in August 2024 and, with some exceptions, becomes effective in August 2025. This legislation imposes significant obligations on providers and deployers of high risk AI systems, and encourages providers and deployers of AI systems to account for European Union ethical principles in their development and use of these systems. If we develop or use AI systems that are governed by the AI Act, it may necessitate ensuring higher standards of data quality, transparency, and human oversight, as well as adhering to specific and potentially burdensome and costly ethical, accountability, and administrative requirements. The rapid evolution of AI will require the application of significant resources to design, develop, test and maintain our products and services to help ensure that AI is implemented in accordance with applicable law and regulation and in a socially responsible manner and to minimize any real or perceived unintended harmful impacts. Our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 U.S.</w:t>
      </w: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p>
      <w:pPr>
        <w:jc w:val="both"/>
        <w:spacing w:after="0" w:line="258" w:lineRule="auto"/>
        <w:rPr>
          <w:sz w:val="20"/>
          <w:szCs w:val="20"/>
          <w:color w:val="auto"/>
        </w:rPr>
      </w:pPr>
      <w:r>
        <w:rPr>
          <w:rFonts w:ascii="Times New Roman" w:cs="Times New Roman" w:eastAsia="Times New Roman" w:hAnsi="Times New Roman"/>
          <w:sz w:val="18"/>
          <w:szCs w:val="18"/>
          <w:color w:val="auto"/>
        </w:rPr>
        <w:t>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Employee Matters and Managing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experienced scientists and to attract, retain, and motivate qualified personnel.</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highly dependent on many of our key employees and members of our executive management team as well as the other principal members of our management, scientific and clinical teams. Although we have entered into employment letter agreements with certain of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particular, we have experienced a very competitive hiring environment in the greater Boston area of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information systems and infrastructure from cyberattacks or security compromises, cybersecurity incidents or data breaches, which could result in the disclosure of confidential or proprietary information, including personal data, damage our reputation, and subject us to significant financial and legal exposure.</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information technology systems and infrastructure that we or our third-party providers operate to process, transmit and store electronic information in our day-to-day operations. In connection with our product discovery efforts, we may collect and use a variety of personal data and other confidential and/or proprietary data, such as names, mailing addresses, email addresses, phone numbers and clinical trial information. A successful cyberattack could result in the theft, destruction or misuse of intellectual property, data, or other misappropriation of assets, or otherwise compromise our confidential or proprietary information and disrupt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2" w:name="page73"/>
    <w:bookmarkEnd w:id="72"/>
    <w:p>
      <w:pPr>
        <w:jc w:val="both"/>
        <w:spacing w:after="0" w:line="255" w:lineRule="auto"/>
        <w:rPr>
          <w:sz w:val="20"/>
          <w:szCs w:val="20"/>
          <w:color w:val="auto"/>
        </w:rPr>
      </w:pPr>
      <w:r>
        <w:rPr>
          <w:rFonts w:ascii="Times New Roman" w:cs="Times New Roman" w:eastAsia="Times New Roman" w:hAnsi="Times New Roman"/>
          <w:sz w:val="18"/>
          <w:szCs w:val="18"/>
          <w:color w:val="auto"/>
        </w:rPr>
        <w:t>our operations. Cyberattacks generally are increasing in their frequency, sophistication and intensity, and have become increasingly difficult to detect. Cyberattacks could include wrongful conduct by hostile foreign governments, insiders such as employees, contractors or other third-parties and industrial espionage, wire fraud and other forms of cyber fraud, the deployment of harmful malware, ransomware, denial-of-service, social engineering fraud (including phishing attacks) or other means to threaten or compromise the security, confidentiality, integrity and availability of systems and information. A successful cyberattack could cause serious negative consequences for us, including, without limitation, the disruption of operations, the misappropriation of protected information or confidential business information, including personal data, financial information, trade secrets, financial loss and the disclosure of corporate strategic plans.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Like other companies in our industry, we, and our third party vendors, have experienced, and will continue to experience, cybersecurity threats and incidents relating to our information technology systems and infrastructure. Although we devote resources designed to protect our information systems and infrastructure, we realize that cyberattacks are a threat, and there can be no assurance that our efforts will prevent or adequately address information security compromises, incidents or breaches that would result in business, legal, financial or reputational harm to it, or would have a material adverse effect on our results of operations and financial condition. Any failure to prevent or mitigate cybersecurity incidents, data breaches, compromises or other improper access to, use of, or disclosure of protected information, including our clinical data or patients’ personal data could require us to notify impacted stakeholders (including affected individuals, regulators and investors) and result in significant liability through litigation and regulatory investigations and enforcement actions, including under state (e.g., state breach notification and consumer protection laws), federal (e.g., HIPAA, as amended by the Health Information Technology for Economic and Clinical Health Act of 2009 ("HITECH")), and international law (e.g., the GDPR), and may cause a material adverse impact to our reputation, affect our ability to conduct new studies and potentially disrupt our business.</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rely on our third-party providers to implement effective security measures and identify and correct for any such failures, deficiencies, vulnerabilities, compromises, cybersecurity incidents or data breaches. We also rely on our employees and consultants to safeguard their security credentials and follow our policies and procedures regarding use and access of computers and other devices that may contain protected information and our sensitive information. If we or our third-party providers fail to maintain or protect our information technology systems, infrastructure and data integrity effectively or fail to anticipate, plan for or manage significant disruptions to our information technology systems and infrastructure,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 or other adverse consequences, any of which could have a material adverse effect on our business, results of operations, financial condition, prospects and cash flows. Any failure by such third parties to prevent or adequately mitigate cybersecurity incidents, data breaches, compromises or other improper access to or disclosure of such information could have similarly adverse consequences for us. If we are unable to prevent or adequately mitigate the impact of such cybersecurity incidents, compromises or data breaches, we could be exposed to litigation and governmental investigations, inquiries, orders, penalties or fines, which could lead to a potential disruption to our business and financial penalties or losses. By way of example, the CCPA, which was modified by the CPRA, creates individual privacy rights for California consumers and increases the privacy and security obligations of entities handling certain personal data. The CCPA provides for civil penalties of up to $7,500 per violation, as well as a private right of action for data breaches that has, and is expected to continue to, increase the volume of data breach related litigation filed in California. 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cybersecurity incident or data breach.</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2025, we had 94 full-time employees and no part-time employees. We expect to experience significant growth in the number of our employees and the scope of our operations, particularly as we mature as a public company and in the areas of product development, regulatory affairs and, in anticipation of the potential regulatory approval of bitopertin,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FDIC, as receiver. Similarly, on March 12, 2023, Signature Bank and Silvergate Capital Corp. were each placed into receivership. Although a statement by the Department of the Treasury, the Federal Reserve and the FDIC indicated that all depositors of SVB (such as our Company)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Subsequent to these events, additional financial institutions have experienced similar failures and have been placed into receivership. It is possible that other banks will face similar difficulty in the future.</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the Company, the financial institutions with which the Company has credit agreements or arrangements directly, such as Hercules Capital,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Company has financial or business relationships, but could also include factors involving financial markets or the financial services industry generally.</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may adversely affect us or our investors.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such changes have been made and changes are likely to continue to occur in the future. For example, under Section 174 of the Code, in taxable years beginning after December 31, 2021, expenses that are incurred for research and development in the U.S. will be capitalized and amortized, which may have an adverse effect on our cash flow. It cannot be predicted whether, when, in what form or with what effective dates tax laws, regulations and rulings may be enacted, promulgated or issued, which could result in an increase in our or our stockholders’ tax liability or require changes in the manner in which we operate in order to minimize or mitigate any adverse effects of changes in tax law. Prospective investors should consult their tax advisors regarding the potential consequences of changes in tax law on our business and on the ownership and disposition of our common stock.</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taxable income may be subject to certain limitations.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December 31, 2024, we had federal and state net operating loss carryforwards of $117.9 million and $133.8 million, respectively. Substantially all of the federal NOLs are not subject to expiration and the state NOLs begin to expire in 2037. As of December 31, 2024, we also had federal and state research and development tax credit carryforwards of $19.0 million and $2.8 million, respectively, which begin to expire in 2034. These net operating loss and tax credit carryforwards could expire unused and be unavailable to offset future income tax liabilities. Under current law, unused U.S. federal and certain state net operating losses generated for tax years beginning after December 31, 2017 are not subject to expiration and may be carried forward indefinitely. Such U.S. federal net operating losses generally may not be carried back to prior taxable years, except that, net operating losses generated in 2019, 2020 and 2021 may be carried back to each of the five tax years preceding the tax years of such losses. For taxable years beginning after December 31, 2020, the deductibility of U.S. federal net operating losses generated for tax years beginning after December 31, 2017 is limited to 80% of our taxable income in any future taxable year. In addition, in general, under Sections 382 and 383 of the Internal Revenue Code of 1986, as amended, or the Code, a corporation that undergoes an “ownership</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4" w:name="page75"/>
    <w:bookmarkEnd w:id="74"/>
    <w:p>
      <w:pPr>
        <w:jc w:val="both"/>
        <w:spacing w:after="0" w:line="255" w:lineRule="auto"/>
        <w:rPr>
          <w:sz w:val="20"/>
          <w:szCs w:val="20"/>
          <w:color w:val="auto"/>
        </w:rPr>
      </w:pPr>
      <w:r>
        <w:rPr>
          <w:rFonts w:ascii="Times New Roman" w:cs="Times New Roman" w:eastAsia="Times New Roman" w:hAnsi="Times New Roman"/>
          <w:sz w:val="18"/>
          <w:szCs w:val="18"/>
          <w:color w:val="auto"/>
        </w:rPr>
        <w:t>change” is subject to limitations on its ability to utilize its pre-change net operating losses or tax credits, or NOLs or credits, to offset future taxable income or taxes. For these purposes, an ownership change generally occurs when one or more stockholders or groups of stockholders who each owns at least 5% of a corporation’s stock increase their aggregate stock ownership by more than 50 percentage points over their lowest ownership percentage within a specified testing period. Our existing NOLs or credits may be subject to limitations arising from previous ownership changes, and if we undergo an ownership change after the merger, our ability to utilize NOLs or credits could be further limited by Sections 382 and 383 of the Code. In addition, future changes in our stock ownership, many of which are outside of our control, could result in an ownership change under Sections 382 and 383 of the Code. Our NOLs or credits may also be impaired under state law. Accordingly, we may not be able to utilize a material portion of our NOLs or credits.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currently engage, and expect to continue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political, trade or regulatory developments, unfavorable global economic conditions, and other circumstances beyond our control, could have a material adverse effect on our business, financial condition or results of operations.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in 2008, the global financial crisis caused extreme volatility and disruptions in the capital and credit markets and the COVID-19 pandemic has caused significant volatility and uncertainty in U.S. and international markets. See “Risks Related to the Discovery and Development of Our Product Candidates-A pandemic, epidemic, or outbreak of an infectious or highly contagious disease may materially and adversely affect our business and financial results and could cause a disruption to the development of our product candidates.” Interest rates in the U.S. have recently increased to levels not seen in decades. In addition, the impact of geopolitical tension, such as a deterioration in the bilateral relationship between the United States and China or an escalation in conflict between Russia and Ukraine and between Israel and Hamas, including any resulting sanctions, export controls or other restrictive actions, also could lead to disruption, instability and volatility in the global markets. For example, in 2025, the United States imposed tariffs on imports on its trading partners, including Canada, Mexico, the EU and China. Historically, tariffs have led to increased political and trade tensions.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products. Any of the foregoing could harm our business and we cannot anticipate all of the ways in which the current economic climate and financial market conditions could adversely impact our business.</w:t>
      </w:r>
    </w:p>
    <w:p>
      <w:pPr>
        <w:spacing w:after="0" w:line="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or insider trading.</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Other activities subject to these laws include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5" w:name="page76"/>
    <w:bookmarkEnd w:id="75"/>
    <w:p>
      <w:pPr>
        <w:jc w:val="both"/>
        <w:spacing w:after="0" w:line="256" w:lineRule="auto"/>
        <w:rPr>
          <w:sz w:val="20"/>
          <w:szCs w:val="20"/>
          <w:color w:val="auto"/>
        </w:rPr>
      </w:pPr>
      <w:r>
        <w:rPr>
          <w:rFonts w:ascii="Times New Roman" w:cs="Times New Roman" w:eastAsia="Times New Roman" w:hAnsi="Times New Roman"/>
          <w:sz w:val="18"/>
          <w:szCs w:val="18"/>
          <w:color w:val="auto"/>
        </w:rPr>
        <w:t>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ourself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expected to be volatile.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following the merger could be subject to significant fluctuations. Some of the factors that may cause the market price of our common stock to fluctuate include:</w:t>
      </w:r>
    </w:p>
    <w:p>
      <w:pPr>
        <w:spacing w:after="0" w:line="54"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 or our existing or future collaborators;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we may provide to the public;</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the perceived benefits of the merger as rapidly or to the extent anticipated by financial or industry analysts;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issue adverse or misleading opinions regarding our business and stock;</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or macroeconomic conditions or 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by us or our securityholders in the future;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raise an adequate amount of capital to fund our operations and continued development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new commercial products, clinical progress or lack thereof, significant contracts, commercial relationships or capital commitments;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precision medicine product candidates, including with respect to other products in such markets;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products and services;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6" w:name="page77"/>
    <w:bookmarkEnd w:id="7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and increased demands upon management as a result of complying with the laws and regulations affecting public companies.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continue to incur significant legal, accounting and other expenses as a public company that we did not incur as a private company, including costs associated with public company reporting obligations under the Securities Exchange Act of 1934, as amended, or the Exchange Act.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devote and will need to continue to devote a substantial amount of time to these compliance initiatives. Moreover, these rules and regulations have increased and will continue to increase our legal and financial compliance costs and will make some activities more time-consuming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the board of directors or on board committees or to serve as executive officers, or to obtain certain types of insurance, including directors’ and officers’ insurance, on acceptable terms.</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As described further below, we have identified a material weakness in our internal control over financial reporting. Any testing by us conducted in connection with Section 404, or any testing by our independent registered public accounting firm, may reveal additional deficiencies in our internal control over financial reporting that are deemed to be material weaknesses or that may require prospective or retroactive changes to our financial statements or identify other areas for further attention or improvement.</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Section 404, we are required to furnish a report by our management on our internal control over financial reporting. To continue to achieve and maintain compliance with Section 404, we engage in a process to document and evaluate our internal control over financial reporting, which is both costly and challenging. In this regard, we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from time to time we may not be able to conclude that our internal control over financial reporting is effective as required by Section 404, as is the case in this Annual Report on Form 10-K, due to the material weakness identified and described below. Additionally, the material weakness in our internal control over financial reporting has resulted in our management being unable to conclude, and any additional material weakness in our internal control over financial reporting may in the future result in our management being unable to conclude, that our disclosure controls and procedures were effective for the applicable period.</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as we no longer qualify as a non-accelerated filer or an emerging growth company, we are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and our independent registered public accounting firm may issue a report that is adverse. A material weakness could result in a restatement of our financial statements, failure to meet our reporting obligations in a timely manner,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Ineffective internal control over financial reporting could also reduce our ability to obtain financing or could increase the cost of any financing we obtain. Any of these could, in turn, result in an adverse reaction in the financial markets due to a loss of confidence in the reliability of our financial statements.</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controls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We identified a material weakness in internal control related to a lack of design and maintenance of effective Information Technology General Controls, or ITGCs, over certain key financial IT systems. As a result, the related business process controls (specifically, the IT application controls and IT-dependent manual controls) that are dependent on the ineffective ITGCs, or that use information produced from the systems impacted by the ineffective ITGCs, were also ineffective. Although the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7" w:name="page78"/>
    <w:bookmarkEnd w:id="77"/>
    <w:p>
      <w:pPr>
        <w:jc w:val="both"/>
        <w:spacing w:after="0" w:line="266" w:lineRule="auto"/>
        <w:rPr>
          <w:sz w:val="20"/>
          <w:szCs w:val="20"/>
          <w:color w:val="auto"/>
        </w:rPr>
      </w:pPr>
      <w:r>
        <w:rPr>
          <w:rFonts w:ascii="Times New Roman" w:cs="Times New Roman" w:eastAsia="Times New Roman" w:hAnsi="Times New Roman"/>
          <w:sz w:val="18"/>
          <w:szCs w:val="18"/>
          <w:color w:val="auto"/>
        </w:rPr>
        <w:t>material weakness identified above did not result in any material misstatements in our consolidated financial statements for the periods presented and there were no changes to previously released financial results, our management concluded that these control deficiencies constitute a material weakness and that our internal control over financial reporting was not effective as of December 31, 2024.</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under the oversight of the Audit Committee of our Board of Directors and in consultation with outside advisors, has begun evaluating and implementing measures designed to remediate the material weakness. In particular, we are taking steps to remediate this material weakness by (i) developing and implementing additional training and awareness programs addressing ITGCs and policies, including educating control owners concerning the principles and requirements of each control, with a focus on user access; (ii) increasing the extent of oversight and verification checks included in the operation of user access and program change management controls and processes; (iii) deploying additional tools to support administration of user access and program change management; and (iv) enhancing quarterly management reporting on the remediation measures to the Audit Committee of the Board of Directors. The above controls need to operate for a sufficient period of time so that management can conclude that our controls are operating effectively. As such, the material weakness will not be considered remediated until management has concluded through the implementation of these remediation measures and additional testing that these controls are effective. Additionally, a material weakness in our internal control over financial reporting has resulted in our management being unable to conclude, and any additional material weakness in our internal control over financial reporting may in the future result in our management being unable to conclude, that our disclosure controls and procedures were effective for the applicable period.</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designing and implementing new controls and measures to remediate this material weakness as noted above. However, we cannot assure you that the measures we are taking will be sufficient to remediate the material weakness or avoid the identification of additional material weaknesses in the future. Our failure to implement and maintain effective internal control over financial reporting could result in errors in our consolidated financial statements that could result in a restatement of our financial statements and could cause us to fail to meet our periodic reporting obligations, any of which could diminish investor confidence in us and cause a decline in the price of our common stock.</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make an acquisition of us more difficult and may discourage any takeover attempts our stockholders may consider favorable, and may lead to entrenchment of management.</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and amended and restated bylaws could delay or prevent changes in control or changes in management without the consent of the board of directors. These provisions will include the following:</w:t>
      </w:r>
    </w:p>
    <w:p>
      <w:pPr>
        <w:spacing w:after="0" w:line="54" w:lineRule="exact"/>
        <w:rPr>
          <w:sz w:val="20"/>
          <w:szCs w:val="20"/>
          <w:color w:val="auto"/>
        </w:rPr>
      </w:pPr>
    </w:p>
    <w:p>
      <w:pPr>
        <w:ind w:left="76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means that all stockholder action must be taken at an annual or special meeting of the stockholders;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chairman of the board of directors, the Chief Executive Officer or by a majority of the total number of authorized directors;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the board of directors;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the board of directors may be removed from office by stockholders except for cause and, in addition to any other vote required by law, upon the approval of not less than two-thirds of all outstanding shares of voting stock then entitled to vote in the election of directors;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voting stock to amend any bylaws by stockholder action or to amend specific provisions of the certificate of incorporation;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these provisions would apply even if we were to receive an offer that some stockholders may consider beneficial.</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also be subject to the anti-takeover provisions contained in Section 203 of the DGCL, or Section 203.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6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8" w:name="page79"/>
    <w:bookmarkEnd w:id="78"/>
    <w:p>
      <w:pPr>
        <w:jc w:val="both"/>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exclusive forum provision does not apply to actions arising under the Exchange Act. Our amended and restated bylaws also provide that the federal district courts of the United States of America will be the exclusive forum for the resolution of any complaint asserting a cause of action under the Securities Act. The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certificate of incorporation and bylaws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that we will pay any cash dividends in the foreseeable future.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current expectation is that we will retain our future earnings, if any, to fund the growth of our business as opposed to paying dividends. As a result, capital appreciation, if any, of our common stock will be your sole source of gain, if any, for the foreseeable future.</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 If an active trading market is not sustained, our ability to raise capital in the future may be impaired.</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limited trading history of our common stock, there is a risk that an active trading market for our shares may not be sustained, which could put downward pressure on the market price of our common stock and thereby affect your ability to sell shares you purchased. An inactive trading market for our common stock may also impair our ability to raise capital to continue to fund our operations by selling shares and impair our ability to acquire other companies or technologies by using our shares as consideration.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stockholders could cause our stock price to decline.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existing securityholders sell, or indicate an intention to sell, substantial amounts of our common stock in the public market after legal restrictions on resale discussed in our Annual Report on Form 10-K for the year ended December 31, 2024 lapse, the trading price of our common stock could decline. As of March 31, 2025, we had 34,581,222 shares of common stock outstanding. All outstanding shares of common stock, other than shares held by our affiliates will be freely tradable, without restriction, in the public market. In addition, shares of common stock that are subject to outstanding options of ours will become eligible for sale in the public market to the extent permitted by the provisions of various vesting agreements and Rules 144 and 701 under the Securities Act. If these shares are sold, the trading price of our common stock could decline.</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have the ability to control or significantly influence all matters submitted to our stockholders for approval.</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2025. our executive officers, directors and principal stockholders, in the aggregate, beneficially owned approximately 44% of our outstanding shares of common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our assets. This concentration of voting power could delay or prevent an acquisition of us on terms that other stockholders may desire.</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our cash, cash equivalents, and marketable securities and may invest or spend our cash, cash equivalents, and marketable securities in ways with which you do not agree and in ways that may not increase the value of your investment.</w:t>
      </w:r>
    </w:p>
    <w:p>
      <w:pPr>
        <w:spacing w:after="0" w:line="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will have broad discretion over the use of our cash, cash equivalents, and marketable securities. You may not agree with our decisions, and our use of our cash, cash equivalents, and marketable securities may not yield any return on your investment. Our failure to apply these resources effectively could compromise our ability to pursue our growth strategy and we might not be able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9" w:name="page80"/>
    <w:bookmarkEnd w:id="79"/>
    <w:p>
      <w:pPr>
        <w:spacing w:after="0" w:line="261" w:lineRule="auto"/>
        <w:rPr>
          <w:sz w:val="20"/>
          <w:szCs w:val="20"/>
          <w:color w:val="auto"/>
        </w:rPr>
      </w:pPr>
      <w:r>
        <w:rPr>
          <w:rFonts w:ascii="Times New Roman" w:cs="Times New Roman" w:eastAsia="Times New Roman" w:hAnsi="Times New Roman"/>
          <w:sz w:val="18"/>
          <w:szCs w:val="18"/>
          <w:color w:val="auto"/>
        </w:rPr>
        <w:t>yield a significant return, if any, on our investment of these net proceeds. You will not have the opportunity to influence our decisions on how to use our cash resources.</w:t>
      </w: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 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 Use of Proceeds from Initial Public Offering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 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discloses any officer (as defined in Rule 16a-1(f) under the Exchange Act) or director who entered into, modified or terminated a Rule 10b5-1 trading arrangement or non-Rule 10b5-1 trading arrangement (as such terms are defined in Item 408 of Regulation S-K) during the three months ended March 31, 2025:</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2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w:t>
            </w:r>
          </w:p>
        </w:tc>
        <w:tc>
          <w:tcPr>
            <w:tcW w:w="0" w:type="dxa"/>
            <w:vAlign w:val="bottom"/>
          </w:tcPr>
          <w:p>
            <w:pPr>
              <w:spacing w:after="0"/>
              <w:rPr>
                <w:sz w:val="1"/>
                <w:szCs w:val="1"/>
                <w:color w:val="auto"/>
              </w:rPr>
            </w:pPr>
          </w:p>
        </w:tc>
      </w:tr>
      <w:tr>
        <w:trPr>
          <w:trHeight w:val="68"/>
        </w:trPr>
        <w:tc>
          <w:tcPr>
            <w:tcW w:w="2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Action Taken</w:t>
            </w:r>
          </w:p>
        </w:tc>
        <w:tc>
          <w:tcPr>
            <w:tcW w:w="120" w:type="dxa"/>
            <w:vAlign w:val="bottom"/>
          </w:tcPr>
          <w:p>
            <w:pPr>
              <w:spacing w:after="0"/>
              <w:rPr>
                <w:sz w:val="5"/>
                <w:szCs w:val="5"/>
                <w:color w:val="auto"/>
              </w:rPr>
            </w:pPr>
          </w:p>
        </w:tc>
        <w:tc>
          <w:tcPr>
            <w:tcW w:w="128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Duration or End</w:t>
            </w:r>
          </w:p>
        </w:tc>
        <w:tc>
          <w:tcPr>
            <w:tcW w:w="140" w:type="dxa"/>
            <w:vAlign w:val="bottom"/>
          </w:tcPr>
          <w:p>
            <w:pPr>
              <w:spacing w:after="0"/>
              <w:rPr>
                <w:sz w:val="5"/>
                <w:szCs w:val="5"/>
                <w:color w:val="auto"/>
              </w:rPr>
            </w:pPr>
          </w:p>
        </w:tc>
        <w:tc>
          <w:tcPr>
            <w:tcW w:w="10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82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Name and Title</w:t>
            </w:r>
          </w:p>
        </w:tc>
        <w:tc>
          <w:tcPr>
            <w:tcW w:w="326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Type of Trading Arrangement</w:t>
            </w:r>
          </w:p>
        </w:tc>
        <w:tc>
          <w:tcPr>
            <w:tcW w:w="12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Trading</w:t>
            </w:r>
          </w:p>
        </w:tc>
        <w:tc>
          <w:tcPr>
            <w:tcW w:w="0" w:type="dxa"/>
            <w:vAlign w:val="bottom"/>
          </w:tcPr>
          <w:p>
            <w:pPr>
              <w:spacing w:after="0"/>
              <w:rPr>
                <w:sz w:val="1"/>
                <w:szCs w:val="1"/>
                <w:color w:val="auto"/>
              </w:rPr>
            </w:pPr>
          </w:p>
        </w:tc>
      </w:tr>
      <w:tr>
        <w:trPr>
          <w:trHeight w:val="68"/>
        </w:trPr>
        <w:tc>
          <w:tcPr>
            <w:tcW w:w="2820" w:type="dxa"/>
            <w:vAlign w:val="bottom"/>
            <w:vMerge w:val="continue"/>
          </w:tcPr>
          <w:p>
            <w:pPr>
              <w:spacing w:after="0"/>
              <w:rPr>
                <w:sz w:val="5"/>
                <w:szCs w:val="5"/>
                <w:color w:val="auto"/>
              </w:rPr>
            </w:pPr>
          </w:p>
        </w:tc>
        <w:tc>
          <w:tcPr>
            <w:tcW w:w="32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(Date of Action)</w:t>
            </w:r>
          </w:p>
        </w:tc>
        <w:tc>
          <w:tcPr>
            <w:tcW w:w="120" w:type="dxa"/>
            <w:vAlign w:val="bottom"/>
          </w:tcPr>
          <w:p>
            <w:pPr>
              <w:spacing w:after="0"/>
              <w:rPr>
                <w:sz w:val="5"/>
                <w:szCs w:val="5"/>
                <w:color w:val="auto"/>
              </w:rPr>
            </w:pPr>
          </w:p>
        </w:tc>
        <w:tc>
          <w:tcPr>
            <w:tcW w:w="128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140" w:type="dxa"/>
            <w:vAlign w:val="bottom"/>
          </w:tcPr>
          <w:p>
            <w:pPr>
              <w:spacing w:after="0"/>
              <w:rPr>
                <w:sz w:val="5"/>
                <w:szCs w:val="5"/>
                <w:color w:val="auto"/>
              </w:rPr>
            </w:pPr>
          </w:p>
        </w:tc>
        <w:tc>
          <w:tcPr>
            <w:tcW w:w="10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Arrangement</w:t>
            </w:r>
          </w:p>
        </w:tc>
        <w:tc>
          <w:tcPr>
            <w:tcW w:w="0" w:type="dxa"/>
            <w:vAlign w:val="bottom"/>
          </w:tcPr>
          <w:p>
            <w:pPr>
              <w:spacing w:after="0"/>
              <w:rPr>
                <w:sz w:val="1"/>
                <w:szCs w:val="1"/>
                <w:color w:val="auto"/>
              </w:rPr>
            </w:pPr>
          </w:p>
        </w:tc>
      </w:tr>
      <w:tr>
        <w:trPr>
          <w:trHeight w:val="109"/>
        </w:trPr>
        <w:tc>
          <w:tcPr>
            <w:tcW w:w="2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Sold</w:t>
            </w:r>
          </w:p>
        </w:tc>
        <w:tc>
          <w:tcPr>
            <w:tcW w:w="1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8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1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28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William Savage, M.D., Ph.D.</w:t>
            </w:r>
          </w:p>
        </w:tc>
        <w:tc>
          <w:tcPr>
            <w:tcW w:w="3260" w:type="dxa"/>
            <w:vAlign w:val="bottom"/>
            <w:gridSpan w:val="2"/>
            <w:shd w:val="clear" w:color="auto" w:fill="CFF0FC"/>
          </w:tcPr>
          <w:p>
            <w:pPr>
              <w:ind w:left="120"/>
              <w:spacing w:after="0" w:line="191" w:lineRule="exact"/>
              <w:rPr>
                <w:sz w:val="20"/>
                <w:szCs w:val="20"/>
                <w:color w:val="auto"/>
              </w:rPr>
            </w:pPr>
            <w:r>
              <w:rPr>
                <w:rFonts w:ascii="Times New Roman" w:cs="Times New Roman" w:eastAsia="Times New Roman" w:hAnsi="Times New Roman"/>
                <w:sz w:val="18"/>
                <w:szCs w:val="18"/>
                <w:color w:val="auto"/>
              </w:rPr>
              <w:t>Trading plan intended to satisfy the</w:t>
            </w: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Adoption</w:t>
            </w:r>
          </w:p>
        </w:tc>
        <w:tc>
          <w:tcPr>
            <w:tcW w:w="1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End Date</w:t>
            </w:r>
          </w:p>
        </w:tc>
        <w:tc>
          <w:tcPr>
            <w:tcW w:w="140" w:type="dxa"/>
            <w:vAlign w:val="bottom"/>
            <w:shd w:val="clear" w:color="auto" w:fill="CFF0FC"/>
          </w:tcPr>
          <w:p>
            <w:pPr>
              <w:spacing w:after="0"/>
              <w:rPr>
                <w:sz w:val="16"/>
                <w:szCs w:val="16"/>
                <w:color w:val="auto"/>
              </w:rPr>
            </w:pPr>
          </w:p>
        </w:tc>
        <w:tc>
          <w:tcPr>
            <w:tcW w:w="108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rPr>
              <w:t>Up to 2,996</w:t>
            </w: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Sale</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Medical Officer</w:t>
            </w:r>
          </w:p>
        </w:tc>
        <w:tc>
          <w:tcPr>
            <w:tcW w:w="3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affirmative defense conditions of</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23,</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6, 2025)</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shd w:val="clear" w:color="auto" w:fill="CFF0FC"/>
          </w:tcPr>
          <w:p>
            <w:pPr>
              <w:spacing w:after="0"/>
              <w:rPr>
                <w:sz w:val="20"/>
                <w:szCs w:val="20"/>
                <w:color w:val="auto"/>
              </w:rPr>
            </w:pPr>
          </w:p>
        </w:tc>
        <w:tc>
          <w:tcPr>
            <w:tcW w:w="3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Securities Exchange Act Rule 10b5-1(c)</w:t>
            </w:r>
          </w:p>
        </w:tc>
        <w:tc>
          <w:tcPr>
            <w:tcW w:w="13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John Quisel, J.D., Ph.D.</w:t>
            </w:r>
          </w:p>
        </w:tc>
        <w:tc>
          <w:tcPr>
            <w:tcW w:w="326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Trading plan intended to satisfy the</w:t>
            </w:r>
          </w:p>
        </w:tc>
        <w:tc>
          <w:tcPr>
            <w:tcW w:w="120" w:type="dxa"/>
            <w:vAlign w:val="bottom"/>
          </w:tcPr>
          <w:p>
            <w:pPr>
              <w:spacing w:after="0"/>
              <w:rPr>
                <w:sz w:val="17"/>
                <w:szCs w:val="17"/>
                <w:color w:val="auto"/>
              </w:rPr>
            </w:pPr>
          </w:p>
        </w:tc>
        <w:tc>
          <w:tcPr>
            <w:tcW w:w="1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Adoption</w:t>
            </w:r>
          </w:p>
        </w:tc>
        <w:tc>
          <w:tcPr>
            <w:tcW w:w="120" w:type="dxa"/>
            <w:vAlign w:val="bottom"/>
          </w:tcPr>
          <w:p>
            <w:pPr>
              <w:spacing w:after="0"/>
              <w:rPr>
                <w:sz w:val="17"/>
                <w:szCs w:val="17"/>
                <w:color w:val="auto"/>
              </w:rPr>
            </w:pPr>
          </w:p>
        </w:tc>
        <w:tc>
          <w:tcPr>
            <w:tcW w:w="1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End Date</w:t>
            </w:r>
          </w:p>
        </w:tc>
        <w:tc>
          <w:tcPr>
            <w:tcW w:w="140" w:type="dxa"/>
            <w:vAlign w:val="bottom"/>
          </w:tcPr>
          <w:p>
            <w:pPr>
              <w:spacing w:after="0"/>
              <w:rPr>
                <w:sz w:val="17"/>
                <w:szCs w:val="17"/>
                <w:color w:val="auto"/>
              </w:rPr>
            </w:pPr>
          </w:p>
        </w:tc>
        <w:tc>
          <w:tcPr>
            <w:tcW w:w="10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Up to 80,000</w:t>
            </w:r>
          </w:p>
        </w:tc>
        <w:tc>
          <w:tcPr>
            <w:tcW w:w="120" w:type="dxa"/>
            <w:vAlign w:val="bottom"/>
          </w:tcPr>
          <w:p>
            <w:pPr>
              <w:spacing w:after="0"/>
              <w:rPr>
                <w:sz w:val="17"/>
                <w:szCs w:val="17"/>
                <w:color w:val="auto"/>
              </w:rPr>
            </w:pPr>
          </w:p>
        </w:tc>
        <w:tc>
          <w:tcPr>
            <w:tcW w:w="11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Sale</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w:t>
            </w:r>
          </w:p>
        </w:tc>
        <w:tc>
          <w:tcPr>
            <w:tcW w:w="3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affirmative defense conditions of</w:t>
            </w:r>
          </w:p>
        </w:tc>
        <w:tc>
          <w:tcPr>
            <w:tcW w:w="1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(February 13,</w:t>
            </w:r>
          </w:p>
        </w:tc>
        <w:tc>
          <w:tcPr>
            <w:tcW w:w="1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(December 31,</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and Director</w:t>
            </w:r>
          </w:p>
        </w:tc>
        <w:tc>
          <w:tcPr>
            <w:tcW w:w="3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Securities Exchange Act Rule 10b5-1(c)</w:t>
            </w: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Jean Franchi</w:t>
            </w:r>
          </w:p>
        </w:tc>
        <w:tc>
          <w:tcPr>
            <w:tcW w:w="3260" w:type="dxa"/>
            <w:vAlign w:val="bottom"/>
            <w:gridSpan w:val="2"/>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Trading plan intended to satisfy the</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Adoption</w:t>
            </w: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End Date</w:t>
            </w: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rPr>
              <w:t>Up to 6,031</w:t>
            </w: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Sale</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3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affirmative defense conditions of</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10,</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shd w:val="clear" w:color="auto" w:fill="CFF0FC"/>
          </w:tcPr>
          <w:p>
            <w:pPr>
              <w:spacing w:after="0"/>
              <w:rPr>
                <w:sz w:val="20"/>
                <w:szCs w:val="20"/>
                <w:color w:val="auto"/>
              </w:rPr>
            </w:pPr>
          </w:p>
        </w:tc>
        <w:tc>
          <w:tcPr>
            <w:tcW w:w="3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Securities Exchange Act Rule 10b5-1(c)</w:t>
            </w:r>
          </w:p>
        </w:tc>
        <w:tc>
          <w:tcPr>
            <w:tcW w:w="13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1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820" w:type="dxa"/>
            <w:vAlign w:val="bottom"/>
          </w:tcPr>
          <w:p>
            <w:pPr>
              <w:spacing w:after="0"/>
              <w:rPr>
                <w:sz w:val="24"/>
                <w:szCs w:val="24"/>
                <w:color w:val="auto"/>
              </w:rPr>
            </w:pPr>
          </w:p>
        </w:tc>
        <w:tc>
          <w:tcPr>
            <w:tcW w:w="3260" w:type="dxa"/>
            <w:vAlign w:val="bottom"/>
            <w:gridSpan w:val="2"/>
          </w:tcPr>
          <w:p>
            <w:pPr>
              <w:ind w:left="272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filed as part of this Quarterly Report are set forth on the Exhibit Index, which is incorporated herein by reference.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540" w:type="dxa"/>
            <w:vAlign w:val="bottom"/>
            <w:gridSpan w:val="9"/>
          </w:tcPr>
          <w:p>
            <w:pPr>
              <w:ind w:left="2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32"/>
        </w:trPr>
        <w:tc>
          <w:tcPr>
            <w:tcW w:w="11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80" w:type="dxa"/>
            <w:vAlign w:val="bottom"/>
            <w:gridSpan w:val="7"/>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80" w:type="dxa"/>
            <w:vAlign w:val="bottom"/>
            <w:tcBorders>
              <w:bottom w:val="single" w:sz="8" w:color="auto"/>
            </w:tcBorders>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4"/>
                <w:szCs w:val="14"/>
                <w:color w:val="auto"/>
              </w:rPr>
            </w:pPr>
          </w:p>
        </w:tc>
        <w:tc>
          <w:tcPr>
            <w:tcW w:w="10000" w:type="dxa"/>
            <w:vAlign w:val="bottom"/>
            <w:tcBorders>
              <w:bottom w:val="single" w:sz="8" w:color="0000FF"/>
            </w:tcBorders>
            <w:gridSpan w:val="13"/>
          </w:tcPr>
          <w:p>
            <w:pPr>
              <w:ind w:left="20"/>
              <w:spacing w:after="0" w:line="169"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Agreement and Plan of Merger and Reorganization, dated as of August 9, 2022, by and among Gemini Therapeutics, Inc. Gemstone</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tcBorders>
              <w:bottom w:val="single" w:sz="8" w:color="0000FF"/>
            </w:tcBorders>
            <w:gridSpan w:val="12"/>
          </w:tcPr>
          <w:p>
            <w:pPr>
              <w:ind w:left="20"/>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Merger Sub, Inc. and Disc Medicine, Inc. (incorporated by reference to Exhibit 2.1 to the Registrant’s Proxy Statement/Prospectus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3"/>
          </w:tcPr>
          <w:p>
            <w:pPr>
              <w:ind w:left="20"/>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Form S-4 (File No. 333-267276) filed on September 2,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9980" w:type="dxa"/>
            <w:vAlign w:val="bottom"/>
            <w:tcBorders>
              <w:bottom w:val="single" w:sz="8" w:color="0000FF"/>
            </w:tcBorders>
            <w:gridSpan w:val="12"/>
          </w:tcPr>
          <w:p>
            <w:pPr>
              <w:ind w:left="20"/>
              <w:spacing w:after="0" w:line="196"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Amended and Restated Certificate of Incorporation of Disc Medicine, Inc. (incorporated by reference to Annex B to Gemini Therapeutics,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40" w:type="dxa"/>
            <w:vAlign w:val="bottom"/>
            <w:tcBorders>
              <w:bottom w:val="single" w:sz="8" w:color="0000EE"/>
            </w:tcBorders>
            <w:gridSpan w:val="7"/>
          </w:tcPr>
          <w:p>
            <w:pPr>
              <w:ind w:left="20"/>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Inc.’s Proxy Statement/Prospectus on Form S-4/A (File No. 333-249785)).</w:t>
              </w:r>
            </w:hyperlink>
          </w:p>
        </w:tc>
        <w:tc>
          <w:tcPr>
            <w:tcW w:w="45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9980" w:type="dxa"/>
            <w:vAlign w:val="bottom"/>
            <w:tcBorders>
              <w:bottom w:val="single" w:sz="8" w:color="0000FF"/>
            </w:tcBorders>
            <w:gridSpan w:val="12"/>
          </w:tcPr>
          <w:p>
            <w:pPr>
              <w:ind w:left="20"/>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Certificate of Amendment to the Amended and Restated Certificate of Incorporation of Disc Medicine, Inc., dated December 28, 2022</w:t>
              </w:r>
            </w:hyperlink>
          </w:p>
        </w:tc>
        <w:tc>
          <w:tcPr>
            <w:tcW w:w="20" w:type="dxa"/>
            <w:vAlign w:val="bottom"/>
            <w:tcBorders>
              <w:bottom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FF"/>
            </w:tcBorders>
            <w:gridSpan w:val="13"/>
          </w:tcPr>
          <w:p>
            <w:pPr>
              <w:ind w:left="20"/>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(incorporated by reference to Exhibit 3.1 to the Registrant’s Current Report on Form 8-K (File No. 001-39438) filed on December 29,</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0000FF"/>
            </w:tcBorders>
          </w:tcPr>
          <w:p>
            <w:pPr>
              <w:ind w:left="20"/>
              <w:spacing w:after="0" w:line="196" w:lineRule="exact"/>
              <w:rPr>
                <w:rFonts w:ascii="Times New Roman" w:cs="Times New Roman" w:eastAsia="Times New Roman" w:hAnsi="Times New Roman"/>
                <w:sz w:val="18"/>
                <w:szCs w:val="18"/>
                <w:color w:val="0000FF"/>
                <w:w w:val="94"/>
              </w:rPr>
            </w:pPr>
            <w:hyperlink r:id="rId189">
              <w:r>
                <w:rPr>
                  <w:rFonts w:ascii="Times New Roman" w:cs="Times New Roman" w:eastAsia="Times New Roman" w:hAnsi="Times New Roman"/>
                  <w:sz w:val="18"/>
                  <w:szCs w:val="18"/>
                  <w:color w:val="0000FF"/>
                  <w:w w:val="94"/>
                </w:rPr>
                <w:t>2022).</w:t>
              </w:r>
            </w:hyperlink>
          </w:p>
        </w:tc>
        <w:tc>
          <w:tcPr>
            <w:tcW w:w="20" w:type="dxa"/>
            <w:vAlign w:val="bottom"/>
            <w:tcBorders>
              <w:bottom w:val="single" w:sz="8" w:color="0000EE"/>
            </w:tcBorders>
          </w:tcPr>
          <w:p>
            <w:pPr>
              <w:spacing w:after="0"/>
              <w:rPr>
                <w:sz w:val="17"/>
                <w:szCs w:val="17"/>
                <w:color w:val="auto"/>
              </w:rPr>
            </w:pPr>
          </w:p>
        </w:tc>
        <w:tc>
          <w:tcPr>
            <w:tcW w:w="2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7"/>
                <w:szCs w:val="17"/>
                <w:color w:val="auto"/>
              </w:rPr>
            </w:pPr>
          </w:p>
        </w:tc>
        <w:tc>
          <w:tcPr>
            <w:tcW w:w="9980" w:type="dxa"/>
            <w:vAlign w:val="bottom"/>
            <w:tcBorders>
              <w:bottom w:val="single" w:sz="8" w:color="0000FF"/>
            </w:tcBorders>
            <w:gridSpan w:val="12"/>
          </w:tcPr>
          <w:p>
            <w:pPr>
              <w:ind w:left="20"/>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Certificate of Amendment to the Amended and Restated Certificate of Incorporation of Disc Medicine, Inc., dated December 29, 2022</w:t>
              </w:r>
            </w:hyperlink>
          </w:p>
        </w:tc>
        <w:tc>
          <w:tcPr>
            <w:tcW w:w="20" w:type="dxa"/>
            <w:vAlign w:val="bottom"/>
            <w:tcBorders>
              <w:bottom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FF"/>
            </w:tcBorders>
            <w:gridSpan w:val="13"/>
          </w:tcPr>
          <w:p>
            <w:pPr>
              <w:ind w:left="20"/>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(incorporated by reference to Exhibit 3.2 to the Registrant’s Current Report on Form 8-K (File No. 001-39438) filed on December 29,</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0000FF"/>
            </w:tcBorders>
          </w:tcPr>
          <w:p>
            <w:pPr>
              <w:ind w:left="20"/>
              <w:spacing w:after="0" w:line="196" w:lineRule="exact"/>
              <w:rPr>
                <w:rFonts w:ascii="Times New Roman" w:cs="Times New Roman" w:eastAsia="Times New Roman" w:hAnsi="Times New Roman"/>
                <w:sz w:val="18"/>
                <w:szCs w:val="18"/>
                <w:color w:val="0000FF"/>
                <w:w w:val="94"/>
              </w:rPr>
            </w:pPr>
            <w:hyperlink r:id="rId190">
              <w:r>
                <w:rPr>
                  <w:rFonts w:ascii="Times New Roman" w:cs="Times New Roman" w:eastAsia="Times New Roman" w:hAnsi="Times New Roman"/>
                  <w:sz w:val="18"/>
                  <w:szCs w:val="18"/>
                  <w:color w:val="0000FF"/>
                  <w:w w:val="94"/>
                </w:rPr>
                <w:t>2022).</w:t>
              </w:r>
            </w:hyperlink>
          </w:p>
        </w:tc>
        <w:tc>
          <w:tcPr>
            <w:tcW w:w="20" w:type="dxa"/>
            <w:vAlign w:val="bottom"/>
            <w:tcBorders>
              <w:bottom w:val="single" w:sz="8" w:color="0000EE"/>
            </w:tcBorders>
          </w:tcPr>
          <w:p>
            <w:pPr>
              <w:spacing w:after="0"/>
              <w:rPr>
                <w:sz w:val="17"/>
                <w:szCs w:val="17"/>
                <w:color w:val="auto"/>
              </w:rPr>
            </w:pPr>
          </w:p>
        </w:tc>
        <w:tc>
          <w:tcPr>
            <w:tcW w:w="2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7"/>
                <w:szCs w:val="17"/>
                <w:color w:val="auto"/>
              </w:rPr>
            </w:pPr>
          </w:p>
        </w:tc>
        <w:tc>
          <w:tcPr>
            <w:tcW w:w="10000" w:type="dxa"/>
            <w:vAlign w:val="bottom"/>
            <w:tcBorders>
              <w:bottom w:val="single" w:sz="8" w:color="0000FF"/>
            </w:tcBorders>
            <w:gridSpan w:val="13"/>
          </w:tcPr>
          <w:p>
            <w:pPr>
              <w:ind w:left="20"/>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Amended and Restated By-laws of Disc Medicine, Inc. (incorporated by reference to Annex C to Gemini Therapeutics, Inc.’s Proxy</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tcBorders>
              <w:bottom w:val="single" w:sz="8" w:color="0000EE"/>
            </w:tcBorders>
            <w:gridSpan w:val="6"/>
          </w:tcPr>
          <w:p>
            <w:pPr>
              <w:ind w:left="20"/>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Statement/Prospectus on Form S-4/A (File No. 333-249785)).</w:t>
              </w:r>
            </w:hyperlink>
          </w:p>
        </w:tc>
        <w:tc>
          <w:tcPr>
            <w:tcW w:w="54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7"/>
                <w:szCs w:val="17"/>
                <w:color w:val="auto"/>
              </w:rPr>
            </w:pPr>
          </w:p>
        </w:tc>
        <w:tc>
          <w:tcPr>
            <w:tcW w:w="10000" w:type="dxa"/>
            <w:vAlign w:val="bottom"/>
            <w:tcBorders>
              <w:bottom w:val="single" w:sz="8" w:color="0000FF"/>
            </w:tcBorders>
            <w:gridSpan w:val="13"/>
          </w:tcPr>
          <w:p>
            <w:pPr>
              <w:ind w:left="20"/>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Form of Pre-Funded Warrant (incorporated by reference to Exhibit 4.1 to the Registrant’s Current Report on Form 8-K (File No. 001-</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3"/>
          </w:tcPr>
          <w:p>
            <w:pPr>
              <w:ind w:left="20"/>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39438) filed on January 24, 2025).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tcBorders>
              <w:right w:val="single" w:sz="8" w:color="0000EE"/>
            </w:tcBorders>
            <w:gridSpan w:val="3"/>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8120" w:type="dxa"/>
            <w:vAlign w:val="bottom"/>
            <w:tcBorders>
              <w:bottom w:val="single" w:sz="8" w:color="0000FF"/>
            </w:tcBorders>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Employment Agreement, dated February 26, 2024, by and between Disc Medicine, Inc. and Pamela Stephenson.</w:t>
            </w:r>
          </w:p>
        </w:tc>
        <w:tc>
          <w:tcPr>
            <w:tcW w:w="18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10000" w:type="dxa"/>
            <w:vAlign w:val="bottom"/>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7"/>
                <w:szCs w:val="17"/>
                <w:color w:val="auto"/>
              </w:rPr>
            </w:pPr>
          </w:p>
        </w:tc>
        <w:tc>
          <w:tcPr>
            <w:tcW w:w="7400" w:type="dxa"/>
            <w:vAlign w:val="bottom"/>
            <w:tcBorders>
              <w:top w:val="single" w:sz="8" w:color="0000FF"/>
              <w:bottom w:val="single" w:sz="8" w:color="0000FF"/>
            </w:tcBorders>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Certification of Principal Financial Officer pursuant to Section 302 of the Sarbanes-Oxley Act of 2002</w:t>
            </w:r>
          </w:p>
        </w:tc>
        <w:tc>
          <w:tcPr>
            <w:tcW w:w="20" w:type="dxa"/>
            <w:vAlign w:val="bottom"/>
            <w:tcBorders>
              <w:top w:val="single" w:sz="8" w:color="0000FF"/>
              <w:bottom w:val="single" w:sz="8" w:color="0000EE"/>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5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7"/>
                <w:szCs w:val="17"/>
                <w:color w:val="auto"/>
              </w:rPr>
            </w:pPr>
          </w:p>
        </w:tc>
        <w:tc>
          <w:tcPr>
            <w:tcW w:w="10000" w:type="dxa"/>
            <w:vAlign w:val="bottom"/>
            <w:tcBorders>
              <w:bottom w:val="single" w:sz="8" w:color="0000FF"/>
            </w:tcBorders>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0" w:type="dxa"/>
            <w:vAlign w:val="bottom"/>
          </w:tcPr>
          <w:p>
            <w:pPr>
              <w:spacing w:after="0"/>
              <w:rPr>
                <w:sz w:val="1"/>
                <w:szCs w:val="1"/>
                <w:color w:val="auto"/>
              </w:rPr>
            </w:pP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18"/>
                <w:szCs w:val="18"/>
                <w:color w:val="auto"/>
              </w:rPr>
            </w:pPr>
          </w:p>
        </w:tc>
        <w:tc>
          <w:tcPr>
            <w:tcW w:w="3460" w:type="dxa"/>
            <w:vAlign w:val="bottom"/>
            <w:tcBorders>
              <w:top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54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18"/>
                <w:szCs w:val="18"/>
                <w:color w:val="auto"/>
              </w:rPr>
            </w:pPr>
          </w:p>
        </w:tc>
        <w:tc>
          <w:tcPr>
            <w:tcW w:w="1000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1000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jc w:val="both"/>
        <w:ind w:firstLine="8"/>
        <w:spacing w:after="0" w:line="266" w:lineRule="auto"/>
        <w:tabs>
          <w:tab w:leader="none" w:pos="2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68" w:lineRule="exact"/>
        <w:rPr>
          <w:sz w:val="20"/>
          <w:szCs w:val="20"/>
          <w:color w:val="auto"/>
        </w:rPr>
      </w:pPr>
    </w:p>
    <w:p>
      <w:pPr>
        <w:ind w:firstLine="8"/>
        <w:spacing w:after="0" w:line="282" w:lineRule="auto"/>
        <w:tabs>
          <w:tab w:leader="none" w:pos="15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annexes, schedules, and certain exhibits to the Merger Agreement have been omitted pursuant to Item 601(b)(2) of Regulation S-K. The Registrant hereby agrees to furnish supplementally a copy of any omitted annex, schedule or exhibit to the Commission upon request.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 management contract or compensatory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2" w:name="page83"/>
    <w:bookmarkEnd w:id="8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DISC MEDICINE, INC.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26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Quisel</w:t>
            </w:r>
          </w:p>
        </w:tc>
      </w:tr>
      <w:tr>
        <w:trPr>
          <w:trHeight w:val="191"/>
        </w:trPr>
        <w:tc>
          <w:tcPr>
            <w:tcW w:w="35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John Quisel, J.D., Ph.D.</w:t>
            </w:r>
          </w:p>
        </w:tc>
      </w:tr>
      <w:tr>
        <w:trPr>
          <w:trHeight w:val="216"/>
        </w:trPr>
        <w:tc>
          <w:tcPr>
            <w:tcW w:w="35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34"/>
        </w:trPr>
        <w:tc>
          <w:tcPr>
            <w:tcW w:w="35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8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26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Jean Franchi</w:t>
            </w:r>
          </w:p>
        </w:tc>
      </w:tr>
      <w:tr>
        <w:trPr>
          <w:trHeight w:val="211"/>
        </w:trPr>
        <w:tc>
          <w:tcPr>
            <w:tcW w:w="35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Jean Franchi</w:t>
            </w:r>
          </w:p>
        </w:tc>
      </w:tr>
    </w:tbl>
    <w:p>
      <w:pPr>
        <w:jc w:val="center"/>
        <w:ind w:left="6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07"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This Employment Agreement (“Agreement”) is made between Disc Medicine, Inc., (the “Company”), and Pamela Stephenson (“You”) and is effective as of the date this Agreement is fully executed by both parties (the “Effective Date”).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WHEREAS, the Company desires to employ you and you desire to be employed by the Company on the terms and conditions contained herein.</w:t>
      </w:r>
    </w:p>
    <w:p>
      <w:pPr>
        <w:spacing w:after="0" w:line="117"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54" w:lineRule="exact"/>
        <w:rPr>
          <w:sz w:val="20"/>
          <w:szCs w:val="20"/>
          <w:color w:val="auto"/>
        </w:rPr>
      </w:pPr>
    </w:p>
    <w:p>
      <w:pPr>
        <w:ind w:left="1820" w:hanging="555"/>
        <w:spacing w:after="0"/>
        <w:tabs>
          <w:tab w:leader="none" w:pos="1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280" w:right="20" w:hanging="505"/>
        <w:spacing w:after="0" w:line="261" w:lineRule="auto"/>
        <w:tabs>
          <w:tab w:leader="none" w:pos="22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Company shall employ you and you shall be employed by the Company pursuant to this Agreement commencing as of the Effective Date and continuing until such employment is terminated in accordance with the provisions hereof (the “Term”). Your employment with the Company will be “at will,” meaning that your employment may be terminated by the Company or you at any time and for any reason subject to the terms of this Agreement.</w:t>
      </w:r>
    </w:p>
    <w:p>
      <w:pPr>
        <w:spacing w:after="0" w:line="71" w:lineRule="exact"/>
        <w:rPr>
          <w:rFonts w:ascii="Times New Roman" w:cs="Times New Roman" w:eastAsia="Times New Roman" w:hAnsi="Times New Roman"/>
          <w:sz w:val="18"/>
          <w:szCs w:val="18"/>
          <w:color w:val="auto"/>
        </w:rPr>
      </w:pPr>
    </w:p>
    <w:p>
      <w:pPr>
        <w:ind w:left="2280" w:hanging="505"/>
        <w:spacing w:after="0" w:line="253" w:lineRule="auto"/>
        <w:tabs>
          <w:tab w:leader="none" w:pos="22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 You shall serve as the Chief Commercial Officer (“CCO”) of the Company and shall report directly to the Chief Executive Officer (“CEO”). You shall have such powers and duties as may from time to time be prescribed by the CEO or other duly authorized executive which are consistent with your position as CCO. You shall devote your full working time and efforts to the business and affairs of the Company. Notwithstanding the foregoing, you may serve on other boards of directors, with the approval of the Board of Directors of the Company (including any committee thereof, the “Board”), which approval shall not unreasonably be withheld by the Board, or engage in religious, charitable or other community activities as long as such services and activities are disclosed to the Board and do not interfere with your performance of your duties to the Company. Board memberships listed on the attached Board Membership Addendum are deemed approved. To the extent applicable, you shall be deemed to have resigned from all officer and, if applicable, board member positions that you hold with the Company or any of its respective subsidiaries and affiliates upon the termination of your employment for any reason. You shall execute any documents in reasonable form as may be requested to confirm or effectuate any such resignations.</w:t>
      </w:r>
    </w:p>
    <w:p>
      <w:pPr>
        <w:spacing w:after="0" w:line="81"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Related Matters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280" w:right="20" w:hanging="505"/>
        <w:spacing w:after="0" w:line="256" w:lineRule="auto"/>
        <w:tabs>
          <w:tab w:leader="none" w:pos="22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Your initial base salary shall be paid at the rate of $505,000 per year. Your base salary shall be subject to periodic review and increase (but not decrease, except for an across-the-board reduction of no greater than 10% based on the Company’s financial performance similarly affecting all or substantially all senior management employees of the Company) by the Board or the Compensation Committee of the Board (the “Compensation Committee”). The base salary in effect at any given time is referred to herein as “Base Salary.” The Base Salary shall be payable in a manner that is consistent with the Company’s usual payroll practices for executive officers.</w:t>
      </w:r>
    </w:p>
    <w:p>
      <w:pPr>
        <w:spacing w:after="0" w:line="79" w:lineRule="exact"/>
        <w:rPr>
          <w:rFonts w:ascii="Times New Roman" w:cs="Times New Roman" w:eastAsia="Times New Roman" w:hAnsi="Times New Roman"/>
          <w:sz w:val="18"/>
          <w:szCs w:val="18"/>
          <w:color w:val="auto"/>
        </w:rPr>
      </w:pPr>
    </w:p>
    <w:p>
      <w:pPr>
        <w:ind w:left="2280" w:right="40" w:hanging="505"/>
        <w:spacing w:after="0" w:line="254" w:lineRule="auto"/>
        <w:tabs>
          <w:tab w:leader="none" w:pos="22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 You shall be eligible to receive cash incentive compensation as determined by the Board or the Compensation Committee from time to time. Your target annual incentive compensation shall be forty percent (40%) of your Base Salary. The target annual incentive compensation in effect at any given time is referred to herein as “Target Bonus.” The actual amount of your annual incentive compensation, if any, shall be determined in the sole discretion of the Board or the Compensation Committee, subject to the terms of any applicable incentive compensation plan that may be in effect from time to time (the “Bonus”). Except as otherwise provided herein, to earn incentive compensation, you must be employed by the Company on the day such incentive compensation is paid. The incentive compensation for each fiscal year will be paid no later than two and a half months following such fiscal year.</w:t>
      </w:r>
    </w:p>
    <w:p>
      <w:pPr>
        <w:spacing w:after="0" w:line="83" w:lineRule="exact"/>
        <w:rPr>
          <w:rFonts w:ascii="Times New Roman" w:cs="Times New Roman" w:eastAsia="Times New Roman" w:hAnsi="Times New Roman"/>
          <w:sz w:val="18"/>
          <w:szCs w:val="18"/>
          <w:color w:val="auto"/>
        </w:rPr>
      </w:pPr>
    </w:p>
    <w:p>
      <w:pPr>
        <w:ind w:left="2280" w:right="40" w:hanging="505"/>
        <w:spacing w:after="0" w:line="266" w:lineRule="auto"/>
        <w:tabs>
          <w:tab w:leader="none" w:pos="22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You shall be entitled to receive prompt reimbursement for all reasonable expenses incurred by you during the Term in performing services hereunder, in accordance with the policies and procedures then in effect and established by the Company for its executive officers.</w:t>
      </w:r>
    </w:p>
    <w:p>
      <w:pPr>
        <w:spacing w:after="0" w:line="67" w:lineRule="exact"/>
        <w:rPr>
          <w:rFonts w:ascii="Times New Roman" w:cs="Times New Roman" w:eastAsia="Times New Roman" w:hAnsi="Times New Roman"/>
          <w:sz w:val="18"/>
          <w:szCs w:val="18"/>
          <w:color w:val="auto"/>
        </w:rPr>
      </w:pPr>
    </w:p>
    <w:p>
      <w:pPr>
        <w:ind w:left="2280" w:right="280" w:hanging="505"/>
        <w:spacing w:after="0" w:line="282" w:lineRule="auto"/>
        <w:tabs>
          <w:tab w:leader="none" w:pos="22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Benefits</w:t>
      </w:r>
      <w:r>
        <w:rPr>
          <w:rFonts w:ascii="Times New Roman" w:cs="Times New Roman" w:eastAsia="Times New Roman" w:hAnsi="Times New Roman"/>
          <w:sz w:val="18"/>
          <w:szCs w:val="18"/>
          <w:color w:val="auto"/>
        </w:rPr>
        <w:t>. You shall be eligible to participate in or receive benefits under the Company’s employee benefit plans in effect from time to time, subject to the terms of such plans.</w:t>
      </w:r>
    </w:p>
    <w:p>
      <w:pPr>
        <w:spacing w:after="0" w:line="53" w:lineRule="exact"/>
        <w:rPr>
          <w:rFonts w:ascii="Times New Roman" w:cs="Times New Roman" w:eastAsia="Times New Roman" w:hAnsi="Times New Roman"/>
          <w:sz w:val="18"/>
          <w:szCs w:val="18"/>
          <w:color w:val="auto"/>
        </w:rPr>
      </w:pPr>
    </w:p>
    <w:p>
      <w:pPr>
        <w:ind w:left="2280" w:right="40" w:hanging="505"/>
        <w:spacing w:after="0" w:line="266" w:lineRule="auto"/>
        <w:tabs>
          <w:tab w:leader="none" w:pos="22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Paid Time Off</w:t>
      </w:r>
      <w:r>
        <w:rPr>
          <w:rFonts w:ascii="Times New Roman" w:cs="Times New Roman" w:eastAsia="Times New Roman" w:hAnsi="Times New Roman"/>
          <w:sz w:val="18"/>
          <w:szCs w:val="18"/>
          <w:color w:val="auto"/>
        </w:rPr>
        <w:t>. You shall be entitled to take paid time off in accordance with the Company’s applicable paid time off policy for executives, as may be in effect from time to time. You shall also be entitled to all paid holidays given by the Company to its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4" w:name="page85"/>
    <w:bookmarkEnd w:id="84"/>
    <w:p>
      <w:pPr>
        <w:ind w:left="1160" w:right="40" w:hanging="505"/>
        <w:spacing w:after="0" w:line="282" w:lineRule="auto"/>
        <w:tabs>
          <w:tab w:leader="none" w:pos="11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Subject to approval by the Board or the Compensation Committee, and as a material inducement of your acceptance of employment with the Company, you shall be granted the following:</w:t>
      </w:r>
    </w:p>
    <w:p>
      <w:pPr>
        <w:spacing w:after="0" w:line="53" w:lineRule="exact"/>
        <w:rPr>
          <w:rFonts w:ascii="Times New Roman" w:cs="Times New Roman" w:eastAsia="Times New Roman" w:hAnsi="Times New Roman"/>
          <w:sz w:val="18"/>
          <w:szCs w:val="18"/>
          <w:color w:val="auto"/>
        </w:rPr>
      </w:pPr>
    </w:p>
    <w:p>
      <w:pPr>
        <w:ind w:left="1680" w:right="60" w:hanging="517"/>
        <w:spacing w:after="0" w:line="258" w:lineRule="auto"/>
        <w:tabs>
          <w:tab w:leader="none" w:pos="16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to purchase 55,000 shares of common stock,par value $0.0001 per share (“Common Stock”), of the Company (the “Option”), which such Option shall have an exercise price equal to the closing price of the Common Stock on the date of grant, and 25% shall vest and become exercisable on the first anniversary of your start date, and the remaining 75% shall vest in equal monthly installments over the three years following such first anniversary, provided your employment with the Company continues through the applicable vesting date; and</w:t>
      </w:r>
    </w:p>
    <w:p>
      <w:pPr>
        <w:spacing w:after="0" w:line="75" w:lineRule="exact"/>
        <w:rPr>
          <w:rFonts w:ascii="Times New Roman" w:cs="Times New Roman" w:eastAsia="Times New Roman" w:hAnsi="Times New Roman"/>
          <w:sz w:val="18"/>
          <w:szCs w:val="18"/>
          <w:color w:val="auto"/>
        </w:rPr>
      </w:pPr>
    </w:p>
    <w:p>
      <w:pPr>
        <w:ind w:left="1680" w:right="20" w:hanging="517"/>
        <w:spacing w:after="0" w:line="258" w:lineRule="auto"/>
        <w:tabs>
          <w:tab w:leader="none" w:pos="16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Restricted Stock Unit award for 36,666 shares of Common Stock (the “RSU Grant” and collectively with the Option, the “Equity Awards”), which such RSU Grant shall vest 25% on each of the first, second, third, and fourth anniversaries of the vesting date as set by Company policy, provided your employment with the Company continues through the applicable vesting date. In the Company’s sole discretion, the Equity Awards may be granted pursuant to the inducement grant exception set forth in NASDAQ Listing Rule 5635(c)(4).</w:t>
      </w:r>
    </w:p>
    <w:p>
      <w:pPr>
        <w:spacing w:after="0" w:line="75" w:lineRule="exact"/>
        <w:rPr>
          <w:sz w:val="20"/>
          <w:szCs w:val="20"/>
          <w:color w:val="auto"/>
        </w:rPr>
      </w:pPr>
    </w:p>
    <w:p>
      <w:pPr>
        <w:ind w:left="1160" w:right="40"/>
        <w:spacing w:after="0" w:line="258" w:lineRule="auto"/>
        <w:rPr>
          <w:sz w:val="20"/>
          <w:szCs w:val="20"/>
          <w:color w:val="auto"/>
        </w:rPr>
      </w:pPr>
      <w:r>
        <w:rPr>
          <w:rFonts w:ascii="Times New Roman" w:cs="Times New Roman" w:eastAsia="Times New Roman" w:hAnsi="Times New Roman"/>
          <w:sz w:val="18"/>
          <w:szCs w:val="18"/>
          <w:color w:val="auto"/>
        </w:rPr>
        <w:t>The Equity Awards shall be governed by the terms and conditions of the Company’s applicable equity incentive plan(s) and the applicable award agreement(s) governing the terms of such equity awards (collectively, the “Equity Documents”); provided, however, and notwithstanding anything to the contrary in the Equity Documents, Section 6(a)(ii) of this Agreement shall apply in the event of a termination by the Company without Cause or by you for Good Reason in either event within the Change in Control Period (as such terms are defined below).</w:t>
      </w:r>
    </w:p>
    <w:p>
      <w:pPr>
        <w:spacing w:after="0" w:line="75" w:lineRule="exact"/>
        <w:rPr>
          <w:sz w:val="20"/>
          <w:szCs w:val="20"/>
          <w:color w:val="auto"/>
        </w:rPr>
      </w:pPr>
    </w:p>
    <w:p>
      <w:pPr>
        <w:ind w:left="1160" w:right="60" w:hanging="505"/>
        <w:spacing w:after="0" w:line="255" w:lineRule="auto"/>
        <w:tabs>
          <w:tab w:leader="none" w:pos="11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Signing Bonus</w:t>
      </w:r>
      <w:r>
        <w:rPr>
          <w:rFonts w:ascii="Times New Roman" w:cs="Times New Roman" w:eastAsia="Times New Roman" w:hAnsi="Times New Roman"/>
          <w:sz w:val="18"/>
          <w:szCs w:val="18"/>
          <w:color w:val="auto"/>
        </w:rPr>
        <w:t>. You shall receive a one-time special signing bonus in an amount equal to $40,000, payable in cash, less all applicable withholdings (the “Signing Bonus”). The Signing Bonus payment shall be made no later than thirty (30) days after the Effective Date. If your employment with the Company terminates due to your resignation without Good Reason or by the Company for Cause, in either case, prior to the one-year anniversary of the Effective Date, you (i) will repay the Signing Bonus to the Company in full by no later than 10 days following the Separation Date; (ii) separately hereby authorize the Company to withhold or deduct the amount of the Signing Bonus from any amounts the Company owes you, to the fullest extent permitted by applicable law.</w:t>
      </w:r>
    </w:p>
    <w:p>
      <w:pPr>
        <w:spacing w:after="0" w:line="80" w:lineRule="exact"/>
        <w:rPr>
          <w:rFonts w:ascii="Times New Roman" w:cs="Times New Roman" w:eastAsia="Times New Roman" w:hAnsi="Times New Roman"/>
          <w:sz w:val="18"/>
          <w:szCs w:val="18"/>
          <w:color w:val="auto"/>
        </w:rPr>
      </w:pPr>
    </w:p>
    <w:p>
      <w:pPr>
        <w:ind w:left="660" w:right="800" w:hanging="515"/>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Your employment hereunder may be terminated without any breach of this Agreement under the following circumstances:</w:t>
      </w:r>
    </w:p>
    <w:p>
      <w:pPr>
        <w:spacing w:after="0" w:line="53" w:lineRule="exact"/>
        <w:rPr>
          <w:rFonts w:ascii="Times New Roman" w:cs="Times New Roman" w:eastAsia="Times New Roman" w:hAnsi="Times New Roman"/>
          <w:sz w:val="18"/>
          <w:szCs w:val="18"/>
          <w:color w:val="auto"/>
        </w:rPr>
      </w:pPr>
    </w:p>
    <w:p>
      <w:pPr>
        <w:ind w:left="1160" w:hanging="505"/>
        <w:spacing w:after="0"/>
        <w:tabs>
          <w:tab w:leader="none" w:pos="11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Your employment hereunder shall terminate upon your death.</w:t>
      </w:r>
    </w:p>
    <w:p>
      <w:pPr>
        <w:spacing w:after="0" w:line="117" w:lineRule="exact"/>
        <w:rPr>
          <w:rFonts w:ascii="Times New Roman" w:cs="Times New Roman" w:eastAsia="Times New Roman" w:hAnsi="Times New Roman"/>
          <w:sz w:val="18"/>
          <w:szCs w:val="18"/>
          <w:color w:val="auto"/>
        </w:rPr>
      </w:pPr>
    </w:p>
    <w:p>
      <w:pPr>
        <w:ind w:left="1160" w:hanging="505"/>
        <w:spacing w:after="0" w:line="253" w:lineRule="auto"/>
        <w:tabs>
          <w:tab w:leader="none" w:pos="11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The Company may terminate your employment due to your “Disability” if you are unable to perform the essential functions of your then existing position or positions under this Agreement with or without reasonable accommodation for a period of 180 days (which need not be consecutive) in any 12-month period. If any question shall arise as to whether during any period you are disabled so as to be unable to perform the essential functions of your then existing position or positions with or without reasonable accommodation, you may, and at the request of the Company shall, submit to the Company a certification in reasonable detail by a physician selected by the Company who is board certified in the specialty relevant to your medical condition to whom you or your guardian has no reasonable objection as to whether you are disabled or how long such disability is expected to continue, and such certification shall for the purposes of this Agreement be conclusive of the issue. You shall cooperate with any reasonable request of the physician in connection with such certification. If such question shall arise and you shall fail to submit such certification, the Company’s reasonable determination of such issue shall be binding on you. Nothing in this Section 3(b) shall be construed to waive your rights, if any, under existing law including, without limitation, the Family and Medical Leave Act of 1993, 29 U.S.C. §2601 et seq. and the Americans with Disabilities Act, 42 U.S.C. §12101 et seq.</w:t>
      </w:r>
    </w:p>
    <w:p>
      <w:pPr>
        <w:spacing w:after="0" w:line="79" w:lineRule="exact"/>
        <w:rPr>
          <w:rFonts w:ascii="Times New Roman" w:cs="Times New Roman" w:eastAsia="Times New Roman" w:hAnsi="Times New Roman"/>
          <w:sz w:val="18"/>
          <w:szCs w:val="18"/>
          <w:color w:val="auto"/>
        </w:rPr>
      </w:pPr>
    </w:p>
    <w:p>
      <w:pPr>
        <w:ind w:left="1160" w:right="120" w:hanging="505"/>
        <w:spacing w:after="0" w:line="282" w:lineRule="auto"/>
        <w:tabs>
          <w:tab w:leader="none" w:pos="11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Company for Cause</w:t>
      </w:r>
      <w:r>
        <w:rPr>
          <w:rFonts w:ascii="Times New Roman" w:cs="Times New Roman" w:eastAsia="Times New Roman" w:hAnsi="Times New Roman"/>
          <w:sz w:val="18"/>
          <w:szCs w:val="18"/>
          <w:color w:val="auto"/>
        </w:rPr>
        <w:t>. The Company may terminate your employment hereunder for Cause. For purposes of this Agreement, “Cause” shall mean any of the following:</w:t>
      </w:r>
    </w:p>
    <w:p>
      <w:pPr>
        <w:spacing w:after="0" w:line="53" w:lineRule="exact"/>
        <w:rPr>
          <w:rFonts w:ascii="Times New Roman" w:cs="Times New Roman" w:eastAsia="Times New Roman" w:hAnsi="Times New Roman"/>
          <w:sz w:val="18"/>
          <w:szCs w:val="18"/>
          <w:color w:val="auto"/>
        </w:rPr>
      </w:pPr>
    </w:p>
    <w:p>
      <w:pPr>
        <w:ind w:left="1680" w:right="40" w:hanging="517"/>
        <w:spacing w:after="0" w:line="258" w:lineRule="auto"/>
        <w:tabs>
          <w:tab w:leader="none" w:pos="168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by you constituting a material act of intentional misconduct in connection with the performance of your duties, including, without limitation, (A) willful failure or willful refusal to perform material responsibilities that have been lawfully requested by the CEO; (B) intentional dishonesty to the CEO with respect to any material matter; or (C) intentional misappropriation of funds or property of the Company or any of its subsidiaries or affiliates other than the occasional, customary and de minimis use of Company property for personal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458470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09" w:right="339" w:bottom="1440" w:gutter="0" w:footer="0" w:header="0"/>
        </w:sectPr>
      </w:pPr>
    </w:p>
    <w:bookmarkStart w:id="85" w:name="page86"/>
    <w:bookmarkEnd w:id="85"/>
    <w:p>
      <w:pPr>
        <w:ind w:left="1680" w:right="360" w:hanging="517"/>
        <w:spacing w:after="0" w:line="282" w:lineRule="auto"/>
        <w:tabs>
          <w:tab w:leader="none" w:pos="16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 by you of (A) any felony or (B) a misdemeanor involving moral turpitude, deceit, dishonesty or fraud;</w:t>
      </w:r>
    </w:p>
    <w:p>
      <w:pPr>
        <w:spacing w:after="0" w:line="53" w:lineRule="exact"/>
        <w:rPr>
          <w:rFonts w:ascii="Times New Roman" w:cs="Times New Roman" w:eastAsia="Times New Roman" w:hAnsi="Times New Roman"/>
          <w:sz w:val="18"/>
          <w:szCs w:val="18"/>
          <w:color w:val="auto"/>
        </w:rPr>
      </w:pPr>
    </w:p>
    <w:p>
      <w:pPr>
        <w:jc w:val="both"/>
        <w:ind w:left="1680" w:right="300" w:hanging="517"/>
        <w:spacing w:after="0" w:line="266" w:lineRule="auto"/>
        <w:tabs>
          <w:tab w:leader="none" w:pos="16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intentional misconduct by you, regardless of whether or not in the course of your employment, that results in material injury or material reputational harm to the Company or any of its subsidiaries or affiliates if you were to continue to be employed in the same position;</w:t>
      </w:r>
    </w:p>
    <w:p>
      <w:pPr>
        <w:spacing w:after="0" w:line="67" w:lineRule="exact"/>
        <w:rPr>
          <w:rFonts w:ascii="Times New Roman" w:cs="Times New Roman" w:eastAsia="Times New Roman" w:hAnsi="Times New Roman"/>
          <w:sz w:val="18"/>
          <w:szCs w:val="18"/>
          <w:color w:val="auto"/>
        </w:rPr>
      </w:pPr>
    </w:p>
    <w:p>
      <w:pPr>
        <w:ind w:left="1680" w:right="100" w:hanging="517"/>
        <w:spacing w:after="0" w:line="266" w:lineRule="auto"/>
        <w:tabs>
          <w:tab w:leader="none" w:pos="16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continued willful non-performance by you of your duties hereunder (other than by reason of your physical or mental illness, incapacity or Disability) which has continued for more than 30 days following written notice of such non-performance from the CEO;</w:t>
      </w:r>
    </w:p>
    <w:p>
      <w:pPr>
        <w:spacing w:after="0" w:line="67" w:lineRule="exact"/>
        <w:rPr>
          <w:rFonts w:ascii="Times New Roman" w:cs="Times New Roman" w:eastAsia="Times New Roman" w:hAnsi="Times New Roman"/>
          <w:sz w:val="18"/>
          <w:szCs w:val="18"/>
          <w:color w:val="auto"/>
        </w:rPr>
      </w:pPr>
    </w:p>
    <w:p>
      <w:pPr>
        <w:ind w:left="1680" w:hanging="517"/>
        <w:spacing w:after="0" w:line="266" w:lineRule="auto"/>
        <w:tabs>
          <w:tab w:leader="none" w:pos="16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you of any of the provisions contained in Section 8 of this Agreement or the Restrictive Covenants Agreement and, if such breach is curable, has continued for more than 30 days following written notice of such material breach (as defined below); or</w:t>
      </w:r>
    </w:p>
    <w:p>
      <w:pPr>
        <w:spacing w:after="0" w:line="67" w:lineRule="exact"/>
        <w:rPr>
          <w:rFonts w:ascii="Times New Roman" w:cs="Times New Roman" w:eastAsia="Times New Roman" w:hAnsi="Times New Roman"/>
          <w:sz w:val="18"/>
          <w:szCs w:val="18"/>
          <w:color w:val="auto"/>
        </w:rPr>
      </w:pPr>
    </w:p>
    <w:p>
      <w:pPr>
        <w:ind w:left="1680" w:right="80" w:hanging="517"/>
        <w:spacing w:after="0" w:line="258" w:lineRule="auto"/>
        <w:tabs>
          <w:tab w:leader="none" w:pos="16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willful failure to reasonably cooperate with a bona fide internal investigation or an investigation by regulatory or law enforcement authorities, after being reasonably instructed by the Company to cooperate, or the willful destruction or failure to preserve documents or other materials known to be relevant to such investigation or the willful inducement of others to fail to cooperate or to produce documents or other materials in connection with such investigation.</w:t>
      </w:r>
    </w:p>
    <w:p>
      <w:pPr>
        <w:spacing w:after="0" w:line="75" w:lineRule="exact"/>
        <w:rPr>
          <w:rFonts w:ascii="Times New Roman" w:cs="Times New Roman" w:eastAsia="Times New Roman" w:hAnsi="Times New Roman"/>
          <w:sz w:val="18"/>
          <w:szCs w:val="18"/>
          <w:color w:val="auto"/>
        </w:rPr>
      </w:pPr>
    </w:p>
    <w:p>
      <w:pPr>
        <w:ind w:left="1160" w:hanging="505"/>
        <w:spacing w:after="0" w:line="261" w:lineRule="auto"/>
        <w:tabs>
          <w:tab w:leader="none" w:pos="11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without Cause</w:t>
      </w:r>
      <w:r>
        <w:rPr>
          <w:rFonts w:ascii="Times New Roman" w:cs="Times New Roman" w:eastAsia="Times New Roman" w:hAnsi="Times New Roman"/>
          <w:sz w:val="18"/>
          <w:szCs w:val="18"/>
          <w:color w:val="auto"/>
        </w:rPr>
        <w:t>. The Company may terminate your employment hereunder at any time without Cause. Any termination by the Company of your employment under this Agreement which does not constitute a termination for Cause under Section 3(c) and does not result from the death or Disability of you under Section 3(a) or (b) shall be deemed a termination without Cause.</w:t>
      </w:r>
    </w:p>
    <w:p>
      <w:pPr>
        <w:spacing w:after="0" w:line="71" w:lineRule="exact"/>
        <w:rPr>
          <w:rFonts w:ascii="Times New Roman" w:cs="Times New Roman" w:eastAsia="Times New Roman" w:hAnsi="Times New Roman"/>
          <w:sz w:val="18"/>
          <w:szCs w:val="18"/>
          <w:color w:val="auto"/>
        </w:rPr>
      </w:pPr>
    </w:p>
    <w:p>
      <w:pPr>
        <w:ind w:left="1160" w:right="120" w:hanging="505"/>
        <w:spacing w:after="0" w:line="261" w:lineRule="auto"/>
        <w:tabs>
          <w:tab w:leader="none" w:pos="11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You</w:t>
      </w:r>
      <w:r>
        <w:rPr>
          <w:rFonts w:ascii="Times New Roman" w:cs="Times New Roman" w:eastAsia="Times New Roman" w:hAnsi="Times New Roman"/>
          <w:sz w:val="18"/>
          <w:szCs w:val="18"/>
          <w:color w:val="auto"/>
        </w:rPr>
        <w:t>. You may terminate employment hereunder at any time for any reason, including but not limited to, Good Reason. For purposes of this Agreement, “Good Reason” shall mean that you have completed all steps of the Good Reason Process (hereinafter defined) following the occurrence of any of the following events without your written consent (each, a “Good Reason Condition”):</w:t>
      </w:r>
    </w:p>
    <w:p>
      <w:pPr>
        <w:spacing w:after="0" w:line="71" w:lineRule="exact"/>
        <w:rPr>
          <w:rFonts w:ascii="Times New Roman" w:cs="Times New Roman" w:eastAsia="Times New Roman" w:hAnsi="Times New Roman"/>
          <w:sz w:val="18"/>
          <w:szCs w:val="18"/>
          <w:color w:val="auto"/>
        </w:rPr>
      </w:pPr>
    </w:p>
    <w:p>
      <w:pPr>
        <w:ind w:left="1680" w:hanging="517"/>
        <w:spacing w:after="0"/>
        <w:tabs>
          <w:tab w:leader="none" w:pos="16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your responsibilities, authority or duties</w:t>
      </w:r>
    </w:p>
    <w:p>
      <w:pPr>
        <w:spacing w:after="0" w:line="117" w:lineRule="exact"/>
        <w:rPr>
          <w:rFonts w:ascii="Times New Roman" w:cs="Times New Roman" w:eastAsia="Times New Roman" w:hAnsi="Times New Roman"/>
          <w:sz w:val="18"/>
          <w:szCs w:val="18"/>
          <w:color w:val="auto"/>
        </w:rPr>
      </w:pPr>
    </w:p>
    <w:p>
      <w:pPr>
        <w:ind w:left="1680" w:right="400" w:hanging="517"/>
        <w:spacing w:after="0" w:line="266" w:lineRule="auto"/>
        <w:tabs>
          <w:tab w:leader="none" w:pos="16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your Base Salary except for across-the- board salary reductions of no greater than 10% based on the Company’s financial performance similarly affecting all or substantially all senior management employees of the Company;</w:t>
      </w:r>
    </w:p>
    <w:p>
      <w:pPr>
        <w:spacing w:after="0" w:line="67" w:lineRule="exact"/>
        <w:rPr>
          <w:rFonts w:ascii="Times New Roman" w:cs="Times New Roman" w:eastAsia="Times New Roman" w:hAnsi="Times New Roman"/>
          <w:sz w:val="18"/>
          <w:szCs w:val="18"/>
          <w:color w:val="auto"/>
        </w:rPr>
      </w:pPr>
    </w:p>
    <w:p>
      <w:pPr>
        <w:ind w:left="1680" w:right="340" w:hanging="517"/>
        <w:spacing w:after="0" w:line="282" w:lineRule="auto"/>
        <w:tabs>
          <w:tab w:leader="none" w:pos="16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change of at least thirty (30) miles of the location of the physical Company office to which you report (which to avoid doubt does not include any home office you may have); or</w:t>
      </w:r>
    </w:p>
    <w:p>
      <w:pPr>
        <w:spacing w:after="0" w:line="53" w:lineRule="exact"/>
        <w:rPr>
          <w:rFonts w:ascii="Times New Roman" w:cs="Times New Roman" w:eastAsia="Times New Roman" w:hAnsi="Times New Roman"/>
          <w:sz w:val="18"/>
          <w:szCs w:val="18"/>
          <w:color w:val="auto"/>
        </w:rPr>
      </w:pPr>
    </w:p>
    <w:p>
      <w:pPr>
        <w:ind w:left="1680" w:right="540" w:hanging="517"/>
        <w:spacing w:after="0" w:line="282" w:lineRule="auto"/>
        <w:tabs>
          <w:tab w:leader="none" w:pos="16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by the Company of the material terms of this Agreement or any other written agreement between the Company and you.</w:t>
      </w:r>
    </w:p>
    <w:p>
      <w:pPr>
        <w:spacing w:after="0" w:line="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“Good Reason Process” consists of the following steps:</w:t>
      </w:r>
    </w:p>
    <w:p>
      <w:pPr>
        <w:spacing w:after="0" w:line="117" w:lineRule="exact"/>
        <w:rPr>
          <w:sz w:val="20"/>
          <w:szCs w:val="20"/>
          <w:color w:val="auto"/>
        </w:rPr>
      </w:pPr>
    </w:p>
    <w:p>
      <w:pPr>
        <w:ind w:left="1680" w:hanging="517"/>
        <w:spacing w:after="0"/>
        <w:tabs>
          <w:tab w:leader="none" w:pos="1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reasonably determine in good faith that a Good Reason Condition has occurred;</w:t>
      </w:r>
    </w:p>
    <w:p>
      <w:pPr>
        <w:spacing w:after="0" w:line="117" w:lineRule="exact"/>
        <w:rPr>
          <w:rFonts w:ascii="Times New Roman" w:cs="Times New Roman" w:eastAsia="Times New Roman" w:hAnsi="Times New Roman"/>
          <w:sz w:val="18"/>
          <w:szCs w:val="18"/>
          <w:color w:val="auto"/>
        </w:rPr>
      </w:pPr>
    </w:p>
    <w:p>
      <w:pPr>
        <w:ind w:left="1680" w:right="160" w:hanging="517"/>
        <w:spacing w:after="0" w:line="282" w:lineRule="auto"/>
        <w:tabs>
          <w:tab w:leader="none" w:pos="1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notify the Company in writing of the first occurrence of the Good Reason Condition within 60 days of the first occurrence of such condition;</w:t>
      </w:r>
    </w:p>
    <w:p>
      <w:pPr>
        <w:spacing w:after="0" w:line="53" w:lineRule="exact"/>
        <w:rPr>
          <w:rFonts w:ascii="Times New Roman" w:cs="Times New Roman" w:eastAsia="Times New Roman" w:hAnsi="Times New Roman"/>
          <w:sz w:val="18"/>
          <w:szCs w:val="18"/>
          <w:color w:val="auto"/>
        </w:rPr>
      </w:pPr>
    </w:p>
    <w:p>
      <w:pPr>
        <w:ind w:left="1680" w:right="160" w:hanging="517"/>
        <w:spacing w:after="0" w:line="282" w:lineRule="auto"/>
        <w:tabs>
          <w:tab w:leader="none" w:pos="1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cooperate in good faith with the Company’s efforts, for a period of not less than 30 days following such notice (the “Cure Period”), to remedy the Good Reason Condition;</w:t>
      </w:r>
    </w:p>
    <w:p>
      <w:pPr>
        <w:spacing w:after="0" w:line="53" w:lineRule="exact"/>
        <w:rPr>
          <w:rFonts w:ascii="Times New Roman" w:cs="Times New Roman" w:eastAsia="Times New Roman" w:hAnsi="Times New Roman"/>
          <w:sz w:val="18"/>
          <w:szCs w:val="18"/>
          <w:color w:val="auto"/>
        </w:rPr>
      </w:pPr>
    </w:p>
    <w:p>
      <w:pPr>
        <w:ind w:left="1680" w:hanging="517"/>
        <w:spacing w:after="0"/>
        <w:tabs>
          <w:tab w:leader="none" w:pos="1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such Cure Period, the Good Reason Condition continues to exist; and</w:t>
      </w:r>
    </w:p>
    <w:p>
      <w:pPr>
        <w:spacing w:after="0" w:line="117" w:lineRule="exact"/>
        <w:rPr>
          <w:rFonts w:ascii="Times New Roman" w:cs="Times New Roman" w:eastAsia="Times New Roman" w:hAnsi="Times New Roman"/>
          <w:sz w:val="18"/>
          <w:szCs w:val="18"/>
          <w:color w:val="auto"/>
        </w:rPr>
      </w:pPr>
    </w:p>
    <w:p>
      <w:pPr>
        <w:ind w:left="1680" w:hanging="517"/>
        <w:spacing w:after="0"/>
        <w:tabs>
          <w:tab w:leader="none" w:pos="1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terminate employment within 60 days after the end of the Cure Period.</w:t>
      </w:r>
    </w:p>
    <w:p>
      <w:pPr>
        <w:spacing w:after="0" w:line="117" w:lineRule="exact"/>
        <w:rPr>
          <w:sz w:val="20"/>
          <w:szCs w:val="20"/>
          <w:color w:val="auto"/>
        </w:rPr>
      </w:pPr>
    </w:p>
    <w:p>
      <w:pPr>
        <w:ind w:left="1160" w:right="540"/>
        <w:spacing w:after="0" w:line="282" w:lineRule="auto"/>
        <w:rPr>
          <w:sz w:val="20"/>
          <w:szCs w:val="20"/>
          <w:color w:val="auto"/>
        </w:rPr>
      </w:pPr>
      <w:r>
        <w:rPr>
          <w:rFonts w:ascii="Times New Roman" w:cs="Times New Roman" w:eastAsia="Times New Roman" w:hAnsi="Times New Roman"/>
          <w:sz w:val="18"/>
          <w:szCs w:val="18"/>
          <w:color w:val="auto"/>
        </w:rPr>
        <w:t>If the Company cures the Good Reason Condition during the Cure Period, Good Reason shall be deemed not to have occurred.</w:t>
      </w:r>
    </w:p>
    <w:p>
      <w:pPr>
        <w:spacing w:after="0" w:line="54" w:lineRule="exact"/>
        <w:rPr>
          <w:sz w:val="20"/>
          <w:szCs w:val="20"/>
          <w:color w:val="auto"/>
        </w:rPr>
      </w:pPr>
    </w:p>
    <w:p>
      <w:pPr>
        <w:ind w:left="1160" w:right="40"/>
        <w:spacing w:after="0" w:line="254" w:lineRule="auto"/>
        <w:rPr>
          <w:sz w:val="20"/>
          <w:szCs w:val="20"/>
          <w:color w:val="auto"/>
        </w:rPr>
      </w:pPr>
      <w:r>
        <w:rPr>
          <w:rFonts w:ascii="Times New Roman" w:cs="Times New Roman" w:eastAsia="Times New Roman" w:hAnsi="Times New Roman"/>
          <w:sz w:val="18"/>
          <w:szCs w:val="18"/>
          <w:color w:val="auto"/>
        </w:rPr>
        <w:t>If your employment with the Company is terminated for any reason, the Company shall pay or provide to you (or your authorized representative or estate) (i) any Base Salary earned through the Date of Termination; (ii) unpaid expense reimbursements (subject to, and in accordance with, Section 2(c) of this Agreement); (iii) your accrued but unused vacation days or PTO; (iv) any vested benefits you may have under any employee benefit plan of the Company through the Date of Termination, which vested benefits shall be paid and/or provided in accordance with the terms of such employee benefit plans; and (v) if your employment is terminated by the Company because of your death or Disability, a lump sum payment of any earned, but unpaid Bonus for the fiscal year prior to the fiscal year your employment is terminated because of your death or Disability (collectively, the “Accrued Obligations”). The earned but unpaid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463550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309" w:right="359" w:bottom="1440" w:gutter="0" w:footer="0" w:header="0"/>
        </w:sectPr>
      </w:pPr>
    </w:p>
    <w:bookmarkStart w:id="86" w:name="page87"/>
    <w:bookmarkEnd w:id="86"/>
    <w:p>
      <w:pPr>
        <w:ind w:left="1160" w:right="260"/>
        <w:spacing w:after="0" w:line="282" w:lineRule="auto"/>
        <w:rPr>
          <w:sz w:val="20"/>
          <w:szCs w:val="20"/>
          <w:color w:val="auto"/>
        </w:rPr>
      </w:pPr>
      <w:r>
        <w:rPr>
          <w:rFonts w:ascii="Times New Roman" w:cs="Times New Roman" w:eastAsia="Times New Roman" w:hAnsi="Times New Roman"/>
          <w:sz w:val="18"/>
          <w:szCs w:val="18"/>
          <w:color w:val="auto"/>
        </w:rPr>
        <w:t>in subsection will be paid at the same time as the Company pays bonuses to similarly situated executives, but in no event later than the end of the taxable year in which the Date of Termination occurs.</w:t>
      </w:r>
    </w:p>
    <w:p>
      <w:pPr>
        <w:spacing w:after="0" w:line="54" w:lineRule="exact"/>
        <w:rPr>
          <w:sz w:val="20"/>
          <w:szCs w:val="20"/>
          <w:color w:val="auto"/>
        </w:rPr>
      </w:pPr>
    </w:p>
    <w:p>
      <w:pPr>
        <w:ind w:left="660" w:hanging="515"/>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and Date of Termination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60" w:right="20" w:hanging="505"/>
        <w:spacing w:after="0" w:line="261" w:lineRule="auto"/>
        <w:tabs>
          <w:tab w:leader="none" w:pos="11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Except for termination as specified in Section 3(a), any termination of your employment by the Company or any such termination by you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71" w:lineRule="exact"/>
        <w:rPr>
          <w:rFonts w:ascii="Times New Roman" w:cs="Times New Roman" w:eastAsia="Times New Roman" w:hAnsi="Times New Roman"/>
          <w:sz w:val="18"/>
          <w:szCs w:val="18"/>
          <w:color w:val="auto"/>
        </w:rPr>
      </w:pPr>
    </w:p>
    <w:p>
      <w:pPr>
        <w:ind w:left="1160" w:hanging="505"/>
        <w:spacing w:after="0"/>
        <w:tabs>
          <w:tab w:leader="none" w:pos="11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“Date of Termination” shall mean: (i) if your employment is terminated by death, the date of death;</w:t>
      </w:r>
    </w:p>
    <w:p>
      <w:pPr>
        <w:spacing w:after="0" w:line="27" w:lineRule="exact"/>
        <w:rPr>
          <w:rFonts w:ascii="Times New Roman" w:cs="Times New Roman" w:eastAsia="Times New Roman" w:hAnsi="Times New Roman"/>
          <w:sz w:val="18"/>
          <w:szCs w:val="18"/>
          <w:color w:val="auto"/>
        </w:rPr>
      </w:pPr>
    </w:p>
    <w:p>
      <w:pPr>
        <w:ind w:left="1160" w:right="60" w:firstLine="4"/>
        <w:spacing w:after="0" w:line="251" w:lineRule="auto"/>
        <w:tabs>
          <w:tab w:leader="none" w:pos="1425"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employment is terminated on account of Disability under Section 3(b) or by the Company for Cause under Section 3(c), the date on which Notice of Termination is given; (iii) if your employment is terminated by the Company without Cause under Section 3(d), the date on which a Notice of Termination is given or the date otherwise specified by the Company in the Notice of Termination; (iv) if your employment is terminated by you under Section 3(e) other than for Good Reason, 14 days after the date on which a Notice of Termination is given, and (v) if your employment is terminated by you under Section 3(e) for Good Reason, the date on which a Notice of Termination is given after the end of the Cure Period. Notwithstanding the foregoing, in the event that you give a Notice of Termination to the Company, the Company may unilaterally accelerate the Date of Termination and such acceleration shall not result in a termination by the Company for purposes of this Agreement. However, the Company will continue paying you your Base Salary until the original Date of Termination.</w:t>
      </w:r>
    </w:p>
    <w:p>
      <w:pPr>
        <w:spacing w:after="0" w:line="84" w:lineRule="exact"/>
        <w:rPr>
          <w:rFonts w:ascii="Times New Roman" w:cs="Times New Roman" w:eastAsia="Times New Roman" w:hAnsi="Times New Roman"/>
          <w:sz w:val="18"/>
          <w:szCs w:val="18"/>
          <w:color w:val="auto"/>
        </w:rPr>
      </w:pPr>
    </w:p>
    <w:p>
      <w:pPr>
        <w:ind w:left="660" w:right="60" w:hanging="515"/>
        <w:spacing w:after="0" w:line="253"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 and Benefits Upon Termination by the Company without Cause or by You for Good Reason Outside the Change in Control Period</w:t>
      </w:r>
      <w:r>
        <w:rPr>
          <w:rFonts w:ascii="Times New Roman" w:cs="Times New Roman" w:eastAsia="Times New Roman" w:hAnsi="Times New Roman"/>
          <w:sz w:val="18"/>
          <w:szCs w:val="18"/>
          <w:color w:val="auto"/>
        </w:rPr>
        <w:t>. If your employment is terminated by the Company without Cause as provided in Section 3(d), or you terminate employment for Good Reason as provided in Section 3(e), each outside of the Change in Control Period (as defined below), then, in addition to the Accrued Obligations, and subject to (i) your signing a separation agreement and release in a form and manner reasonably satisfactory to the Company, which shall include, without limitation, a general release of claims against the Company and all related persons and entities, a reaffirmation of all of your Continuing Obligations (as defined below), and shall provide that if you materially breach any of the Continuing Obligations, and if such breach is curable, which has continued for more than 30 days following written notice of such breach, all payments of the Severance Amount shall immediately cease (the “Separation Agreement and Release”), and (ii) the Separation Agreement and Release becoming irrevocable, all within 60 days after the Date of Termination (or such shorter period as set forth in the Separation Agreement and Release), which shall include a seven (7) business day revocation period:</w:t>
      </w:r>
    </w:p>
    <w:p>
      <w:pPr>
        <w:spacing w:after="0" w:line="83" w:lineRule="exact"/>
        <w:rPr>
          <w:rFonts w:ascii="Times New Roman" w:cs="Times New Roman" w:eastAsia="Times New Roman" w:hAnsi="Times New Roman"/>
          <w:sz w:val="18"/>
          <w:szCs w:val="18"/>
          <w:color w:val="auto"/>
        </w:rPr>
      </w:pPr>
    </w:p>
    <w:p>
      <w:pPr>
        <w:ind w:left="1160" w:right="40" w:hanging="505"/>
        <w:spacing w:after="0" w:line="272" w:lineRule="auto"/>
        <w:tabs>
          <w:tab w:leader="none" w:pos="116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pay you an amount equal to nine (9) months of your Base Salary (the “Severance Amount”); provided in the event you are entitled to any payments pursuant to the Restrictive Covenants Agreement, as a condition of such receipt of the Severance Amount, you shall acknowledge and agree in the Separation Agreement and Release that such Severance</w:t>
      </w:r>
    </w:p>
    <w:p>
      <w:pPr>
        <w:spacing w:after="0" w:line="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Amount will be in lieu of any garden leave pay  under the Restrictive Covenants Agreement;</w:t>
      </w:r>
    </w:p>
    <w:p>
      <w:pPr>
        <w:spacing w:after="0" w:line="99" w:lineRule="exact"/>
        <w:rPr>
          <w:sz w:val="20"/>
          <w:szCs w:val="20"/>
          <w:color w:val="auto"/>
        </w:rPr>
      </w:pPr>
    </w:p>
    <w:p>
      <w:pPr>
        <w:ind w:left="1160" w:hanging="505"/>
        <w:spacing w:after="0" w:line="261" w:lineRule="auto"/>
        <w:tabs>
          <w:tab w:leader="none" w:pos="11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you, if applicable, a lump sum payment of any earned, but unpaid Bonus (as determined by the Board in its discretion) for the fiscal year prior to the fiscal year of your Date of Termination, to be paid (if at all) at the same time as the Company pays bonuses to similarly situated executives, but in no event later than the end of the taxable year in which the Date of Termination occurs; and</w:t>
      </w:r>
    </w:p>
    <w:p>
      <w:pPr>
        <w:spacing w:after="0" w:line="71" w:lineRule="exact"/>
        <w:rPr>
          <w:rFonts w:ascii="Times New Roman" w:cs="Times New Roman" w:eastAsia="Times New Roman" w:hAnsi="Times New Roman"/>
          <w:sz w:val="18"/>
          <w:szCs w:val="18"/>
          <w:color w:val="auto"/>
        </w:rPr>
      </w:pPr>
    </w:p>
    <w:p>
      <w:pPr>
        <w:ind w:left="1160" w:right="40" w:hanging="505"/>
        <w:spacing w:after="0" w:line="253" w:lineRule="auto"/>
        <w:tabs>
          <w:tab w:leader="none" w:pos="11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your copayment of premium amounts at the applicable active employees’ rate and your proper election to receive benefits under the Consolidated Omnibus Budget Reconciliation Act of 1985, as amended (“COBRA”), the Company shall pay to the group health plan provider, the COBRA provider or you a monthly payment equal to the monthly employer contribution that the Company would have made to provide health insurance to you if you had remained employed by the Company until the earliest of (A) the nine (9) month anniversary of the Date of Termination; (B) your eligibility for group medical plan benefits under any other employer’s group medical plan; or (C) the cessation of your continuation rights under COBRA; provided, however,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shall be subject to tax-related deductions and withholdings and paid on the Company’s regular payroll dates.</w:t>
      </w:r>
    </w:p>
    <w:p>
      <w:pPr>
        <w:spacing w:after="0" w:line="83" w:lineRule="exact"/>
        <w:rPr>
          <w:rFonts w:ascii="Times New Roman" w:cs="Times New Roman" w:eastAsia="Times New Roman" w:hAnsi="Times New Roman"/>
          <w:sz w:val="18"/>
          <w:szCs w:val="18"/>
          <w:color w:val="auto"/>
        </w:rPr>
      </w:pPr>
    </w:p>
    <w:p>
      <w:pPr>
        <w:ind w:left="116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under Sections 5(a) and (c), to the extent taxable, shall be paid out in substantially equal installments in accordance with the Company’s payroll practice over nine (9) months commencing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444500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09" w:right="339" w:bottom="1440" w:gutter="0" w:footer="0" w:header="0"/>
        </w:sectPr>
      </w:pPr>
    </w:p>
    <w:bookmarkStart w:id="87" w:name="page88"/>
    <w:bookmarkEnd w:id="87"/>
    <w:p>
      <w:pPr>
        <w:ind w:left="1160" w:right="20"/>
        <w:spacing w:after="0" w:line="255" w:lineRule="auto"/>
        <w:rPr>
          <w:sz w:val="20"/>
          <w:szCs w:val="20"/>
          <w:color w:val="auto"/>
        </w:rPr>
      </w:pPr>
      <w:r>
        <w:rPr>
          <w:rFonts w:ascii="Times New Roman" w:cs="Times New Roman" w:eastAsia="Times New Roman" w:hAnsi="Times New Roman"/>
          <w:sz w:val="18"/>
          <w:szCs w:val="18"/>
          <w:color w:val="auto"/>
        </w:rPr>
        <w:t>within 60 days after the Date of Termination; provided, however, that if the 60-day period begins in one calendar year and ends in a second calendar year, the Severance Amount, to the extent it qualifies as “non-qualified deferred compensation” within the meaning of Section 409A of the Internal Revenue Code of 1986, as amended (the “Code”),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1.409A- 2(b)(2).</w:t>
      </w:r>
    </w:p>
    <w:p>
      <w:pPr>
        <w:spacing w:after="0" w:line="81" w:lineRule="exact"/>
        <w:rPr>
          <w:sz w:val="20"/>
          <w:szCs w:val="20"/>
          <w:color w:val="auto"/>
        </w:rPr>
      </w:pPr>
    </w:p>
    <w:p>
      <w:pPr>
        <w:ind w:left="660" w:right="160" w:hanging="515"/>
        <w:spacing w:after="0" w:line="25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 and Benefits Upon Termination by the Company without Cause or by You for Good Reason within the Change in Control Period</w:t>
      </w:r>
      <w:r>
        <w:rPr>
          <w:rFonts w:ascii="Times New Roman" w:cs="Times New Roman" w:eastAsia="Times New Roman" w:hAnsi="Times New Roman"/>
          <w:sz w:val="18"/>
          <w:szCs w:val="18"/>
          <w:color w:val="auto"/>
        </w:rPr>
        <w:t>. The provisions of this Section 6 shall apply in lieu of, and expressly supersede, the provisions of Section 5 if (i) your employment is terminated either (a) by the Company without Cause as provided in Section 3(d), or (b) by you for Good Reason as provided in Section 3(e), and (ii) the Date of Termination is within 3 months prior to, or within 12 months after, the occurrence of the first event constituting a Change in Control (as defined below) (such period, the “Change in Control Period”). These provisions of Section 6 shall terminate and be of no further force or effect after a Change in Control Period.</w:t>
      </w:r>
    </w:p>
    <w:p>
      <w:pPr>
        <w:spacing w:after="0" w:line="79" w:lineRule="exact"/>
        <w:rPr>
          <w:rFonts w:ascii="Times New Roman" w:cs="Times New Roman" w:eastAsia="Times New Roman" w:hAnsi="Times New Roman"/>
          <w:sz w:val="18"/>
          <w:szCs w:val="18"/>
          <w:color w:val="auto"/>
        </w:rPr>
      </w:pPr>
    </w:p>
    <w:p>
      <w:pPr>
        <w:ind w:left="1160" w:right="40" w:hanging="505"/>
        <w:spacing w:after="0" w:line="258" w:lineRule="auto"/>
        <w:tabs>
          <w:tab w:leader="none" w:pos="11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employment is terminated by the Company without Cause as provided in Section 3(d) or you terminate employment for Good Reason as provided in Section 3(e) and in either case the Date of Termination occurs during the Change in Control Period, then, in addition to the Accrued Obligations, and subject to the signing of the Separation Agreement and Release by you and the Separation Agreement and Release becoming fully effective, all within the time frame set forth in the Separation Agreement and Release but in no event more than 60 days after the Date of Termination:</w:t>
      </w:r>
    </w:p>
    <w:p>
      <w:pPr>
        <w:spacing w:after="0" w:line="75" w:lineRule="exact"/>
        <w:rPr>
          <w:rFonts w:ascii="Times New Roman" w:cs="Times New Roman" w:eastAsia="Times New Roman" w:hAnsi="Times New Roman"/>
          <w:sz w:val="18"/>
          <w:szCs w:val="18"/>
          <w:color w:val="auto"/>
        </w:rPr>
      </w:pPr>
    </w:p>
    <w:p>
      <w:pPr>
        <w:ind w:left="1680" w:right="80" w:hanging="517"/>
        <w:spacing w:after="0" w:line="255" w:lineRule="auto"/>
        <w:tabs>
          <w:tab w:leader="none" w:pos="168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you a lump sum in cash in an amount equal to the sum of (A) twelve (12) months of your then current Base Salary (or your Base Salary in effect immediately prior to the Change in Control, if higher), (B) your Target Bonus for the then-current fiscal year; and (C) any earned, but unpaid Bonus for the fiscal year prior to the fiscal year of your Date of Termination, (the “Change in Control Payment”) provided that, if applicable and as a condition of such receipt of the Change in Control Payment, you shall acknowledge and agree in the Separation Agreement and Release that such Change in Control Payment will be in lieu of any garden leave pay under the Restrictive Covenants Agreement; and</w:t>
      </w:r>
    </w:p>
    <w:p>
      <w:pPr>
        <w:spacing w:after="0" w:line="80" w:lineRule="exact"/>
        <w:rPr>
          <w:rFonts w:ascii="Times New Roman" w:cs="Times New Roman" w:eastAsia="Times New Roman" w:hAnsi="Times New Roman"/>
          <w:sz w:val="18"/>
          <w:szCs w:val="18"/>
          <w:color w:val="auto"/>
        </w:rPr>
      </w:pPr>
    </w:p>
    <w:p>
      <w:pPr>
        <w:ind w:left="1680" w:hanging="517"/>
        <w:spacing w:after="0" w:line="272" w:lineRule="auto"/>
        <w:tabs>
          <w:tab w:leader="none" w:pos="1680" w:val="left"/>
        </w:tabs>
        <w:numPr>
          <w:ilvl w:val="2"/>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any applicable option agreement or other stock-based award agreement, all time-based stock options and other stock-based awards subject to time-based vesting held by you (the “Time-Based Equity Awards”) shall immediately accelerate and become fully exercisable or nonforfeitable as of the later of</w:t>
      </w:r>
    </w:p>
    <w:p>
      <w:pPr>
        <w:spacing w:after="0" w:line="1" w:lineRule="exact"/>
        <w:rPr>
          <w:rFonts w:ascii="Times New Roman" w:cs="Times New Roman" w:eastAsia="Times New Roman" w:hAnsi="Times New Roman"/>
          <w:sz w:val="17"/>
          <w:szCs w:val="17"/>
          <w:color w:val="auto"/>
        </w:rPr>
      </w:pPr>
    </w:p>
    <w:p>
      <w:pPr>
        <w:ind w:left="1680" w:right="18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the Date of Termination or (ii) the effective date of the Separation Agreement and Release (the “Accelerated Vesting Date”); provided that any termination or forfeiture of the unvested portion of such Time-Based Equity Awards that would otherwise occur on the Date of Termination in the absence of this Agreement will be delayed until the effective date of the Separation Agreement and Release and will only occur if the vesting pursuant to this subsection does not occur due to the absence of the Separation Agreement and Release becoming fully effective within the time period set forth therein. Notwithstanding the foregoing, no additional vesting of the Time-Based Equity Awards shall occur during the period between your Date of Termination and the Accelerated Vesting Date; and</w:t>
      </w:r>
    </w:p>
    <w:p>
      <w:pPr>
        <w:spacing w:after="0" w:line="85" w:lineRule="exact"/>
        <w:rPr>
          <w:rFonts w:ascii="Times New Roman" w:cs="Times New Roman" w:eastAsia="Times New Roman" w:hAnsi="Times New Roman"/>
          <w:sz w:val="17"/>
          <w:szCs w:val="17"/>
          <w:color w:val="auto"/>
        </w:rPr>
      </w:pPr>
    </w:p>
    <w:p>
      <w:pPr>
        <w:ind w:left="1680" w:right="100" w:hanging="517"/>
        <w:spacing w:after="0" w:line="253" w:lineRule="auto"/>
        <w:tabs>
          <w:tab w:leader="none" w:pos="168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your copayment of premium amounts at the applicable active employees’ rate and your proper election to receive benefits under COBRA, the Company shall pay to the group health plan provider, the COBRA provider or you a monthly payment equal to the monthly employer contribution that the Company would have made to provide health insurance to you if you had remained employed by the Company until the earliest of (A) the 12-month anniversary of the Date of Termination; (B) your eligibility for group medical plan benefits under any other employer’s group medical plan; or (C) the cessation of your continuation rights under COBRA; provided, however,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shall be subject to tax-related deductions and withholdings and paid on the Company’s regular payroll dates.</w:t>
      </w:r>
    </w:p>
    <w:p>
      <w:pPr>
        <w:spacing w:after="0" w:line="83" w:lineRule="exact"/>
        <w:rPr>
          <w:rFonts w:ascii="Times New Roman" w:cs="Times New Roman" w:eastAsia="Times New Roman" w:hAnsi="Times New Roman"/>
          <w:sz w:val="18"/>
          <w:szCs w:val="18"/>
          <w:color w:val="auto"/>
        </w:rPr>
      </w:pPr>
    </w:p>
    <w:p>
      <w:pPr>
        <w:ind w:left="168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under this Section 6(a) (other than 6(a)(i)(C)), to the extent taxable, shall be paid or commence to be paid within 60 days after the Date of Termination; provided, however, that if the 60-day period begins in one calendar year and ends in a second calendar year, such payments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453390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309" w:right="359" w:bottom="1440" w:gutter="0" w:footer="0" w:header="0"/>
        </w:sectPr>
      </w:pPr>
    </w:p>
    <w:bookmarkStart w:id="88" w:name="page89"/>
    <w:bookmarkEnd w:id="88"/>
    <w:p>
      <w:pPr>
        <w:ind w:left="1680" w:right="80"/>
        <w:spacing w:after="0" w:line="261" w:lineRule="auto"/>
        <w:rPr>
          <w:sz w:val="20"/>
          <w:szCs w:val="20"/>
          <w:color w:val="auto"/>
        </w:rPr>
      </w:pPr>
      <w:r>
        <w:rPr>
          <w:rFonts w:ascii="Times New Roman" w:cs="Times New Roman" w:eastAsia="Times New Roman" w:hAnsi="Times New Roman"/>
          <w:sz w:val="18"/>
          <w:szCs w:val="18"/>
          <w:color w:val="auto"/>
        </w:rPr>
        <w:t>the extent they qualify as “non-qualified deferred compensation” within the meaning of Section 409A of the Code, shall be paid or commence to be paid in the second calendar year by the last day of such 60-day period. The amount payable under Section 6(a)(i)(C) shall be paid at the same time as the Company pays bonuses to similarly situated executives, but in no event later than the end of the taxable year in which the Date of Termination occurs.</w:t>
      </w:r>
    </w:p>
    <w:p>
      <w:pPr>
        <w:spacing w:after="0" w:line="72" w:lineRule="exact"/>
        <w:rPr>
          <w:sz w:val="20"/>
          <w:szCs w:val="20"/>
          <w:color w:val="auto"/>
        </w:rPr>
      </w:pPr>
    </w:p>
    <w:p>
      <w:pPr>
        <w:ind w:left="1160" w:hanging="505"/>
        <w:spacing w:after="0"/>
        <w:tabs>
          <w:tab w:leader="none" w:pos="11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Limitation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680" w:right="40" w:hanging="517"/>
        <w:spacing w:after="0" w:line="252" w:lineRule="auto"/>
        <w:tabs>
          <w:tab w:leader="none" w:pos="16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in the event that the amount of any compensation, payment or distribution by the Company to or for the benefit of you, whether paid or payable or distributed or distributable pursuant to the terms of this Agreement or otherwise, calculated in a manner consistent with Section 280G of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you became the subject to the excise tax imposed by Section 4999 of the Code; provided that such reduction shall only occur if it would result in you receiving a higher After Tax Amount (as defined below) than you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 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Q&amp;A- 24(b) or (c).</w:t>
      </w:r>
    </w:p>
    <w:p>
      <w:pPr>
        <w:spacing w:after="0" w:line="86" w:lineRule="exact"/>
        <w:rPr>
          <w:rFonts w:ascii="Times New Roman" w:cs="Times New Roman" w:eastAsia="Times New Roman" w:hAnsi="Times New Roman"/>
          <w:sz w:val="18"/>
          <w:szCs w:val="18"/>
          <w:color w:val="auto"/>
        </w:rPr>
      </w:pPr>
    </w:p>
    <w:p>
      <w:pPr>
        <w:ind w:left="1680" w:right="20" w:hanging="517"/>
        <w:spacing w:after="0" w:line="255" w:lineRule="auto"/>
        <w:tabs>
          <w:tab w:leader="none" w:pos="16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6(b), the “After Tax Amount” means the amount of the Aggregate Payments less all federal, state, and local income, excise and employment taxes imposed on you as a result of your receipt of the Aggregate Payments. For purposes of determining the After Tax Amount, you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80" w:lineRule="exact"/>
        <w:rPr>
          <w:rFonts w:ascii="Times New Roman" w:cs="Times New Roman" w:eastAsia="Times New Roman" w:hAnsi="Times New Roman"/>
          <w:sz w:val="18"/>
          <w:szCs w:val="18"/>
          <w:color w:val="auto"/>
        </w:rPr>
      </w:pPr>
    </w:p>
    <w:p>
      <w:pPr>
        <w:ind w:left="1680" w:right="80" w:hanging="517"/>
        <w:spacing w:after="0" w:line="258" w:lineRule="auto"/>
        <w:tabs>
          <w:tab w:leader="none" w:pos="16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as to whether a reduction in the Aggregate Payments shall be made pursuant to Section 6(b)(i) shall be made by a nationally recognized accounting firm selected by the Company (the “Accounting Firm”), which shall provide detailed supporting calculations both to the Company and you within 15 business days of the Date of Termination, if applicable, or at such earlier time as is reasonably requested by the Company or you. Any determination by the Accounting Firm shall be binding upon the Company and you.</w:t>
      </w:r>
    </w:p>
    <w:p>
      <w:pPr>
        <w:spacing w:after="0" w:line="75" w:lineRule="exact"/>
        <w:rPr>
          <w:rFonts w:ascii="Times New Roman" w:cs="Times New Roman" w:eastAsia="Times New Roman" w:hAnsi="Times New Roman"/>
          <w:sz w:val="18"/>
          <w:szCs w:val="18"/>
          <w:color w:val="auto"/>
        </w:rPr>
      </w:pPr>
    </w:p>
    <w:p>
      <w:pPr>
        <w:ind w:left="1680" w:hanging="517"/>
        <w:spacing w:after="0" w:line="252" w:lineRule="auto"/>
        <w:tabs>
          <w:tab w:leader="none" w:pos="16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of this Section 6, a “Change in Control” shall be deemed to have occurred upon the occurrence of any one of the following events: (a) the sale or transfer of all or substantially all of the assets of the Company (i.e., &gt;50% of the value) on a consolidated basis to one or more unrelated persons or entities, (b) a merger, reorganization or consolidation pursuant to which the holders of the Company’s outstanding voting power and outstanding stock immediately prior to such transaction do not own a majority of the outstanding voting power or fair market value of the stock or other equity interests of the resulting or successor entity (or its ultimate parent, if applicable) immediately upon completion of such transaction, (c) the sale of all or substantially all of the stock of the Company to an unrelated person, entity or group thereof acting in concert, (d)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or (e) the date a majority of the members of the Board is replaced during any 12-month period by directors whose appointment or election is not endorsed by a majority of the members of the Board before the date of the appointment or election provided that with respect to any of the clauses (a) through (e) any capital raising transaction of the Company (including the Company’s IPO) shall not be treated as a “Change in Control.” Notwithstanding any other provision of this Agreement (other than the foregoing proviso), “Change in Control” shall be interpreted, administered and applied in a manner consistent and in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464820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309" w:right="359" w:bottom="1440" w:gutter="0" w:footer="0" w:header="0"/>
        </w:sectPr>
      </w:pPr>
    </w:p>
    <w:bookmarkStart w:id="89" w:name="page90"/>
    <w:bookmarkEnd w:id="89"/>
    <w:p>
      <w:pPr>
        <w:ind w:left="1680" w:right="360"/>
        <w:spacing w:after="0" w:line="282" w:lineRule="auto"/>
        <w:rPr>
          <w:sz w:val="20"/>
          <w:szCs w:val="20"/>
          <w:color w:val="auto"/>
        </w:rPr>
      </w:pPr>
      <w:r>
        <w:rPr>
          <w:rFonts w:ascii="Times New Roman" w:cs="Times New Roman" w:eastAsia="Times New Roman" w:hAnsi="Times New Roman"/>
          <w:sz w:val="18"/>
          <w:szCs w:val="18"/>
          <w:color w:val="auto"/>
        </w:rPr>
        <w:t>with a “change in control event” as set forth in Treasury Regulation Section 1.409A-3(i)(5) (“Change in Control Event”).</w:t>
      </w:r>
    </w:p>
    <w:p>
      <w:pPr>
        <w:spacing w:after="0" w:line="54" w:lineRule="exact"/>
        <w:rPr>
          <w:sz w:val="20"/>
          <w:szCs w:val="20"/>
          <w:color w:val="auto"/>
        </w:rPr>
      </w:pPr>
    </w:p>
    <w:p>
      <w:pPr>
        <w:ind w:left="660" w:hanging="515"/>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60" w:right="20" w:hanging="505"/>
        <w:spacing w:after="0" w:line="253" w:lineRule="auto"/>
        <w:tabs>
          <w:tab w:leader="none" w:pos="11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if at the time of your separation from service within the meaning of Section 409A of the Code, the Company determines that you are a “specified employee” within the meaning of Section 409A(a)(2)(B)(i) of the Code, then to the extent any payment or benefit that you become entitled to under this Agreement or otherwise on account of your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your separation from service, or (B) your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86" w:lineRule="exact"/>
        <w:rPr>
          <w:rFonts w:ascii="Times New Roman" w:cs="Times New Roman" w:eastAsia="Times New Roman" w:hAnsi="Times New Roman"/>
          <w:sz w:val="18"/>
          <w:szCs w:val="18"/>
          <w:color w:val="auto"/>
        </w:rPr>
      </w:pPr>
    </w:p>
    <w:p>
      <w:pPr>
        <w:ind w:left="1160" w:right="140" w:hanging="505"/>
        <w:spacing w:after="0" w:line="255" w:lineRule="auto"/>
        <w:tabs>
          <w:tab w:leader="none" w:pos="11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in-kind benefits provided and expenses eligible for reimbursement under this Agreement shall be provided by the Company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80" w:lineRule="exact"/>
        <w:rPr>
          <w:rFonts w:ascii="Times New Roman" w:cs="Times New Roman" w:eastAsia="Times New Roman" w:hAnsi="Times New Roman"/>
          <w:sz w:val="18"/>
          <w:szCs w:val="18"/>
          <w:color w:val="auto"/>
        </w:rPr>
      </w:pPr>
    </w:p>
    <w:p>
      <w:pPr>
        <w:ind w:left="1160" w:right="80" w:hanging="505"/>
        <w:spacing w:after="0" w:line="258" w:lineRule="auto"/>
        <w:tabs>
          <w:tab w:leader="none" w:pos="11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payment or benefit described in this Agreement constitutes “non-qualified deferred compensation” under Section 409A of the Code, and to the extent that such payment or benefit is payable upon your termination of employment, then such payments or benefits shall be payable only upon your “separation from service.” The determination of whether and when a separation from service has occurred shall be made in accordance with the presumptions set forth in Treasury Regulation Section 1.409A-1(h).</w:t>
      </w:r>
    </w:p>
    <w:p>
      <w:pPr>
        <w:spacing w:after="0" w:line="75" w:lineRule="exact"/>
        <w:rPr>
          <w:rFonts w:ascii="Times New Roman" w:cs="Times New Roman" w:eastAsia="Times New Roman" w:hAnsi="Times New Roman"/>
          <w:sz w:val="18"/>
          <w:szCs w:val="18"/>
          <w:color w:val="auto"/>
        </w:rPr>
      </w:pPr>
    </w:p>
    <w:p>
      <w:pPr>
        <w:ind w:left="1160" w:hanging="505"/>
        <w:spacing w:after="0" w:line="255" w:lineRule="auto"/>
        <w:tabs>
          <w:tab w:leader="none" w:pos="11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or the Restrictive Covenants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80" w:lineRule="exact"/>
        <w:rPr>
          <w:rFonts w:ascii="Times New Roman" w:cs="Times New Roman" w:eastAsia="Times New Roman" w:hAnsi="Times New Roman"/>
          <w:sz w:val="18"/>
          <w:szCs w:val="18"/>
          <w:color w:val="auto"/>
        </w:rPr>
      </w:pPr>
    </w:p>
    <w:p>
      <w:pPr>
        <w:ind w:left="1160" w:right="160" w:hanging="505"/>
        <w:spacing w:after="0" w:line="266" w:lineRule="auto"/>
        <w:tabs>
          <w:tab w:leader="none" w:pos="11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no representation or warranty and shall have no liability to you or any other person if any provisions of this Agreement are determined to constitute deferred compensation subject to Section 409A of the Code but do not satisfy an exemption from, or the conditions of, such Section.</w:t>
      </w:r>
    </w:p>
    <w:p>
      <w:pPr>
        <w:spacing w:after="0" w:line="67" w:lineRule="exact"/>
        <w:rPr>
          <w:rFonts w:ascii="Times New Roman" w:cs="Times New Roman" w:eastAsia="Times New Roman" w:hAnsi="Times New Roman"/>
          <w:sz w:val="18"/>
          <w:szCs w:val="18"/>
          <w:color w:val="auto"/>
        </w:rPr>
      </w:pPr>
    </w:p>
    <w:p>
      <w:pPr>
        <w:ind w:left="660" w:hanging="515"/>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Obligations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60" w:right="40" w:hanging="505"/>
        <w:spacing w:after="0" w:line="254" w:lineRule="auto"/>
        <w:tabs>
          <w:tab w:leader="none" w:pos="11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 Agreement</w:t>
      </w:r>
      <w:r>
        <w:rPr>
          <w:rFonts w:ascii="Times New Roman" w:cs="Times New Roman" w:eastAsia="Times New Roman" w:hAnsi="Times New Roman"/>
          <w:sz w:val="18"/>
          <w:szCs w:val="18"/>
          <w:color w:val="auto"/>
        </w:rPr>
        <w:t>. As a condition of the commencement of your employment, you are required to enter into the Employee Confidentiality, Assignment, Nonsolicitation and Noncompetition Agreement (the “Restrictive Covenants Agreement”) attached hereto. You agree without reservation that these restraints are necessary for the reasonable and proper protection of the Company and its affiliates, and that each and every one of the restraints is reasonable in respect to subject matter, length of time and geographic area. You agree that the Company has advised you that you have the right to consult with counsel prior to signing the Restrictive Covenants Agreement and this Agreement; and that notice of this Agreement and the Restrictive Covenants Agreement was provided to you at least 10 business days before the first day of your employment with the Company. For purposes of this Agreement, the obligations in this Section 8 and those that arise in the Restrictive Covenants Agreement shall collectively be referred to as the “Continuing Obligations.”</w:t>
      </w:r>
    </w:p>
    <w:p>
      <w:pPr>
        <w:spacing w:after="0" w:line="80" w:lineRule="exact"/>
        <w:rPr>
          <w:rFonts w:ascii="Times New Roman" w:cs="Times New Roman" w:eastAsia="Times New Roman" w:hAnsi="Times New Roman"/>
          <w:sz w:val="18"/>
          <w:szCs w:val="18"/>
          <w:color w:val="auto"/>
        </w:rPr>
      </w:pPr>
    </w:p>
    <w:p>
      <w:pPr>
        <w:ind w:left="1160" w:right="20" w:hanging="505"/>
        <w:spacing w:after="0" w:line="266" w:lineRule="auto"/>
        <w:tabs>
          <w:tab w:leader="none" w:pos="11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Third-Party Agreements and Rights</w:t>
      </w:r>
      <w:r>
        <w:rPr>
          <w:rFonts w:ascii="Times New Roman" w:cs="Times New Roman" w:eastAsia="Times New Roman" w:hAnsi="Times New Roman"/>
          <w:sz w:val="18"/>
          <w:szCs w:val="18"/>
          <w:color w:val="auto"/>
        </w:rPr>
        <w:t>. You hereby confirm that you are not bound by the terms of any agreement with any previous employer or other party which restricts in any way your use or disclosure of information, other than confidentiality restrictions (if any), or your engagement in any business.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453390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09" w:right="339" w:bottom="1440" w:gutter="0" w:footer="0" w:header="0"/>
        </w:sectPr>
      </w:pPr>
    </w:p>
    <w:bookmarkStart w:id="90" w:name="page91"/>
    <w:bookmarkEnd w:id="90"/>
    <w:p>
      <w:pPr>
        <w:ind w:left="1160" w:right="40"/>
        <w:spacing w:after="0" w:line="256" w:lineRule="auto"/>
        <w:rPr>
          <w:sz w:val="20"/>
          <w:szCs w:val="20"/>
          <w:color w:val="auto"/>
        </w:rPr>
      </w:pPr>
      <w:r>
        <w:rPr>
          <w:rFonts w:ascii="Times New Roman" w:cs="Times New Roman" w:eastAsia="Times New Roman" w:hAnsi="Times New Roman"/>
          <w:sz w:val="18"/>
          <w:szCs w:val="18"/>
          <w:color w:val="auto"/>
        </w:rPr>
        <w:t>represent to the Company that your execution of this Agreement, your employment with the Company and the performance of your proposed duties for the Company will not violate any obligations you may have to any such previous employer or other party. In your work for the Company, you will not disclose or make use of any information in violation of any agreements with or rights of any such previous employer or other party, and you will not bring to the premises of the Company any copies or other tangible embodiments of non-public information belonging to or obtained from any such previous employment or other party.</w:t>
      </w:r>
    </w:p>
    <w:p>
      <w:pPr>
        <w:spacing w:after="0" w:line="79" w:lineRule="exact"/>
        <w:rPr>
          <w:sz w:val="20"/>
          <w:szCs w:val="20"/>
          <w:color w:val="auto"/>
        </w:rPr>
      </w:pPr>
    </w:p>
    <w:p>
      <w:pPr>
        <w:ind w:left="1160" w:right="20" w:hanging="505"/>
        <w:spacing w:after="0" w:line="252" w:lineRule="auto"/>
        <w:tabs>
          <w:tab w:leader="none" w:pos="11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 and Regulatory Cooperation</w:t>
      </w:r>
      <w:r>
        <w:rPr>
          <w:rFonts w:ascii="Times New Roman" w:cs="Times New Roman" w:eastAsia="Times New Roman" w:hAnsi="Times New Roman"/>
          <w:sz w:val="18"/>
          <w:szCs w:val="18"/>
          <w:color w:val="auto"/>
        </w:rPr>
        <w:t>. During and after your employment, you shall reasonably cooperate fully with the Company in (i) the defense or prosecution of any claims or actions now in existence or which may be brought in the future against or on behalf of the Company which relate to events or occurrences that transpired while you were employed by the Company, and (ii) the investigation, whether internal or external, of any matters about which the Company believes you may have knowledge or information. Your full reasonable cooperation in connection with such claims, actions or investigations shall include, but not be limited to, being available to meet with counsel to answer questions or to prepare for discovery or trial and to act as a witness on behalf of the Company at mutually convenient times. During and after your employment, you also shall reasonably cooperate fully with the Company in connection with any investigation or review of any federal, state or local regulatory authority as any such investigation or review relates to events or occurrences that transpired while you were employed by the Company. The Company shall reimburse you for any reasonable out-of-pocket expenses incurred in connection with your performance of obligations pursuant to this Section 8(c). The Company agrees that if you have provided fifteen (15) hours of cooperation to the Company after your Date of Termination, the Company shall pay you an hourly rate of $400 for any additional hours of cooperation, over the initial fifteen (15) hours, except for your testimony pursuant to a lawfully issued summons or subpoena. The Company further agrees that it will pay/reimburse your reasonable out-of-pocket expenses and fees within thirty (30) days of your submission of receipts and invoices to the Company.</w:t>
      </w:r>
    </w:p>
    <w:p>
      <w:pPr>
        <w:spacing w:after="0" w:line="86" w:lineRule="exact"/>
        <w:rPr>
          <w:rFonts w:ascii="Times New Roman" w:cs="Times New Roman" w:eastAsia="Times New Roman" w:hAnsi="Times New Roman"/>
          <w:sz w:val="18"/>
          <w:szCs w:val="18"/>
          <w:color w:val="auto"/>
        </w:rPr>
      </w:pPr>
    </w:p>
    <w:p>
      <w:pPr>
        <w:ind w:left="1160" w:hanging="505"/>
        <w:spacing w:after="0" w:line="258" w:lineRule="auto"/>
        <w:tabs>
          <w:tab w:leader="none" w:pos="11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Relief</w:t>
      </w:r>
      <w:r>
        <w:rPr>
          <w:rFonts w:ascii="Times New Roman" w:cs="Times New Roman" w:eastAsia="Times New Roman" w:hAnsi="Times New Roman"/>
          <w:sz w:val="18"/>
          <w:szCs w:val="18"/>
          <w:color w:val="auto"/>
        </w:rPr>
        <w:t>. You agree that it may be difficult to measure any damages caused to the Company which might result from any breach by you of the Continuing Obligations, and that in any event money damages may be an inadequate remedy for any such breach. Accordingly, you agree that if you breach, or propose to breach, any portion of the Continuing Obligations, the Company shall be entitled, in addition to all other remedies that it may have, to seek an injunction or other appropriate equitable relief to restrain any such breach without showing or proving any actual damage to the Company.</w:t>
      </w:r>
    </w:p>
    <w:p>
      <w:pPr>
        <w:spacing w:after="0" w:line="75" w:lineRule="exact"/>
        <w:rPr>
          <w:rFonts w:ascii="Times New Roman" w:cs="Times New Roman" w:eastAsia="Times New Roman" w:hAnsi="Times New Roman"/>
          <w:sz w:val="18"/>
          <w:szCs w:val="18"/>
          <w:color w:val="auto"/>
        </w:rPr>
      </w:pPr>
    </w:p>
    <w:p>
      <w:pPr>
        <w:ind w:left="1160" w:right="40" w:hanging="505"/>
        <w:spacing w:after="0" w:line="252" w:lineRule="auto"/>
        <w:tabs>
          <w:tab w:leader="none" w:pos="11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Protected Activities</w:t>
      </w:r>
      <w:r>
        <w:rPr>
          <w:rFonts w:ascii="Times New Roman" w:cs="Times New Roman" w:eastAsia="Times New Roman" w:hAnsi="Times New Roman"/>
          <w:sz w:val="18"/>
          <w:szCs w:val="18"/>
          <w:color w:val="auto"/>
        </w:rPr>
        <w:t>. Nothing contained in this Agreement, any other agreement with the Company, or any Company policy limits your ability, with or without notice to the Company, to: (i) file a charge or complaint with any federal, state or local governmental agency or commission (a “Government Agency”), including without limitation, the Equal Employment Opportunity Commission, the National Labor Relations Board or the Securities and Exchange Commission; (ii) communicate with any Government Agency or otherwise participate in any investigation or proceeding that may be conducted by any Government Agency, including by providing non-privileged documents or information; (iii) exercise any rights under Section 7 of the National Labor Relations Act, which are available to non-supervisory employees, including assisting co-workers with or discussing any employment issue as part of engaging in concerted activities for the purpose of mutual aid or protection; (iv) discuss or disclose information about unlawful acts in the workplace, such as harassment or discrimination or any other conduct that you have reason to believe is unlawful; or (v) testify truthfully in a legal proceeding. Any such communications and disclosures must not violate applicable law and the information disclosed must not have been obtained through a communication that was subject to the attorney-client privilege (unless disclosure of that information would otherwise be permitted consistent with such privilege or applicable law). In addition, for the avoidance of doubt, pursuant to the federal Defend Trade Secrets Act of 2016, you shall not be held criminally or civilly liable under any federal or state trade secret law or under this Agreement or the Restrictive Covenants Agreement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83" w:lineRule="exact"/>
        <w:rPr>
          <w:rFonts w:ascii="Times New Roman" w:cs="Times New Roman" w:eastAsia="Times New Roman" w:hAnsi="Times New Roman"/>
          <w:sz w:val="18"/>
          <w:szCs w:val="18"/>
          <w:color w:val="auto"/>
        </w:rPr>
      </w:pPr>
    </w:p>
    <w:p>
      <w:pPr>
        <w:ind w:left="660" w:hanging="515"/>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of Disputes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60" w:right="80" w:hanging="505"/>
        <w:spacing w:after="0" w:line="258" w:lineRule="auto"/>
        <w:tabs>
          <w:tab w:leader="none" w:pos="11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Generally</w:t>
      </w:r>
      <w:r>
        <w:rPr>
          <w:rFonts w:ascii="Times New Roman" w:cs="Times New Roman" w:eastAsia="Times New Roman" w:hAnsi="Times New Roman"/>
          <w:sz w:val="18"/>
          <w:szCs w:val="18"/>
          <w:color w:val="auto"/>
        </w:rPr>
        <w:t>. Any controversy or claim arising out of or relating to this Agreement or the breach thereof or otherwise arising out of your employment or the termination of that employment (including, without limitation, any claims of unlawful employment discrimination or retaliation, whether based on race, religion, national origin, sex, gender, age, disability, sexual orientation, or any other protected class under applicable law, including without limitation Massachusetts General Laws Chapter 151B) shall,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458470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309" w:right="359" w:bottom="1440" w:gutter="0" w:footer="0" w:header="0"/>
        </w:sectPr>
      </w:pPr>
    </w:p>
    <w:bookmarkStart w:id="91" w:name="page92"/>
    <w:bookmarkEnd w:id="91"/>
    <w:p>
      <w:pPr>
        <w:ind w:left="1160"/>
        <w:spacing w:after="0" w:line="253" w:lineRule="auto"/>
        <w:rPr>
          <w:sz w:val="20"/>
          <w:szCs w:val="20"/>
          <w:color w:val="auto"/>
        </w:rPr>
      </w:pPr>
      <w:r>
        <w:rPr>
          <w:rFonts w:ascii="Times New Roman" w:cs="Times New Roman" w:eastAsia="Times New Roman" w:hAnsi="Times New Roman"/>
          <w:sz w:val="18"/>
          <w:szCs w:val="18"/>
          <w:color w:val="auto"/>
        </w:rPr>
        <w:t>fullest extent permitted by law, be settled by arbitration in any forum and form agreed upon by the parties or, in the absence of such an agreement, under the auspices of JAMS in Boston, Massachusetts in accordance with the JAMS Employment Arbitration Rules, including, but not limited to, the rules and procedures applicable to the selection of arbitrators. You understand that you may only bring such claims in your individual capacity, and not as a plaintiff or class member in any purported class proceeding or any purported representative proceeding. You further understand that, by signing this Agreement, the Company and you are giving up any right they may have to a jury trial on all claims they may have against each other. Judgment upon the award rendered by the arbitrator may be entered in any court having jurisdiction thereof. This Section 9 shall be specifically enforceable. Notwithstanding the foregoing, this Section 9 shall not preclude either party from pursuing a court action for the sole purpose of obtaining a temporary restraining order or a preliminary injunction in circumstances in which such relief is appropriate, including without limitation relief sought under the Restrictive Covenants Agreement; provided that any other relief shall be pursued through an arbitration proceeding pursuant to this Section 9.</w:t>
      </w:r>
    </w:p>
    <w:p>
      <w:pPr>
        <w:spacing w:after="0" w:line="82" w:lineRule="exact"/>
        <w:rPr>
          <w:sz w:val="20"/>
          <w:szCs w:val="20"/>
          <w:color w:val="auto"/>
        </w:rPr>
      </w:pPr>
    </w:p>
    <w:p>
      <w:pPr>
        <w:ind w:left="1160" w:right="160" w:hanging="505"/>
        <w:spacing w:after="0" w:line="258" w:lineRule="auto"/>
        <w:tabs>
          <w:tab w:leader="none" w:pos="11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Fees and Costs</w:t>
      </w:r>
      <w:r>
        <w:rPr>
          <w:rFonts w:ascii="Times New Roman" w:cs="Times New Roman" w:eastAsia="Times New Roman" w:hAnsi="Times New Roman"/>
          <w:sz w:val="18"/>
          <w:szCs w:val="18"/>
          <w:color w:val="auto"/>
        </w:rPr>
        <w:t>. You shall be required to pay an arbitration fee to initiate any arbitration equal to what you would be charged as a first appearance fee in court. The Company shall pay the remaining fees and costs of the arbitrator. Each party shall pay its own costs and attorneys’ fees, if any. If, however, any party prevails on a statutory or contractual claim that entitles the prevailing party to attorneys’ fees (including pursuant to this Agreement), the arbitrator will award attorneys’ fees to the prevailing party to the extent permitted by law.</w:t>
      </w:r>
    </w:p>
    <w:p>
      <w:pPr>
        <w:spacing w:after="0" w:line="75" w:lineRule="exact"/>
        <w:rPr>
          <w:rFonts w:ascii="Times New Roman" w:cs="Times New Roman" w:eastAsia="Times New Roman" w:hAnsi="Times New Roman"/>
          <w:sz w:val="18"/>
          <w:szCs w:val="18"/>
          <w:color w:val="auto"/>
        </w:rPr>
      </w:pPr>
    </w:p>
    <w:p>
      <w:pPr>
        <w:ind w:left="660" w:right="20" w:hanging="515"/>
        <w:spacing w:after="0" w:line="277" w:lineRule="auto"/>
        <w:tabs>
          <w:tab w:leader="none" w:pos="6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Consent to Jurisdiction</w:t>
      </w:r>
      <w:r>
        <w:rPr>
          <w:rFonts w:ascii="Times New Roman" w:cs="Times New Roman" w:eastAsia="Times New Roman" w:hAnsi="Times New Roman"/>
          <w:sz w:val="17"/>
          <w:szCs w:val="17"/>
          <w:color w:val="auto"/>
        </w:rPr>
        <w:t>. To the extent that any court action is permitted consistent with or to enforce Section 9 of this Agreement, the parties hereby consent to the jurisdiction of the state and federal courts of the Commonwealth of Massachusetts. Accordingly, with respect to any such court action, you (a) submit to the exclusive personal jurisdiction of such courts; (b) consent to service of process; (c) waive any other requirement (whether imposed by statute, rule of court, or otherwise) with respect to personal jurisdiction or service of process; and (d) you and the Company waive any right to a jury in connection with any such court action.</w:t>
      </w:r>
    </w:p>
    <w:p>
      <w:pPr>
        <w:spacing w:after="0" w:line="59" w:lineRule="exact"/>
        <w:rPr>
          <w:rFonts w:ascii="Times New Roman" w:cs="Times New Roman" w:eastAsia="Times New Roman" w:hAnsi="Times New Roman"/>
          <w:sz w:val="17"/>
          <w:szCs w:val="17"/>
          <w:color w:val="auto"/>
        </w:rPr>
      </w:pPr>
    </w:p>
    <w:p>
      <w:pPr>
        <w:ind w:left="660" w:right="20" w:hanging="515"/>
        <w:spacing w:after="0" w:line="261"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Mitigation</w:t>
      </w:r>
      <w:r>
        <w:rPr>
          <w:rFonts w:ascii="Times New Roman" w:cs="Times New Roman" w:eastAsia="Times New Roman" w:hAnsi="Times New Roman"/>
          <w:sz w:val="18"/>
          <w:szCs w:val="18"/>
          <w:color w:val="auto"/>
        </w:rPr>
        <w:t>. The Company agrees that if your employment by the Company is terminated during the term of this Agreement, you are not required to seek other employment or to attempt in any way to reduce any amounts payable to you by the Company pursuant to Sections 5 or 6 hereof. Further, the amount of any payment provided for in this Agreement shall not be reduced by any compensation earned by you.</w:t>
      </w:r>
    </w:p>
    <w:p>
      <w:pPr>
        <w:spacing w:after="0" w:line="71" w:lineRule="exact"/>
        <w:rPr>
          <w:rFonts w:ascii="Times New Roman" w:cs="Times New Roman" w:eastAsia="Times New Roman" w:hAnsi="Times New Roman"/>
          <w:sz w:val="18"/>
          <w:szCs w:val="18"/>
          <w:color w:val="auto"/>
        </w:rPr>
      </w:pPr>
    </w:p>
    <w:p>
      <w:pPr>
        <w:ind w:left="660" w:right="120" w:hanging="515"/>
        <w:spacing w:after="0" w:line="289" w:lineRule="auto"/>
        <w:tabs>
          <w:tab w:leader="none" w:pos="6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Integration</w:t>
      </w:r>
      <w:r>
        <w:rPr>
          <w:rFonts w:ascii="Times New Roman" w:cs="Times New Roman" w:eastAsia="Times New Roman" w:hAnsi="Times New Roman"/>
          <w:sz w:val="17"/>
          <w:szCs w:val="17"/>
          <w:color w:val="auto"/>
        </w:rPr>
        <w:t>. This Agreement constitutes the entire agreement between the parties with respect to the subject matter hereof and supersedes all prior agreements between the parties concerning such subject matter, including the Prior Agreement, provided that the Restrictive Covenants Agreement, the Indemnification Agreement and the Equity Documents remain in full force and effect.</w:t>
      </w:r>
    </w:p>
    <w:p>
      <w:pPr>
        <w:spacing w:after="0" w:line="49" w:lineRule="exact"/>
        <w:rPr>
          <w:rFonts w:ascii="Times New Roman" w:cs="Times New Roman" w:eastAsia="Times New Roman" w:hAnsi="Times New Roman"/>
          <w:sz w:val="17"/>
          <w:szCs w:val="17"/>
          <w:color w:val="auto"/>
        </w:rPr>
      </w:pPr>
    </w:p>
    <w:p>
      <w:pPr>
        <w:ind w:left="660" w:right="80" w:hanging="515"/>
        <w:spacing w:after="0" w:line="261"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 Effect</w:t>
      </w:r>
      <w:r>
        <w:rPr>
          <w:rFonts w:ascii="Times New Roman" w:cs="Times New Roman" w:eastAsia="Times New Roman" w:hAnsi="Times New Roman"/>
          <w:sz w:val="18"/>
          <w:szCs w:val="18"/>
          <w:color w:val="auto"/>
        </w:rPr>
        <w:t>. All payments made by the Company to you under this Agreement shall be net of any tax or other amounts required to be withheld by the Company under applicable law. Nothing in this Agreement shall be construed to require the Company to make any payments to compensate you for any adverse tax effect associated with any payments or benefits or for any deduction or withholding from any payment or benefit.</w:t>
      </w:r>
    </w:p>
    <w:p>
      <w:pPr>
        <w:spacing w:after="0" w:line="71" w:lineRule="exact"/>
        <w:rPr>
          <w:rFonts w:ascii="Times New Roman" w:cs="Times New Roman" w:eastAsia="Times New Roman" w:hAnsi="Times New Roman"/>
          <w:sz w:val="18"/>
          <w:szCs w:val="18"/>
          <w:color w:val="auto"/>
        </w:rPr>
      </w:pPr>
    </w:p>
    <w:p>
      <w:pPr>
        <w:ind w:left="660" w:right="100" w:hanging="515"/>
        <w:spacing w:after="0" w:line="253"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you nor the Company may make any assignment of this Agreement or any interest in it, by operation of law or otherwise, without the prior written consent of the other; provided, however, that the Company may assign its rights and obligations under this Agreement (including the Restrictive Covenants Agreement) without your consent to any affiliate or to any person or entity with whom the Company shall hereafter effect a reorganization, consolidate with, or merge into or to whom it transfers all or substantially all of its properties or assets, but only on the condition that it assigns both its rights and obligations. This Agreement shall inure to the benefit of and be binding upon you and the Company, and each of yours and the Company’s respective successors, executors, administrators, heirs, personal representatives, and permitted assigns. In the event of your death prior to the completion by the Company of any payments due to you under Sections 5 or 6 of this Agreement, the Company shall continue such payments to the beneficiary you designated in writing to the Company prior to your death, or to your estate, heirs, executors or personal representatives if you failed to make such designation.</w:t>
      </w:r>
    </w:p>
    <w:p>
      <w:pPr>
        <w:spacing w:after="0" w:line="86" w:lineRule="exact"/>
        <w:rPr>
          <w:rFonts w:ascii="Times New Roman" w:cs="Times New Roman" w:eastAsia="Times New Roman" w:hAnsi="Times New Roman"/>
          <w:sz w:val="18"/>
          <w:szCs w:val="18"/>
          <w:color w:val="auto"/>
        </w:rPr>
      </w:pPr>
    </w:p>
    <w:p>
      <w:pPr>
        <w:ind w:left="660" w:hanging="515"/>
        <w:spacing w:after="0" w:line="258"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458470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1309" w:right="379" w:bottom="1440" w:gutter="0" w:footer="0" w:header="0"/>
        </w:sectPr>
      </w:pPr>
    </w:p>
    <w:bookmarkStart w:id="92" w:name="page93"/>
    <w:bookmarkEnd w:id="92"/>
    <w:p>
      <w:pPr>
        <w:ind w:left="660" w:right="700" w:hanging="515"/>
        <w:spacing w:after="0" w:line="28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provisions of this Agreement shall survive the termination of this Agreement and/or the termination of your employment to the extent necessary to effectuate the terms contained herein.</w:t>
      </w:r>
    </w:p>
    <w:p>
      <w:pPr>
        <w:spacing w:after="0" w:line="53" w:lineRule="exact"/>
        <w:rPr>
          <w:rFonts w:ascii="Times New Roman" w:cs="Times New Roman" w:eastAsia="Times New Roman" w:hAnsi="Times New Roman"/>
          <w:sz w:val="18"/>
          <w:szCs w:val="18"/>
          <w:color w:val="auto"/>
        </w:rPr>
      </w:pPr>
    </w:p>
    <w:p>
      <w:pPr>
        <w:ind w:left="660" w:right="40" w:hanging="515"/>
        <w:spacing w:after="0" w:line="261"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71" w:lineRule="exact"/>
        <w:rPr>
          <w:rFonts w:ascii="Times New Roman" w:cs="Times New Roman" w:eastAsia="Times New Roman" w:hAnsi="Times New Roman"/>
          <w:sz w:val="18"/>
          <w:szCs w:val="18"/>
          <w:color w:val="auto"/>
        </w:rPr>
      </w:pPr>
    </w:p>
    <w:p>
      <w:pPr>
        <w:ind w:left="660" w:right="60" w:hanging="515"/>
        <w:spacing w:after="0" w:line="261"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you at the last address you have on file in writing with the Company or, in the case of the Company, at its main offices, attention of the Board.</w:t>
      </w:r>
    </w:p>
    <w:p>
      <w:pPr>
        <w:spacing w:after="0" w:line="71" w:lineRule="exact"/>
        <w:rPr>
          <w:rFonts w:ascii="Times New Roman" w:cs="Times New Roman" w:eastAsia="Times New Roman" w:hAnsi="Times New Roman"/>
          <w:sz w:val="18"/>
          <w:szCs w:val="18"/>
          <w:color w:val="auto"/>
        </w:rPr>
      </w:pPr>
    </w:p>
    <w:p>
      <w:pPr>
        <w:ind w:left="660" w:right="200" w:hanging="515"/>
        <w:spacing w:after="0" w:line="28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or modified only by a written instrument signed by you and by a duly authorized representative of the Company.</w:t>
      </w:r>
    </w:p>
    <w:p>
      <w:pPr>
        <w:spacing w:after="0" w:line="53" w:lineRule="exact"/>
        <w:rPr>
          <w:rFonts w:ascii="Times New Roman" w:cs="Times New Roman" w:eastAsia="Times New Roman" w:hAnsi="Times New Roman"/>
          <w:sz w:val="18"/>
          <w:szCs w:val="18"/>
          <w:color w:val="auto"/>
        </w:rPr>
      </w:pPr>
    </w:p>
    <w:p>
      <w:pPr>
        <w:ind w:left="660" w:hanging="515"/>
        <w:spacing w:after="0" w:line="254"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Other Plans and Agreements</w:t>
      </w:r>
      <w:r>
        <w:rPr>
          <w:rFonts w:ascii="Times New Roman" w:cs="Times New Roman" w:eastAsia="Times New Roman" w:hAnsi="Times New Roman"/>
          <w:sz w:val="18"/>
          <w:szCs w:val="18"/>
          <w:color w:val="auto"/>
        </w:rPr>
        <w:t>. An election by you to resign for Good Reason under the provisions of this Agreement shall not be deemed a voluntary termination of employment by you for the purpose of interpreting the provisions of any of the Company's benefit plans, programs or policies. Nothing in this Agreement shall be construed to limit the rights of you under the Company’s benefit plans, programs or policies except as otherwise provided in Section 8 hereof, and except that you shall have no rights to any severance benefits under any Company severance pay plan, offer letter or otherwise. In the event that you are a party to an agreement with the Company providing for payments or benefits under such plan or agreement and under this Agreement, the terms of this Agreement shall govern and you may receive payment under this Agreement only and not both. Further, Section 5 and Section 6 of this Agreement are mutually exclusive and in no event shall you be entitled to payments or benefits pursuant to both Section 5 and Section 6 of this Agreement.</w:t>
      </w:r>
    </w:p>
    <w:p>
      <w:pPr>
        <w:spacing w:after="0" w:line="80" w:lineRule="exact"/>
        <w:rPr>
          <w:rFonts w:ascii="Times New Roman" w:cs="Times New Roman" w:eastAsia="Times New Roman" w:hAnsi="Times New Roman"/>
          <w:sz w:val="18"/>
          <w:szCs w:val="18"/>
          <w:color w:val="auto"/>
        </w:rPr>
      </w:pPr>
    </w:p>
    <w:p>
      <w:pPr>
        <w:ind w:left="660" w:right="100" w:hanging="515"/>
        <w:spacing w:after="0" w:line="261"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is a Massachusetts contract and shall be construed under and be governed in all respects by the laws of the Commonwealth of Massachusetts, without giving effect to the conflict of laws principles thereof. With respect to any disputes concerning federal law, such disputes shall be determined in accordance with the law as it would be interpreted and applied by the United States Court of Appeals for the First Circuit.</w:t>
      </w:r>
    </w:p>
    <w:p>
      <w:pPr>
        <w:spacing w:after="0" w:line="71" w:lineRule="exact"/>
        <w:rPr>
          <w:rFonts w:ascii="Times New Roman" w:cs="Times New Roman" w:eastAsia="Times New Roman" w:hAnsi="Times New Roman"/>
          <w:sz w:val="18"/>
          <w:szCs w:val="18"/>
          <w:color w:val="auto"/>
        </w:rPr>
      </w:pPr>
    </w:p>
    <w:p>
      <w:pPr>
        <w:ind w:left="660" w:right="380" w:hanging="515"/>
        <w:spacing w:after="0" w:line="28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effective on the Effective Date.</w:t>
      </w:r>
    </w:p>
    <w:p>
      <w:pPr>
        <w:spacing w:after="0" w:line="22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229" w:lineRule="exact"/>
        <w:rPr>
          <w:sz w:val="20"/>
          <w:szCs w:val="20"/>
          <w:color w:val="auto"/>
        </w:rPr>
      </w:pPr>
    </w:p>
    <w:tbl>
      <w:tblPr>
        <w:tblLayout w:type="fixed"/>
        <w:tblInd w:w="63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Quisel</w:t>
            </w:r>
          </w:p>
        </w:tc>
      </w:tr>
      <w:tr>
        <w:trPr>
          <w:trHeight w:val="22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7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3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/s/ Pamela Stephenson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5715</wp:posOffset>
            </wp:positionV>
            <wp:extent cx="20574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8"/>
          <w:szCs w:val="18"/>
          <w:color w:val="auto"/>
        </w:rPr>
        <w:t>Pamela Stephenson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117"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Restrictive Covenants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487045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09" w:right="339" w:bottom="1440" w:gutter="0" w:footer="0" w:header="0"/>
        </w:sectPr>
      </w:pPr>
    </w:p>
    <w:bookmarkStart w:id="93" w:name="page94"/>
    <w:bookmarkEnd w:id="93"/>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 13</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 / RULE 15</w:t>
      </w:r>
      <w:r>
        <w:rPr>
          <w:rFonts w:ascii="Times New Roman" w:cs="Times New Roman" w:eastAsia="Times New Roman" w:hAnsi="Times New Roman"/>
          <w:sz w:val="13"/>
          <w:szCs w:val="13"/>
          <w:b w:val="1"/>
          <w:bCs w:val="1"/>
          <w:color w:val="auto"/>
        </w:rPr>
        <w:t>D</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 OF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Quisel, J.D., Ph.D., certify that:</w:t>
      </w:r>
    </w:p>
    <w:p>
      <w:pPr>
        <w:spacing w:after="0" w:line="117" w:lineRule="exact"/>
        <w:rPr>
          <w:sz w:val="20"/>
          <w:szCs w:val="20"/>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Disc Medicine, Inc.;</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20" w:hanging="514"/>
        <w:spacing w:after="0" w:line="282" w:lineRule="auto"/>
        <w:tabs>
          <w:tab w:leader="none" w:pos="15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Quisel, J.D., Ph.D.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94" w:name="page95"/>
    <w:bookmarkEnd w:id="94"/>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 13</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 / RULE 15</w:t>
      </w:r>
      <w:r>
        <w:rPr>
          <w:rFonts w:ascii="Times New Roman" w:cs="Times New Roman" w:eastAsia="Times New Roman" w:hAnsi="Times New Roman"/>
          <w:sz w:val="13"/>
          <w:szCs w:val="13"/>
          <w:b w:val="1"/>
          <w:bCs w:val="1"/>
          <w:color w:val="auto"/>
        </w:rPr>
        <w:t>D</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 OF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Jean Franchi, certify that:</w:t>
      </w:r>
    </w:p>
    <w:p>
      <w:pPr>
        <w:spacing w:after="0" w:line="117" w:lineRule="exact"/>
        <w:rPr>
          <w:sz w:val="20"/>
          <w:szCs w:val="20"/>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Disc Medicine, Inc.;</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20" w:hanging="514"/>
        <w:spacing w:after="0" w:line="282" w:lineRule="auto"/>
        <w:tabs>
          <w:tab w:leader="none" w:pos="1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Jean Franchi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Jean Franchi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95" w:name="page96"/>
    <w:bookmarkEnd w:id="95"/>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 AND PRINCIPAL</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FINANCIAL OFFICER PURSUANT TO 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firstLine="629"/>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on Form 10-Q of Disc Medicine, Inc. (the “Company”) for the quarter ended March 31, 2025 as filed with the Securities and Exchange Commission on the date hereof (the “Report”), each of the undersigned officers hereby certifies, pursuant to 18 U.S.C. Section 1350, as adopted pursuant to Section 906 of the Sarbanes-Oxley Act of 2002, that to the best of his or her knowledge:</w:t>
      </w:r>
    </w:p>
    <w:p>
      <w:pPr>
        <w:spacing w:after="0" w:line="68" w:lineRule="exact"/>
        <w:rPr>
          <w:sz w:val="20"/>
          <w:szCs w:val="20"/>
          <w:color w:val="auto"/>
        </w:rPr>
      </w:pPr>
    </w:p>
    <w:p>
      <w:pPr>
        <w:ind w:left="1140" w:hanging="504"/>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7,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Quisel, J.D., Ph.D.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Jean Franchi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Jean Franchi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6" w:name="page97"/>
    <w:bookmarkEnd w:id="9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1)"/>
      <w:numFmt w:val="decimal"/>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1."/>
      <w:numFmt w:val="decimal"/>
      <w:start w:val="1"/>
    </w:lvl>
    <w:lvl w:ilvl="1">
      <w:lvlJc w:val="left"/>
      <w:lvlText w:val="%2."/>
      <w:numFmt w:val="lowerLetter"/>
      <w:start w:val="1"/>
    </w:lvl>
  </w:abstractNum>
  <w:abstractNum w:abstractNumId="42">
    <w:nsid w:val="75C6C33A"/>
    <w:multiLevelType w:val="hybridMultilevel"/>
    <w:lvl w:ilvl="0">
      <w:lvlJc w:val="left"/>
      <w:lvlText w:val="%1."/>
      <w:numFmt w:val="lowerLetter"/>
      <w:start w:val="6"/>
    </w:lvl>
    <w:lvl w:ilvl="1">
      <w:lvlJc w:val="left"/>
      <w:lvlText w:val="%2."/>
      <w:numFmt w:val="lowerRoman"/>
      <w:start w:val="1"/>
    </w:lvl>
  </w:abstractNum>
  <w:abstractNum w:abstractNumId="43">
    <w:nsid w:val="12E685FB"/>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44">
    <w:nsid w:val="70C6A52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5">
    <w:nsid w:val="520EEDD1"/>
    <w:multiLevelType w:val="hybridMultilevel"/>
    <w:lvl w:ilvl="0">
      <w:lvlJc w:val="left"/>
      <w:lvlText w:val="%1"/>
      <w:numFmt w:val="lowerLetter"/>
      <w:start w:val="1"/>
    </w:lvl>
    <w:lvl w:ilvl="1">
      <w:lvlJc w:val="left"/>
      <w:lvlText w:val="%2."/>
      <w:numFmt w:val="lowerRoman"/>
      <w:start w:val="2"/>
    </w:lvl>
  </w:abstractNum>
  <w:abstractNum w:abstractNumId="46">
    <w:nsid w:val="374A3FE6"/>
    <w:multiLevelType w:val="hybridMultilevel"/>
    <w:lvl w:ilvl="0">
      <w:lvlJc w:val="left"/>
      <w:lvlText w:val="%1."/>
      <w:numFmt w:val="lowerLetter"/>
      <w:start w:val="4"/>
    </w:lvl>
    <w:lvl w:ilvl="1">
      <w:lvlJc w:val="left"/>
      <w:lvlText w:val="%2."/>
      <w:numFmt w:val="lowerRoman"/>
      <w:start w:val="1"/>
    </w:lvl>
  </w:abstractNum>
  <w:abstractNum w:abstractNumId="47">
    <w:nsid w:val="4F4EF005"/>
    <w:multiLevelType w:val="hybridMultilevel"/>
    <w:lvl w:ilvl="0">
      <w:lvlJc w:val="left"/>
      <w:lvlText w:val="%1."/>
      <w:numFmt w:val="lowerRoman"/>
      <w:start w:val="1"/>
    </w:lvl>
  </w:abstractNum>
  <w:abstractNum w:abstractNumId="48">
    <w:nsid w:val="23F9C13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2"/>
    </w:lvl>
  </w:abstractNum>
  <w:abstractNum w:abstractNumId="49">
    <w:nsid w:val="649BB77C"/>
    <w:multiLevelType w:val="hybridMultilevel"/>
    <w:lvl w:ilvl="0">
      <w:lvlJc w:val="left"/>
      <w:lvlText w:val="%1."/>
      <w:numFmt w:val="lowerLetter"/>
      <w:start w:val="2"/>
    </w:lvl>
  </w:abstractNum>
  <w:abstractNum w:abstractNumId="50">
    <w:nsid w:val="275AC79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1">
    <w:nsid w:val="39386575"/>
    <w:multiLevelType w:val="hybridMultilevel"/>
    <w:lvl w:ilvl="0">
      <w:lvlJc w:val="left"/>
      <w:lvlText w:val="%1."/>
      <w:numFmt w:val="lowerLetter"/>
      <w:start w:val="2"/>
    </w:lvl>
    <w:lvl w:ilvl="1">
      <w:lvlJc w:val="left"/>
      <w:lvlText w:val="%2."/>
      <w:numFmt w:val="lowerRoman"/>
      <w:start w:val="1"/>
    </w:lvl>
  </w:abstractNum>
  <w:abstractNum w:abstractNumId="52">
    <w:nsid w:val="1CF10FD8"/>
    <w:multiLevelType w:val="hybridMultilevel"/>
    <w:lvl w:ilvl="0">
      <w:lvlJc w:val="left"/>
      <w:lvlText w:val="%1."/>
      <w:numFmt w:val="decimal"/>
      <w:start w:val="7"/>
    </w:lvl>
    <w:lvl w:ilvl="1">
      <w:lvlJc w:val="left"/>
      <w:lvlText w:val="%2."/>
      <w:numFmt w:val="lowerLetter"/>
      <w:start w:val="1"/>
    </w:lvl>
  </w:abstractNum>
  <w:abstractNum w:abstractNumId="53">
    <w:nsid w:val="180115BE"/>
    <w:multiLevelType w:val="hybridMultilevel"/>
    <w:lvl w:ilvl="0">
      <w:lvlJc w:val="left"/>
      <w:lvlText w:val="%1"/>
      <w:numFmt w:val="decimal"/>
      <w:start w:val="1"/>
    </w:lvl>
    <w:lvl w:ilvl="1">
      <w:lvlJc w:val="left"/>
      <w:lvlText w:val="%2."/>
      <w:numFmt w:val="lowerLetter"/>
      <w:start w:val="3"/>
    </w:lvl>
  </w:abstractNum>
  <w:abstractNum w:abstractNumId="54">
    <w:nsid w:val="235BA861"/>
    <w:multiLevelType w:val="hybridMultilevel"/>
    <w:lvl w:ilvl="0">
      <w:lvlJc w:val="left"/>
      <w:lvlText w:val="%1."/>
      <w:numFmt w:val="decimal"/>
      <w:start w:val="9"/>
    </w:lvl>
    <w:lvl w:ilvl="1">
      <w:lvlJc w:val="left"/>
      <w:lvlText w:val="%2."/>
      <w:numFmt w:val="lowerLetter"/>
      <w:start w:val="1"/>
    </w:lvl>
  </w:abstractNum>
  <w:abstractNum w:abstractNumId="55">
    <w:nsid w:val="47398C89"/>
    <w:multiLevelType w:val="hybridMultilevel"/>
    <w:lvl w:ilvl="0">
      <w:lvlJc w:val="left"/>
      <w:lvlText w:val="%1"/>
      <w:numFmt w:val="decimal"/>
      <w:start w:val="1"/>
    </w:lvl>
    <w:lvl w:ilvl="1">
      <w:lvlJc w:val="left"/>
      <w:lvlText w:val="%2."/>
      <w:numFmt w:val="lowerLetter"/>
      <w:start w:val="2"/>
    </w:lvl>
  </w:abstractNum>
  <w:abstractNum w:abstractNumId="56">
    <w:nsid w:val="354FE9F9"/>
    <w:multiLevelType w:val="hybridMultilevel"/>
    <w:lvl w:ilvl="0">
      <w:lvlJc w:val="left"/>
      <w:lvlText w:val="%1."/>
      <w:numFmt w:val="decimal"/>
      <w:start w:val="10"/>
    </w:lvl>
    <w:lvl w:ilvl="1">
      <w:lvlJc w:val="left"/>
      <w:lvlText w:val="%2"/>
      <w:numFmt w:val="lowerLetter"/>
      <w:start w:val="1"/>
    </w:lvl>
  </w:abstractNum>
  <w:abstractNum w:abstractNumId="57">
    <w:nsid w:val="15B5AF5C"/>
    <w:multiLevelType w:val="hybridMultilevel"/>
    <w:lvl w:ilvl="0">
      <w:lvlJc w:val="left"/>
      <w:lvlText w:val="%1."/>
      <w:numFmt w:val="decimal"/>
      <w:start w:val="16"/>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png"/><Relationship Id="rId200" Type="http://schemas.openxmlformats.org/officeDocument/2006/relationships/image" Target="media/image187.png"/><Relationship Id="rId201" Type="http://schemas.openxmlformats.org/officeDocument/2006/relationships/image" Target="media/image188.png"/><Relationship Id="rId202" Type="http://schemas.openxmlformats.org/officeDocument/2006/relationships/image" Target="media/image189.png"/><Relationship Id="rId203"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pn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10" Type="http://schemas.openxmlformats.org/officeDocument/2006/relationships/image" Target="media/image197.png"/><Relationship Id="rId211" Type="http://schemas.openxmlformats.org/officeDocument/2006/relationships/image" Target="media/image198.png"/><Relationship Id="rId212" Type="http://schemas.openxmlformats.org/officeDocument/2006/relationships/image" Target="media/image199.png"/><Relationship Id="rId213" Type="http://schemas.openxmlformats.org/officeDocument/2006/relationships/image" Target="media/image200.png"/><Relationship Id="rId187" Type="http://schemas.openxmlformats.org/officeDocument/2006/relationships/hyperlink" Target="https://www.sec.gov/Archives/edgar/data/1816736/000114036122032239/ny20005172x1_s4.htm#tANNEXA" TargetMode="External"/><Relationship Id="rId188" Type="http://schemas.openxmlformats.org/officeDocument/2006/relationships/hyperlink" Target="https://www.sec.gov/Archives/edgar/data/1816736/000121390021002636/fs42021a5_fsdevelopment.htm#T52" TargetMode="External"/><Relationship Id="rId189" Type="http://schemas.openxmlformats.org/officeDocument/2006/relationships/hyperlink" Target="https://www.sec.gov/Archives/edgar/data/1816736/000114036122047453/brhc10045896_ex3-1.htm" TargetMode="External"/><Relationship Id="rId190" Type="http://schemas.openxmlformats.org/officeDocument/2006/relationships/hyperlink" Target="https://www.sec.gov/Archives/edgar/data/1816736/000114036122047453/brhc10045896_ex3-2.htm" TargetMode="External"/><Relationship Id="rId191" Type="http://schemas.openxmlformats.org/officeDocument/2006/relationships/hyperlink" Target="https://www.sec.gov/Archives/edgar/data/1816736/000121390021002636/fs42021a5_fsdevelopment.htm#T53" TargetMode="External"/><Relationship Id="rId192" Type="http://schemas.openxmlformats.org/officeDocument/2006/relationships/hyperlink" Target="https://www.sec.gov/Archives/edgar/data/1816736/000119312525012211/d833002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2025-05-07T07:44:30Z</dcterms:created>
  <dcterms:modified xsi:type="dcterms:W3CDTF">2025-05-07T07:44:30Z</dcterms:modified>
</cp:coreProperties>
</file>