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3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4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9"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80" w:type="dxa"/>
            <w:vAlign w:val="bottom"/>
          </w:tcPr>
          <w:p>
            <w:pPr>
              <w:jc w:val="center"/>
              <w:ind w:left="155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8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5"/>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3"/>
                <w:szCs w:val="23"/>
                <w:color w:val="auto"/>
              </w:rPr>
            </w:pPr>
          </w:p>
        </w:tc>
        <w:tc>
          <w:tcPr>
            <w:tcW w:w="22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1"/>
                <w:szCs w:val="21"/>
                <w:color w:val="auto"/>
              </w:rPr>
            </w:pPr>
          </w:p>
        </w:tc>
        <w:tc>
          <w:tcPr>
            <w:tcW w:w="33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3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980" w:type="dxa"/>
            <w:vAlign w:val="bottom"/>
            <w:vMerge w:val="restart"/>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80" w:type="dxa"/>
            <w:vAlign w:val="bottom"/>
            <w:tcBorders>
              <w:top w:val="single" w:sz="8" w:color="auto"/>
            </w:tcBorders>
          </w:tcPr>
          <w:p>
            <w:pPr>
              <w:jc w:val="center"/>
              <w:ind w:left="23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2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60" w:firstLine="599"/>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6"/>
        </w:trPr>
        <w:tc>
          <w:tcPr>
            <w:tcW w:w="19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Large accelerated filer</w:t>
            </w:r>
          </w:p>
        </w:tc>
        <w:tc>
          <w:tcPr>
            <w:tcW w:w="36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line="176" w:lineRule="exact"/>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7" w:lineRule="exact"/>
        <w:rPr>
          <w:sz w:val="24"/>
          <w:szCs w:val="24"/>
          <w:color w:val="auto"/>
        </w:rPr>
      </w:pPr>
    </w:p>
    <w:p>
      <w:pPr>
        <w:ind w:right="12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6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6, 2024 there were 24,721,666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4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FORWARD LOOKING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4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RISK FACTOR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0" w:type="dxa"/>
            <w:vAlign w:val="bottom"/>
            <w:tcBorders>
              <w:bottom w:val="single" w:sz="8" w:color="0000EE"/>
            </w:tcBorders>
          </w:tcPr>
          <w:p>
            <w:pPr>
              <w:spacing w:after="0"/>
              <w:rPr>
                <w:sz w:val="24"/>
                <w:szCs w:val="24"/>
                <w:color w:val="auto"/>
              </w:rPr>
            </w:pPr>
          </w:p>
        </w:tc>
        <w:tc>
          <w:tcPr>
            <w:tcW w:w="68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20" w:type="dxa"/>
            <w:vAlign w:val="bottom"/>
            <w:tcBorders>
              <w:bottom w:val="single" w:sz="8" w:color="0000EE"/>
            </w:tcBorders>
          </w:tcPr>
          <w:p>
            <w:pPr>
              <w:spacing w:after="0"/>
              <w:rPr>
                <w:sz w:val="19"/>
                <w:szCs w:val="19"/>
                <w:color w:val="auto"/>
              </w:rPr>
            </w:pPr>
          </w:p>
        </w:tc>
        <w:tc>
          <w:tcPr>
            <w:tcW w:w="37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Preferred Stock and Stockholders’ Equity (Deficit)</w:t>
            </w:r>
          </w:p>
        </w:tc>
        <w:tc>
          <w:tcPr>
            <w:tcW w:w="2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9"/>
                <w:szCs w:val="19"/>
                <w:color w:val="auto"/>
              </w:rPr>
            </w:pPr>
          </w:p>
        </w:tc>
        <w:tc>
          <w:tcPr>
            <w:tcW w:w="44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9"/>
                <w:szCs w:val="19"/>
                <w:color w:val="auto"/>
              </w:rPr>
            </w:pPr>
          </w:p>
        </w:tc>
        <w:tc>
          <w:tcPr>
            <w:tcW w:w="750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8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3"/>
          </w:tcPr>
          <w:p>
            <w:pPr>
              <w:spacing w:after="0"/>
              <w:rPr>
                <w:sz w:val="19"/>
                <w:szCs w:val="19"/>
                <w:color w:val="auto"/>
              </w:rPr>
            </w:pPr>
          </w:p>
        </w:tc>
        <w:tc>
          <w:tcPr>
            <w:tcW w:w="796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6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economy and the possibility of rapid change in the highly competitive industry in which we operate;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need to raise additional capital to execute our business plan, which may not be available on acceptable terms or at all;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Phase 2 clinical trials of bitopertin, Phase 1b/2 clinical trials of DISC-0974 and Phase 1 clinical trial of DISC-3405 (formerly MWTX-003) and expect to rely on third parties to conduct other clinical trials for our product candidates, as well as potential investigator-sponsored clinical trials of our product candidates. If these third parties do not successfully carry out their contractual</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color w:val="auto"/>
        </w:rPr>
        <w:t>duties, comply with regulatory requirements, meet expected deadlines, or if the prior work conducted by these third parties is incomplete, we may not be able to obtain regulatory approval for or commercialize our product candidates and our business could be substantially harmed.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or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342,615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351,948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354,182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24,695,885</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24,360,233 shares issued and outstanding as of March 31, 2024</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553,663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(215,594 )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(188,645 )</w:t>
            </w:r>
          </w:p>
        </w:tc>
      </w:tr>
      <w:tr>
        <w:trPr>
          <w:trHeight w:val="23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354,182</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5080</wp:posOffset>
            </wp:positionV>
            <wp:extent cx="2160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1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(31,462 )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(25,125 )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(26,944 )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(22,758 )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(26,949 )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(22,781 )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(26,949 )</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(22,781 )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24,809,869</w:t>
            </w: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18,954,914</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(1.09 )</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-1045210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p>
      <w:pPr>
        <w:spacing w:after="0" w:line="88" w:lineRule="exact"/>
        <w:rPr>
          <w:sz w:val="20"/>
          <w:szCs w:val="20"/>
          <w:color w:val="auto"/>
        </w:rPr>
      </w:pPr>
    </w:p>
    <w:p>
      <w:pPr>
        <w:ind w:left="140" w:right="120" w:hanging="121"/>
        <w:spacing w:after="0" w:line="282"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vMerge w:val="restart"/>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0" w:type="dxa"/>
            <w:vAlign w:val="bottom"/>
            <w:vMerge w:val="continue"/>
          </w:tcPr>
          <w:p>
            <w:pPr>
              <w:spacing w:after="0"/>
              <w:rPr>
                <w:sz w:val="15"/>
                <w:szCs w:val="15"/>
                <w:color w:val="auto"/>
              </w:rPr>
            </w:pPr>
          </w:p>
        </w:tc>
        <w:tc>
          <w:tcPr>
            <w:tcW w:w="2620" w:type="dxa"/>
            <w:vAlign w:val="bottom"/>
            <w:tcBorders>
              <w:bottom w:val="single" w:sz="8" w:color="auto"/>
            </w:tcBorders>
            <w:gridSpan w:val="4"/>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2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17,403,315</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288,814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(112,216 )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176,600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0" w:type="dxa"/>
            <w:vAlign w:val="bottom"/>
          </w:tcPr>
          <w:p>
            <w:pPr>
              <w:spacing w:after="0"/>
              <w:rPr>
                <w:sz w:val="24"/>
                <w:szCs w:val="24"/>
                <w:color w:val="auto"/>
              </w:rPr>
            </w:pPr>
          </w:p>
        </w:tc>
        <w:tc>
          <w:tcPr>
            <w:tcW w:w="14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74,753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-364490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800" w:space="720"/>
            <w:col w:w="77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restricted common stock</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 of common stock in registered direct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offering, net of issuance costs of $80</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1,488,166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34,148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34,148</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pre-funded warrants in registered</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 offering, net of issuance costs of $66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28,206</w:t>
            </w: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 of common stock in at-the-market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offerings, net of issuance costs of $408</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608,050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14,591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14,591</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(22,781 )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(22,781 )</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19,575,242</w:t>
            </w: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367,850</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(134,997 )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232,855</w:t>
            </w: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4"/>
                <w:szCs w:val="24"/>
                <w:color w:val="auto"/>
              </w:rPr>
            </w:pPr>
          </w:p>
        </w:tc>
        <w:tc>
          <w:tcPr>
            <w:tcW w:w="3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24"/>
                <w:szCs w:val="24"/>
                <w:color w:val="auto"/>
              </w:rPr>
            </w:pPr>
          </w:p>
        </w:tc>
        <w:tc>
          <w:tcPr>
            <w:tcW w:w="168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24,360,233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533,764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(188,645 )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345,121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95,467</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102"/>
        </w:trPr>
        <w:tc>
          <w:tcPr>
            <w:tcW w:w="324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of stock options</w:t>
            </w:r>
          </w:p>
        </w:tc>
        <w:tc>
          <w:tcPr>
            <w:tcW w:w="3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4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8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240" w:type="dxa"/>
            <w:vAlign w:val="bottom"/>
            <w:vMerge w:val="continue"/>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-951230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-933450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-951230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-933450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-951230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-933450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-951230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-933450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45" w:lineRule="exact"/>
        <w:rPr>
          <w:sz w:val="20"/>
          <w:szCs w:val="20"/>
          <w:color w:val="auto"/>
        </w:rPr>
      </w:pPr>
    </w:p>
    <w:p>
      <w:pPr>
        <w:ind w:left="140" w:right="980" w:hanging="121"/>
        <w:spacing w:after="0" w:line="281" w:lineRule="auto"/>
        <w:rPr>
          <w:sz w:val="20"/>
          <w:szCs w:val="20"/>
          <w:color w:val="auto"/>
        </w:rPr>
      </w:pPr>
      <w:r>
        <w:rPr>
          <w:rFonts w:ascii="Times New Roman" w:cs="Times New Roman" w:eastAsia="Times New Roman" w:hAnsi="Times New Roman"/>
          <w:sz w:val="16"/>
          <w:szCs w:val="16"/>
          <w:color w:val="auto"/>
        </w:rPr>
        <w:t>Sale of common stock in at-the-market offerings, net of issuance costs of $518</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common stock under</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4,058</w:t>
            </w:r>
          </w:p>
        </w:tc>
        <w:tc>
          <w:tcPr>
            <w:tcW w:w="14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r>
      <w:tr>
        <w:trPr>
          <w:trHeight w:val="324"/>
        </w:trPr>
        <w:tc>
          <w:tcPr>
            <w:tcW w:w="1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6"/>
              </w:rPr>
              <w:t>234,449</w:t>
            </w:r>
          </w:p>
        </w:tc>
        <w:tc>
          <w:tcPr>
            <w:tcW w:w="14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14,790</w:t>
            </w:r>
          </w:p>
        </w:tc>
        <w:tc>
          <w:tcPr>
            <w:tcW w:w="14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w:t>
            </w:r>
          </w:p>
        </w:tc>
      </w:tr>
      <w:tr>
        <w:trPr>
          <w:trHeight w:val="432"/>
        </w:trPr>
        <w:tc>
          <w:tcPr>
            <w:tcW w:w="1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5,736</w:t>
            </w:r>
          </w:p>
        </w:tc>
        <w:tc>
          <w:tcPr>
            <w:tcW w:w="14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245</w:t>
            </w:r>
          </w:p>
        </w:tc>
        <w:tc>
          <w:tcPr>
            <w:tcW w:w="14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-467360</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3660" w:space="720"/>
            <w:col w:w="68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(26,949 )</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(26,949 )</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24,695,885</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553,663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(215,594 )</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338,071</w:t>
            </w:r>
          </w:p>
        </w:tc>
      </w:tr>
      <w:tr>
        <w:trPr>
          <w:trHeight w:val="20"/>
        </w:trPr>
        <w:tc>
          <w:tcPr>
            <w:tcW w:w="35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-179070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-179070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(26,949 )</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(22,781 )</w:t>
            </w: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4,058</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w:t>
            </w:r>
          </w:p>
        </w:tc>
      </w:tr>
      <w:tr>
        <w:trPr>
          <w:trHeight w:val="23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(4,112 )</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(908 )</w:t>
            </w:r>
          </w:p>
        </w:tc>
      </w:tr>
      <w:tr>
        <w:trPr>
          <w:trHeight w:val="247"/>
        </w:trPr>
        <w:tc>
          <w:tcPr>
            <w:tcW w:w="73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(7,360 )</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(10,750 )</w:t>
            </w:r>
          </w:p>
        </w:tc>
      </w:tr>
      <w:tr>
        <w:trPr>
          <w:trHeight w:val="23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(2,084 )</w:t>
            </w:r>
          </w:p>
        </w:tc>
      </w:tr>
      <w:tr>
        <w:trPr>
          <w:trHeight w:val="243"/>
        </w:trPr>
        <w:tc>
          <w:tcPr>
            <w:tcW w:w="73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7"/>
        </w:trPr>
        <w:tc>
          <w:tcPr>
            <w:tcW w:w="7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(33,599 )</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(35,466 )</w:t>
            </w:r>
          </w:p>
        </w:tc>
      </w:tr>
      <w:tr>
        <w:trPr>
          <w:trHeight w:val="241"/>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10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offerings, net of issuance costs paid</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34,217</w:t>
            </w:r>
          </w:p>
        </w:tc>
      </w:tr>
      <w:tr>
        <w:trPr>
          <w:trHeight w:val="21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pre-funded warrants in offerings, net of issuance costs</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1"/>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28,262</w:t>
            </w:r>
          </w:p>
        </w:tc>
      </w:tr>
      <w:tr>
        <w:trPr>
          <w:trHeight w:val="218"/>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48"/>
        </w:trPr>
        <w:tc>
          <w:tcPr>
            <w:tcW w:w="7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costs paid</w:t>
            </w:r>
          </w:p>
        </w:tc>
        <w:tc>
          <w:tcPr>
            <w:tcW w:w="10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14,849</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14,605</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10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15,900</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77,306</w:t>
            </w:r>
          </w:p>
        </w:tc>
      </w:tr>
      <w:tr>
        <w:trPr>
          <w:trHeight w:val="241"/>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(17,766 )</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41,811</w:t>
            </w: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360,616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194,788</w:t>
            </w:r>
          </w:p>
        </w:tc>
      </w:tr>
      <w:tr>
        <w:trPr>
          <w:trHeight w:val="27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8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342,850</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236,599</w:t>
            </w:r>
          </w:p>
        </w:tc>
      </w:tr>
      <w:tr>
        <w:trPr>
          <w:trHeight w:val="223"/>
        </w:trPr>
        <w:tc>
          <w:tcPr>
            <w:tcW w:w="7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0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5"/>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48"/>
        </w:trPr>
        <w:tc>
          <w:tcPr>
            <w:tcW w:w="7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1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 for proceeds from stock option exercises included in other current</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1"/>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w:t>
            </w:r>
          </w:p>
        </w:tc>
      </w:tr>
      <w:tr>
        <w:trPr>
          <w:trHeight w:val="218"/>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issuance costs on sale of common stock and pre-funded warrants in</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48"/>
        </w:trPr>
        <w:tc>
          <w:tcPr>
            <w:tcW w:w="7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offerings included in accounts payable and accrued expenses</w:t>
            </w:r>
          </w:p>
        </w:tc>
        <w:tc>
          <w:tcPr>
            <w:tcW w:w="108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-3856990</wp:posOffset>
            </wp:positionV>
            <wp:extent cx="120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-3214370</wp:posOffset>
            </wp:positionV>
            <wp:extent cx="120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-2005330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-1362075</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-1345565</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and cash equivalents as of March 31, 2024 of $342.6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March 31, 2024, the Company had an accumulated deficit of $215.6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2023 and the notes thereto, which are included in the Company’s Annual Report on Form 10-K. There have been no material changes to the significant accounting policies previously disclosed in the Company’s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March 31, 2024 and for the three months ended March 31, 2024 and 2023 are unaudited. The financial data and other information contained in the notes hereto as of March 31, 2024 and for the three months ended March 31, 2024 and 2023 are also unaudited. The condensed consolidated balance sheet data as of December 31, 2023 was derived from the Company’s audited consolidated financial statements included in the Company’s Annual Report on Form 10-K.</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March 31, 2024 and the results of its operations and cash flows for the three months ended March 31, 2024 and 2023. These unaudited condensed consolidated financial statements should be read in conjunction with the audited consolidated financial statements as of and for the year ended December 31, 2023, and the notes thereto, included in the Company’s Annual Report on Form 10-K.</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for the three months ended March 31, 2024 and 2023 are not necessarily indicative of results to be expected for the full years, or any other interim periods, or any future year 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determinations for instruments accounted for at fair value including contingent amounts payable to third parties upon the consummation of specified transactions; the fair value of the contingent value right (“CVR”) (see Note 3);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(deficit)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regularly measured and carried at fair value on a recurring basis and indicate the level within the fair value hierarchy of the valuation techniques the Company</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utilized to determine such fair value, which is described further within Note 2 to the consolidated financial statements in the Company’s Annual Report on Form 10-K for the year ended December 31, 2023.</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57,712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264,004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57,712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264,004</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376"/>
        </w:trPr>
        <w:tc>
          <w:tcPr>
            <w:tcW w:w="6640" w:type="dxa"/>
            <w:vAlign w:val="bottom"/>
            <w:tcBorders>
              <w:top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CFF0FC"/>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169"/>
        </w:trPr>
        <w:tc>
          <w:tcPr>
            <w:tcW w:w="6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55,001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255,419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55,001</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255,419</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-1207770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-1190625</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-1207770</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-1190625</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notes with original maturities of three months or less, is determined through third-party pricing services. The amortized cost of the U.S. treasury notes approximates the fair value. There have been no impairments of the Company’s assets measured and carried at fair value during the three months ended March 31, 2024 and 2023. In addition, there were no changes in valuation techniques or transfers between Level 1, Level 2 and Level 3 financial assets during the three months ended March 31, 2024 and 2023. The Company did not have any non-recurring fair value measurements on any assets or liabilities during the three months ended March 31, 2024 and 2023.</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As described in Note 1 to the consolidated financial statements in the Company’s Annual Report on Form 10-K for the year ended December 31, 2023, in connection with the merger, the stockholders of Gemini at the effective time of the merger received a CVR to receive consideration from the Company upon its receipt of certain proceeds, resulting from a disposition of Gemini’s pre-merger assets within one year after the closing of the merger, calculated in accordance with the CVR Agreement. The disposition period ended December 29, 2023 and no dispositions of Gemini's pre-merger assets were made during the disposition period. Therefore, the CVR obligation no longer existed as of March 31, 2024 and December 31, 2023, respectively. The change in fair value of the CVR liability was de minimis for the three months ended March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342,615</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360,382</w:t>
            </w:r>
          </w:p>
        </w:tc>
        <w:tc>
          <w:tcPr>
            <w:tcW w:w="0" w:type="dxa"/>
            <w:vAlign w:val="bottom"/>
          </w:tcPr>
          <w:p>
            <w:pPr>
              <w:spacing w:after="0"/>
              <w:rPr>
                <w:sz w:val="1"/>
                <w:szCs w:val="1"/>
                <w:color w:val="auto"/>
              </w:rPr>
            </w:pPr>
          </w:p>
        </w:tc>
      </w:tr>
      <w:tr>
        <w:trPr>
          <w:trHeight w:val="23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w:t>
            </w:r>
          </w:p>
        </w:tc>
        <w:tc>
          <w:tcPr>
            <w:tcW w:w="3200" w:type="dxa"/>
            <w:vAlign w:val="bottom"/>
            <w:gridSpan w:val="2"/>
            <w:vMerge w:val="restart"/>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342,850</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360,616</w:t>
            </w: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200" w:type="dxa"/>
            <w:vAlign w:val="bottom"/>
            <w:gridSpan w:val="2"/>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400" w:type="dxa"/>
            <w:vAlign w:val="bottom"/>
            <w:gridSpan w:val="2"/>
            <w:vMerge w:val="continue"/>
            <w:shd w:val="clear" w:color="auto" w:fill="CFF0FC"/>
          </w:tcPr>
          <w:p>
            <w:pPr>
              <w:spacing w:after="0"/>
              <w:rPr>
                <w:sz w:val="21"/>
                <w:szCs w:val="21"/>
                <w:color w:val="auto"/>
              </w:rPr>
            </w:pPr>
          </w:p>
        </w:tc>
        <w:tc>
          <w:tcPr>
            <w:tcW w:w="144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48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-796290</wp:posOffset>
            </wp:positionV>
            <wp:extent cx="111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-779780</wp:posOffset>
            </wp:positionV>
            <wp:extent cx="111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1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5,749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2,159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180" w:type="dxa"/>
            <w:vAlign w:val="bottom"/>
            <w:tcBorders>
              <w:bottom w:val="single" w:sz="8" w:color="auto"/>
            </w:tcBorders>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8,816</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-1928495</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Development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March 31, 2024, none of the milestones had been achieved.</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Roche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Roche Agreement, the Company paid Roche an upfront, non-refundable exclusivity payment of $0.5 million in March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execution of the Roche Agreement in May 2021, the Company paid Roche an additional upfront, non-refundable payment of $4.0 million.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As of March 31, 2024, none of the milestones had been achieved. Roche is also eligible to receive tiered royalties on net sales of commercialized products, at rates ranging from high single-digits to high teens.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5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October 2023, the Company dosed the first patient in the Phase 1 clinical trial for DISC-3405, resulting in a milestone payment of $5.0 million due to Mabwell. In addition, the Company is obligated to pay certain development and regulatory milestone payments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research and development expense related to its arrangement with Mabwell of zero and $10.0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was authorized to issue up to 10,000,000 shares of preferred stock at a par value of $0.0001, with no shares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authorized capital stock of the Company included 100,000,000 shares of common stock, $0.0001 par value per share. As of March 31, 2024, the Company has 2,948,273 shares of common stock reserved for the exercise of stock options and 204,081 shares of common stock reserved for the exercise of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general and administrative expense in the consolidated statements of operations and comprehensive loss for the nine months ended September 30, 2023.</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sold an aggregate of 608,050 shares of common stock in ATM offerings under the January 2023 Shelf and pursuant to the Sales Agreement. Aggregate gross proceeds from the transactions were $15.0 million and the Company received $14.6 million in net proceeds, after deducting placement agent fees and offering expenses.</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an aggregate of 234,449 shares of common stock in ATM offerings under the November 2023 Shelf and pursuant to the ATM Agreement. Aggregate gross proceeds from the transactions were $15.3 million and the Company received $14.8 million in net proceeds, after deducting placement agent fees and offering expenses. As of March 31, 2024, the Company had sold an aggregate of 376,363 shares of common stock in ATM offerings under the November 2023 Shelf for aggregate net proceeds of $21.7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spacing w:after="0" w:line="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holder may increase or decrease the Beneficial Ownership Limitation by giving 61 days’ notice, but not to any percentage in excess of 19.99%. The investors or their affiliates are beneficial holders of more than 5% of the Company’s capital stock. The pre-funded warrants meet the condition for equity classification and were therefore recorded as a component of stockholders’ equity within additional paid-in capital at the time of their issuance. In September 2023, all of the pre-funded warrants were exercised in a cashless transaction which resulted in 1,229,221 shares of common stock being issued to the investor.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the 2017 Stock Option and Grant Plan (the “Gemini 2017 Plan”), and the 2021 Inducement Plan, but is no longer granting awards under these plans. The Company also grants awards under its 2021 Employee Stock Purchase Plan (the “2021 ESPP”), which was approved by the Company's stockholders in July 2021 and amended and restated in January 2023. In addition, subject to approval by the Company's board of directors, the Company may grant stock-based awards outside of the 2021 Plan as an inducement to its executives.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general and administrative expenses, respectively, for employees, directors and non-employees is as follows (in thousands):</w:t>
      </w:r>
    </w:p>
    <w:p>
      <w:pPr>
        <w:spacing w:after="0" w:line="6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1,543</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345</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679</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4,058</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unrecognized stock-based compensation expense as of March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0" w:type="dxa"/>
            <w:vAlign w:val="bottom"/>
          </w:tcPr>
          <w:p>
            <w:pPr>
              <w:spacing w:after="0"/>
              <w:rPr>
                <w:sz w:val="13"/>
                <w:szCs w:val="13"/>
                <w:color w:val="auto"/>
              </w:rPr>
            </w:pPr>
          </w:p>
        </w:tc>
        <w:tc>
          <w:tcPr>
            <w:tcW w:w="1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Period of Recognition</w:t>
            </w:r>
          </w:p>
        </w:tc>
        <w:tc>
          <w:tcPr>
            <w:tcW w:w="0" w:type="dxa"/>
            <w:vAlign w:val="bottom"/>
          </w:tcPr>
          <w:p>
            <w:pPr>
              <w:spacing w:after="0"/>
              <w:rPr>
                <w:sz w:val="1"/>
                <w:szCs w:val="1"/>
                <w:color w:val="auto"/>
              </w:rPr>
            </w:pPr>
          </w:p>
        </w:tc>
      </w:tr>
      <w:tr>
        <w:trPr>
          <w:trHeight w:val="187"/>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continue"/>
          </w:tcPr>
          <w:p>
            <w:pPr>
              <w:spacing w:after="0"/>
              <w:rPr>
                <w:sz w:val="16"/>
                <w:szCs w:val="16"/>
                <w:color w:val="auto"/>
              </w:rPr>
            </w:pPr>
          </w:p>
        </w:tc>
        <w:tc>
          <w:tcPr>
            <w:tcW w:w="17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22,595</w:t>
            </w:r>
          </w:p>
        </w:tc>
        <w:tc>
          <w:tcPr>
            <w:tcW w:w="14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30,753</w:t>
            </w:r>
          </w:p>
        </w:tc>
        <w:tc>
          <w:tcPr>
            <w:tcW w:w="140" w:type="dxa"/>
            <w:vAlign w:val="bottom"/>
          </w:tcPr>
          <w:p>
            <w:pPr>
              <w:spacing w:after="0"/>
              <w:rPr>
                <w:sz w:val="21"/>
                <w:szCs w:val="21"/>
                <w:color w:val="auto"/>
              </w:rPr>
            </w:pP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2"/>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equity-based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53,348</w:t>
            </w:r>
          </w:p>
        </w:tc>
        <w:tc>
          <w:tcPr>
            <w:tcW w:w="140" w:type="dxa"/>
            <w:vAlign w:val="bottom"/>
            <w:tcBorders>
              <w:bottom w:val="single" w:sz="8" w:color="CFF0FC"/>
            </w:tcBorders>
            <w:shd w:val="clear" w:color="auto" w:fill="CFF0FC"/>
          </w:tcPr>
          <w:p>
            <w:pPr>
              <w:spacing w:after="0"/>
              <w:rPr>
                <w:sz w:val="23"/>
                <w:szCs w:val="23"/>
                <w:color w:val="auto"/>
              </w:rPr>
            </w:pPr>
          </w:p>
        </w:tc>
        <w:tc>
          <w:tcPr>
            <w:tcW w:w="17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determines the fair value of the restricted stock units based on the fair value of the Company’s common stock at the time of grant.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7, 2024, the Company granted a restricted stock unit award for 36,666 shares of common stock outside of the 2021 Plan to its newly appointed Chief Financial Officer, Jean Franchi, as an inducement for entering into employment with the Company in accordance with Nasdaq Listing Rule 5635(c)(4). The restricted stock unit award vests with respect to 25% of the underlying shares on each of the first, second, third and fourth anniversaries of the vesting date as set by the Company policy, subject to Ms. Franchi’s continued employment with the Company.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26, 2024, the Company granted a restricted stock unit award for 36,666 shares of common stock outside of the 2021 Plan to its newly appointed Chief Commercial Officer, Pamela Stephenson, as an inducement for entering into employment with the Company in accordance with Nasdaq Listing Rule 5635(c)(4). The restricted stock unit award vests with respect to 25% of the underlying shares on each of the first, second, third and fourth anniversaries of the vesting date as set by the Company policy, subject to Ms. Stephenson’s continued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three months ended March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12"/>
                <w:szCs w:val="12"/>
                <w:color w:val="auto"/>
              </w:rPr>
            </w:pPr>
          </w:p>
        </w:tc>
        <w:tc>
          <w:tcPr>
            <w:tcW w:w="14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December 31, 2023</w:t>
            </w:r>
          </w:p>
        </w:tc>
        <w:tc>
          <w:tcPr>
            <w:tcW w:w="320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371,034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47"/>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32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(2,320 )</w:t>
            </w:r>
          </w:p>
        </w:tc>
        <w:tc>
          <w:tcPr>
            <w:tcW w:w="3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March 31, 2024</w:t>
            </w:r>
          </w:p>
        </w:tc>
        <w:tc>
          <w:tcPr>
            <w:tcW w:w="4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368,714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14</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4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-950595</wp:posOffset>
            </wp:positionV>
            <wp:extent cx="111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estimates the fair value of stock options on the grant date using the Black-Scholes option-pricing model. This model incorporates various assumptions, including the expected volatility, expected term, and interest rates.</w:t>
      </w:r>
    </w:p>
    <w:p>
      <w:pPr>
        <w:spacing w:after="0" w:line="54"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On February 7, 2024, the Company granted an option to purchase 55,000 shares of common stock outside of the 2021 Plan to its newly appointed Chief Financial Officer, Jean Franchi, as an inducement for entering into employment with the Company in accordance with Nasdaq Listing Rule 5635(c)</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(4). The option award has a ten-year term, with 25% of the underlying shares vesting and becoming exercisable on February 7, 2025, and the balance of the option award vesting in equal monthly installments over 36 months thereafter, subject to Ms. Franchi’s continued employment with the Company, and has an exercise price of $65.25.</w:t>
      </w:r>
    </w:p>
    <w:p>
      <w:pPr>
        <w:spacing w:after="0" w:line="78"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On February 26, 2024, the Company granted an option to purchase 55,000 shares of common stock outside of the 2021 Plan to its newly appointed Chief Commercial Officer, Pamela Stephenson, as an inducement for entering into employment with the Company in accordance with Nasdaq Listing Rule 5635(c)(4). The option award has a ten-year term, with 25% of the underlying shares vesting and becoming exercisable on February 26, 2025, and the balance of the option award vesting in equal monthly installments over 36 months thereafter, subject to Ms. Stephenson’s continued employment with the Company, and has an exercise price of $64.66.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5760" w:type="dxa"/>
            <w:vAlign w:val="bottom"/>
          </w:tcPr>
          <w:p>
            <w:pPr>
              <w:ind w:left="570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2,459,037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13.82</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109,078</w:t>
            </w: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616,871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(95,467 )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(30,924 )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2,948,273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24.23</w:t>
            </w:r>
          </w:p>
        </w:tc>
        <w:tc>
          <w:tcPr>
            <w:tcW w:w="1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8.05</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114,368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1,329,424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10.67</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6.99</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69,546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-342265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three months ended March 31, 2024 and 2023 was $5.5 million and $0.5 million,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granted were as follows:</w:t>
      </w:r>
    </w:p>
    <w:p>
      <w:pPr>
        <w:spacing w:after="0" w:line="13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0"/>
                <w:szCs w:val="20"/>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per share of common stock</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64.59</w:t>
            </w:r>
          </w:p>
        </w:tc>
        <w:tc>
          <w:tcPr>
            <w:tcW w:w="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23.10</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fair value of options vested during the three months ended March 31, 2024 and 2023 was $1.5 million and $0.8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Restricted Common Stock</w:t>
      </w:r>
    </w:p>
    <w:p>
      <w:pPr>
        <w:spacing w:after="0" w:line="121" w:lineRule="exact"/>
        <w:rPr>
          <w:sz w:val="20"/>
          <w:szCs w:val="20"/>
          <w:color w:val="auto"/>
        </w:rPr>
      </w:pPr>
    </w:p>
    <w:p>
      <w:pPr>
        <w:jc w:val="both"/>
        <w:ind w:right="6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the Company had issued 63,061 shares of restricted common stock to the founders of Disc Medicine, Inc. prior to the merger (now known as Disc Medicine OpCo, Inc.),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 As of March 31, 2024, these awards of restricted common stock were fully vested.</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 summary of restricted common stock activity is as follows:</w:t>
      </w:r>
    </w:p>
    <w:p>
      <w:pPr>
        <w:spacing w:after="0" w:line="12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8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beginning of the year</w:t>
            </w:r>
          </w:p>
        </w:tc>
        <w:tc>
          <w:tcPr>
            <w:tcW w:w="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1,916</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end of the period</w:t>
            </w:r>
          </w:p>
        </w:tc>
        <w:tc>
          <w:tcPr>
            <w:tcW w:w="118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and 2023, 5,736 shares and zero shares, respectively, of common stock were issued under the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months ended March 31, 2024 and 2023. The Company recorded state income tax expense of less than $0.1 million and less than $0.1 million for the three months ended March 31, 2024 and 2023, respectively, due to interest income. The Company continues to maintain a full valuation allowance against all of its deferred tax assets.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of 204,081 and registered direct offering in February 2023 of 1,229,224, as the pre-funded warrants are exercisable for nominal cash consideration. In September 2023, 1,229,224 of the pre-funded warrants were exercised in a cashless transaction which resulted in 1,229,221 shares of common stock being issued to the investor. As of March 31, 2024, 204,081 pre-funded warrants were outstanding.</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2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28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958</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368,714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2,948,273</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2,527,513</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three months ended March 31, 2024 and 2023 and, to the best of its knowledge, no material legal proceedings are currently pending or threatened.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March 31, 2024,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a tenant under a lease and sublease of office space in Watertown, Massachusetts, both operating leases. There have been no material changes to the Company’s leases during the three months ended March 31, 2024 and 2023. For additional information, please refer to Note 15 to the consolidated financial statements in the Company's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2023, certain existing investors participated in the Company’s registered direct offering (see Note 9).</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June 2023, an existing investor participated in the Company’s follow-on offering. For a description of the follow-on public offering, please refer to Note 10 to the consolidated financial statements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after the unaudited condensed consolidated balance sheet date of March 31, 2024 through the date these condensed consolidated financial statements were issued to ensure that these condensed consolidated financial statements include appropriate disclosure of events both recognized in the condensed consolidated financial statements as of March 31, 2024, and events which occurred subsequently but were not recognized in the condensed consolidated financial statements. The Company had no non-recognizable subsequent events.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are anticipated to be presented in the second quarter of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anticipate presenting additional interim data for anemia of MF in the second quarter of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92"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is anticipated to be presented in the first and second halves of 2024. We expect to develop DISC-3405 for the treatment of PV and other hematologic disorders.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99"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commercial, corporate and business development, and administrative functions.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in the future as we increase our headcount to support our continued research and development and potential commercialization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notes and certificates of deposit.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Value Right Liability</w:t>
      </w:r>
    </w:p>
    <w:p>
      <w:pPr>
        <w:spacing w:after="0" w:line="227"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December 2022, we entered into the CVR agreement, described in more detail in Note 1 to our consolidated financial statements in our Annual Report on Form 10-K for the year ended December 31, 2023 and Note 3 to our unaudited condensed consolidated financial statements, which provided a CVR to Gemini’s pre-merger common stockholders to receive common stock from the Company upon its receipt of certain proceeds, calculated in accordance with the CVR agreement, resulting from a disposition of Gemini’s pre-merger assets within one year after the closing of the merger. The disposition period ended December 29, 2023 and no dispositions of Gemini’s pre-merger assets were made during the disposition period. Therefore, there were no CVR payments made to the holders and there will not be any future CVR payments to the holders. Prior to December 29, 2023, the CVR liability was measured at fair value as of each reporting date and the change in the fair value for the period, if any, was recorded in the condensed consolidated statements of operations and comprehensive loss in the change in fair value of contingent value right liability. The change in fair value of the CVR liability was de minimis for the three months ended March 31, 2023.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23,704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20,180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3,524</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7,758</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4,945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2,813</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31,462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25,125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6,337</w:t>
            </w: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(31,462 )</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(25,125 )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4,519</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2,367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2,152</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7"/>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4,518</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2,367</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2,151</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(26,944 )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(22,758 )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(4,186 )</w:t>
            </w:r>
          </w:p>
        </w:tc>
      </w:tr>
      <w:tr>
        <w:trPr>
          <w:trHeight w:val="23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(26,949 )</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-1464945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-1464945</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-513715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-513715</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Bitopertin</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6,369</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3,787</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DISC-3405</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10,042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DISC-0974</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3,771</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1,256</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508</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6,434</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3,314</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23,704</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20,180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3,524</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$23.7 million for the three months ended March 31, 2024, compared to $20.2 million for the three months ended March 31, 2023. The increase of $3.5 million in research and development expenses was primarily due to a $3.8 million increase in bitopertin development expense related to increased clinical study and drug manufacturing activity, and a $3.3 million increase in personnel-related costs related to higher research and development headcount, including an increase of $1.2 million in stock-based compensation driven by the Company's annual grant to employees in January 2024; partially offset by a $5.3 million decrease related to the DISC-3405 program which incurred $10.0 million in an upfront license fee in the three months ended March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4,815</w:t>
            </w:r>
          </w:p>
        </w:tc>
        <w:tc>
          <w:tcPr>
            <w:tcW w:w="10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2,733</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86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2,138</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7,758</w:t>
            </w:r>
          </w:p>
        </w:tc>
        <w:tc>
          <w:tcPr>
            <w:tcW w:w="10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2,813</w:t>
            </w: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$7.8 million for the three months ended March 31, 2024, compared to $4.9 million for the three months ended March 31, 2023. The increase of $2.8 million in general and administrative expenses was primarily due to an increase of $2.7 million in personnel-related costs due to higher general and administrative headcount, including an increase of $1.8 million in stock-based compensation driven by the Company's annual grant to employees in January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$4.5 million for the three months ended March 31, 2024, compared to other income, net of $2.4 million for the three months ended March 31, 2023. The change of $2.2 million in other income (expense), net was primarily due to an increase in interest income based on a larger cash and cash equivalents balance and higher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was less than $0.1 million for the three months ended March 31, 2024, compared to less than $0.1 million for the three months ended March 31, 2023. This expense relates to state income tax resulting from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at-the-market offerings, proceeds from a registered direct offering and proceeds from a follow-on public offering. Through March 31, 2024,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and $41.3 million from at-the-market offerings. As of March 31, 2024, we had cash and cash equivalents of $342.6 million.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March 31, 2024, had an accumulated deficit of $215.6 million. In addition, we expect to continue to incur significant and increasing expenses and operating losses for the foreseeable future. We believe that our current cash resources will enable us to fund our current planned operating expense and capital expenditure requirements well into 2026. We may also pursue additional cash resources through public or private equity offerings, collaborations or debt financings.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(33,599 )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(35,466 )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15,900</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77,306</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(17,766 )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of $33.6 million was primarily due to our net loss of $26.9 million, which includes interest income of $4.5 million; and changes in operating assets and liabilities of $10.9 million, including a milestone payment of $5.0 million to Mabwell; offset by non-cash expenses of $4.2 million primarily related to stock-based compensation expense of $4.1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4" w:name="page25"/>
    <w:bookmarkEnd w:id="2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operating activities of $35.5 million was primarily due to our net loss of $22.8 million primarily related to the $10.0 million upfront payment under the Mabwell license agreement and an increase in operating assets and liabilities of $13.8 million primarily related to the payment of merger-related costs which were included in accounts payable at December 31, 2022, partially offset by non-cash expenses of $1.1 million.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and 2023, net cash used in investing activities was due to purchases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of $15.9 million consisted primarily of aggregate net proceeds of $14.8 million from the at-the-market offerings.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financing activities of $77.3 million consisted primarily of aggregate net proceeds of $62.4 million from sales of common stock and pre-funded warrants in a registered direct offering and aggregate net proceeds of $14.6 million from the at-the-market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2024 and the effects that such obligations are expected to have on our liquidity and cash flows in future periods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1 to 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spacing w:after="0"/>
              <w:rPr>
                <w:sz w:val="11"/>
                <w:szCs w:val="11"/>
                <w:color w:val="auto"/>
              </w:rPr>
            </w:pPr>
          </w:p>
        </w:tc>
        <w:tc>
          <w:tcPr>
            <w:tcW w:w="94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3 to 5</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spacing w:after="0"/>
              <w:rPr>
                <w:sz w:val="11"/>
                <w:szCs w:val="11"/>
                <w:color w:val="auto"/>
              </w:rPr>
            </w:pPr>
          </w:p>
        </w:tc>
        <w:tc>
          <w:tcPr>
            <w:tcW w:w="104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More Than</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5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-156845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-156845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-156845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-156845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5715</wp:posOffset>
            </wp:positionV>
            <wp:extent cx="41148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6" w:lineRule="exact"/>
        <w:rPr>
          <w:sz w:val="20"/>
          <w:szCs w:val="20"/>
          <w:color w:val="auto"/>
        </w:rPr>
      </w:pPr>
    </w:p>
    <w:p>
      <w:pPr>
        <w:ind w:firstLine="8"/>
        <w:spacing w:after="0" w:line="261"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payments due for our leased and subleased office spaces in Watertown, Massachusetts as of March 31, 2024. The lease terms began in November 2021 and June 2023, and both end in November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-215900</wp:posOffset>
            </wp:positionV>
            <wp:extent cx="41148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2023 for more </w:t>
      </w:r>
      <w:r>
        <w:rPr>
          <w:rFonts w:ascii="Times New Roman" w:cs="Times New Roman" w:eastAsia="Times New Roman" w:hAnsi="Times New Roman"/>
          <w:sz w:val="18"/>
          <w:szCs w:val="18"/>
          <w:color w:val="212529"/>
        </w:rPr>
        <w:t>information about critical accounting policies as well as a description of our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significant accounting policies</w:t>
      </w:r>
      <w:r>
        <w:rPr>
          <w:rFonts w:ascii="Times New Roman" w:cs="Times New Roman" w:eastAsia="Times New Roman" w:hAnsi="Times New Roman"/>
          <w:sz w:val="18"/>
          <w:szCs w:val="18"/>
          <w:color w:val="000000"/>
        </w:rPr>
        <w:t>.</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certain recently adopted accounting pronouncements that have or may potentially impact our financial position and results of operations is included in Note 2 to our consolidated financial statements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we had cash and cash equivalents of $342.6 million and $360.4 million, respectively, which consisted of cash, money market funds and U.S. treasury notes.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three months ended March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Principal Executive Officer and Principal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2024 that has materially affected, or is reasonably likely to materially affect, our internal control over financial reporting.</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net losses were $26.9 million and $22.8 million for the three months ended March 31, 2024 and 2023, respectively. We had an accumulated deficit of $215.6 million as of March 31, 2024.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we have cash and cash equivalents that will enable us to fund operating expenses and capital expenditure requirements well into 2026.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68"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5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three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initiated a Phase 1 clinical trial of DISC-3405 in healthy volunteers in October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140"/>
        <w:spacing w:after="0" w:line="255" w:lineRule="auto"/>
        <w:rPr>
          <w:sz w:val="20"/>
          <w:szCs w:val="20"/>
          <w:color w:val="auto"/>
        </w:rPr>
      </w:pPr>
      <w:r>
        <w:rPr>
          <w:rFonts w:ascii="Times New Roman" w:cs="Times New Roman" w:eastAsia="Times New Roman" w:hAnsi="Times New Roman"/>
          <w:sz w:val="18"/>
          <w:szCs w:val="18"/>
          <w:color w:val="auto"/>
        </w:rPr>
        <w:t>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18"/>
          <w:szCs w:val="18"/>
          <w:color w:val="auto"/>
        </w:rPr>
        <w:t>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and initial data from our Phase 2 BEACON clinical trial of bitopertin in June 2023. We announced top-line data from our AURORA Phase 2 trial of bitopertin in patients with EPP in April 2024. We also announced updated data from our Phase 2 BEACON clinical trial of bitopertin and initial data from our Phase 1b/2 DISC-0974 trials in patients with anemia of MF and patients with anemia and NDD-CKD in December 2023.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preliminary data and final data could significantly harm our business prospects and may cause the price of our common stock to fluctuate or decline.</w:t>
      </w:r>
    </w:p>
    <w:p>
      <w:pPr>
        <w:spacing w:after="0" w:line="22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w:t>
      </w:r>
    </w:p>
    <w:p>
      <w:pPr>
        <w:ind w:left="760"/>
        <w:spacing w:after="0"/>
        <w:rPr>
          <w:sz w:val="20"/>
          <w:szCs w:val="20"/>
          <w:color w:val="auto"/>
        </w:rPr>
      </w:pPr>
      <w:r>
        <w:rPr>
          <w:rFonts w:ascii="Times New Roman" w:cs="Times New Roman" w:eastAsia="Times New Roman" w:hAnsi="Times New Roman"/>
          <w:sz w:val="18"/>
          <w:szCs w:val="18"/>
          <w:color w:val="auto"/>
        </w:rPr>
        <w:t>or efficacy concerns about our product candidates;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we initiated a Phase 1 clinical trial of DISC-3405 in healthy adult volunteers in October 2023,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for any or all targeted indications. Treatment-related side effects could also affect patient recruitment or the ability of enrolled patients to complete the trial or result in potential product liability claims.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5540" w:right="1600" w:hanging="5158"/>
        <w:spacing w:after="0" w:line="282" w:lineRule="auto"/>
        <w:tabs>
          <w:tab w:leader="none" w:pos="7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to successfully transition research programs into clinical development, ability to raise capital and the scalability of the platform, pipeline and business.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initiated a separate Phase 1b/2 clinical trial in the February 2023 in patients with non-dialysis dependent CKD and anemia, and initiated a Phase 1 clinical trial of DISC-3405 in healthy adult volunteers in October 2023.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19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governmental regulation, stricter labeling requirements and potential regulatory delays in the testing or approvals of our product candidates.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It is unclear what effect, if any, the American Rescue Plan will have on the number of covered individuals.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Phase 2 clinical trials of bitopertin, Phase 1b/2 clinical trials of DISC-0974 and Phase 1 clinical trial of DISC-3405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Phase 1 trial of DISC-3405,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Although we designed our ongoing Phase 1b/2 clinical trials of DISC-0974, ongoing Phase 2 clinical trials of bitopertin, and ongoing Phase 1 clinical trial of DISC-3405, and intend to design the future clinical trials for our product candidates, these trials are or will be conducted by CROs and we expect CROs will conduct all of our future clinical trials. As a result, many important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Phase 1 trial of DISC-3405,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Phase 1 trial of DISC-3405.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pharmaceutical products. Efforts to discourage such contracting have included U.S. legislative proposals and a recent call from certain U.S. legislators to add WuXi AppTec Co., Ltd., WuXi’s parent company, and the affiliated WuXi Biologics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either or both previously mentioned WuXi entities on any or all of the aforementioned lists or other geopolitical tensions with China could lead to material supply chain disruptions or delays for our biologic drug candidates manufactured by WuXi Biologics. We may incur added costs and delays in identifying and qualifying any replacement CDMOs.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Any negative impact of such matters on our third-party suppliers and manufacturers may also have an adverse impact on our results of operations or financial condition.</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w:t>
      </w: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0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2023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0"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without specifically ruling on the constitutionality of the ACA.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It is unclear how other healthcare reform measures of the Biden administrations or other efforts, if any, to challenge repeal or replace the ACA, will impact our business.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ind w:left="9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2031.</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Try Act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published a final rule that allows Medicare Advantage Plans the option of using step therapy for Part B drugs, effective January 1, 2020.</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which eliminates the statutory Medicaid drug rebate cap, currently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which is currently subject to ongoing litigation challenging the constitutionality of the IRA’s Medicare drug price negotiation program. The effects of the IRA on our business and the healthcare industry in general is not yet known.</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w:t>
      </w:r>
    </w:p>
    <w:p>
      <w:pPr>
        <w:spacing w:after="0" w:line="1"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5" w:name="page66"/>
    <w:bookmarkEnd w:id="65"/>
    <w:p>
      <w:pPr>
        <w:jc w:val="both"/>
        <w:ind w:left="760" w:hanging="378"/>
        <w:spacing w:after="0" w:line="25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which took effect on January 1, 2020, and became enforceable by the California Attorney General on July 1, 2020. This law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California Privacy Rights Act, or CPRA, which became effective on January 1, 2023, significantly modified the CCPA by expanding consumer rights with respect to certain sensitive information, and creating a new state agency that is vested with authority to implement and enforce the CCPA.</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18"/>
          <w:szCs w:val="18"/>
          <w:color w:val="auto"/>
        </w:rPr>
        <w:t>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use and integrate artificial intelligence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European Union’s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incidents or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18"/>
          <w:szCs w:val="18"/>
          <w:color w:val="auto"/>
        </w:rPr>
        <w:t>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employees, contractors or other third-parties and industrial espionage, wire fraud and other forms of cyber fraud, the deployment of harmful malware, denial-of-service, social engineering fraud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security breaches, compromises or incidents or improper access to, use of, or disclosure of protected information, including our clinical data or patients’ personal data could result in significant liability through litigation and regulatory investigations and enforcement actions, including under state (e.g., state breach notification and consumer protection laws), federal (e.g., HIPAA, as amended by HITECH), and international law (e.g., the GDPR), and may cause a material adverse impact to our reputation, affect our ability to conduct new studies and potentially disrupt our business.</w:t>
      </w:r>
    </w:p>
    <w:p>
      <w:pPr>
        <w:spacing w:after="0" w:line="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incidents or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security breaches, compromises or incidents or improper access to or disclosure of such information could have similarly adverse consequences for us. If we are unable to prevent or adequately mitigate the impact of such security or data privacy incidents, compromises or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April 30, 2024, we had 78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$88.1 million and $91.7 million, respectively. Substantially all of the federal NOLs are not subject to expiration and the state NOLs begin to expire in 2037. As of December 31, 2023, we also had federal and state research and development tax credit carryforwards of $5.8 million and $1.8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line="282" w:lineRule="auto"/>
        <w:rPr>
          <w:sz w:val="20"/>
          <w:szCs w:val="20"/>
          <w:color w:val="auto"/>
        </w:rPr>
      </w:pPr>
      <w:r>
        <w:rPr>
          <w:rFonts w:ascii="Times New Roman" w:cs="Times New Roman" w:eastAsia="Times New Roman" w:hAnsi="Times New Roman"/>
          <w:sz w:val="18"/>
          <w:szCs w:val="18"/>
          <w:color w:val="auto"/>
        </w:rPr>
        <w:t>diminished profits and future earnings, and curtailment of our operations, any of which could adversely affect our ability to operate our business and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that we did not incur as a private company, including costs associated with public company reporting obligations under the Securities Exchange Act of 1934, as amended, or</w:t>
      </w: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on Form 10-Q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March 31, 2024, we had 24,695,885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53%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and cash equivalents and may invest or spend our cash and cash equivalents in ways with which you do not agree and in ways that may not increase the value of your investment.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March 31,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0" w:type="dxa"/>
            <w:vAlign w:val="bottom"/>
          </w:tcPr>
          <w:p>
            <w:pPr>
              <w:spacing w:after="0"/>
              <w:rPr>
                <w:sz w:val="12"/>
                <w:szCs w:val="12"/>
                <w:color w:val="auto"/>
              </w:rPr>
            </w:pPr>
          </w:p>
        </w:tc>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Duration or End Date</w:t>
            </w:r>
          </w:p>
        </w:tc>
        <w:tc>
          <w:tcPr>
            <w:tcW w:w="160" w:type="dxa"/>
            <w:vAlign w:val="bottom"/>
          </w:tcPr>
          <w:p>
            <w:pPr>
              <w:spacing w:after="0"/>
              <w:rPr>
                <w:sz w:val="12"/>
                <w:szCs w:val="12"/>
                <w:color w:val="auto"/>
              </w:rPr>
            </w:pP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00" w:type="dxa"/>
            <w:vAlign w:val="bottom"/>
          </w:tcPr>
          <w:p>
            <w:pPr>
              <w:spacing w:after="0"/>
              <w:rPr>
                <w:sz w:val="12"/>
                <w:szCs w:val="12"/>
                <w:color w:val="auto"/>
              </w:rPr>
            </w:pPr>
          </w:p>
        </w:tc>
        <w:tc>
          <w:tcPr>
            <w:tcW w:w="1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Trading</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 Sold</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Trading plan intended to</w:t>
            </w:r>
          </w:p>
        </w:tc>
        <w:tc>
          <w:tcPr>
            <w:tcW w:w="120" w:type="dxa"/>
            <w:vAlign w:val="bottom"/>
            <w:shd w:val="clear" w:color="auto" w:fill="CFF0FC"/>
          </w:tcPr>
          <w:p>
            <w:pPr>
              <w:spacing w:after="0"/>
              <w:rPr>
                <w:sz w:val="17"/>
                <w:szCs w:val="17"/>
                <w:color w:val="auto"/>
              </w:rPr>
            </w:pPr>
          </w:p>
        </w:tc>
        <w:tc>
          <w:tcPr>
            <w:tcW w:w="17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End Date</w:t>
            </w:r>
          </w:p>
        </w:tc>
        <w:tc>
          <w:tcPr>
            <w:tcW w:w="1100" w:type="dxa"/>
            <w:vAlign w:val="bottom"/>
            <w:gridSpan w:val="2"/>
            <w:shd w:val="clear" w:color="auto" w:fill="CFF0FC"/>
          </w:tcPr>
          <w:p>
            <w:pPr>
              <w:jc w:val="right"/>
              <w:ind w:right="48"/>
              <w:spacing w:after="0" w:line="202" w:lineRule="exact"/>
              <w:rPr>
                <w:sz w:val="20"/>
                <w:szCs w:val="20"/>
                <w:color w:val="auto"/>
              </w:rPr>
            </w:pPr>
            <w:r>
              <w:rPr>
                <w:rFonts w:ascii="Times New Roman" w:cs="Times New Roman" w:eastAsia="Times New Roman" w:hAnsi="Times New Roman"/>
                <w:sz w:val="18"/>
                <w:szCs w:val="18"/>
                <w:color w:val="auto"/>
              </w:rPr>
              <w:t>45,623</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218"/>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satisfy the affirmative</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15, 2024)</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defense conditions of</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Exchange Act</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Rule 10b5-1(c)</w:t>
            </w:r>
          </w:p>
        </w:tc>
        <w:tc>
          <w:tcPr>
            <w:tcW w:w="1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Rahul Khara, Pharm.D., J.D.</w:t>
            </w: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Trading plan intended to</w:t>
            </w:r>
          </w:p>
        </w:tc>
        <w:tc>
          <w:tcPr>
            <w:tcW w:w="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21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satisfy the affirmative</w:t>
            </w:r>
          </w:p>
        </w:tc>
        <w:tc>
          <w:tcPr>
            <w:tcW w:w="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8, 2024)</w:t>
            </w: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conditions of</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10b5-1(c)</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gridSpan w:val="2"/>
          </w:tcPr>
          <w:p>
            <w:pPr>
              <w:jc w:val="right"/>
              <w:ind w:right="1396"/>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54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80" w:type="dxa"/>
            <w:vAlign w:val="bottom"/>
            <w:gridSpan w:val="11"/>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Merger Sub, Inc. and Disc Medicine, Inc. (incorporated by reference to Exhibit 2.1 to the Registrant’s Proxy Statement/Prospectus 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S-4 (File No. 333-267276) filed on September 2,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Certificate of Incorporation of Disc Medicine, Inc. (incorporated by reference to Annex B to Gemini</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Therapeutics, Inc.’s Proxy Statement/Prospectus on Form S-4/A (File No. 333-249785)).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(incorporated by reference to Exhibit 3.1 to the Registrant’s Current Report on Form 8-K (File No. 001-39438) filed on December 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80">
              <w:r>
                <w:rPr>
                  <w:rFonts w:ascii="Times New Roman" w:cs="Times New Roman" w:eastAsia="Times New Roman" w:hAnsi="Times New Roman"/>
                  <w:sz w:val="18"/>
                  <w:szCs w:val="18"/>
                  <w:color w:val="0000FF"/>
                  <w:w w:val="90"/>
                </w:rPr>
                <w:t>2022).</w:t>
              </w:r>
            </w:hyperlink>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3.2 to the Registrant’s Current Report on Form 8-K (File No. 001-39438) filed on December 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81">
              <w:r>
                <w:rPr>
                  <w:rFonts w:ascii="Times New Roman" w:cs="Times New Roman" w:eastAsia="Times New Roman" w:hAnsi="Times New Roman"/>
                  <w:sz w:val="18"/>
                  <w:szCs w:val="18"/>
                  <w:color w:val="0000FF"/>
                  <w:w w:val="90"/>
                </w:rPr>
                <w:t>2022).</w:t>
              </w:r>
            </w:hyperlink>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Statement/Prospectus on Form S-4/A (File No. 333-249785)).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5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39438) filed on February 14,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Employment Agreement, dated February 7, 2024, by and between Disc Medicine, Inc. and Jean M. Franchi (incorporated by reference to</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Exhibit 10.1 to the Registration’s Current Report on Form 8-K (File No. 001-39438) filed on February 7,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Non-Qualified Stock Option Agreement Non-Plan Inducement Grant Restricted Stock Unit Award Agreement Non-Plan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Inducement Grant (incorporated by reference to Exhibit 99.5 to the Registrant’s Registration Statement on Form S-8 (File No 333-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278129) filed on March 21,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Restricted Stock Unit Award Agreement Non-Plan Inducement Grant (incorporated by reference to Exhibit 99.6 to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Registrant’s Registration Statement on Form S-8 (File No 333-278129) filed on March 21,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58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940" w:type="dxa"/>
            <w:vAlign w:val="bottom"/>
            <w:tcBorders>
              <w:right w:val="single" w:sz="8" w:color="0000FF"/>
            </w:tcBorders>
            <w:gridSpan w:val="4"/>
            <w:shd w:val="clear" w:color="auto" w:fill="0000FF"/>
          </w:tcPr>
          <w:p>
            <w:pPr>
              <w:spacing w:after="0" w:line="20" w:lineRule="exact"/>
              <w:rPr>
                <w:sz w:val="1"/>
                <w:szCs w:val="1"/>
                <w:color w:val="auto"/>
              </w:rPr>
            </w:pPr>
          </w:p>
        </w:tc>
        <w:tc>
          <w:tcPr>
            <w:tcW w:w="25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940" w:type="dxa"/>
            <w:vAlign w:val="bottom"/>
            <w:tcBorders>
              <w:right w:val="single" w:sz="8" w:color="0000EE"/>
            </w:tcBorders>
            <w:gridSpan w:val="4"/>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650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260" w:hanging="1239"/>
        <w:spacing w:after="0"/>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9512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48" w:lineRule="exact"/>
        <w:rPr>
          <w:sz w:val="20"/>
          <w:szCs w:val="20"/>
          <w:color w:val="auto"/>
        </w:rPr>
      </w:pPr>
    </w:p>
    <w:p>
      <w:pPr>
        <w:ind w:firstLine="8"/>
        <w:spacing w:after="0" w:line="282" w:lineRule="auto"/>
        <w:tabs>
          <w:tab w:leader="none" w:pos="1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6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11"/>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r>
      <w:tr>
        <w:trPr>
          <w:trHeight w:val="231"/>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r>
    </w:tbl>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March 31, 2024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lvl w:ilvl="1">
      <w:lvlJc w:val="left"/>
      <w:lvlText w:val="%2"/>
      <w:numFmt w:val="decimal"/>
      <w:start w:val="104"/>
    </w:lvl>
  </w:abstractNum>
  <w:abstractNum w:abstractNumId="44">
    <w:nsid w:val="6DE91B18"/>
    <w:multiLevelType w:val="hybridMultilevel"/>
    <w:lvl w:ilvl="0">
      <w:lvlJc w:val="left"/>
      <w:lvlText w:val="**"/>
      <w:numFmt w:val="bullet"/>
      <w:start w:val="1"/>
    </w:lvl>
    <w:lvl w:ilvl="1">
      <w:lvlJc w:val="left"/>
      <w:lvlText w:val="%2"/>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78" Type="http://schemas.openxmlformats.org/officeDocument/2006/relationships/hyperlink" Target="https://www.sec.gov/Archives/edgar/data/1816736/000114036122032239/ny20005172x1_s4.htm#tANNEXA" TargetMode="External"/><Relationship Id="rId179" Type="http://schemas.openxmlformats.org/officeDocument/2006/relationships/hyperlink" Target="https://www.sec.gov/Archives/edgar/data/1816736/000121390021002636/fs42021a5_fsdevelopment.htm#T52" TargetMode="External"/><Relationship Id="rId180" Type="http://schemas.openxmlformats.org/officeDocument/2006/relationships/hyperlink" Target="https://www.sec.gov/Archives/edgar/data/1816736/000114036122047453/brhc10045896_ex3-1.htm" TargetMode="External"/><Relationship Id="rId181" Type="http://schemas.openxmlformats.org/officeDocument/2006/relationships/hyperlink" Target="https://www.sec.gov/Archives/edgar/data/1816736/000114036122047453/brhc10045896_ex3-2.htm" TargetMode="External"/><Relationship Id="rId182" Type="http://schemas.openxmlformats.org/officeDocument/2006/relationships/hyperlink" Target="https://www.sec.gov/Archives/edgar/data/1816736/000121390021002636/fs42021a5_fsdevelopment.htm#T53" TargetMode="External"/><Relationship Id="rId183" Type="http://schemas.openxmlformats.org/officeDocument/2006/relationships/hyperlink" Target="https://www.sec.gov/Archives/edgar/data/1816736/000119312523037151/d289637dex41.htm" TargetMode="External"/><Relationship Id="rId184" Type="http://schemas.openxmlformats.org/officeDocument/2006/relationships/hyperlink" Target="https://www.sec.gov/Archives/edgar/data/1816736/000119312524025951/d758257dex101.htm" TargetMode="External"/><Relationship Id="rId185" Type="http://schemas.openxmlformats.org/officeDocument/2006/relationships/hyperlink" Target="https://www.sec.gov/Archives/edgar/data/1816736/000119312524073358/d804404dex995.htm" TargetMode="External"/><Relationship Id="rId186" Type="http://schemas.openxmlformats.org/officeDocument/2006/relationships/hyperlink" Target="https://www.sec.gov/Archives/edgar/data/1816736/000119312524073358/d804404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2024-05-09T07:24:51Z</dcterms:created>
  <dcterms:modified xsi:type="dcterms:W3CDTF">2024-05-09T07:24:51Z</dcterms:modified>
</cp:coreProperties>
</file>