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8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160020</wp:posOffset>
            </wp:positionV>
            <wp:extent cx="123444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6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October 1,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September 30, 2021, the last reported sale price of our common stock on the NASDAQ Global Market was $4.04.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Investment in our common stock involves risks. See “Risk Factors” beginning on page 10 of the Prospectus.</w:t>
      </w:r>
    </w:p>
    <w:p>
      <w:pPr>
        <w:spacing w:after="0" w:line="227"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1, 2021.</w:t>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0"/>
          <w:szCs w:val="20"/>
          <w:color w:val="auto"/>
        </w:rPr>
      </w:pPr>
    </w:p>
    <w:p>
      <w:pPr>
        <w:ind w:left="440" w:right="240" w:hanging="426"/>
        <w:spacing w:after="0" w:line="277" w:lineRule="auto"/>
        <w:tabs>
          <w:tab w:leader="none" w:pos="35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09" w:right="4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On September 29, 2021, Gemini Therapeutics, Inc. (the “Company”) held its 2021 Annual Meeting of Stockholders (the “2021 Annual Meeting”). Proxies were solicited pursuant to the Company’s proxy statement filed on August 17, 2021 with the Securities and Exchange Commission under Section 14(a) of the Securities Exchange Act of 1934, as amended. As of August 2, 2021, the record date for the 2021 Annual Meeting, there were 43,055,112 shares of the Company’s common stock, par value $0.0001 per share, (the “Common Stock”) outstanding and entitled to vote at the 2021 Annual Meeting. A total of 28,632,671 shares of Common Stock were present or represented by proxy at the 2021 Annual Meeting, representing</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66.50% of the issued and outstanding shares entitled to vote at the meeting, representing a quorum. Each share of Common Stock was entitled to one vote with respect to matters submitted to the Company’s stockholders at the 2021 Annual Meeting. The proposals voted upon and the final results of the vote were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1</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Election of Class I Director</w:t>
      </w:r>
      <w:r>
        <w:rPr>
          <w:rFonts w:ascii="Arial" w:cs="Arial" w:eastAsia="Arial" w:hAnsi="Arial"/>
          <w:sz w:val="16"/>
          <w:szCs w:val="16"/>
          <w:color w:val="auto"/>
        </w:rPr>
        <w:t>. Carl L. Gordon was duly elected to the Company’s Board as a Class I director. The results were as follows:</w:t>
      </w:r>
    </w:p>
    <w:p>
      <w:pPr>
        <w:spacing w:after="0" w:line="271"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48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Withheld</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Broker Non-Votes</w:t>
            </w:r>
          </w:p>
        </w:tc>
      </w:tr>
      <w:tr>
        <w:trPr>
          <w:trHeight w:val="217"/>
        </w:trPr>
        <w:tc>
          <w:tcPr>
            <w:tcW w:w="5800" w:type="dxa"/>
            <w:vAlign w:val="bottom"/>
            <w:gridSpan w:val="2"/>
          </w:tcPr>
          <w:p>
            <w:pPr>
              <w:spacing w:after="0"/>
              <w:rPr>
                <w:sz w:val="20"/>
                <w:szCs w:val="20"/>
                <w:color w:val="auto"/>
              </w:rPr>
            </w:pPr>
            <w:r>
              <w:rPr>
                <w:rFonts w:ascii="Arial" w:cs="Arial" w:eastAsia="Arial" w:hAnsi="Arial"/>
                <w:sz w:val="18"/>
                <w:szCs w:val="18"/>
                <w:color w:val="auto"/>
              </w:rPr>
              <w:t>Carl L. Gordon</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18,344,313</w:t>
            </w:r>
          </w:p>
        </w:tc>
        <w:tc>
          <w:tcPr>
            <w:tcW w:w="3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8,445,896</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1,842,462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Proposal No. 2: </w:t>
      </w:r>
      <w:r>
        <w:rPr>
          <w:rFonts w:ascii="Arial" w:cs="Arial" w:eastAsia="Arial" w:hAnsi="Arial"/>
          <w:sz w:val="16"/>
          <w:szCs w:val="16"/>
          <w:u w:val="single" w:color="auto"/>
          <w:color w:val="auto"/>
        </w:rPr>
        <w:t>Approval of the Company’s 2021 Employee Stock Purchase Plan</w:t>
      </w:r>
      <w:r>
        <w:rPr>
          <w:rFonts w:ascii="Arial" w:cs="Arial" w:eastAsia="Arial" w:hAnsi="Arial"/>
          <w:sz w:val="16"/>
          <w:szCs w:val="16"/>
          <w:color w:val="auto"/>
        </w:rPr>
        <w:t>. The Company’s 2021 Employee Stock Purchase Plan was approved.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380" w:type="dxa"/>
            <w:vAlign w:val="bottom"/>
            <w:gridSpan w:val="2"/>
          </w:tcPr>
          <w:p>
            <w:pPr>
              <w:ind w:left="900"/>
              <w:spacing w:after="0"/>
              <w:rPr>
                <w:sz w:val="20"/>
                <w:szCs w:val="20"/>
                <w:color w:val="auto"/>
              </w:rPr>
            </w:pPr>
            <w:r>
              <w:rPr>
                <w:rFonts w:ascii="Arial" w:cs="Arial" w:eastAsia="Arial" w:hAnsi="Arial"/>
                <w:sz w:val="14"/>
                <w:szCs w:val="14"/>
                <w:b w:val="1"/>
                <w:bCs w:val="1"/>
                <w:color w:val="auto"/>
              </w:rPr>
              <w:t>Abstain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25,338,796</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1,437,862</w:t>
            </w:r>
          </w:p>
        </w:tc>
        <w:tc>
          <w:tcPr>
            <w:tcW w:w="100" w:type="dxa"/>
            <w:vAlign w:val="bottom"/>
          </w:tcPr>
          <w:p>
            <w:pPr>
              <w:spacing w:after="0"/>
              <w:rPr>
                <w:sz w:val="19"/>
                <w:szCs w:val="19"/>
                <w:color w:val="auto"/>
              </w:rPr>
            </w:pPr>
          </w:p>
        </w:tc>
        <w:tc>
          <w:tcPr>
            <w:tcW w:w="23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13,551</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1,842,462</w:t>
            </w:r>
          </w:p>
        </w:tc>
      </w:tr>
    </w:tbl>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Proposal No. 3: </w:t>
      </w:r>
      <w:r>
        <w:rPr>
          <w:rFonts w:ascii="Arial" w:cs="Arial" w:eastAsia="Arial" w:hAnsi="Arial"/>
          <w:sz w:val="18"/>
          <w:szCs w:val="18"/>
          <w:u w:val="single" w:color="auto"/>
          <w:color w:val="auto"/>
        </w:rPr>
        <w:t>Ratification of Independent Registered Public Accounting Firm</w:t>
      </w:r>
      <w:r>
        <w:rPr>
          <w:rFonts w:ascii="Arial" w:cs="Arial" w:eastAsia="Arial" w:hAnsi="Arial"/>
          <w:sz w:val="18"/>
          <w:szCs w:val="18"/>
          <w:color w:val="auto"/>
        </w:rPr>
        <w:t>. The appointment of Ernst &amp;Young as the Company’s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for the fiscal year ending December 31, 2021 was ratified. The results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ind w:left="860"/>
              <w:spacing w:after="0"/>
              <w:rPr>
                <w:sz w:val="20"/>
                <w:szCs w:val="20"/>
                <w:color w:val="auto"/>
              </w:rPr>
            </w:pPr>
            <w:r>
              <w:rPr>
                <w:rFonts w:ascii="Arial" w:cs="Arial" w:eastAsia="Arial" w:hAnsi="Arial"/>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28,491,832</w:t>
            </w:r>
          </w:p>
        </w:tc>
        <w:tc>
          <w:tcPr>
            <w:tcW w:w="140" w:type="dxa"/>
            <w:vAlign w:val="bottom"/>
          </w:tcPr>
          <w:p>
            <w:pPr>
              <w:spacing w:after="0"/>
              <w:rPr>
                <w:sz w:val="19"/>
                <w:szCs w:val="19"/>
                <w:color w:val="auto"/>
              </w:rPr>
            </w:pPr>
          </w:p>
        </w:tc>
        <w:tc>
          <w:tcPr>
            <w:tcW w:w="22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38,498</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102,369</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000"/>
          </w:cols>
          <w:pgMar w:left="440" w:top="270" w:right="4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2021-10-01T06:04:17Z</dcterms:created>
  <dcterms:modified xsi:type="dcterms:W3CDTF">2021-10-01T06:04:17Z</dcterms:modified>
</cp:coreProperties>
</file>