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14,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FS DEVELOPMENT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001-39438</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b w:val="1"/>
                <w:bCs w:val="1"/>
                <w:color w:val="auto"/>
              </w:rPr>
              <w:t>85-1612845</w:t>
            </w:r>
          </w:p>
        </w:tc>
      </w:tr>
      <w:tr>
        <w:trPr>
          <w:trHeight w:val="202"/>
        </w:trPr>
        <w:tc>
          <w:tcPr>
            <w:tcW w:w="3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ind w:left="1440"/>
              <w:spacing w:after="0"/>
              <w:rPr>
                <w:sz w:val="20"/>
                <w:szCs w:val="20"/>
                <w:color w:val="auto"/>
              </w:rPr>
            </w:pPr>
            <w:r>
              <w:rPr>
                <w:rFonts w:ascii="Arial" w:cs="Arial" w:eastAsia="Arial" w:hAnsi="Arial"/>
                <w:sz w:val="18"/>
                <w:szCs w:val="18"/>
                <w:b w:val="1"/>
                <w:bCs w:val="1"/>
                <w:color w:val="auto"/>
                <w:w w:val="99"/>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San Francisco, California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ind w:right="17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Trading 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94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4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FSDC</w:t>
            </w:r>
          </w:p>
        </w:tc>
        <w:tc>
          <w:tcPr>
            <w:tcW w:w="12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4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3"/>
              </w:rPr>
              <w:t>share</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line="277"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August 14, 2020, FS Development Corp. (the “</w:t>
      </w:r>
      <w:r>
        <w:rPr>
          <w:rFonts w:ascii="Arial" w:cs="Arial" w:eastAsia="Arial" w:hAnsi="Arial"/>
          <w:sz w:val="18"/>
          <w:szCs w:val="18"/>
          <w:i w:val="1"/>
          <w:iCs w:val="1"/>
          <w:color w:val="auto"/>
        </w:rPr>
        <w:t>Company</w:t>
      </w:r>
      <w:r>
        <w:rPr>
          <w:rFonts w:ascii="Arial" w:cs="Arial" w:eastAsia="Arial" w:hAnsi="Arial"/>
          <w:sz w:val="18"/>
          <w:szCs w:val="18"/>
          <w:color w:val="auto"/>
        </w:rPr>
        <w:t>”) consummated its initial public offering (the “</w:t>
      </w:r>
      <w:r>
        <w:rPr>
          <w:rFonts w:ascii="Arial" w:cs="Arial" w:eastAsia="Arial" w:hAnsi="Arial"/>
          <w:sz w:val="18"/>
          <w:szCs w:val="18"/>
          <w:i w:val="1"/>
          <w:iCs w:val="1"/>
          <w:color w:val="auto"/>
        </w:rPr>
        <w:t>IPO</w:t>
      </w:r>
      <w:r>
        <w:rPr>
          <w:rFonts w:ascii="Arial" w:cs="Arial" w:eastAsia="Arial" w:hAnsi="Arial"/>
          <w:sz w:val="18"/>
          <w:szCs w:val="18"/>
          <w:color w:val="auto"/>
        </w:rPr>
        <w:t>”) of 12,075,000 shares of Class A common stock of the Company, par value $0.0001 per share (“</w:t>
      </w:r>
      <w:r>
        <w:rPr>
          <w:rFonts w:ascii="Arial" w:cs="Arial" w:eastAsia="Arial" w:hAnsi="Arial"/>
          <w:sz w:val="18"/>
          <w:szCs w:val="18"/>
          <w:i w:val="1"/>
          <w:iCs w:val="1"/>
          <w:color w:val="auto"/>
        </w:rPr>
        <w:t>Class A Common Stock</w:t>
      </w:r>
      <w:r>
        <w:rPr>
          <w:rFonts w:ascii="Arial" w:cs="Arial" w:eastAsia="Arial" w:hAnsi="Arial"/>
          <w:sz w:val="18"/>
          <w:szCs w:val="18"/>
          <w:color w:val="auto"/>
        </w:rPr>
        <w:t>”), including the issuance of 1,575,000 shares of Class A Common Stock as a result of the underwriter’s exercise in full of its over-allotment option. The Class A Common Stock was sold at a price of $10.00 per share, generating gross proceeds to the Company of $120,750,000.</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August 14, 2020, simultaneously with the consummation of the IPO, the Company completed the private sale (the “</w:t>
      </w:r>
      <w:r>
        <w:rPr>
          <w:rFonts w:ascii="Arial" w:cs="Arial" w:eastAsia="Arial" w:hAnsi="Arial"/>
          <w:sz w:val="18"/>
          <w:szCs w:val="18"/>
          <w:i w:val="1"/>
          <w:iCs w:val="1"/>
          <w:color w:val="auto"/>
        </w:rPr>
        <w:t>Private Placement</w:t>
      </w:r>
      <w:r>
        <w:rPr>
          <w:rFonts w:ascii="Arial" w:cs="Arial" w:eastAsia="Arial" w:hAnsi="Arial"/>
          <w:sz w:val="18"/>
          <w:szCs w:val="18"/>
          <w:color w:val="auto"/>
        </w:rPr>
        <w:t>”) of an aggregate of 441,500 shares of Class A Common Stock (the “</w:t>
      </w:r>
      <w:r>
        <w:rPr>
          <w:rFonts w:ascii="Arial" w:cs="Arial" w:eastAsia="Arial" w:hAnsi="Arial"/>
          <w:sz w:val="18"/>
          <w:szCs w:val="18"/>
          <w:i w:val="1"/>
          <w:iCs w:val="1"/>
          <w:color w:val="auto"/>
        </w:rPr>
        <w:t>Private Placement Shares</w:t>
      </w:r>
      <w:r>
        <w:rPr>
          <w:rFonts w:ascii="Arial" w:cs="Arial" w:eastAsia="Arial" w:hAnsi="Arial"/>
          <w:sz w:val="18"/>
          <w:szCs w:val="18"/>
          <w:color w:val="auto"/>
        </w:rPr>
        <w:t>”) to FS Development Holdings, LLC at a purchase price of $10.00 per Private Placement Share, generating gross proceeds to the Company of $4,415,000.</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 total of $120,750,000, comprised of $118,335,000 of the proceeds from the IPO (which amount includes $4,226,250 of the underwriter’s deferred discount) and $2,415,000 of the proceeds of the sale of the Private Placement Shares, was placed in a U.S.-based trust account at J.P. Morgan Chase Bank, N.A. maintained by Continental Stock Transfer &amp; Trust Company, acting as trustee.</w:t>
      </w:r>
    </w:p>
    <w:p>
      <w:pPr>
        <w:spacing w:after="0" w:line="184"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An audited balance sheet as of August 14, 2020 reflecting receipt of the proceeds upon consummation of the IPO and the Private Placement has been issued by the Company and is included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6412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36" w:lineRule="exact"/>
        <w:rPr>
          <w:sz w:val="20"/>
          <w:szCs w:val="20"/>
          <w:color w:val="auto"/>
        </w:rPr>
      </w:pPr>
    </w:p>
    <w:p>
      <w:pPr>
        <w:ind w:left="28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Audited Balance Sheet as of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59"/>
          </w:cols>
          <w:pgMar w:left="400" w:top="90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900" w:type="dxa"/>
            <w:vAlign w:val="bottom"/>
            <w:gridSpan w:val="2"/>
          </w:tcPr>
          <w:p>
            <w:pPr>
              <w:ind w:left="596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690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98"/>
              </w:rPr>
              <w:t>FS DEVELOPMENT CORP.</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Report of Independent Registered Public Accounting Firm</w:t>
              </w:r>
            </w:hyperlink>
          </w:p>
        </w:tc>
        <w:tc>
          <w:tcPr>
            <w:tcW w:w="6880" w:type="dxa"/>
            <w:vAlign w:val="bottom"/>
            <w:shd w:val="clear" w:color="auto" w:fill="CCEEFF"/>
          </w:tcPr>
          <w:p>
            <w:pPr>
              <w:ind w:left="6360"/>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 as of August 14, 2020</w:t>
              </w:r>
            </w:hyperlink>
          </w:p>
        </w:tc>
        <w:tc>
          <w:tcPr>
            <w:tcW w:w="6880" w:type="dxa"/>
            <w:vAlign w:val="bottom"/>
          </w:tcPr>
          <w:p>
            <w:pPr>
              <w:ind w:left="6360"/>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w:t>
              </w:r>
            </w:hyperlink>
          </w:p>
        </w:tc>
        <w:tc>
          <w:tcPr>
            <w:tcW w:w="6880" w:type="dxa"/>
            <w:vAlign w:val="bottom"/>
            <w:shd w:val="clear" w:color="auto" w:fill="CCEEFF"/>
          </w:tcPr>
          <w:p>
            <w:pPr>
              <w:ind w:left="6360"/>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4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4247"/>
              <w:spacing w:after="0"/>
              <w:rPr>
                <w:sz w:val="20"/>
                <w:szCs w:val="20"/>
                <w:color w:val="auto"/>
              </w:rPr>
            </w:pPr>
            <w:r>
              <w:rPr>
                <w:rFonts w:ascii="Arial" w:cs="Arial" w:eastAsia="Arial" w:hAnsi="Arial"/>
                <w:sz w:val="22"/>
                <w:szCs w:val="22"/>
                <w:color w:val="auto"/>
                <w:w w:val="90"/>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FS Development Corp. (the “Company”) as of August 14, 2020 and the related notes (collectively referred to as the “financial statement”). In our opinion, the financial statement presents fairly, in all material respects, the financial position of the Company as of August 14, 2020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50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8"/>
              </w:rPr>
              <w:t>FS DEVELOPMENT CORP.</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650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9"/>
              </w:rPr>
              <w:t>BALANCE SHEET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80" w:type="dxa"/>
            <w:vAlign w:val="bottom"/>
          </w:tcPr>
          <w:p>
            <w:pPr>
              <w:spacing w:after="0"/>
              <w:rPr>
                <w:sz w:val="24"/>
                <w:szCs w:val="24"/>
                <w:color w:val="auto"/>
              </w:rPr>
            </w:pPr>
          </w:p>
        </w:tc>
        <w:tc>
          <w:tcPr>
            <w:tcW w:w="650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w w:val="88"/>
              </w:rPr>
              <w:t>August 14, 2020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Current assets:</w:t>
            </w:r>
          </w:p>
        </w:tc>
        <w:tc>
          <w:tcPr>
            <w:tcW w:w="6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6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1,786,438</w:t>
            </w:r>
          </w:p>
        </w:tc>
      </w:tr>
      <w:tr>
        <w:trPr>
          <w:trHeight w:val="236"/>
        </w:trPr>
        <w:tc>
          <w:tcPr>
            <w:tcW w:w="3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164,600</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1,951,038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held in Trust Account</w:t>
            </w:r>
          </w:p>
        </w:tc>
        <w:tc>
          <w:tcPr>
            <w:tcW w:w="6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120,750,000</w:t>
            </w:r>
          </w:p>
        </w:tc>
        <w:tc>
          <w:tcPr>
            <w:tcW w:w="100" w:type="dxa"/>
            <w:vAlign w:val="bottom"/>
            <w:tcBorders>
              <w:bottom w:val="single" w:sz="8" w:color="CCEEFF"/>
            </w:tcBorders>
          </w:tcPr>
          <w:p>
            <w:pPr>
              <w:spacing w:after="0"/>
              <w:rPr>
                <w:sz w:val="20"/>
                <w:szCs w:val="20"/>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122,701,038</w:t>
            </w:r>
          </w:p>
        </w:tc>
      </w:tr>
      <w:tr>
        <w:trPr>
          <w:trHeight w:val="21"/>
        </w:trPr>
        <w:tc>
          <w:tcPr>
            <w:tcW w:w="368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36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Current liabilities:</w:t>
            </w:r>
          </w:p>
        </w:tc>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299,472</w:t>
            </w: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97,385</w:t>
            </w:r>
          </w:p>
        </w:tc>
      </w:tr>
      <w:tr>
        <w:trPr>
          <w:trHeight w:val="249"/>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6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24,160</w:t>
            </w: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6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421,017</w:t>
            </w:r>
          </w:p>
        </w:tc>
        <w:tc>
          <w:tcPr>
            <w:tcW w:w="100" w:type="dxa"/>
            <w:vAlign w:val="bottom"/>
            <w:tcBorders>
              <w:top w:val="single" w:sz="8" w:color="CCEEFF"/>
            </w:tcBorders>
          </w:tcPr>
          <w:p>
            <w:pPr>
              <w:spacing w:after="0"/>
              <w:rPr>
                <w:sz w:val="17"/>
                <w:szCs w:val="17"/>
                <w:color w:val="auto"/>
              </w:rPr>
            </w:pPr>
          </w:p>
        </w:tc>
      </w:tr>
      <w:tr>
        <w:trPr>
          <w:trHeight w:val="24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6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4,226,250</w:t>
            </w:r>
          </w:p>
        </w:tc>
      </w:tr>
      <w:tr>
        <w:trPr>
          <w:trHeight w:val="203"/>
        </w:trPr>
        <w:tc>
          <w:tcPr>
            <w:tcW w:w="3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6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4,647,267</w:t>
            </w:r>
          </w:p>
        </w:tc>
        <w:tc>
          <w:tcPr>
            <w:tcW w:w="100" w:type="dxa"/>
            <w:vAlign w:val="bottom"/>
            <w:tcBorders>
              <w:top w:val="single" w:sz="8" w:color="CCEEFF"/>
            </w:tcBorders>
          </w:tcPr>
          <w:p>
            <w:pPr>
              <w:spacing w:after="0"/>
              <w:rPr>
                <w:sz w:val="17"/>
                <w:szCs w:val="17"/>
                <w:color w:val="auto"/>
              </w:rPr>
            </w:pPr>
          </w:p>
        </w:tc>
      </w:tr>
      <w:tr>
        <w:trPr>
          <w:trHeight w:val="216"/>
        </w:trPr>
        <w:tc>
          <w:tcPr>
            <w:tcW w:w="36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Class A common stock, $0.0001 par value; 11,305,377 shares subject to possible redemption at $10.00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140" w:hanging="161"/>
        <w:spacing w:after="0" w:line="250" w:lineRule="auto"/>
        <w:rPr>
          <w:sz w:val="20"/>
          <w:szCs w:val="20"/>
          <w:color w:val="auto"/>
        </w:rPr>
      </w:pPr>
      <w:r>
        <w:rPr>
          <w:rFonts w:ascii="Arial" w:cs="Arial" w:eastAsia="Arial" w:hAnsi="Arial"/>
          <w:sz w:val="18"/>
          <w:szCs w:val="18"/>
          <w:color w:val="auto"/>
        </w:rPr>
        <w:t>Class A common stock, $0.0001 par value; 100,000,000 shares authorized; 1,211,123 shares issued and outstanding (excluding 11,305,377 shares subject to possible redemption)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 B common stock, $0.0001 par value; 10,000,000 shares authorized; 3,018,750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113,053,770</w:t>
      </w:r>
    </w:p>
    <w:p>
      <w:pPr>
        <w:spacing w:after="0" w:line="200" w:lineRule="exact"/>
        <w:rPr>
          <w:sz w:val="20"/>
          <w:szCs w:val="20"/>
          <w:color w:val="auto"/>
        </w:rPr>
      </w:pPr>
    </w:p>
    <w:p>
      <w:pPr>
        <w:spacing w:after="0" w:line="25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5,027,053</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(27,475)</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5,000,001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$ 122,701,038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this financial statement.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14, 2020, the Company had not commenced any operations. All activity for the period from June 25, 2020 (inception) through August 14, 2020 relates to the Company’s formation and the initial public offering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registration statement for the Company’s Initial Public Offering was declared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approximately $120.8 million ($10.00 per Unit)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will be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9"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August 14, 2020, the Company had approximately $1.8 million in its operating bank account, and working capital of approximately $1.5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August 14, 2020, there were no amounts outstanding under any Working Capital Loans.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August 14, 2020,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the balance sheet in conformity with U.S. GAAP requires the Company’s management to make estimates and assumptions that affect the reported amounts of assets and liabilities and disclosure of contingent assets and liabilities at the date of the balance sheet.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Offering costs consisted of legal, accounting, underwriting fees and other costs incurred that were directly related to the Initial Public Offering and that were charged to stockholders’ equity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Class A common stock subject to mandatory redemption (if any) are classified as liability instruments and are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are classified as temporary equity. At all other times, Class A common stock are classified as stockholders’ equity. The Company’s Class A common stock feature certain redemption rights that are considered to be outside of the Company’s control and subject to occurrence of uncertain future events. Accordingly, at August 14, 2020, 11,305,377 shares of Class A common stock subject to possible redemption at the redemption amount were presented at redemption value as temporary equity, outside of the stockholders’ equity section of the Company’s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August 14, 2020.</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August 14, 2020. The Company recognizes accrued interest and penalties related to unrecognized tax benefits as income tax expense. No amounts were accrued for the payment of interest and penalties as of August 14,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August 14,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 and Private Placement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in connection with initial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14, 2020, there were 12,516,500 Class A ordinary shares outstanding, including 11,305,377 Class A common stock subject to possible conversion were classified as temporary equity in the accompanying balance sheet.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The Company is authorized to issue 10,000,000 shares of Class B common stock with a par value of $0.0001 per share.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 value $0.0001 per share, with such designations, 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rights and preferences as may be determined from time to time by the Company’s board of directors. As of August 14, 2020, there were no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after the date of the balance sheet was issued, require potential adjustment to or disclosure in the balance sheet and has concluded that all such events that would require adjustment or disclosure have been recognized or disclosed.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2020-08-20T15:29:48Z</dcterms:created>
  <dcterms:modified xsi:type="dcterms:W3CDTF">2020-08-20T15:29:48Z</dcterms:modified>
</cp:coreProperties>
</file>