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3"/>
        <w:spacing w:after="0"/>
        <w:rPr>
          <w:sz w:val="20"/>
          <w:szCs w:val="20"/>
          <w:color w:val="auto"/>
        </w:rPr>
      </w:pPr>
      <w:r>
        <w:rPr>
          <w:rFonts w:ascii="Arial" w:cs="Arial" w:eastAsia="Arial" w:hAnsi="Arial"/>
          <w:sz w:val="22"/>
          <w:szCs w:val="22"/>
          <w:b w:val="1"/>
          <w:bCs w:val="1"/>
          <w:color w:val="auto"/>
        </w:rPr>
        <w:t>PURSUANT TO SECTION 13 OR 15(D)</w:t>
      </w:r>
    </w:p>
    <w:p>
      <w:pPr>
        <w:jc w:val="center"/>
        <w:ind w:right="-16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63"/>
        <w:spacing w:after="0"/>
        <w:rPr>
          <w:sz w:val="20"/>
          <w:szCs w:val="20"/>
          <w:color w:val="auto"/>
        </w:rPr>
      </w:pPr>
      <w:r>
        <w:rPr>
          <w:rFonts w:ascii="Arial" w:cs="Arial" w:eastAsia="Arial" w:hAnsi="Arial"/>
          <w:sz w:val="22"/>
          <w:szCs w:val="22"/>
          <w:b w:val="1"/>
          <w:bCs w:val="1"/>
          <w:color w:val="auto"/>
        </w:rPr>
        <w:t>Date of Report (Date of earliest event reported):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6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ind w:right="-16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184"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each class</w:t>
            </w:r>
          </w:p>
        </w:tc>
        <w:tc>
          <w:tcPr>
            <w:tcW w:w="2020" w:type="dxa"/>
            <w:vAlign w:val="bottom"/>
            <w:vMerge w:val="restart"/>
          </w:tcPr>
          <w:p>
            <w:pPr>
              <w:spacing w:after="0"/>
              <w:rPr>
                <w:sz w:val="13"/>
                <w:szCs w:val="13"/>
                <w:color w:val="auto"/>
              </w:rPr>
            </w:pPr>
          </w:p>
        </w:tc>
        <w:tc>
          <w:tcPr>
            <w:tcW w:w="920" w:type="dxa"/>
            <w:vAlign w:val="bottom"/>
          </w:tcPr>
          <w:p>
            <w:pPr>
              <w:spacing w:after="0"/>
              <w:rPr>
                <w:sz w:val="13"/>
                <w:szCs w:val="13"/>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Trading</w:t>
            </w:r>
          </w:p>
        </w:tc>
        <w:tc>
          <w:tcPr>
            <w:tcW w:w="1480" w:type="dxa"/>
            <w:vAlign w:val="bottom"/>
          </w:tcPr>
          <w:p>
            <w:pPr>
              <w:spacing w:after="0"/>
              <w:rPr>
                <w:sz w:val="13"/>
                <w:szCs w:val="13"/>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1"/>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w w:val="82"/>
              </w:rPr>
              <w:t>Common stock,</w:t>
            </w:r>
          </w:p>
        </w:tc>
        <w:tc>
          <w:tcPr>
            <w:tcW w:w="1100" w:type="dxa"/>
            <w:vAlign w:val="bottom"/>
            <w:tcBorders>
              <w:bottom w:val="single" w:sz="8" w:color="auto"/>
            </w:tcBorders>
            <w:vMerge w:val="continue"/>
          </w:tcPr>
          <w:p>
            <w:pPr>
              <w:spacing w:after="0"/>
              <w:rPr>
                <w:sz w:val="14"/>
                <w:szCs w:val="14"/>
                <w:color w:val="auto"/>
              </w:rPr>
            </w:pPr>
          </w:p>
        </w:tc>
        <w:tc>
          <w:tcPr>
            <w:tcW w:w="20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Symbols</w:t>
            </w:r>
          </w:p>
        </w:tc>
        <w:tc>
          <w:tcPr>
            <w:tcW w:w="1160" w:type="dxa"/>
            <w:vAlign w:val="bottom"/>
          </w:tcPr>
          <w:p>
            <w:pPr>
              <w:spacing w:after="0"/>
              <w:rPr>
                <w:sz w:val="14"/>
                <w:szCs w:val="14"/>
                <w:color w:val="auto"/>
              </w:rPr>
            </w:pPr>
          </w:p>
        </w:tc>
        <w:tc>
          <w:tcPr>
            <w:tcW w:w="1480" w:type="dxa"/>
            <w:vAlign w:val="bottom"/>
            <w:vMerge w:val="restart"/>
          </w:tcPr>
          <w:p>
            <w:pPr>
              <w:ind w:left="1160"/>
              <w:spacing w:after="0"/>
              <w:rPr>
                <w:sz w:val="20"/>
                <w:szCs w:val="20"/>
                <w:color w:val="auto"/>
              </w:rPr>
            </w:pPr>
            <w:r>
              <w:rPr>
                <w:rFonts w:ascii="Arial" w:cs="Arial" w:eastAsia="Arial" w:hAnsi="Arial"/>
                <w:sz w:val="18"/>
                <w:szCs w:val="18"/>
                <w:b w:val="1"/>
                <w:bCs w:val="1"/>
                <w:color w:val="auto"/>
                <w:w w:val="93"/>
              </w:rPr>
              <w:t>The</w:t>
            </w:r>
          </w:p>
        </w:tc>
        <w:tc>
          <w:tcPr>
            <w:tcW w:w="14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9"/>
              </w:rPr>
              <w:t>on which registered</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140" w:type="dxa"/>
            <w:vAlign w:val="bottom"/>
            <w:vMerge w:val="continue"/>
          </w:tcPr>
          <w:p>
            <w:pPr>
              <w:spacing w:after="0"/>
              <w:rPr>
                <w:sz w:val="19"/>
                <w:szCs w:val="19"/>
                <w:color w:val="auto"/>
              </w:rPr>
            </w:pPr>
          </w:p>
        </w:tc>
        <w:tc>
          <w:tcPr>
            <w:tcW w:w="3120" w:type="dxa"/>
            <w:vAlign w:val="bottom"/>
            <w:gridSpan w:val="2"/>
          </w:tcPr>
          <w:p>
            <w:pPr>
              <w:ind w:left="100"/>
              <w:spacing w:after="0"/>
              <w:rPr>
                <w:sz w:val="20"/>
                <w:szCs w:val="20"/>
                <w:color w:val="auto"/>
              </w:rPr>
            </w:pPr>
            <w:r>
              <w:rPr>
                <w:rFonts w:ascii="Arial" w:cs="Arial" w:eastAsia="Arial" w:hAnsi="Arial"/>
                <w:sz w:val="18"/>
                <w:szCs w:val="18"/>
                <w:b w:val="1"/>
                <w:bCs w:val="1"/>
                <w:color w:val="auto"/>
              </w:rPr>
              <w:t>par value $0.0001 per share</w:t>
            </w:r>
          </w:p>
        </w:tc>
        <w:tc>
          <w:tcPr>
            <w:tcW w:w="9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w w:val="96"/>
              </w:rPr>
              <w:t>GMTX</w:t>
            </w:r>
          </w:p>
        </w:tc>
        <w:tc>
          <w:tcPr>
            <w:tcW w:w="1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Nasdaq Global Market</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24"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4"/>
          <w:szCs w:val="24"/>
          <w:color w:val="auto"/>
        </w:rPr>
      </w:pPr>
    </w:p>
    <w:p>
      <w:pPr>
        <w:ind w:left="424"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44"/>
          </w:cols>
          <w:pgMar w:left="436" w:top="368" w:right="6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On August 12, 2021, Gemini Therapeutics, Inc. (the “Company”) announced its financial results for the quarter ended June 30, 2021. The full text of the press release issued in connection with the announcement is attached as Exhibit 99.1 to this Current Report on Form 8-K.</w:t>
      </w:r>
    </w:p>
    <w:p>
      <w:pPr>
        <w:spacing w:after="0" w:line="170" w:lineRule="exact"/>
        <w:rPr>
          <w:sz w:val="20"/>
          <w:szCs w:val="20"/>
          <w:color w:val="auto"/>
        </w:rPr>
      </w:pPr>
    </w:p>
    <w:p>
      <w:pPr>
        <w:ind w:left="4" w:right="80"/>
        <w:spacing w:after="0" w:line="311" w:lineRule="auto"/>
        <w:rPr>
          <w:sz w:val="20"/>
          <w:szCs w:val="20"/>
          <w:color w:val="auto"/>
        </w:rPr>
      </w:pPr>
      <w:r>
        <w:rPr>
          <w:rFonts w:ascii="Arial" w:cs="Arial" w:eastAsia="Arial" w:hAnsi="Arial"/>
          <w:sz w:val="16"/>
          <w:szCs w:val="16"/>
          <w:color w:val="auto"/>
        </w:rPr>
        <w:t>The information in this Item 2.02, including Exhibit 99.1 to this Current Report on Form 8-K, is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44"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
        <w:spacing w:after="0"/>
        <w:tabs>
          <w:tab w:leader="none" w:pos="1024"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ind w:left="4"/>
        <w:spacing w:after="0"/>
        <w:tabs>
          <w:tab w:leader="none" w:pos="102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by Gemini Therapeutics, Inc., dated August 12, 2021</w:t>
        </w:r>
      </w:hyperlink>
    </w:p>
    <w:p>
      <w:pPr>
        <w:sectPr>
          <w:pgSz w:w="11900" w:h="16838" w:orient="portrait"/>
          <w:cols w:equalWidth="0" w:num="1">
            <w:col w:w="10984"/>
          </w:cols>
          <w:pgMar w:left="436" w:top="270" w:right="47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12, 2021</w:t>
      </w:r>
    </w:p>
    <w:p>
      <w:pPr>
        <w:sectPr>
          <w:pgSz w:w="11900" w:h="16838" w:orient="portrait"/>
          <w:cols w:equalWidth="0" w:num="1">
            <w:col w:w="10260"/>
          </w:cols>
          <w:pgMar w:left="440" w:top="270"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171450</wp:posOffset>
            </wp:positionV>
            <wp:extent cx="1448435" cy="1011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Reports Second Quarter 2021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Business Update</w:t>
      </w:r>
    </w:p>
    <w:p>
      <w:pPr>
        <w:spacing w:after="0" w:line="238" w:lineRule="exact"/>
        <w:rPr>
          <w:sz w:val="20"/>
          <w:szCs w:val="20"/>
          <w:color w:val="auto"/>
        </w:rPr>
      </w:pPr>
    </w:p>
    <w:p>
      <w:pPr>
        <w:ind w:left="960" w:right="38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Initial data from ongoing Phase 2a study in geographic atrophy demonstrated ability of GEM103 to durably regulate complement and showed a differentiated safety profile with no increased risk of CNV</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Completed enrollment in Phase 2a study of GEM103 in wet AMD with six-month data to be shared by year-end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 randomized, sham-controlled clinical trial to evaluate GEM103’s ability to limit geographic atrophy is planned to initiate in 1H 2022</w:t>
      </w:r>
    </w:p>
    <w:p>
      <w:pPr>
        <w:spacing w:after="0" w:line="23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CAMBRIDGE, Mass. – August 12, 2021 </w:t>
      </w:r>
      <w:r>
        <w:rPr>
          <w:rFonts w:ascii="Arial" w:cs="Arial" w:eastAsia="Arial" w:hAnsi="Arial"/>
          <w:sz w:val="18"/>
          <w:szCs w:val="18"/>
          <w:color w:val="auto"/>
        </w:rPr>
        <w:t>– Gemini Therapeutics, Inc. (Nasdaq: GMTX), a clinical stage precision medicine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treatments for genetically-defined age-related macular degeneration (AMD), today reported its financial results for the second quarter ended June 30, 2021 and provided a business update.</w:t>
      </w:r>
    </w:p>
    <w:p>
      <w:pPr>
        <w:spacing w:after="0" w:line="18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initial results shared in June from the ongoing Phase 2a ReGAtta study in patients with geographic atrophy showed biomarker results that support the biological activity of GEM103 and its ability to regulate complement in a dose-dependent and durable manner as early as after just three months of GEM103 administration,” said Jason Meyenburg, Chief Executive Officer of Gemini Therapeutics, Inc. “These compelling results, in an open-label, single arm study designed primarily to demonstrate the safety and tolerability of GEM103, met its key endpoint and provides us the confidence to advance to a sham-controlled study designed to assess the efficacy of GEM103 as a potential treatment for geographic atrophy.”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Clinical Highlights</w:t>
      </w:r>
    </w:p>
    <w:p>
      <w:pPr>
        <w:spacing w:after="0" w:line="131" w:lineRule="exact"/>
        <w:rPr>
          <w:sz w:val="20"/>
          <w:szCs w:val="20"/>
          <w:color w:val="auto"/>
        </w:rPr>
      </w:pPr>
    </w:p>
    <w:p>
      <w:pPr>
        <w:ind w:left="2080" w:right="40" w:hanging="545"/>
        <w:spacing w:after="0" w:line="294" w:lineRule="auto"/>
        <w:tabs>
          <w:tab w:leader="none" w:pos="20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Announced initial data from ongoing Phase 2a study of GEM103 in patients with geographic atrophy (GA) secondary to dry AMD. </w:t>
      </w:r>
      <w:r>
        <w:rPr>
          <w:rFonts w:ascii="Arial" w:cs="Arial" w:eastAsia="Arial" w:hAnsi="Arial"/>
          <w:sz w:val="16"/>
          <w:szCs w:val="16"/>
          <w:color w:val="auto"/>
        </w:rPr>
        <w:t>In June 2021, Gemini shared initial data from its ongoing ReGAtta study, an open-label Phase 2a</w:t>
      </w:r>
      <w:r>
        <w:rPr>
          <w:rFonts w:ascii="Arial" w:cs="Arial" w:eastAsia="Arial" w:hAnsi="Arial"/>
          <w:sz w:val="16"/>
          <w:szCs w:val="16"/>
          <w:b w:val="1"/>
          <w:bCs w:val="1"/>
          <w:color w:val="auto"/>
        </w:rPr>
        <w:t xml:space="preserve"> </w:t>
      </w:r>
      <w:r>
        <w:rPr>
          <w:rFonts w:ascii="Arial" w:cs="Arial" w:eastAsia="Arial" w:hAnsi="Arial"/>
          <w:sz w:val="16"/>
          <w:szCs w:val="16"/>
          <w:color w:val="auto"/>
        </w:rPr>
        <w:t>trial of its lead product candidate, GEM103, in patients with GA secondary to dry AMD. The single-arm, multiple-dose escalation study design is the first repeat dose experience with GEM103. Initial study data highlighted GEM103’s generally favorable safety and tolerability profile, the primary goal of the study, while also providing evidence of the candidate’s biological activity in patients with dry AMD, achieving another key study goal. Key initial findings include the following:</w:t>
      </w:r>
    </w:p>
    <w:p>
      <w:pPr>
        <w:sectPr>
          <w:pgSz w:w="11900" w:h="16838" w:orient="portrait"/>
          <w:cols w:equalWidth="0" w:num="1">
            <w:col w:w="11020"/>
          </w:cols>
          <w:pgMar w:left="440" w:top="121" w:right="439" w:bottom="1440" w:gutter="0" w:footer="0" w:header="0"/>
        </w:sectPr>
      </w:pPr>
    </w:p>
    <w:bookmarkStart w:id="4" w:name="page5"/>
    <w:bookmarkEnd w:id="4"/>
    <w:p>
      <w:pPr>
        <w:ind w:left="2420" w:right="120" w:hanging="332"/>
        <w:spacing w:after="0" w:line="286" w:lineRule="auto"/>
        <w:tabs>
          <w:tab w:leader="none" w:pos="2420" w:val="left"/>
        </w:tabs>
        <w:numPr>
          <w:ilvl w:val="1"/>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indicated GEM103’s ability to regulate complement in a dose-dependent and durable manner by reducing complement biomarkers Ba and C3a by ~40% and ~20%, respectively. Reductions in the biomarker C3a is indicative of a potential reduction in the proinflammatory state of the retina in patients with GA.</w:t>
      </w:r>
    </w:p>
    <w:p>
      <w:pPr>
        <w:spacing w:after="0" w:line="70" w:lineRule="exact"/>
        <w:rPr>
          <w:rFonts w:ascii="Arial" w:cs="Arial" w:eastAsia="Arial" w:hAnsi="Arial"/>
          <w:sz w:val="17"/>
          <w:szCs w:val="17"/>
          <w:color w:val="auto"/>
        </w:rPr>
      </w:pPr>
    </w:p>
    <w:p>
      <w:pPr>
        <w:ind w:left="2420" w:hanging="332"/>
        <w:spacing w:after="0" w:line="259" w:lineRule="auto"/>
        <w:tabs>
          <w:tab w:leader="none" w:pos="2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GEM103 continues to be generally well-tolerated and initial data supports a differentiated safety profile with minimal drug-related inflammation. Observed inflammation was attributed either to injection procedures or was seen in patients with autoimmune co-morbidities. Additionally, no increased risk of choroidal neovascularization (CNV) was observed to date.</w:t>
      </w:r>
    </w:p>
    <w:p>
      <w:pPr>
        <w:spacing w:after="0" w:line="88" w:lineRule="exact"/>
        <w:rPr>
          <w:rFonts w:ascii="Arial" w:cs="Arial" w:eastAsia="Arial" w:hAnsi="Arial"/>
          <w:sz w:val="18"/>
          <w:szCs w:val="18"/>
          <w:color w:val="auto"/>
        </w:rPr>
      </w:pPr>
    </w:p>
    <w:p>
      <w:pPr>
        <w:ind w:left="2080" w:right="60" w:hanging="545"/>
        <w:spacing w:after="0" w:line="303" w:lineRule="auto"/>
        <w:tabs>
          <w:tab w:leader="none" w:pos="20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Completed enrollment in Phase 2a study of GEM103 as potential add-on to anti-vascular endothelial growth factor (anti-VEGF) therapy for patients suffering from wet AMD</w:t>
      </w:r>
      <w:r>
        <w:rPr>
          <w:rFonts w:ascii="Arial" w:cs="Arial" w:eastAsia="Arial" w:hAnsi="Arial"/>
          <w:sz w:val="16"/>
          <w:szCs w:val="16"/>
          <w:color w:val="auto"/>
        </w:rPr>
        <w:t>. In May 2021, the Company completed enrollment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Phase 2a safety and tolerability study. The Company expects to release six-month dosing data related to safety, tolerability, effect on intraocular complement factor H (CFH) levels and disease-related biomarkers, in late 2021.</w:t>
      </w:r>
    </w:p>
    <w:p>
      <w:pPr>
        <w:spacing w:after="0" w:line="56" w:lineRule="exact"/>
        <w:rPr>
          <w:rFonts w:ascii="Arial" w:cs="Arial" w:eastAsia="Arial" w:hAnsi="Arial"/>
          <w:sz w:val="16"/>
          <w:szCs w:val="16"/>
          <w:color w:val="auto"/>
        </w:rPr>
      </w:pPr>
    </w:p>
    <w:p>
      <w:pPr>
        <w:ind w:left="2080" w:right="100" w:hanging="545"/>
        <w:spacing w:after="0" w:line="289" w:lineRule="auto"/>
        <w:tabs>
          <w:tab w:leader="none" w:pos="20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Presented preclinical data on GEM103 at the 2021 Association for Research in Vision and Ophthalmology (ARVO) Annual Meeting</w:t>
      </w:r>
      <w:r>
        <w:rPr>
          <w:rFonts w:ascii="Arial" w:cs="Arial" w:eastAsia="Arial" w:hAnsi="Arial"/>
          <w:sz w:val="17"/>
          <w:szCs w:val="17"/>
          <w:color w:val="auto"/>
        </w:rPr>
        <w:t>. In May 2021, the Company presented a poster at ARVO that demonstrated GEM103 does not pose an</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risk of CNV following intravitreal administration in a laser induced mouse model of disease.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Research and development expenses totaled $10.8 million for the three months ended June 30, 2021, compared to $5.5 million for the same period in 2020. The increase was primarily due to increased expenses related to clinical studies and headcount costs.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were $5.5 million for the three months ended June 30, 2021, compared to $1.1 million for the same period in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due to increased expenses related to professional fees associated with being a public company, as well as headcount costs.</w:t>
      </w:r>
    </w:p>
    <w:p>
      <w:pPr>
        <w:spacing w:after="0" w:line="23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For the three months ended June 30, 2021, Gemini reported a net loss of $16.4 million, or $0.38 per share, compared to a net loss of $6.8 million, or $0.44 per share, in the corresponding period in 2020. The increase in net loss for the three months ended June 30, 2021 was primarily due to an increase in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Gemini held $167.5 million in cash, $7.9 million of principal outstanding debt and 43.1 million shares outstanding.</w:t>
      </w:r>
    </w:p>
    <w:p>
      <w:pPr>
        <w:sectPr>
          <w:pgSz w:w="11900" w:h="16838" w:orient="portrait"/>
          <w:cols w:equalWidth="0" w:num="1">
            <w:col w:w="10980"/>
          </w:cols>
          <w:pgMar w:left="440" w:top="274"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the Phase 2a ReGAtta Study</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ongoing Phase 2a, multi-center, open-label, multiple ascending dose study of GEM103 in genetically-defined patients with GA secondary to dry AMD is designed to investigate safety and tolerability, pharmacokinetics (PK), exploratory ocular biomarkers, and measures of retinal anatomy and function. This study is not designed to assess the efficacy of GEM103. GEM103 is delivered monthly by an intravitreal injection, and PK and biomarkers of complement regulation are determined from aqueous humor sampling. The study enrolled 62 patients with gene variants that have been linked to the progression of dry AMD from early to late-stage.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2a Study of Repeat Intravitreal Injections of GEM103 in Neovascular Age-related Macular Degeneration (nAMD)</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ongoing Phase 2a, multicenter, multiple-dose study in subjects with nAMD, with or at risk for MA, is designed to investigate the safety and tolerability of GEM103 as an adjunct to standard of care aflibercept therapy. The study enrolled 50 patients that are randomized 2:1 between GEM103 plus aflibercept and sham plus aflibercept arms, with treatment administered via intravitreal injection every other month for twelve months. This study is not designed to assess the efficacy of GEM103. CFH levels and disease relevant biomarkers of complement regulation are determined from aqueous humor sampling throughout the study with visual acuity and macular atrophy size measured at defined dosing 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GEM103</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Gemini’s lead candidate, GEM103, is a pioneering precision medicine approach, targeting trial enrichment with genetically defined patients. GEM103 targets a genetically defined subset of age-related macular degeneration (AMD) patients with complement dysregulation. Of the 15 million dry AMD patients in the United States, approximately 40% (or six million) have variants in the complement factor H (CFH) gene. Such loss of function variants are associated with increased dry AMD disease risk. GEM103 is believed to be the first ever recombinant complement regulator and is a full-length and human, recombinant complement factor H (rCFH) protein. When delivered by intravitreal injection, we believe GEM103 has the potential to address unmet medical need in genetically defined AMD patients by circumventing the complement dysfunction resulting from CFH loss of function variants and slowing the progression of their retina disease. The U.S. Food and Drug Administration (FDA) granted Fast Track Designation for GEM103 for the treatment of dry AMD in patients with CFH loss of function gene variants.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Dry Age-Related Macular Degeneration (AMD)</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Age-related macular degeneration (AMD) is a progressive retinal disease affecting millions of older adults, and the leading cause of irreversible blindness in the western world. Symptoms, which include blurry vision, loss of night vision and loss of central vision, make activities of daily living such as reading, driving and even recognizing faces progressively more difficult. Third-party reports indicate there are approximately 16 million patients with AMD in the United States alone. Dry AMD, which results from an interaction of environmental and genetic risk factors, represents about 90% of that population (or about 15 million) in the US compared to about 1.4 million with</w:t>
      </w:r>
    </w:p>
    <w:p>
      <w:pPr>
        <w:sectPr>
          <w:pgSz w:w="11900" w:h="16838" w:orient="portrait"/>
          <w:cols w:equalWidth="0" w:num="1">
            <w:col w:w="11000"/>
          </w:cols>
          <w:pgMar w:left="440" w:top="270" w:right="459" w:bottom="1440" w:gutter="0" w:footer="0" w:header="0"/>
        </w:sectPr>
      </w:pPr>
    </w:p>
    <w:bookmarkStart w:id="6" w:name="page7"/>
    <w:bookmarkEnd w:id="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wet AMD. Genetic risk of developing dry AMD is significant, with approximately 70% attributable risk of advanced disease to heritability, while aging and smoking confer the strongest non-genetic risk. CFH risk variants occur in approximately 40% of patients with dry AMD and these patients have a significantly increased risk of developing the disease as well as progression from intermediate AMD to GA. The complement system, of which CFH is a regulator, is dysregulated in patients with these risk variants, and results in amplification of aberrant inflammatory responses in the eye. Over time, this dysregulation leads to damage to the macular region of the retina.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Gemini Therapeutics is a clinical stage precision medicine company developing novel therapeutic compounds to treat genetically defined age-related macular degeneration (AMD). Gemini’s lead candidate, GEM103, is a recombinant form of human complement factor H protein (CFH) and is designed to address both complement hyperactivity and restore retinal health in patients with AMD. GEM103 is currently in a Phase 2a trial in dry AMD patients with a CFH risk variant and a Phase 2a study in patients with neovascular age-related macular degeneration with or at risk for macular atrophy. Gemini has generated a rich pipeline including recombinant proteins, gene therapies, and monoclonal antibodies and is working to advance a potentiating antibody for CFH, GEM307, into clinical development for treatment of systemic diseases.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www.geminitherapeutics.com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Other Information About Gemini Therapeutics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Investors and others should note that we communicate with our investors and the public using our website (</w:t>
      </w:r>
      <w:r>
        <w:rPr>
          <w:rFonts w:ascii="Arial" w:cs="Arial" w:eastAsia="Arial" w:hAnsi="Arial"/>
          <w:sz w:val="17"/>
          <w:szCs w:val="17"/>
          <w:u w:val="single" w:color="auto"/>
          <w:color w:val="auto"/>
        </w:rPr>
        <w:t>www.geminitherapeutics.com</w:t>
      </w:r>
      <w:r>
        <w:rPr>
          <w:rFonts w:ascii="Arial" w:cs="Arial" w:eastAsia="Arial" w:hAnsi="Arial"/>
          <w:sz w:val="17"/>
          <w:szCs w:val="17"/>
          <w:color w:val="auto"/>
        </w:rPr>
        <w:t>), the investor relations website (</w:t>
      </w:r>
      <w:r>
        <w:rPr>
          <w:rFonts w:ascii="Arial" w:cs="Arial" w:eastAsia="Arial" w:hAnsi="Arial"/>
          <w:sz w:val="17"/>
          <w:szCs w:val="17"/>
          <w:u w:val="single" w:color="auto"/>
          <w:color w:val="auto"/>
        </w:rPr>
        <w:t>https://investors.geminitherapeutics.com/</w:t>
      </w:r>
      <w:r>
        <w:rPr>
          <w:rFonts w:ascii="Arial" w:cs="Arial" w:eastAsia="Arial" w:hAnsi="Arial"/>
          <w:sz w:val="17"/>
          <w:szCs w:val="17"/>
          <w:color w:val="auto"/>
        </w:rPr>
        <w:t>), and on social media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LinkedIn</w:t>
      </w:r>
      <w:r>
        <w:rPr>
          <w:rFonts w:ascii="Arial" w:cs="Arial" w:eastAsia="Arial" w:hAnsi="Arial"/>
          <w:sz w:val="17"/>
          <w:szCs w:val="17"/>
          <w:color w:val="auto"/>
        </w:rPr>
        <w:t>), including but not limited to investor presentations and investor fact sheets, U.S. Securities and Exchange Commission filings, press releases, public conference calls and webcasts. The information that Gemini posts on these channels and websites could be deemed to be material information. As a result, Gemini encourages investors, the media, and others interested in Gemini to review the information that is posted on these channels, including the investor relations website, on a regular basis. This list of channels may be updated from time to time on Gemini’s investor relations website and may include additional social media channels. The contents of Gemini’s website or these channels, or any other website that may be accessed from its website or these channels, shall not be deemed incorporated by reference in any filing under the Securities Act of 1933, as amended.</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Gemini’s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success, cost and timing of our product development activities and clinical trials, whether such data, when final, will be consistent with interim reported data, the timing to commence future clinical trials, the potential attributes and benefits of our product candidates, including GEM103, the reliability of the interim or final results of studies relating to safety and possible adverse effects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subsequent or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Mansbach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p>
      <w:pPr>
        <w:sectPr>
          <w:pgSz w:w="11900" w:h="16838" w:orient="portrait"/>
          <w:cols w:equalWidth="0" w:num="1">
            <w:col w:w="11000"/>
          </w:cols>
          <w:pgMar w:left="440" w:top="270" w:right="4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Gemini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561"/>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10,842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5,528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22,628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13,745</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5,478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10,182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2,552</w:t>
            </w:r>
          </w:p>
        </w:tc>
      </w:tr>
      <w:tr>
        <w:trPr>
          <w:trHeight w:val="230"/>
        </w:trPr>
        <w:tc>
          <w:tcPr>
            <w:tcW w:w="56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16,297</w:t>
            </w:r>
          </w:p>
        </w:tc>
        <w:tc>
          <w:tcPr>
            <w:tcW w:w="120" w:type="dxa"/>
            <w:vAlign w:val="bottom"/>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(32,810)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(1,969)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36</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conversion of convertible notes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(35,495</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(16,447)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(35,495)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w w:val="96"/>
              </w:rPr>
              <w:t>Net loss per share attributable to common stockholders, basic and diluted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(0.38)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1"/>
              <w:spacing w:after="0"/>
              <w:rPr>
                <w:sz w:val="20"/>
                <w:szCs w:val="20"/>
                <w:color w:val="auto"/>
              </w:rPr>
            </w:pPr>
            <w:r>
              <w:rPr>
                <w:rFonts w:ascii="Arial" w:cs="Arial" w:eastAsia="Arial" w:hAnsi="Arial"/>
                <w:sz w:val="18"/>
                <w:szCs w:val="18"/>
                <w:color w:val="auto"/>
              </w:rPr>
              <w:t>(0.94)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88"/>
              </w:rPr>
              <w:t>43,041,856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15,266,222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6"/>
              </w:rPr>
              <w:t>37,564,936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14,881,097</w:t>
            </w: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Gemini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167,477</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4,503</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171,311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3,254</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172,422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11,505</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24,876</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5,304</w:t>
            </w:r>
          </w:p>
        </w:tc>
      </w:tr>
      <w:tr>
        <w:trPr>
          <w:trHeight w:val="230"/>
        </w:trPr>
        <w:tc>
          <w:tcPr>
            <w:tcW w:w="91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157,682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(21,861)</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Total liabilities and stockholders’ equity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172,422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2021-08-12T09:38:22Z</dcterms:created>
  <dcterms:modified xsi:type="dcterms:W3CDTF">2021-08-12T09:38:22Z</dcterms:modified>
</cp:coreProperties>
</file>