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0001951849</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2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00"/>
              <w:spacing w:after="0"/>
              <w:rPr>
                <w:sz w:val="20"/>
                <w:szCs w:val="20"/>
                <w:color w:val="auto"/>
              </w:rPr>
            </w:pPr>
            <w:r>
              <w:rPr>
                <w:rFonts w:ascii="Times New Roman" w:cs="Times New Roman" w:eastAsia="Times New Roman" w:hAnsi="Times New Roman"/>
                <w:sz w:val="22"/>
                <w:szCs w:val="22"/>
                <w:color w:val="auto"/>
              </w:rPr>
              <w:t>Yu Jonathan Yen-Wen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3231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180774.45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02/15/2026 RSU Vesting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w w:val="99"/>
              </w:rPr>
              <w:t>3231</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02/15/2026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Represents sale of shares to cover tax withholding obligations in connection with the vesting of certain restricted stock units previously granted to the Reporting Person. This sale is a "sell to cover" transaction and does not represent a discretionary transaction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02/17/2026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Jonathan Yu</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2026-02-17T19:49:36Z</dcterms:created>
  <dcterms:modified xsi:type="dcterms:W3CDTF">2026-02-17T19:49:36Z</dcterms:modified>
</cp:coreProperties>
</file>