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1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Bitterman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1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06/17/2024</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222,223</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420,549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677,503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51,000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300"/>
        <w:spacing w:after="0" w:line="249" w:lineRule="auto"/>
        <w:rPr>
          <w:sz w:val="20"/>
          <w:szCs w:val="20"/>
          <w:color w:val="auto"/>
        </w:rPr>
      </w:pPr>
      <w:r>
        <w:rPr>
          <w:rFonts w:ascii="Times New Roman" w:cs="Times New Roman" w:eastAsia="Times New Roman" w:hAnsi="Times New Roman"/>
          <w:sz w:val="13"/>
          <w:szCs w:val="13"/>
          <w:color w:val="008000"/>
        </w:rPr>
        <w:t>The purchase reported herein is matchable, for purposes of Section 16(b) of the Exchange Act, with a series of sales (the "Sales") of shares of Common Stock on January 10, 2024, January 23, 2024 and March 5, 2024 by Opportunity I and Opportunity II, entities in which the Reporting Person has a pecuniary interest. As a result, the Reporting Person is liable for short-swing profits to the extent of his pecuniary interest in the purchase reported herein and the Sales. The Reporting Person has agreed with the Issuer to disgorge the short-swing profits attributable to such pecuniary interest.</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06/20/2024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1747"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2024-06-20T19:12:53Z</dcterms:created>
  <dcterms:modified xsi:type="dcterms:W3CDTF">2024-06-20T19:12:53Z</dcterms:modified>
</cp:coreProperties>
</file>