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40"/>
        <w:spacing w:after="0"/>
        <w:rPr>
          <w:sz w:val="20"/>
          <w:szCs w:val="20"/>
          <w:color w:val="auto"/>
        </w:rPr>
      </w:pPr>
      <w:r>
        <w:rPr>
          <w:rFonts w:ascii="Arial" w:cs="Arial" w:eastAsia="Arial" w:hAnsi="Arial"/>
          <w:sz w:val="18"/>
          <w:szCs w:val="18"/>
          <w:b w:val="1"/>
          <w:bCs w:val="1"/>
          <w:color w:val="auto"/>
        </w:rPr>
        <w:t>Filed Pursuant to Rule 424(b)(4)</w:t>
      </w:r>
    </w:p>
    <w:p>
      <w:pPr>
        <w:spacing w:after="0" w:line="18" w:lineRule="exact"/>
        <w:rPr>
          <w:sz w:val="24"/>
          <w:szCs w:val="24"/>
          <w:color w:val="auto"/>
        </w:rPr>
      </w:pPr>
    </w:p>
    <w:p>
      <w:pPr>
        <w:ind w:left="4680"/>
        <w:spacing w:after="0"/>
        <w:rPr>
          <w:sz w:val="20"/>
          <w:szCs w:val="20"/>
          <w:color w:val="auto"/>
        </w:rPr>
      </w:pPr>
      <w:r>
        <w:rPr>
          <w:rFonts w:ascii="Arial" w:cs="Arial" w:eastAsia="Arial" w:hAnsi="Arial"/>
          <w:sz w:val="17"/>
          <w:szCs w:val="17"/>
          <w:b w:val="1"/>
          <w:bCs w:val="1"/>
          <w:color w:val="auto"/>
        </w:rPr>
        <w:t>Registration Nos. 333-240098 and 333-244534</w:t>
      </w:r>
    </w:p>
    <w:p>
      <w:pPr>
        <w:spacing w:after="0" w:line="3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PROSPECTUS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$105,000,000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FS Development Corp.</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10,500,000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92075</wp:posOffset>
            </wp:positionV>
            <wp:extent cx="5143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78" w:lineRule="exact"/>
        <w:rPr>
          <w:sz w:val="24"/>
          <w:szCs w:val="24"/>
          <w:color w:val="auto"/>
        </w:rPr>
      </w:pPr>
    </w:p>
    <w:p>
      <w:pPr>
        <w:ind w:left="460" w:right="619"/>
        <w:spacing w:after="0" w:line="245" w:lineRule="auto"/>
        <w:rPr>
          <w:sz w:val="20"/>
          <w:szCs w:val="20"/>
          <w:color w:val="auto"/>
        </w:rPr>
      </w:pPr>
      <w:r>
        <w:rPr>
          <w:rFonts w:ascii="Arial" w:cs="Arial" w:eastAsia="Arial" w:hAnsi="Arial"/>
          <w:sz w:val="14"/>
          <w:szCs w:val="14"/>
          <w:color w:val="auto"/>
        </w:rPr>
        <w:t>FS Development Corp. is a blank check company formed as a Delaware corporation for the purpose of effecting a merger, capital stock exchange, asset acquisition, stock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42" w:lineRule="exact"/>
        <w:rPr>
          <w:sz w:val="24"/>
          <w:szCs w:val="24"/>
          <w:color w:val="auto"/>
        </w:rPr>
      </w:pPr>
    </w:p>
    <w:p>
      <w:pPr>
        <w:ind w:left="460" w:right="519"/>
        <w:spacing w:after="0" w:line="245" w:lineRule="auto"/>
        <w:rPr>
          <w:sz w:val="20"/>
          <w:szCs w:val="20"/>
          <w:color w:val="auto"/>
        </w:rPr>
      </w:pPr>
      <w:r>
        <w:rPr>
          <w:rFonts w:ascii="Arial" w:cs="Arial" w:eastAsia="Arial" w:hAnsi="Arial"/>
          <w:sz w:val="14"/>
          <w:szCs w:val="14"/>
          <w:color w:val="auto"/>
        </w:rPr>
        <w:t>This is the initial public offering of our shares of Class A common stock, par value $0.0001 per share, which we refer to as our public shares, at an initial public offering price of $10.00. The underwriters have a 45-day option from the date of this prospectus to purchase up to 1,575,000 additional shares of our Class A common stock to cover over-allotments, if any. Unlike other special purpose acquisition company initial public offerings (“SPAC IPOs”), investors in this offering will not receive warrants that would become exercisable following completion of our initial business combination.</w:t>
      </w:r>
    </w:p>
    <w:p>
      <w:pPr>
        <w:spacing w:after="0" w:line="42" w:lineRule="exact"/>
        <w:rPr>
          <w:sz w:val="24"/>
          <w:szCs w:val="24"/>
          <w:color w:val="auto"/>
        </w:rPr>
      </w:pPr>
    </w:p>
    <w:p>
      <w:pPr>
        <w:ind w:left="460" w:right="479"/>
        <w:spacing w:after="0" w:line="243" w:lineRule="auto"/>
        <w:rPr>
          <w:sz w:val="20"/>
          <w:szCs w:val="20"/>
          <w:color w:val="auto"/>
        </w:rPr>
      </w:pPr>
      <w:r>
        <w:rPr>
          <w:rFonts w:ascii="Arial" w:cs="Arial" w:eastAsia="Arial" w:hAnsi="Arial"/>
          <w:sz w:val="14"/>
          <w:szCs w:val="14"/>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If we are unable to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subject to applicable law and certain conditions as further described herein.</w:t>
      </w:r>
    </w:p>
    <w:p>
      <w:pPr>
        <w:spacing w:after="0" w:line="44" w:lineRule="exact"/>
        <w:rPr>
          <w:sz w:val="24"/>
          <w:szCs w:val="24"/>
          <w:color w:val="auto"/>
        </w:rPr>
      </w:pPr>
    </w:p>
    <w:p>
      <w:pPr>
        <w:ind w:left="460" w:right="479"/>
        <w:spacing w:after="0" w:line="244" w:lineRule="auto"/>
        <w:rPr>
          <w:sz w:val="20"/>
          <w:szCs w:val="20"/>
          <w:color w:val="auto"/>
        </w:rPr>
      </w:pPr>
      <w:r>
        <w:rPr>
          <w:rFonts w:ascii="Arial" w:cs="Arial" w:eastAsia="Arial" w:hAnsi="Arial"/>
          <w:sz w:val="14"/>
          <w:szCs w:val="14"/>
          <w:color w:val="auto"/>
        </w:rPr>
        <w:t>Our sponsor, FS Development Holdings, LLC has committed to purchase 410,000 shares of Class A common stock (or 441,500 shares of Class A common stock if the underwriters’ over-allotment option is exercised in full), at a price of $10.00 per share in a private placement for an aggregate purchase price of $4,100,000 (or $4,415,000 if the over-allotment option is exercised in full) that will close simultaneously with the closing of this offering. These shares of Class A common stock, which we refer to as the private placement shares, are identical to the shares of Class A common stock sold in this offering, subject to certain limited exceptions as described in this prospectus.</w:t>
      </w:r>
    </w:p>
    <w:p>
      <w:pPr>
        <w:spacing w:after="0" w:line="44" w:lineRule="exact"/>
        <w:rPr>
          <w:sz w:val="24"/>
          <w:szCs w:val="24"/>
          <w:color w:val="auto"/>
        </w:rPr>
      </w:pPr>
    </w:p>
    <w:p>
      <w:pPr>
        <w:ind w:left="460" w:right="639"/>
        <w:spacing w:after="0" w:line="243" w:lineRule="auto"/>
        <w:rPr>
          <w:sz w:val="20"/>
          <w:szCs w:val="20"/>
          <w:color w:val="auto"/>
        </w:rPr>
      </w:pPr>
      <w:r>
        <w:rPr>
          <w:rFonts w:ascii="Arial" w:cs="Arial" w:eastAsia="Arial" w:hAnsi="Arial"/>
          <w:sz w:val="14"/>
          <w:szCs w:val="14"/>
          <w:color w:val="auto"/>
        </w:rPr>
        <w:t>Our sponsor has indicated an interest to purchase an aggregate of $25,000,000 of shares of our Class A common stock in a private placement that would occur concurrently with the consummation of our initial business combination. The capital from such private placement would be used as part of the consideration to the sellers in our initial business combination, and any excess capital from such private placement would be used for working capital in the post-transaction company. However, because indications of interest are not binding agreements or commitments to purchase, our sponsor may determine not to purchase any such shares, or to purchase fewer shares than it has indicated an interest in purchasing. We are not under any obligation to sell any such shares. Such investment would be made on terms and conditions determined at the time of the business combination.</w:t>
      </w:r>
    </w:p>
    <w:p>
      <w:pPr>
        <w:spacing w:after="0" w:line="46" w:lineRule="exact"/>
        <w:rPr>
          <w:sz w:val="24"/>
          <w:szCs w:val="24"/>
          <w:color w:val="auto"/>
        </w:rPr>
      </w:pPr>
    </w:p>
    <w:p>
      <w:pPr>
        <w:ind w:left="460" w:right="479"/>
        <w:spacing w:after="0" w:line="247" w:lineRule="auto"/>
        <w:rPr>
          <w:sz w:val="20"/>
          <w:szCs w:val="20"/>
          <w:color w:val="auto"/>
        </w:rPr>
      </w:pPr>
      <w:r>
        <w:rPr>
          <w:rFonts w:ascii="Arial" w:cs="Arial" w:eastAsia="Arial" w:hAnsi="Arial"/>
          <w:sz w:val="14"/>
          <w:szCs w:val="14"/>
          <w:color w:val="auto"/>
        </w:rPr>
        <w:t>Our initial stockholders currently own an aggregate of 3,018,750 shares of Class B common stock (up to 393,750 shares of which are subject to forfeiture by our sponsor depending on the extent to which the underwriters’ over-allotment option is exercised), which will automatically convert into shares of Class A common stock concurrently with or immediately following the consummation of our initial business combination on a one-for-one basis, subject to the adjustments described herein.</w:t>
      </w:r>
    </w:p>
    <w:p>
      <w:pPr>
        <w:spacing w:after="0" w:line="39" w:lineRule="exact"/>
        <w:rPr>
          <w:sz w:val="24"/>
          <w:szCs w:val="24"/>
          <w:color w:val="auto"/>
        </w:rPr>
      </w:pPr>
    </w:p>
    <w:p>
      <w:pPr>
        <w:ind w:left="460" w:right="819"/>
        <w:spacing w:after="0" w:line="258" w:lineRule="auto"/>
        <w:rPr>
          <w:sz w:val="20"/>
          <w:szCs w:val="20"/>
          <w:color w:val="auto"/>
        </w:rPr>
      </w:pPr>
      <w:r>
        <w:rPr>
          <w:rFonts w:ascii="Arial" w:cs="Arial" w:eastAsia="Arial" w:hAnsi="Arial"/>
          <w:sz w:val="14"/>
          <w:szCs w:val="14"/>
          <w:color w:val="auto"/>
        </w:rPr>
        <w:t>Prior to this offering, there has been no public market for our Class A common stock. We have been approved to have our Class A common stock listed on The Nasdaq Capital Market, or Nasdaq, under the symbol “FSDC.”</w:t>
      </w:r>
    </w:p>
    <w:p>
      <w:pPr>
        <w:spacing w:after="0" w:line="14" w:lineRule="exact"/>
        <w:rPr>
          <w:sz w:val="24"/>
          <w:szCs w:val="24"/>
          <w:color w:val="auto"/>
        </w:rPr>
      </w:pPr>
    </w:p>
    <w:p>
      <w:pPr>
        <w:ind w:left="460" w:right="599"/>
        <w:spacing w:after="0" w:line="252" w:lineRule="auto"/>
        <w:rPr>
          <w:sz w:val="20"/>
          <w:szCs w:val="20"/>
          <w:color w:val="auto"/>
        </w:rPr>
      </w:pPr>
      <w:r>
        <w:rPr>
          <w:rFonts w:ascii="Arial" w:cs="Arial" w:eastAsia="Arial" w:hAnsi="Arial"/>
          <w:sz w:val="14"/>
          <w:szCs w:val="14"/>
          <w:b w:val="1"/>
          <w:bCs w:val="1"/>
          <w:color w:val="auto"/>
        </w:rPr>
        <w:t>We are an “emerging growth company” and “small reporting company” under applicable federal securities laws and will be subject to reduced public company reporting requirements. Investing in our securities involves a high degree of risk. See “</w:t>
      </w:r>
      <w:r>
        <w:rPr>
          <w:rFonts w:ascii="Arial" w:cs="Arial" w:eastAsia="Arial" w:hAnsi="Arial"/>
          <w:sz w:val="14"/>
          <w:szCs w:val="14"/>
          <w:b w:val="1"/>
          <w:bCs w:val="1"/>
          <w:u w:val="single" w:color="auto"/>
          <w:color w:val="auto"/>
        </w:rPr>
        <w:t>Risk Factors</w:t>
      </w:r>
      <w:r>
        <w:rPr>
          <w:rFonts w:ascii="Arial" w:cs="Arial" w:eastAsia="Arial" w:hAnsi="Arial"/>
          <w:sz w:val="14"/>
          <w:szCs w:val="14"/>
          <w:b w:val="1"/>
          <w:bCs w:val="1"/>
          <w:color w:val="auto"/>
        </w:rPr>
        <w:t>” beginning on page 25 for a discussion of information that should be considered in connection with an investment in our securities. Investors will not be entitled to protections normally afforded to investors in Rule 419 blank check offerings.</w:t>
      </w:r>
    </w:p>
    <w:p>
      <w:pPr>
        <w:spacing w:after="0" w:line="19" w:lineRule="exact"/>
        <w:rPr>
          <w:sz w:val="24"/>
          <w:szCs w:val="24"/>
          <w:color w:val="auto"/>
        </w:rPr>
      </w:pPr>
    </w:p>
    <w:p>
      <w:pPr>
        <w:ind w:left="460" w:right="779"/>
        <w:spacing w:after="0" w:line="263"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100965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38" w:lineRule="exact"/>
        <w:rPr>
          <w:sz w:val="24"/>
          <w:szCs w:val="24"/>
          <w:color w:val="auto"/>
        </w:rPr>
      </w:pPr>
    </w:p>
    <w:tbl>
      <w:tblPr>
        <w:tblLayout w:type="fixed"/>
        <w:tblInd w:w="860" w:type="dxa"/>
        <w:tblCellMar>
          <w:top w:w="0" w:type="dxa"/>
          <w:left w:w="0" w:type="dxa"/>
          <w:bottom w:w="0" w:type="dxa"/>
          <w:right w:w="0" w:type="dxa"/>
        </w:tblCellMar>
      </w:tblPr>
      <w:tr>
        <w:trPr>
          <w:trHeight w:val="168"/>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7"/>
              </w:rPr>
              <w:t>PER SHARE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10"/>
              <w:spacing w:after="0"/>
              <w:rPr>
                <w:sz w:val="20"/>
                <w:szCs w:val="20"/>
                <w:color w:val="auto"/>
              </w:rPr>
            </w:pPr>
            <w:r>
              <w:rPr>
                <w:rFonts w:ascii="Arial" w:cs="Arial" w:eastAsia="Arial" w:hAnsi="Arial"/>
                <w:sz w:val="13"/>
                <w:szCs w:val="13"/>
                <w:b w:val="1"/>
                <w:bCs w:val="1"/>
                <w:color w:val="auto"/>
              </w:rPr>
              <w:t>TOTAL</w:t>
            </w:r>
          </w:p>
        </w:tc>
      </w:tr>
      <w:tr>
        <w:trPr>
          <w:trHeight w:val="30"/>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105,000,000</w:t>
            </w:r>
          </w:p>
        </w:tc>
      </w:tr>
      <w:tr>
        <w:trPr>
          <w:trHeight w:val="275"/>
        </w:trPr>
        <w:tc>
          <w:tcPr>
            <w:tcW w:w="538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4"/>
                <w:szCs w:val="1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0.55</w:t>
            </w: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5,775,000</w:t>
            </w:r>
          </w:p>
        </w:tc>
      </w:tr>
      <w:tr>
        <w:trPr>
          <w:trHeight w:val="267"/>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9.45</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99,225,000</w:t>
            </w:r>
          </w:p>
        </w:tc>
      </w:tr>
      <w:tr>
        <w:trPr>
          <w:trHeight w:val="25"/>
        </w:trPr>
        <w:tc>
          <w:tcPr>
            <w:tcW w:w="5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70" w:lineRule="exact"/>
        <w:rPr>
          <w:sz w:val="24"/>
          <w:szCs w:val="24"/>
          <w:color w:val="auto"/>
        </w:rPr>
      </w:pPr>
    </w:p>
    <w:p>
      <w:pPr>
        <w:ind w:left="880" w:right="539" w:hanging="426"/>
        <w:spacing w:after="0"/>
        <w:tabs>
          <w:tab w:leader="none" w:pos="812" w:val="left"/>
        </w:tabs>
        <w:numPr>
          <w:ilvl w:val="0"/>
          <w:numId w:val="1"/>
        </w:numPr>
        <w:rPr>
          <w:rFonts w:ascii="Arial" w:cs="Arial" w:eastAsia="Arial" w:hAnsi="Arial"/>
          <w:sz w:val="12"/>
          <w:szCs w:val="12"/>
          <w:color w:val="auto"/>
        </w:rPr>
      </w:pPr>
      <w:r>
        <w:rPr>
          <w:rFonts w:ascii="Arial" w:cs="Arial" w:eastAsia="Arial" w:hAnsi="Arial"/>
          <w:sz w:val="12"/>
          <w:szCs w:val="12"/>
          <w:color w:val="auto"/>
        </w:rPr>
        <w:t>$0.20 per share, or $2,100,000 in the aggregate (or $2,415,000 if the underwriters’ over-allotment option is exercised in full), is payable upon the closing of this offering. Includes $0.35 per share, or $3,675,000 in the aggregate (or up to $4,226,250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“Underwriting” for a description of compensation and other items of value payable to the underwriters.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114300</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54" w:lineRule="exact"/>
        <w:rPr>
          <w:sz w:val="24"/>
          <w:szCs w:val="24"/>
          <w:color w:val="auto"/>
        </w:rPr>
      </w:pPr>
    </w:p>
    <w:p>
      <w:pPr>
        <w:ind w:left="460" w:right="499"/>
        <w:spacing w:after="0" w:line="244" w:lineRule="auto"/>
        <w:rPr>
          <w:sz w:val="20"/>
          <w:szCs w:val="20"/>
          <w:color w:val="auto"/>
        </w:rPr>
      </w:pPr>
      <w:r>
        <w:rPr>
          <w:rFonts w:ascii="Arial" w:cs="Arial" w:eastAsia="Arial" w:hAnsi="Arial"/>
          <w:sz w:val="14"/>
          <w:szCs w:val="14"/>
          <w:color w:val="auto"/>
        </w:rPr>
        <w:t>Of the proceeds we receive from this offering and the sale of the private placement shares described in this prospectus, $105.00 million, or $120.75 million if the underwriters’ over-allotment option is exercised in full ($10.00 per public share in either case), will be deposited into a trust account in the United States with Continental Stock Transfer &amp; Trust Company acting as trustee, after deducting $2,100,000 in underwriting discounts and commissions payable upon the closing of this offering (or $2,415,000 if the underwriters’ over-allotment option is exercised in full) and an aggregate of $2.0 million to pay fees and expenses in connection with the closing of this offering and for working capital following the closing of this offering.</w:t>
      </w:r>
    </w:p>
    <w:p>
      <w:pPr>
        <w:spacing w:after="0" w:line="44" w:lineRule="exact"/>
        <w:rPr>
          <w:sz w:val="24"/>
          <w:szCs w:val="24"/>
          <w:color w:val="auto"/>
        </w:rPr>
      </w:pPr>
    </w:p>
    <w:p>
      <w:pPr>
        <w:jc w:val="center"/>
        <w:ind w:left="1900" w:right="80"/>
        <w:spacing w:after="0" w:line="249" w:lineRule="auto"/>
        <w:rPr>
          <w:sz w:val="20"/>
          <w:szCs w:val="20"/>
          <w:color w:val="auto"/>
        </w:rPr>
      </w:pPr>
      <w:r>
        <w:rPr>
          <w:rFonts w:ascii="Arial" w:cs="Arial" w:eastAsia="Arial" w:hAnsi="Arial"/>
          <w:sz w:val="14"/>
          <w:szCs w:val="14"/>
          <w:color w:val="auto"/>
        </w:rPr>
        <w:t>The underwriters are offering the shares of our Class A common stock for sale on a firm commitment basis. The underwriters expect to deliver the shares to the purchasers on or about August 14, 2020.</w:t>
      </w:r>
    </w:p>
    <w:p>
      <w:pPr>
        <w:jc w:val="center"/>
        <w:spacing w:after="0"/>
        <w:rPr>
          <w:sz w:val="20"/>
          <w:szCs w:val="20"/>
          <w:color w:val="auto"/>
        </w:rPr>
      </w:pPr>
      <w:r>
        <w:rPr>
          <w:rFonts w:ascii="Arial" w:cs="Arial" w:eastAsia="Arial" w:hAnsi="Arial"/>
          <w:sz w:val="29"/>
          <w:szCs w:val="29"/>
          <w:b w:val="1"/>
          <w:bCs w:val="1"/>
          <w:color w:val="auto"/>
        </w:rPr>
        <w:t>Jefferies</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August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246380</wp:posOffset>
            </wp:positionV>
            <wp:extent cx="5143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7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Summary</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Summary Financial Data</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24</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25</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Cautionary Note Regarding Forward-Looking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52</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Use of Proceeds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53</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Dividend Policy</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56</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Dilution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57</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Capitalization</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60</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Proposed Business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65</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Management</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Principal Stockholders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Certain Relationships and Related Party Transactions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Description of Shares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101</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U.S. Federal Income Tax Considerations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110</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Underwriting</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116</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Legal Matters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124</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Experts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124</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Where You Can Find Additional Information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124</w:t>
            </w:r>
          </w:p>
        </w:tc>
      </w:tr>
      <w:tr>
        <w:trPr>
          <w:trHeight w:val="256"/>
        </w:trPr>
        <w:tc>
          <w:tcPr>
            <w:tcW w:w="7600" w:type="dxa"/>
            <w:vAlign w:val="bottom"/>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Index to Financial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rPr>
              <w:t>F-1</w:t>
            </w:r>
          </w:p>
        </w:tc>
      </w:tr>
    </w:tbl>
    <w:p>
      <w:pPr>
        <w:spacing w:after="0" w:line="21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neither we nor the underwriters take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2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Until September 5, 2020,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6" w:lineRule="exact"/>
        <w:rPr>
          <w:sz w:val="20"/>
          <w:szCs w:val="20"/>
          <w:color w:val="auto"/>
        </w:rPr>
      </w:pPr>
    </w:p>
    <w:p>
      <w:pPr>
        <w:ind w:left="460" w:right="479"/>
        <w:spacing w:after="0" w:line="233" w:lineRule="auto"/>
        <w:rPr>
          <w:sz w:val="20"/>
          <w:szCs w:val="20"/>
          <w:color w:val="auto"/>
        </w:rPr>
      </w:pPr>
      <w:r>
        <w:rPr>
          <w:rFonts w:ascii="Arial" w:cs="Arial" w:eastAsia="Arial" w:hAnsi="Arial"/>
          <w:sz w:val="18"/>
          <w:szCs w:val="18"/>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0"/>
          <w:szCs w:val="20"/>
          <w:color w:val="auto"/>
          <w:vertAlign w:val="superscript"/>
        </w:rPr>
        <w:t>®</w:t>
      </w:r>
      <w:r>
        <w:rPr>
          <w:rFonts w:ascii="Arial" w:cs="Arial" w:eastAsia="Arial" w:hAnsi="Arial"/>
          <w:sz w:val="18"/>
          <w:szCs w:val="18"/>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077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7310" cy="8077200"/>
                    </a:xfrm>
                    <a:prstGeom prst="rect">
                      <a:avLst/>
                    </a:prstGeom>
                    <a:noFill/>
                  </pic:spPr>
                </pic:pic>
              </a:graphicData>
            </a:graphic>
          </wp:anchor>
        </w:drawing>
        <w:t>SUMMARY</w:t>
      </w:r>
    </w:p>
    <w:p>
      <w:pPr>
        <w:spacing w:after="0" w:line="135" w:lineRule="exact"/>
        <w:rPr>
          <w:sz w:val="20"/>
          <w:szCs w:val="20"/>
          <w:color w:val="auto"/>
        </w:rPr>
      </w:pPr>
    </w:p>
    <w:p>
      <w:pPr>
        <w:ind w:left="540" w:right="619"/>
        <w:spacing w:after="0" w:line="242"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8" w:lineRule="exact"/>
        <w:rPr>
          <w:sz w:val="20"/>
          <w:szCs w:val="20"/>
          <w:color w:val="auto"/>
        </w:rPr>
      </w:pPr>
    </w:p>
    <w:p>
      <w:pPr>
        <w:ind w:left="1200" w:right="1359" w:hanging="332"/>
        <w:spacing w:after="0" w:line="258" w:lineRule="auto"/>
        <w:tabs>
          <w:tab w:leader="none" w:pos="113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FS Development Corp., a Delaware corporation;</w:t>
      </w:r>
    </w:p>
    <w:p>
      <w:pPr>
        <w:ind w:left="1140" w:hanging="27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27" w:lineRule="exact"/>
        <w:rPr>
          <w:rFonts w:ascii="Arial" w:cs="Arial" w:eastAsia="Arial" w:hAnsi="Arial"/>
          <w:sz w:val="18"/>
          <w:szCs w:val="18"/>
          <w:color w:val="auto"/>
        </w:rPr>
      </w:pPr>
    </w:p>
    <w:p>
      <w:pPr>
        <w:ind w:left="1200" w:right="919" w:hanging="332"/>
        <w:spacing w:after="0" w:line="255" w:lineRule="auto"/>
        <w:tabs>
          <w:tab w:leader="none" w:pos="113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“DGCL” refers to the Delaware General Corporation Law as the same may be amended from time to time;</w:t>
      </w:r>
    </w:p>
    <w:p>
      <w:pPr>
        <w:ind w:left="1140" w:hanging="27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36" w:lineRule="exact"/>
        <w:rPr>
          <w:rFonts w:ascii="Arial" w:cs="Arial" w:eastAsia="Arial" w:hAnsi="Arial"/>
          <w:sz w:val="18"/>
          <w:szCs w:val="18"/>
          <w:color w:val="auto"/>
        </w:rPr>
      </w:pPr>
    </w:p>
    <w:p>
      <w:pPr>
        <w:ind w:left="1200" w:right="559" w:hanging="332"/>
        <w:spacing w:after="0" w:line="244" w:lineRule="auto"/>
        <w:tabs>
          <w:tab w:leader="none" w:pos="113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“equity-linked securities” are to any debt or equity securities that are convertible, exercisable or exchangeable for our Class A common stock issued in a financing transaction in connection with our initial business combination, including, but not limited to, a private placement of equity or debt;</w:t>
      </w:r>
    </w:p>
    <w:p>
      <w:pPr>
        <w:ind w:left="1200" w:right="659" w:hanging="332"/>
        <w:spacing w:after="0" w:line="241" w:lineRule="auto"/>
        <w:tabs>
          <w:tab w:leader="none" w:pos="113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Class B common stock initially purchased by our sponsor in a private placement prior to this offering and shares of Class B common stock transferred by our sponsor to certain of our directors as well as the shares of Class A common stock that will be issued upon the automatic conversion of the shares of Class B common stock at the time of our initial business combination as described herein;</w:t>
      </w:r>
    </w:p>
    <w:p>
      <w:pPr>
        <w:spacing w:after="0" w:line="8" w:lineRule="exact"/>
        <w:rPr>
          <w:rFonts w:ascii="Arial" w:cs="Arial" w:eastAsia="Arial" w:hAnsi="Arial"/>
          <w:sz w:val="18"/>
          <w:szCs w:val="18"/>
          <w:color w:val="auto"/>
        </w:rPr>
      </w:pPr>
    </w:p>
    <w:p>
      <w:pPr>
        <w:ind w:left="1140" w:hanging="27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“initial stockholders” are to holders of our founder shares prior to this offering;</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executive officers and directors;</w:t>
      </w:r>
    </w:p>
    <w:p>
      <w:pPr>
        <w:spacing w:after="0" w:line="27" w:lineRule="exact"/>
        <w:rPr>
          <w:rFonts w:ascii="Arial" w:cs="Arial" w:eastAsia="Arial" w:hAnsi="Arial"/>
          <w:sz w:val="18"/>
          <w:szCs w:val="18"/>
          <w:color w:val="auto"/>
        </w:rPr>
      </w:pPr>
    </w:p>
    <w:p>
      <w:pPr>
        <w:ind w:left="1200" w:right="659" w:hanging="332"/>
        <w:spacing w:after="0" w:line="241" w:lineRule="auto"/>
        <w:tabs>
          <w:tab w:leader="none" w:pos="113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“private placement shares” are to the shares of Class A common stock to be issued to our sponsor in a private placement simultaneously with the closing of this offering (which private placement shares are identical to the shares sold in this offering, subject to certain limited exceptions as described in this prospectus) and upon conversion of working capital loans, if any;</w:t>
      </w:r>
    </w:p>
    <w:p>
      <w:pPr>
        <w:spacing w:after="0" w:line="8" w:lineRule="exact"/>
        <w:rPr>
          <w:rFonts w:ascii="Arial" w:cs="Arial" w:eastAsia="Arial" w:hAnsi="Arial"/>
          <w:sz w:val="18"/>
          <w:szCs w:val="18"/>
          <w:color w:val="auto"/>
        </w:rPr>
      </w:pPr>
    </w:p>
    <w:p>
      <w:pPr>
        <w:ind w:left="1200" w:right="839" w:hanging="332"/>
        <w:spacing w:after="0" w:line="258" w:lineRule="auto"/>
        <w:tabs>
          <w:tab w:leader="none" w:pos="113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“public shares” are to shares of Class A common stock sold in this offering (whether they are purchased in this offering or thereafter in the open market);</w:t>
      </w:r>
    </w:p>
    <w:p>
      <w:pPr>
        <w:ind w:left="1200" w:right="639" w:hanging="332"/>
        <w:spacing w:after="0" w:line="242" w:lineRule="auto"/>
        <w:tabs>
          <w:tab w:leader="none" w:pos="113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will only exist with respect to such public shares; and</w:t>
      </w:r>
    </w:p>
    <w:p>
      <w:pPr>
        <w:spacing w:after="0" w:line="1" w:lineRule="exact"/>
        <w:rPr>
          <w:rFonts w:ascii="Arial" w:cs="Arial" w:eastAsia="Arial" w:hAnsi="Arial"/>
          <w:sz w:val="18"/>
          <w:szCs w:val="18"/>
          <w:color w:val="auto"/>
        </w:rPr>
      </w:pPr>
    </w:p>
    <w:p>
      <w:pPr>
        <w:jc w:val="center"/>
        <w:ind w:left="1200" w:right="1059" w:hanging="332"/>
        <w:spacing w:after="0" w:line="290" w:lineRule="auto"/>
        <w:tabs>
          <w:tab w:leader="none" w:pos="1139"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“sponsor” are to FS Development Holdings, LLC, a Delaware limited liability company, which is controlled by Foresite Capital Fund V, L.P., the sole member of the sponsor.</w:t>
      </w:r>
    </w:p>
    <w:p>
      <w:pPr>
        <w:spacing w:after="0" w:line="161" w:lineRule="exact"/>
        <w:rPr>
          <w:sz w:val="20"/>
          <w:szCs w:val="20"/>
          <w:color w:val="auto"/>
        </w:rPr>
      </w:pPr>
    </w:p>
    <w:p>
      <w:pPr>
        <w:ind w:left="540" w:right="579"/>
        <w:spacing w:after="0"/>
        <w:rPr>
          <w:sz w:val="20"/>
          <w:szCs w:val="20"/>
          <w:color w:val="auto"/>
        </w:rPr>
      </w:pPr>
      <w:r>
        <w:rPr>
          <w:rFonts w:ascii="Arial" w:cs="Arial" w:eastAsia="Arial" w:hAnsi="Arial"/>
          <w:sz w:val="18"/>
          <w:szCs w:val="18"/>
          <w:color w:val="auto"/>
        </w:rPr>
        <w:t>Unless we tell you otherwise, the information in this prospectus assumes that the underwriters will not exercise their over-allotment option and the forfeiture of 393,750 founder shares by our sponsor for no consideration.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66"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We are a newly organized blank check company incorporated in June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business industry or geographic region, we intend to capitalize on our management team’s background and experience to identify promising opportunities in the biotechnology sector.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086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8086090"/>
                    </a:xfrm>
                    <a:prstGeom prst="rect">
                      <a:avLst/>
                    </a:prstGeom>
                    <a:noFill/>
                  </pic:spPr>
                </pic:pic>
              </a:graphicData>
            </a:graphic>
          </wp:anchor>
        </w:drawing>
        <w:t>OUR FOUNDERS</w:t>
      </w:r>
    </w:p>
    <w:p>
      <w:pPr>
        <w:spacing w:after="0" w:line="153" w:lineRule="exact"/>
        <w:rPr>
          <w:sz w:val="20"/>
          <w:szCs w:val="20"/>
          <w:color w:val="auto"/>
        </w:rPr>
      </w:pPr>
    </w:p>
    <w:p>
      <w:pPr>
        <w:ind w:left="540" w:right="739"/>
        <w:spacing w:after="0" w:line="238" w:lineRule="auto"/>
        <w:rPr>
          <w:sz w:val="20"/>
          <w:szCs w:val="20"/>
          <w:color w:val="auto"/>
        </w:rPr>
      </w:pPr>
      <w:r>
        <w:rPr>
          <w:rFonts w:ascii="Arial" w:cs="Arial" w:eastAsia="Arial" w:hAnsi="Arial"/>
          <w:sz w:val="18"/>
          <w:szCs w:val="18"/>
          <w:color w:val="auto"/>
        </w:rPr>
        <w:t>We were co-founded by Foresite Capital, an investment firm with over $2.6 billion in assets under management as of March 31, 2020 (”Foresite Capital”) and Jim Tananbaum, our President, Chief Executive Officer and a director. Foresite Capital, which is a member of our sponsor and is our affiliate, was established in 2011 by Jim Tananbaum and has been focused on therapeutic companies within the biotechnology sector.</w:t>
      </w:r>
    </w:p>
    <w:p>
      <w:pPr>
        <w:spacing w:after="0" w:line="135" w:lineRule="exact"/>
        <w:rPr>
          <w:sz w:val="20"/>
          <w:szCs w:val="20"/>
          <w:color w:val="auto"/>
        </w:rPr>
      </w:pPr>
    </w:p>
    <w:p>
      <w:pPr>
        <w:ind w:left="540" w:right="559"/>
        <w:spacing w:after="0" w:line="236" w:lineRule="auto"/>
        <w:rPr>
          <w:sz w:val="20"/>
          <w:szCs w:val="20"/>
          <w:color w:val="auto"/>
        </w:rPr>
      </w:pPr>
      <w:r>
        <w:rPr>
          <w:rFonts w:ascii="Arial" w:cs="Arial" w:eastAsia="Arial" w:hAnsi="Arial"/>
          <w:sz w:val="18"/>
          <w:szCs w:val="18"/>
          <w:color w:val="auto"/>
        </w:rPr>
        <w:t>Since its establishment, Foresite Capital has led financings in numerous healthcare companies that have emerged or are emerging as leaders in their respective sectors of the healthcare economy using a systematic process for screening and evaluating potential investments that was designed to quickly identify compelling opportunities and eliminate unattractive opportunities as effectively as possible. We believe Foresite Capital’s combination of traditional investment management techniques with cutting edge tools and methods, its experience in multiple scientific fields (including biology, medicinal chemistry, physiology and pharmacology) and related areas (including reimbursement strategies, regulatory frameworks and processes) and its ability to collect and synthesize significant amounts of information (including academic research, medical journals, medical conference presentations, patent filings, regulatory actions and legal proceedings) and data (including genomic, clinical trial, laboratory, electronic health records, claims/billing, imaging and pathology) will provide us with deep functional expertise and diverse skill sets and contribute insights to each stage of the investment process.</w:t>
      </w:r>
    </w:p>
    <w:p>
      <w:pPr>
        <w:spacing w:after="0" w:line="135" w:lineRule="exact"/>
        <w:rPr>
          <w:sz w:val="20"/>
          <w:szCs w:val="20"/>
          <w:color w:val="auto"/>
        </w:rPr>
      </w:pPr>
    </w:p>
    <w:p>
      <w:pPr>
        <w:ind w:left="540" w:right="599"/>
        <w:spacing w:after="0" w:line="237" w:lineRule="auto"/>
        <w:rPr>
          <w:sz w:val="20"/>
          <w:szCs w:val="20"/>
          <w:color w:val="auto"/>
        </w:rPr>
      </w:pPr>
      <w:r>
        <w:rPr>
          <w:rFonts w:ascii="Arial" w:cs="Arial" w:eastAsia="Arial" w:hAnsi="Arial"/>
          <w:sz w:val="18"/>
          <w:szCs w:val="18"/>
          <w:color w:val="auto"/>
        </w:rPr>
        <w:t>As an affiliate of Foresite Capital, we intend to draw upon its experience and networks, team-based and multidisciplinary investment process and substantial information resources to optimize the sourcing, evaluation, and growth acceleration of prospective target companies. We believe that Foresite Capital’s track record demonstrates the ability of the members of our management team and affiliates to find high quality investment opportunities and achieve liquidity in such investments. Foresite Capital considers investments in hundreds of companies each year and, since inception, has invested in 229 companies in various financing rounds, which can be summarized as follows:</w:t>
      </w:r>
    </w:p>
    <w:p>
      <w:pPr>
        <w:spacing w:after="0" w:line="14" w:lineRule="exact"/>
        <w:rPr>
          <w:sz w:val="20"/>
          <w:szCs w:val="20"/>
          <w:color w:val="auto"/>
        </w:rPr>
      </w:pP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179 biotechnology companies;</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 crossover investments;</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28 IPOs following crossover investments; and</w:t>
      </w:r>
    </w:p>
    <w:p>
      <w:pPr>
        <w:spacing w:after="0" w:line="22" w:lineRule="exact"/>
        <w:rPr>
          <w:rFonts w:ascii="Arial" w:cs="Arial" w:eastAsia="Arial" w:hAnsi="Arial"/>
          <w:sz w:val="18"/>
          <w:szCs w:val="18"/>
          <w:color w:val="auto"/>
        </w:rPr>
      </w:pP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95 IPOs.</w:t>
      </w:r>
    </w:p>
    <w:p>
      <w:pPr>
        <w:spacing w:after="0" w:line="144" w:lineRule="exact"/>
        <w:rPr>
          <w:sz w:val="20"/>
          <w:szCs w:val="20"/>
          <w:color w:val="auto"/>
        </w:rPr>
      </w:pPr>
    </w:p>
    <w:p>
      <w:pPr>
        <w:ind w:left="540" w:right="639"/>
        <w:spacing w:after="0"/>
        <w:rPr>
          <w:sz w:val="20"/>
          <w:szCs w:val="20"/>
          <w:color w:val="auto"/>
        </w:rPr>
      </w:pPr>
      <w:r>
        <w:rPr>
          <w:rFonts w:ascii="Arial" w:cs="Arial" w:eastAsia="Arial" w:hAnsi="Arial"/>
          <w:sz w:val="18"/>
          <w:szCs w:val="18"/>
          <w:color w:val="auto"/>
        </w:rPr>
        <w:t>Representative investments by Foresite include Turning Point Therapeutics, Kinnate Biopharma, Keros Therapeutics, Fulcrum Therapeutics, 10X Genomics, Oric Pharmaceuticals, Generation Bio, Vaxcyte, Relay Therapeutics, Alx Oncology Holdings and Nurix Therapeutics.</w:t>
      </w:r>
    </w:p>
    <w:p>
      <w:pPr>
        <w:spacing w:after="0" w:line="135" w:lineRule="exact"/>
        <w:rPr>
          <w:sz w:val="20"/>
          <w:szCs w:val="20"/>
          <w:color w:val="auto"/>
        </w:rPr>
      </w:pPr>
    </w:p>
    <w:p>
      <w:pPr>
        <w:ind w:left="540" w:right="959"/>
        <w:spacing w:after="0" w:line="246" w:lineRule="auto"/>
        <w:rPr>
          <w:sz w:val="20"/>
          <w:szCs w:val="20"/>
          <w:color w:val="auto"/>
        </w:rPr>
      </w:pPr>
      <w:r>
        <w:rPr>
          <w:rFonts w:ascii="Arial" w:cs="Arial" w:eastAsia="Arial" w:hAnsi="Arial"/>
          <w:sz w:val="18"/>
          <w:szCs w:val="18"/>
          <w:color w:val="auto"/>
        </w:rPr>
        <w:t>We believe that biotechnology companies at the correct stage of development will see material benefits from being publicly traded.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PROCESS AND COMPETITIVE ADVANTAGES</w:t>
      </w:r>
    </w:p>
    <w:p>
      <w:pPr>
        <w:spacing w:after="0" w:line="153" w:lineRule="exact"/>
        <w:rPr>
          <w:sz w:val="20"/>
          <w:szCs w:val="20"/>
          <w:color w:val="auto"/>
        </w:rPr>
      </w:pPr>
    </w:p>
    <w:p>
      <w:pPr>
        <w:ind w:left="540" w:right="599"/>
        <w:spacing w:after="0" w:line="236" w:lineRule="auto"/>
        <w:rPr>
          <w:sz w:val="20"/>
          <w:szCs w:val="20"/>
          <w:color w:val="auto"/>
        </w:rPr>
      </w:pPr>
      <w:r>
        <w:rPr>
          <w:rFonts w:ascii="Arial" w:cs="Arial" w:eastAsia="Arial" w:hAnsi="Arial"/>
          <w:sz w:val="18"/>
          <w:szCs w:val="18"/>
          <w:color w:val="auto"/>
        </w:rPr>
        <w:t>Since its inception, Foresite Capital has been developing what we believe to be a state-of-the-art information management system and analytical framework designed to capture, store and surface critical information that impacts target markets and companies when it is most useful. In addition to capturing and synthesizing external sources of information, Foresite Capital seeks to capture every material interaction with prospective and existing portfolio companies. Members of Foresite Capital’s investment team receive structured, detailed notes and updates (such as refined product development timelines and revised probabilities of technical success) from these interactions, which also flow to the firm’s detailed financial and investment models. We believe that access to Foresite Capital’s internal database of every company that it has interacted with since inception will provide a competitive advantage to identifying opportunities for the initial business combination.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MANAGEMENT TEAM</w:t>
      </w:r>
    </w:p>
    <w:p>
      <w:pPr>
        <w:spacing w:after="0" w:line="166" w:lineRule="exact"/>
        <w:rPr>
          <w:sz w:val="20"/>
          <w:szCs w:val="20"/>
          <w:color w:val="auto"/>
        </w:rPr>
      </w:pPr>
    </w:p>
    <w:p>
      <w:pPr>
        <w:ind w:left="540" w:right="859"/>
        <w:spacing w:after="0" w:line="238" w:lineRule="auto"/>
        <w:rPr>
          <w:sz w:val="20"/>
          <w:szCs w:val="20"/>
          <w:color w:val="auto"/>
        </w:rPr>
      </w:pPr>
      <w:r>
        <w:rPr>
          <w:rFonts w:ascii="Arial" w:cs="Arial" w:eastAsia="Arial" w:hAnsi="Arial"/>
          <w:sz w:val="18"/>
          <w:szCs w:val="18"/>
          <w:color w:val="auto"/>
        </w:rPr>
        <w:t>Our management team includes healthcare industry veterans who have started, built and/or financed multiple companies with revenue in excess of $1 billion, managed clinical development divisions, designed and managed large-scale data science and machine learning projects, and worked in healthcare venture capital, private equity, hedge funds, investment banking and consulting.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4" w:name="page5"/>
    <w:bookmarkEnd w:id="4"/>
    <w:p>
      <w:pPr>
        <w:ind w:left="540" w:right="579"/>
        <w:spacing w:after="0" w:line="23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48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848725"/>
                    </a:xfrm>
                    <a:prstGeom prst="rect">
                      <a:avLst/>
                    </a:prstGeom>
                    <a:noFill/>
                  </pic:spPr>
                </pic:pic>
              </a:graphicData>
            </a:graphic>
          </wp:anchor>
        </w:drawing>
        <w:t>Dr. Jim Tananbaum</w:t>
      </w:r>
      <w:r>
        <w:rPr>
          <w:rFonts w:ascii="Arial" w:cs="Arial" w:eastAsia="Arial" w:hAnsi="Arial"/>
          <w:sz w:val="18"/>
          <w:szCs w:val="18"/>
          <w:color w:val="auto"/>
        </w:rPr>
        <w:t>, President, Chief Executive Officer and Director. Dr. Jim Tananbaum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our President, Chief Executive Officer and a director since June 2020. He founded Foresite Capital in 2011 and has overseen the development of Foresite Capital’s team and systems. While at Harvard Business School in 1991, Dr. Tananbaum co-founded his first company, GelTex Pharmaceuticals (Nasdaq: GENZ). GelTex ultimately brought two drugs to market, and the company was acquired by Genzyme Corporation in 2000 for $1.4 billion. From 1991 to 1994, Dr. Tananbaum worked at Merck in marketing and had product management responsibilities for Prilosec. In 1994, Dr. Tananbaum decided to leave Merck and join Sierra Ventures, to start Sierra Ventures’ healthcare services investment practice. At Sierra Ventures, Dr. Tananbaum was responsible for leading the firm’s investments in Amerigroup (now Anthem Medicaid division) and Healtheon/WebMD, among others. In 1997, he cofounded his second company, Theravance, Inc. (initially called “Advanced Medicine”). As the founding CEO of Theravance, Dr. Tananbaum hired the company’s first approximately 175 employees and raised over $350 million of private capital. Theravance has since split into two companies, one of which is now part of GlaxoSmithKline’s respiratory franchise through a joint venture, Innoviva (Nasdaq: INVA), and the other, Theravance BioPharma, Inc. (Nasdaq: TBPH). Together, they have a combined market capitalization in excess of approximately $3 billion as of July 2020. In 2000, Dr. Tananbaum co-founded Prospect Ventures</w:t>
      </w:r>
    </w:p>
    <w:p>
      <w:pPr>
        <w:spacing w:after="0" w:line="4" w:lineRule="exact"/>
        <w:rPr>
          <w:sz w:val="20"/>
          <w:szCs w:val="20"/>
          <w:color w:val="auto"/>
        </w:rPr>
      </w:pPr>
    </w:p>
    <w:p>
      <w:pPr>
        <w:ind w:left="540" w:right="699" w:firstLine="4"/>
        <w:spacing w:after="0" w:line="236" w:lineRule="auto"/>
        <w:tabs>
          <w:tab w:leader="none" w:pos="69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later III), which raised and deployed approximately $1 billion. During his time at Prospect, Dr. Tananbaum led numerous financings including Jazz Pharmaceuticals and Amira Pharmaceauticals. In 2010, Dr. Tananbaum decided to leave Prospect Ventures to create Foresite Capital. He sought to construct, from the ground up, an investment platform designed and optimized to invest specifically and exclusively in the modern health economy, based on his learnings and observations as a healthcare investor and entrepreneur over the preceding two decades. Dr. Tananbaum earned a BS and BSEE in applied math and electrical engineering/computer science from Yale, an MD from the Harvard-MIT HST program and an MBA from Harvard.</w:t>
      </w:r>
    </w:p>
    <w:p>
      <w:pPr>
        <w:spacing w:after="0" w:line="117"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b w:val="1"/>
          <w:bCs w:val="1"/>
          <w:color w:val="auto"/>
        </w:rPr>
        <w:t>Dennis Ryan</w:t>
      </w:r>
      <w:r>
        <w:rPr>
          <w:rFonts w:ascii="Arial" w:cs="Arial" w:eastAsia="Arial" w:hAnsi="Arial"/>
          <w:sz w:val="18"/>
          <w:szCs w:val="18"/>
          <w:color w:val="auto"/>
        </w:rPr>
        <w:t>, Chief Financial Officer. Dennis Ryan has been our Chief Financial Officer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2020. Since 2011, Mr. Ryan has also led the Operations Group at Foresite Capital as Chief Financial Officer and Managing Director. Mr. Ryan has over thirty years of experience as a financial executive in the venture capital, private equity, investment and real estate industries. Mr. Ryan began his career with the international accounting firm KPMG (Peat, Marwick &amp; Mitchell). As a licensed certified public accountant (CPA - inactive) in California, Mr. Ryan has served as chief financial officer and senior executive in firms ranging from a publicly owned real estate investment trust (REIT), Western Properties Trust, to a sponsor of a series of venture debt funds, Lighthouse Capital Partners, to a start-up of investment funds, Berkeley Advisors Group. In his role as chief financial officer with these firms, his responsibilities included debt and equity financing, investment structuring, financial reporting, portfolio management and strategic planning. Mr. Ryan currently serves as Board President of Whistlestop, a non-profit providing transportation and nutrition services to seniors. He received a B.A. from University of California, Berkeley in Economics, and an M.B.A from the University of Santa Clara.</w:t>
      </w:r>
    </w:p>
    <w:p>
      <w:pPr>
        <w:spacing w:after="0" w:line="122"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b w:val="1"/>
          <w:bCs w:val="1"/>
          <w:color w:val="auto"/>
        </w:rPr>
        <w:t>Dr. Michael Rome</w:t>
      </w:r>
      <w:r>
        <w:rPr>
          <w:rFonts w:ascii="Arial" w:cs="Arial" w:eastAsia="Arial" w:hAnsi="Arial"/>
          <w:sz w:val="18"/>
          <w:szCs w:val="18"/>
          <w:color w:val="auto"/>
        </w:rPr>
        <w:t>, Vice President and Director. Dr. Michael Rome has been our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 director on our board of directors since June 2020, and is a Managing Director at Foresite Capital. He joined Foresite Capital in 2016 and is active in the firm’s public and private market investments. Dr. Rome has experience investing across diverse therapeutic areas and has board roles at Kinnate Biopharma, Phavaris B.V., and board observer roles (past and present) at Turning Point Therapeutics, Arcus Biosciences, Maze Therapeutics, and PACT Pharma. Prior to Foresite Capital from 2015 to 2016, he was an equity analyst at DAFNA Capital Management, a long-short healthcare hedge fund, where he analyzed fund positions and formulated investment ideas in small/midcap biotechnology companies. From 2014 to 2015, Dr. Rome worked in early-stage drug development for an academic start-up out of the California NanoSystems Institute at UCLA. He received his Ph.D. in Biochemistry from Caltech as an NSF graduate research fellow, and his B.S. in Molecular, Cell and Developmental Biology from UCLA. He has more than 12 years of experience as a research scientist and has authored numerous publications in top-tier biomedical research journals.</w:t>
      </w:r>
    </w:p>
    <w:p>
      <w:pPr>
        <w:spacing w:after="0" w:line="108" w:lineRule="exact"/>
        <w:rPr>
          <w:sz w:val="20"/>
          <w:szCs w:val="20"/>
          <w:color w:val="auto"/>
        </w:rPr>
      </w:pPr>
    </w:p>
    <w:p>
      <w:pPr>
        <w:ind w:left="540" w:right="599"/>
        <w:spacing w:after="0" w:line="239" w:lineRule="auto"/>
        <w:rPr>
          <w:sz w:val="20"/>
          <w:szCs w:val="20"/>
          <w:color w:val="auto"/>
        </w:rPr>
      </w:pPr>
      <w:r>
        <w:rPr>
          <w:rFonts w:ascii="Arial" w:cs="Arial" w:eastAsia="Arial" w:hAnsi="Arial"/>
          <w:sz w:val="18"/>
          <w:szCs w:val="18"/>
          <w:b w:val="1"/>
          <w:bCs w:val="1"/>
          <w:color w:val="auto"/>
        </w:rPr>
        <w:t>Dr. Vikram Bajaj</w:t>
      </w:r>
      <w:r>
        <w:rPr>
          <w:rFonts w:ascii="Arial" w:cs="Arial" w:eastAsia="Arial" w:hAnsi="Arial"/>
          <w:sz w:val="18"/>
          <w:szCs w:val="18"/>
          <w:color w:val="auto"/>
        </w:rPr>
        <w:t>, Director. Dr. Vikram Bajaj has been a director on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2020, and is a Managing Director at Foresite Capital, evaluating and pursuing investments at the intersection of technology and life sciences, including personalized and precision healthcare. Prior to joining Foresite Capital, from 2016 to 2017, Dr. Bajaj was the Chief Scientific Officer of GRAIL, a life sciences company working to detect cancer early when it can be cured, and served on its Scientific Advisory Board. He is also the Co-Founder and former Chief Scientific officer of Verily (formerly Google Life Sciences) from 2013 to 2016, and served as Chair of its Scientific Advisory Board. A former academic principal investigator, Dr. Bajaj retains appointments as Associate Professor (Consulting) at the Stanford School of Medicine, and as an Affiliate Scientist of the Lawrence Berkeley National Laboratory and</w:t>
      </w:r>
    </w:p>
    <w:p>
      <w:pPr>
        <w:sectPr>
          <w:pgSz w:w="11900" w:h="16838" w:orient="portrait"/>
          <w:cols w:equalWidth="0" w:num="1">
            <w:col w:w="9019"/>
          </w:cols>
          <w:pgMar w:left="1440" w:top="454" w:right="1440"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type w:val="continuous"/>
        </w:sectPr>
      </w:pPr>
    </w:p>
    <w:bookmarkStart w:id="5" w:name="page6"/>
    <w:bookmarkEnd w:id="5"/>
    <w:p>
      <w:pPr>
        <w:ind w:left="540" w:right="739"/>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00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300085"/>
                    </a:xfrm>
                    <a:prstGeom prst="rect">
                      <a:avLst/>
                    </a:prstGeom>
                    <a:noFill/>
                  </pic:spPr>
                </pic:pic>
              </a:graphicData>
            </a:graphic>
          </wp:anchor>
        </w:drawing>
        <w:t>the University of California, Berkeley, for which he currently serves on the advisory board of the College of Chemistry. He is also currently an advisor to the Department of Defense through the Defense Science Board’s Task Force on Biology. Dr. Bajaj received a Ph.D. in physical chemistry from the Massachusetts Institute of Technology. His scientific and engineering awards include the Anatole Abragam Prize (2012), the R&amp;D 100 Award for the most promising commercialized technologies (2011 and 2013), and the Department of Energy’s LBL Innovation Grant (2013).</w:t>
      </w:r>
    </w:p>
    <w:p>
      <w:pPr>
        <w:spacing w:after="0" w:line="105" w:lineRule="exact"/>
        <w:rPr>
          <w:sz w:val="20"/>
          <w:szCs w:val="20"/>
          <w:color w:val="auto"/>
        </w:rPr>
      </w:pPr>
    </w:p>
    <w:p>
      <w:pPr>
        <w:ind w:left="540" w:right="559"/>
        <w:spacing w:after="0" w:line="253" w:lineRule="auto"/>
        <w:rPr>
          <w:sz w:val="20"/>
          <w:szCs w:val="20"/>
          <w:color w:val="auto"/>
        </w:rPr>
      </w:pPr>
      <w:r>
        <w:rPr>
          <w:rFonts w:ascii="Arial" w:cs="Arial" w:eastAsia="Arial" w:hAnsi="Arial"/>
          <w:sz w:val="17"/>
          <w:szCs w:val="17"/>
          <w:b w:val="1"/>
          <w:bCs w:val="1"/>
          <w:color w:val="auto"/>
        </w:rPr>
        <w:t xml:space="preserve">Robert Carey, </w:t>
      </w:r>
      <w:r>
        <w:rPr>
          <w:rFonts w:ascii="Arial" w:cs="Arial" w:eastAsia="Arial" w:hAnsi="Arial"/>
          <w:sz w:val="17"/>
          <w:szCs w:val="17"/>
          <w:color w:val="auto"/>
        </w:rPr>
        <w:t>Director Nominee. Mr. Carey served as Executive Vice President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Officer at Horizon Therapeutics plc (Nasdaq: HZNP) from March 2014 until October 2019, during which time Horizon deployed more than $3 billion to acquire or license eight commercial products and three products in development, including TEPEZZA™ and KRYSTEXXA®, resulting in Horizon’s net sales increasing from $74 million in 2013 to $1.2 billion in 2018. Prior to Horizon, Mr. Carey was Managing Director and Head of the Life Sciences Investment Banking Group at JMP Securities International, Inc. from 2003 until 2014 and Managing Director in the healthcare groups at Dresdner Kleinwort Wasserstein, from 2001 until 2003, and Vector Securities, from 1988 until 2001. Mr. Carey currently serves on the board of Sangamo Therapeutics, Inc. (Nasdaq: SGMO) and Beyond Air, Inc. (Nasdaq: XAIR). Mr. Carey also has held roles at Shearson Lehman Hutton and Ernst &amp; Whinney. Mr. Carey received his bachelor’s degree from the University of Notre Dame.</w:t>
      </w:r>
    </w:p>
    <w:p>
      <w:pPr>
        <w:spacing w:after="0" w:line="109" w:lineRule="exact"/>
        <w:rPr>
          <w:sz w:val="20"/>
          <w:szCs w:val="20"/>
          <w:color w:val="auto"/>
        </w:rPr>
      </w:pPr>
    </w:p>
    <w:p>
      <w:pPr>
        <w:ind w:left="540" w:right="779"/>
        <w:spacing w:after="0"/>
        <w:rPr>
          <w:sz w:val="20"/>
          <w:szCs w:val="20"/>
          <w:color w:val="auto"/>
        </w:rPr>
      </w:pPr>
      <w:r>
        <w:rPr>
          <w:rFonts w:ascii="Arial" w:cs="Arial" w:eastAsia="Arial" w:hAnsi="Arial"/>
          <w:sz w:val="18"/>
          <w:szCs w:val="18"/>
          <w:b w:val="1"/>
          <w:bCs w:val="1"/>
          <w:color w:val="auto"/>
        </w:rPr>
        <w:t xml:space="preserve">Dan Dubin, </w:t>
      </w:r>
      <w:r>
        <w:rPr>
          <w:rFonts w:ascii="Arial" w:cs="Arial" w:eastAsia="Arial" w:hAnsi="Arial"/>
          <w:sz w:val="18"/>
          <w:szCs w:val="18"/>
          <w:color w:val="auto"/>
        </w:rPr>
        <w:t>Director Nominee. Dr. Dubin is also the Vice Chairman and Head of Biopharma</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Banking at SVB Leerink, an investment bank specializing in healthcare and life sciences, a role he has held since January 2006. Prior to joining SVB Leerink in 1999, Dr. Dubin co-founded MEDACorp, a provider of insights on the commercial potential of biotherapeutics and medical devices to healthcare companies and investors. He also serves as a director of Olivo Laboratories LLC, a dermatological biotechnology company and sits on the SVB Leerink’s executive committee. Dr. Dubin holds a B.A. from Dartmouth College in Chemistry and an M.D. from Harvard Medical School.</w:t>
      </w:r>
    </w:p>
    <w:p>
      <w:pPr>
        <w:spacing w:after="0" w:line="99" w:lineRule="exact"/>
        <w:rPr>
          <w:sz w:val="20"/>
          <w:szCs w:val="20"/>
          <w:color w:val="auto"/>
        </w:rPr>
      </w:pPr>
    </w:p>
    <w:p>
      <w:pPr>
        <w:ind w:left="540" w:right="599"/>
        <w:spacing w:after="0" w:line="237" w:lineRule="auto"/>
        <w:rPr>
          <w:sz w:val="20"/>
          <w:szCs w:val="20"/>
          <w:color w:val="auto"/>
        </w:rPr>
      </w:pPr>
      <w:r>
        <w:rPr>
          <w:rFonts w:ascii="Arial" w:cs="Arial" w:eastAsia="Arial" w:hAnsi="Arial"/>
          <w:sz w:val="18"/>
          <w:szCs w:val="18"/>
          <w:b w:val="1"/>
          <w:bCs w:val="1"/>
          <w:color w:val="auto"/>
        </w:rPr>
        <w:t xml:space="preserve">Deepa Pakianathan, </w:t>
      </w:r>
      <w:r>
        <w:rPr>
          <w:rFonts w:ascii="Arial" w:cs="Arial" w:eastAsia="Arial" w:hAnsi="Arial"/>
          <w:sz w:val="18"/>
          <w:szCs w:val="18"/>
          <w:color w:val="auto"/>
        </w:rPr>
        <w:t>Director Nominee. Dr. Pakianathan is a Managing Member of Delphi</w:t>
      </w:r>
      <w:r>
        <w:rPr>
          <w:rFonts w:ascii="Arial" w:cs="Arial" w:eastAsia="Arial" w:hAnsi="Arial"/>
          <w:sz w:val="18"/>
          <w:szCs w:val="18"/>
          <w:b w:val="1"/>
          <w:bCs w:val="1"/>
          <w:color w:val="auto"/>
        </w:rPr>
        <w:t xml:space="preserve"> </w:t>
      </w:r>
      <w:r>
        <w:rPr>
          <w:rFonts w:ascii="Arial" w:cs="Arial" w:eastAsia="Arial" w:hAnsi="Arial"/>
          <w:sz w:val="18"/>
          <w:szCs w:val="18"/>
          <w:color w:val="auto"/>
        </w:rPr>
        <w:t>Ventures, which she joined in 2001 to build and lead the firm’s biotechnology investment practice. Prior to joining Delphi, Deepa was an M&amp;A and corporate finance banker in the healthcare group at J.P. Morgan. Prior to that, she was a biotechnology research analyst at Genesis Merchant Group and a postdoctoral scientist in the Immunology Department at Genentech Corporation. Dr. Pakianathan currently serves on the board of Calithera Biosciences, Inc. (Nasdaq: CALA) where she is lead director, as well as the boards of Karyopharm Therapeutics (Nasdaq: KPTI), Mereo BioPharma Group plc (Nasdaq: MREO) and Theravance Biopharma (Nasdaq: TBPH). She serves as Executive Vice-chair and Treasurer on the San Francisco Conservatory of Music’s Board of Trustees. Deepa previously served on the boards of Alder Biopharma (Nasdaq: ALDR), Relypsa (acquired by Vifor), Proteolix (acquired by Onyx Pharmaceuticals), Ilypsa (acquired by Amgen), Forsight V5 (acquired by Allergan), Alexa Pharmaceuticals (acquired by Ferrer), Salmedix (acquired by Cephalon) and led an investment in Seattle Genetics. She was also on the BIO and NVCA boards. Deepa received her Ph.D. and MS from Wake Forest University and her MSc and BSc from the University of Bombay.</w:t>
      </w:r>
    </w:p>
    <w:p>
      <w:pPr>
        <w:spacing w:after="0" w:line="142"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Our management team will also be supported by certain of Foresite Capital’s team of investment professionals, who will also serve as our non-executive officers and will assist us in our efforts to consummate our initial business combination, including Dr. Dorothy Margolskee, our Senior Advisor and a Managing Director of Foresite Capital. Dr. Margolskee joined Foresite Capital in 2012 and has overseen the development of Foresite Capital’s Clinical &amp; Research Analysis team. Dr. Margolskee has worked with Dr. Tananbaum for the last 17.5 years, previously at Prospect Ventures as a managing director in charge of research from 2001 to 2011, and now at Foresite Capital. In this capacity, she developed the Foresite Capital investment technical review process, rigorously analyzing biotechnology company portfolios on the basis of scientific validation, clinical efficacy and safety, manufacturing readiness and FDA regulatory risk. Dr. Margolskee had 15 years of drug development experience at Merck Research Labs from 1987 to 2001, ultimately becoming a senior vice president with responsibility for a wide variety of clinical development programs and project planning. In particular, she was deeply involved in the design and execution of several vaccine programs, including Gardisil, RotaTeq and Zostavax. Dr. Margolskee received an MRL Divisional Scientific Award in 1998 for developing one of Merck’s most successful drugs, Singulair. In addition, she led the team that designed and implemented the advanced AIDS program during the development of Crixivan, one of the first HIV protease inhibitors that revolutionized the treatment of HIV infection. Prior to joining Merck, Dr. Margolskee received an M.D. from Johns Hopkins Medical School where she was elected to Alpha Omega Alpha and a B.S. from</w:t>
      </w:r>
    </w:p>
    <w:p>
      <w:pPr>
        <w:sectPr>
          <w:pgSz w:w="11900" w:h="16838" w:orient="portrait"/>
          <w:cols w:equalWidth="0" w:num="1">
            <w:col w:w="9019"/>
          </w:cols>
          <w:pgMar w:left="1440" w:top="476"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type w:val="continuous"/>
        </w:sectPr>
      </w:pPr>
    </w:p>
    <w:bookmarkStart w:id="6" w:name="page7"/>
    <w:bookmarkEnd w:id="6"/>
    <w:p>
      <w:pPr>
        <w:ind w:left="540" w:right="6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751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7751445"/>
                    </a:xfrm>
                    <a:prstGeom prst="rect">
                      <a:avLst/>
                    </a:prstGeom>
                    <a:noFill/>
                  </pic:spPr>
                </pic:pic>
              </a:graphicData>
            </a:graphic>
          </wp:anchor>
        </w:drawing>
        <w:t>Harvard University where she graduated summa cum laude. Dr. Margolskee is boarded in both Internal Medicine and Pulmonary, and completed her residency at the Johns Hopkins Hospital and fellowship training at UCSF.</w:t>
      </w:r>
    </w:p>
    <w:p>
      <w:pPr>
        <w:spacing w:after="0" w:line="135"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OPPORTUNITY</w:t>
      </w:r>
    </w:p>
    <w:p>
      <w:pPr>
        <w:spacing w:after="0" w:line="166" w:lineRule="exact"/>
        <w:rPr>
          <w:sz w:val="20"/>
          <w:szCs w:val="20"/>
          <w:color w:val="auto"/>
        </w:rPr>
      </w:pPr>
    </w:p>
    <w:p>
      <w:pPr>
        <w:ind w:left="540" w:right="579"/>
        <w:spacing w:after="0" w:line="250" w:lineRule="auto"/>
        <w:rPr>
          <w:sz w:val="20"/>
          <w:szCs w:val="20"/>
          <w:color w:val="auto"/>
        </w:rPr>
      </w:pPr>
      <w:r>
        <w:rPr>
          <w:rFonts w:ascii="Arial" w:cs="Arial" w:eastAsia="Arial" w:hAnsi="Arial"/>
          <w:sz w:val="17"/>
          <w:szCs w:val="17"/>
          <w:color w:val="auto"/>
        </w:rPr>
        <w:t>Our primary focus will be on the healthcare industry in the United States. We believe the healthcare industry, particularly the biotechnology sector, represents an enormous and growing target market with a large number of potential target acquisition opportunities. Overall, total U.S. national health expenditures currently exceed $3.6 trillion according to the Centers for Medicare and Medicaid Services, which also estimates that total healthcare spending will approach 20% of total U.S. Gross Domestic Product in 2028. In addition to these industry-wide dynamics in healthcare, specifically within biotechnology sector, the past decade has seen a shift in the research and development strategy of the Big Pharma companies to external innovation through licensing partnerships and strategic acquisitions, resulting in 1,195 M&amp;A transactions totaling $801 billion from 2015 to 2019 according to Evaluate Pharma, a data-driven pharma, biotechnology and medtech consultant. Furthermore, there has been a gradual increase in US Food and Drugs Administration (FDA) approval of new drugs, from 163 approvals between 2010 and 2014 to 220 approvals between 2015 and 2019. The global biotechnology market is expecting to grow almost 2.9% to over $294 billion in revenue in 2020, according to IBISWorld, and total sales of prescription drugs worldwide were $843 billion in 2019 according to Evaluate Pharma. We believe that these trends present a favorable opportunity for investors in preclinical to pre-commercial companies within the biotechnology sector, which is where Foresite Capital has largely focused since inception.</w:t>
      </w:r>
    </w:p>
    <w:p>
      <w:pPr>
        <w:spacing w:after="0" w:line="320" w:lineRule="exact"/>
        <w:rPr>
          <w:sz w:val="20"/>
          <w:szCs w:val="20"/>
          <w:color w:val="auto"/>
        </w:rPr>
      </w:pPr>
    </w:p>
    <w:p>
      <w:pPr>
        <w:ind w:left="540" w:right="659"/>
        <w:spacing w:after="0" w:line="236" w:lineRule="auto"/>
        <w:rPr>
          <w:sz w:val="20"/>
          <w:szCs w:val="20"/>
          <w:color w:val="auto"/>
        </w:rPr>
      </w:pPr>
      <w:r>
        <w:rPr>
          <w:rFonts w:ascii="Arial" w:cs="Arial" w:eastAsia="Arial" w:hAnsi="Arial"/>
          <w:sz w:val="18"/>
          <w:szCs w:val="18"/>
          <w:color w:val="auto"/>
        </w:rPr>
        <w:t>We believe that there are major benefits for privately-held, pre-commercial stage biotechnology companies to become publicly-traded, including greater access to capital, broader investor base, more liquid securities, and increased market awareness. An acquisition by a special purpose acquisition company with a management team that is well-known and respected by biotechnology company founders, their investors, and management teams, we believe, will become a preferred route for a high quality private healthcare company to access the public markets. Furthermore, we believe that market volatility caused by the COVID-19 pandemic is likely to make such an on-ramp to the public markets even more attractive to private companies, as it promises more certainty about deal completion, a more efficient path to the public markets, and a defined investor base.</w:t>
      </w:r>
    </w:p>
    <w:p>
      <w:pPr>
        <w:spacing w:after="0" w:line="139"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In addition, we believe that the current state of the biotechnology IPO market may enhance our ability to locate an attractive target. According to IBISWorld, in 2019, there were estimated to be approximately 9,500 biotechnology companies globally, only a fraction of which are publicly traded. These privately held biotechnology companies represent an enormous investment opportunity, and recent trends in equity capital markets continue to demonstrate their desire to access public capital. Since 2015, approximately $170 billion has been raised in the public equity markets by biotechnology companies, of which approximately $30 billion has been raised through IPOs by approximately 250 biotechnology companies.</w:t>
      </w:r>
    </w:p>
    <w:p>
      <w:pPr>
        <w:spacing w:after="0" w:line="140" w:lineRule="exact"/>
        <w:rPr>
          <w:sz w:val="20"/>
          <w:szCs w:val="20"/>
          <w:color w:val="auto"/>
        </w:rPr>
      </w:pPr>
    </w:p>
    <w:p>
      <w:pPr>
        <w:ind w:left="540" w:right="619"/>
        <w:spacing w:after="0" w:line="237" w:lineRule="auto"/>
        <w:rPr>
          <w:sz w:val="20"/>
          <w:szCs w:val="20"/>
          <w:color w:val="auto"/>
        </w:rPr>
      </w:pPr>
      <w:r>
        <w:rPr>
          <w:rFonts w:ascii="Arial" w:cs="Arial" w:eastAsia="Arial" w:hAnsi="Arial"/>
          <w:sz w:val="18"/>
          <w:szCs w:val="18"/>
          <w:color w:val="auto"/>
        </w:rPr>
        <w:t>We believe that there is tremendous investor demand for IPOs in the biotechnology sector and that the COVID-19 pandemic has led to a renewed appreciation of the critical contributions the biotechnology sector makes to society, which in turn will continue to fuel investor demand. Given our sponsor’s track record of identifying, evaluating, and investing in leading biotechnology companies, we believe a business combination target we identify will benefit by partnering with us to go public.</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20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120380"/>
                    </a:xfrm>
                    <a:prstGeom prst="rect">
                      <a:avLst/>
                    </a:prstGeom>
                    <a:noFill/>
                  </pic:spPr>
                </pic:pic>
              </a:graphicData>
            </a:graphic>
          </wp:anchor>
        </w:drawing>
        <w:t>ACQUISITION STRATEGY</w:t>
      </w:r>
    </w:p>
    <w:p>
      <w:pPr>
        <w:spacing w:after="0" w:line="153"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As Foresite Capital’s affiliate, we will benefit from our access to Foresite Capital’s infrastructure, personnel, network and relationships. Foresite Capital’s investment team is in regular contact with entrepreneurs, key opinion leaders, management teams, and contacts in the venture capital and investment banking communities to source new deals. Our robust screening and due diligence process includes numerous meetings or calls with management and leverages Foresite’s expansive network of key opinion leaders, healthcare company executives, entrepreneurs and leading academics. Foresite Capital has invested heavily in its team, information management systems and data science infrastructure, which we expect will provide us with substantial sourcing and analytical capabilities, as well as other capabilities (including clinical development, translational medicine, chemistry, biostatistics and data science) that would ordinarily be outsourced to specialized third-party consultants. Prospective target companies will need to pass rigorous due diligence criteria, which may include, but are not limited to:</w:t>
      </w:r>
    </w:p>
    <w:p>
      <w:pPr>
        <w:spacing w:after="0" w:line="28" w:lineRule="exact"/>
        <w:rPr>
          <w:sz w:val="20"/>
          <w:szCs w:val="20"/>
          <w:color w:val="auto"/>
        </w:rPr>
      </w:pPr>
    </w:p>
    <w:p>
      <w:pPr>
        <w:ind w:left="1140" w:hanging="27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Compelling risk/reward proposition;</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market leading product;</w:t>
      </w:r>
    </w:p>
    <w:p>
      <w:pPr>
        <w:spacing w:after="0" w:line="22" w:lineRule="exact"/>
        <w:rPr>
          <w:rFonts w:ascii="Arial" w:cs="Arial" w:eastAsia="Arial" w:hAnsi="Arial"/>
          <w:sz w:val="18"/>
          <w:szCs w:val="18"/>
          <w:color w:val="auto"/>
        </w:rPr>
      </w:pPr>
    </w:p>
    <w:p>
      <w:pPr>
        <w:ind w:left="1140" w:hanging="27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Addressing unmet medical need;</w:t>
      </w:r>
    </w:p>
    <w:p>
      <w:pPr>
        <w:spacing w:after="0" w:line="36" w:lineRule="exact"/>
        <w:rPr>
          <w:rFonts w:ascii="Arial" w:cs="Arial" w:eastAsia="Arial" w:hAnsi="Arial"/>
          <w:sz w:val="18"/>
          <w:szCs w:val="18"/>
          <w:color w:val="auto"/>
        </w:rPr>
      </w:pPr>
    </w:p>
    <w:p>
      <w:pPr>
        <w:ind w:left="1200" w:right="759" w:hanging="332"/>
        <w:spacing w:after="0"/>
        <w:tabs>
          <w:tab w:leader="none" w:pos="1139"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team with experience in the public market (our management team has often previously worked with or known management of many of the companies in which they invest);</w:t>
      </w:r>
    </w:p>
    <w:p>
      <w:pPr>
        <w:spacing w:after="0" w:line="27" w:lineRule="exact"/>
        <w:rPr>
          <w:rFonts w:ascii="Arial" w:cs="Arial" w:eastAsia="Arial" w:hAnsi="Arial"/>
          <w:sz w:val="18"/>
          <w:szCs w:val="18"/>
          <w:color w:val="auto"/>
        </w:rPr>
      </w:pPr>
    </w:p>
    <w:p>
      <w:pPr>
        <w:ind w:left="1200" w:right="619" w:hanging="332"/>
        <w:spacing w:after="0" w:line="246" w:lineRule="auto"/>
        <w:tabs>
          <w:tab w:leader="none" w:pos="1139"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assets with the ability to create value, diversifying risk, looking for multiple shots on goal; and</w:t>
      </w:r>
    </w:p>
    <w:p>
      <w:pPr>
        <w:spacing w:after="0" w:line="7" w:lineRule="exact"/>
        <w:rPr>
          <w:rFonts w:ascii="Arial" w:cs="Arial" w:eastAsia="Arial" w:hAnsi="Arial"/>
          <w:sz w:val="18"/>
          <w:szCs w:val="18"/>
          <w:color w:val="auto"/>
        </w:rPr>
      </w:pPr>
    </w:p>
    <w:p>
      <w:pPr>
        <w:ind w:left="1140" w:hanging="27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Premier scientific and clinical leadership.</w:t>
      </w:r>
    </w:p>
    <w:p>
      <w:pPr>
        <w:spacing w:after="0" w:line="144"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Foresite Capital has carefully curated a multidisciplinary investment team with deep, diverse and complementary experience in order to identify emerging leaders across the health economy, develop comprehensive, 360-degree views of companies and their unique risks, and help portfolio companies achieve technical success and reach liquidity. We believe that this purpose-built structure and process reduces biases and asymmetric information flows that may hamper decisions to enter and exit investments in traditional fund structures. Our management team, through its members’ shared experience at Foresite Capital, has significant and coordinated expertise including: (1) clinical and product development experience, which enables deep understanding and evaluation of every aspect of development and regulatory processes; (2) comprehensive commercialization experience across multiple healthcare sectors, which allows the team to evaluate the entire lifecycle of product launch and market adoption, as well as opportunities and structures for partnership and acquisitions; and (3) broad financing experience across investment banking, buy-side investing and venture capital and private equity investing, which enables the team to evaluate IPO and buyout opportunities and structure terms based on a deep understanding of the entire financing lifecycle.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Acquisition and Diligence Process includes:</w:t>
      </w:r>
    </w:p>
    <w:p>
      <w:pPr>
        <w:spacing w:after="0" w:line="23" w:lineRule="exact"/>
        <w:rPr>
          <w:sz w:val="20"/>
          <w:szCs w:val="20"/>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Scientific and clinical analysis, with assessment of clinical and regulatory success factors;</w:t>
      </w:r>
    </w:p>
    <w:p>
      <w:pPr>
        <w:spacing w:after="0" w:line="36" w:lineRule="exact"/>
        <w:rPr>
          <w:rFonts w:ascii="Arial" w:cs="Arial" w:eastAsia="Arial" w:hAnsi="Arial"/>
          <w:sz w:val="18"/>
          <w:szCs w:val="18"/>
          <w:color w:val="auto"/>
        </w:rPr>
      </w:pPr>
    </w:p>
    <w:p>
      <w:pPr>
        <w:ind w:left="1200" w:right="799" w:hanging="332"/>
        <w:spacing w:after="0" w:line="246" w:lineRule="auto"/>
        <w:tabs>
          <w:tab w:leader="none" w:pos="1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of market factors such as size, growth opportunity, competition, and development trends;</w:t>
      </w:r>
    </w:p>
    <w:p>
      <w:pPr>
        <w:spacing w:after="0" w:line="21"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Reimbursement review;</w:t>
      </w:r>
    </w:p>
    <w:p>
      <w:pPr>
        <w:spacing w:after="0" w:line="22"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 review of proprietary technology content and intellectual property;</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Interviews with key opinion leaders, customers, competitors and industry experts;</w:t>
      </w:r>
    </w:p>
    <w:p>
      <w:pPr>
        <w:spacing w:after="0" w:line="36" w:lineRule="exact"/>
        <w:rPr>
          <w:rFonts w:ascii="Arial" w:cs="Arial" w:eastAsia="Arial" w:hAnsi="Arial"/>
          <w:sz w:val="18"/>
          <w:szCs w:val="18"/>
          <w:color w:val="auto"/>
        </w:rPr>
      </w:pPr>
    </w:p>
    <w:p>
      <w:pPr>
        <w:ind w:left="1200" w:right="1059" w:hanging="332"/>
        <w:spacing w:after="0" w:line="246" w:lineRule="auto"/>
        <w:tabs>
          <w:tab w:leader="none" w:pos="1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 financial evaluation including analysis of historical results and modeling of various scenarios including product launch forecasting;</w:t>
      </w:r>
    </w:p>
    <w:p>
      <w:pPr>
        <w:spacing w:after="0" w:line="7"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and evaluation of operations including R&amp;D, manufacturing, sales, and distribution;</w:t>
      </w:r>
    </w:p>
    <w:p>
      <w:pPr>
        <w:spacing w:after="0" w:line="36" w:lineRule="exact"/>
        <w:rPr>
          <w:rFonts w:ascii="Arial" w:cs="Arial" w:eastAsia="Arial" w:hAnsi="Arial"/>
          <w:sz w:val="18"/>
          <w:szCs w:val="18"/>
          <w:color w:val="auto"/>
        </w:rPr>
      </w:pPr>
    </w:p>
    <w:p>
      <w:pPr>
        <w:ind w:left="1200" w:right="799" w:hanging="332"/>
        <w:spacing w:after="0" w:line="246" w:lineRule="auto"/>
        <w:tabs>
          <w:tab w:leader="none" w:pos="1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of key milestones that will drive liquidity, and assessment of the likelihood of various paths to liquidity;</w:t>
      </w:r>
    </w:p>
    <w:p>
      <w:pPr>
        <w:spacing w:after="0" w:line="7" w:lineRule="exact"/>
        <w:rPr>
          <w:rFonts w:ascii="Arial" w:cs="Arial" w:eastAsia="Arial" w:hAnsi="Arial"/>
          <w:sz w:val="18"/>
          <w:szCs w:val="18"/>
          <w:color w:val="auto"/>
        </w:rPr>
      </w:pPr>
    </w:p>
    <w:p>
      <w:pPr>
        <w:ind w:left="1200" w:right="999" w:hanging="332"/>
        <w:spacing w:after="0" w:line="246" w:lineRule="auto"/>
        <w:tabs>
          <w:tab w:leader="none" w:pos="1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Preparation of a detailed financial forecast and potential cash-on-cash returns analysis using several scenarios of financial performance, structure and exit timing;</w:t>
      </w:r>
    </w:p>
    <w:p>
      <w:pPr>
        <w:spacing w:after="0" w:line="21" w:lineRule="exact"/>
        <w:rPr>
          <w:rFonts w:ascii="Arial" w:cs="Arial" w:eastAsia="Arial" w:hAnsi="Arial"/>
          <w:sz w:val="18"/>
          <w:szCs w:val="18"/>
          <w:color w:val="auto"/>
        </w:rPr>
      </w:pPr>
    </w:p>
    <w:p>
      <w:pPr>
        <w:ind w:left="1200" w:right="859" w:hanging="332"/>
        <w:spacing w:after="0" w:line="246" w:lineRule="auto"/>
        <w:tabs>
          <w:tab w:leader="none" w:pos="1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Comparison of a company’s progress against tracked prior meetings and its competition; and</w:t>
      </w:r>
    </w:p>
    <w:p>
      <w:pPr>
        <w:spacing w:after="0" w:line="21" w:lineRule="exact"/>
        <w:rPr>
          <w:rFonts w:ascii="Arial" w:cs="Arial" w:eastAsia="Arial" w:hAnsi="Arial"/>
          <w:sz w:val="18"/>
          <w:szCs w:val="18"/>
          <w:color w:val="auto"/>
        </w:rPr>
      </w:pPr>
    </w:p>
    <w:p>
      <w:pPr>
        <w:ind w:left="1200" w:right="1199" w:hanging="332"/>
        <w:spacing w:after="0" w:line="246" w:lineRule="auto"/>
        <w:tabs>
          <w:tab w:leader="none" w:pos="1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Analysis of relevant and available data using advanced data science techniques (for example, claims analysis to identify potential patient population).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8" w:name="page9"/>
    <w:bookmarkEnd w:id="8"/>
    <w:p>
      <w:pPr>
        <w:ind w:left="540" w:right="579"/>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2486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248650"/>
                    </a:xfrm>
                    <a:prstGeom prst="rect">
                      <a:avLst/>
                    </a:prstGeom>
                    <a:noFill/>
                  </pic:spPr>
                </pic:pic>
              </a:graphicData>
            </a:graphic>
          </wp:anchor>
        </w:drawing>
        <w:t>Our management team will utilize the information management system of our affiliate, Foresite Capital, to track company progress, milestones, commercial KPIs, future financing needs and timing, action items, key risks and open items. Decisions to proceed with final negotiation and consummation of the initial business combination will be made by consensus of the management team after the completion of what we believe to be appropriate due diligence, which may encompass, among other things, meetings with incumbent management and employees, document reviews, interviews of customers and suppliers, inspections of facilities, as well as reviewing financial and other information which will be made available to us. The time required for the initial business combination to advance from sourcing to final approval will vary depending on the circumstances. If our management team or our affiliate, Foresite Capital, has been previously following a prospective target company and has identified key hurdles, open items, or pieces of data believed essential to making an investment, we will be able leverage these insights and move quickly when our requirements are met. 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BUSINESS COMBINATION</w:t>
      </w:r>
    </w:p>
    <w:p>
      <w:pPr>
        <w:spacing w:after="0" w:line="166" w:lineRule="exact"/>
        <w:rPr>
          <w:sz w:val="20"/>
          <w:szCs w:val="20"/>
          <w:color w:val="auto"/>
        </w:rPr>
      </w:pPr>
    </w:p>
    <w:p>
      <w:pPr>
        <w:ind w:left="540" w:right="579"/>
        <w:spacing w:after="0" w:line="235"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146"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ectPr>
          <w:pgSz w:w="11900" w:h="16838" w:orient="portrait"/>
          <w:cols w:equalWidth="0" w:num="1">
            <w:col w:w="9019"/>
          </w:cols>
          <w:pgMar w:left="1440" w:top="476"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type w:val="continuous"/>
        </w:sectPr>
      </w:pPr>
    </w:p>
    <w:bookmarkStart w:id="9" w:name="page10"/>
    <w:bookmarkEnd w:id="9"/>
    <w:p>
      <w:pPr>
        <w:ind w:left="540" w:right="55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231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231505"/>
                    </a:xfrm>
                    <a:prstGeom prst="rect">
                      <a:avLst/>
                    </a:prstGeom>
                    <a:noFill/>
                  </pic:spPr>
                </pic:pic>
              </a:graphicData>
            </a:graphic>
          </wp:anchor>
        </w:drawing>
        <w:t>In addition, our sponsor has indicated an interest to purchase $25,000,000 of shares of our Class A common stock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136"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Prior to the date of this prospectus, we filed a Registration Statement on Form 8-A with the SEC to voluntarily register our securities under Section 12 of the Securities Exchange Act of 1934, as amended, or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SOURCING OF POTENTIAL INITIAL BUSINESS COMBINATION TARGETS</w:t>
      </w:r>
    </w:p>
    <w:p>
      <w:pPr>
        <w:spacing w:after="0" w:line="166"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w:t>
      </w:r>
    </w:p>
    <w:p>
      <w:pPr>
        <w:spacing w:after="0" w:line="127" w:lineRule="exact"/>
        <w:rPr>
          <w:sz w:val="20"/>
          <w:szCs w:val="20"/>
          <w:color w:val="auto"/>
        </w:rPr>
      </w:pPr>
    </w:p>
    <w:p>
      <w:pPr>
        <w:ind w:left="540" w:right="67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6" w:lineRule="exact"/>
        <w:rPr>
          <w:sz w:val="20"/>
          <w:szCs w:val="20"/>
          <w:color w:val="auto"/>
        </w:rPr>
      </w:pPr>
    </w:p>
    <w:p>
      <w:pPr>
        <w:ind w:left="540" w:right="69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24" w:lineRule="exact"/>
        <w:rPr>
          <w:sz w:val="20"/>
          <w:szCs w:val="20"/>
          <w:color w:val="auto"/>
        </w:rPr>
      </w:pPr>
    </w:p>
    <w:p>
      <w:pPr>
        <w:ind w:left="540" w:right="1019"/>
        <w:spacing w:after="0" w:line="246" w:lineRule="auto"/>
        <w:rPr>
          <w:sz w:val="20"/>
          <w:szCs w:val="20"/>
          <w:color w:val="auto"/>
        </w:rPr>
      </w:pPr>
      <w:r>
        <w:rPr>
          <w:rFonts w:ascii="Arial" w:cs="Arial" w:eastAsia="Arial" w:hAnsi="Arial"/>
          <w:sz w:val="18"/>
          <w:szCs w:val="18"/>
          <w:color w:val="auto"/>
        </w:rPr>
        <w:t>Unlike other SPAC IPOs, investors in this offering will not receive warrants that would become exercisable following completion of our initial business combination.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522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5222875"/>
                    </a:xfrm>
                    <a:prstGeom prst="rect">
                      <a:avLst/>
                    </a:prstGeom>
                    <a:noFill/>
                  </pic:spPr>
                </pic:pic>
              </a:graphicData>
            </a:graphic>
          </wp:anchor>
        </w:drawing>
        <w:t>CORPORATE INFORMATION</w:t>
      </w:r>
    </w:p>
    <w:p>
      <w:pPr>
        <w:spacing w:after="0" w:line="153" w:lineRule="exact"/>
        <w:rPr>
          <w:sz w:val="20"/>
          <w:szCs w:val="20"/>
          <w:color w:val="auto"/>
        </w:rPr>
      </w:pPr>
    </w:p>
    <w:p>
      <w:pPr>
        <w:ind w:left="540" w:right="659"/>
        <w:spacing w:after="0" w:line="246" w:lineRule="auto"/>
        <w:rPr>
          <w:sz w:val="20"/>
          <w:szCs w:val="20"/>
          <w:color w:val="auto"/>
        </w:rPr>
      </w:pPr>
      <w:r>
        <w:rPr>
          <w:rFonts w:ascii="Arial" w:cs="Arial" w:eastAsia="Arial" w:hAnsi="Arial"/>
          <w:sz w:val="18"/>
          <w:szCs w:val="18"/>
          <w:color w:val="auto"/>
        </w:rPr>
        <w:t>Our executive offices are located at 600 Montgomery Street, Suite 4500, San Francisco, California 94111, and our telephone number is (415) 877-4887.</w:t>
      </w:r>
    </w:p>
    <w:p>
      <w:pPr>
        <w:spacing w:after="0" w:line="129" w:lineRule="exact"/>
        <w:rPr>
          <w:sz w:val="20"/>
          <w:szCs w:val="20"/>
          <w:color w:val="auto"/>
        </w:rPr>
      </w:pPr>
    </w:p>
    <w:p>
      <w:pPr>
        <w:ind w:left="540" w:right="5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7"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24"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35" w:lineRule="exact"/>
        <w:rPr>
          <w:sz w:val="20"/>
          <w:szCs w:val="20"/>
          <w:color w:val="auto"/>
        </w:rPr>
      </w:pPr>
    </w:p>
    <w:p>
      <w:pPr>
        <w:ind w:left="540" w:right="719"/>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19"/>
          <w:szCs w:val="19"/>
          <w:color w:val="auto"/>
          <w:vertAlign w:val="superscript"/>
        </w:rPr>
        <w:t>th</w:t>
      </w:r>
      <w:r>
        <w:rPr>
          <w:rFonts w:ascii="Arial" w:cs="Arial" w:eastAsia="Arial" w:hAnsi="Arial"/>
          <w:sz w:val="17"/>
          <w:szCs w:val="17"/>
          <w:color w:val="auto"/>
        </w:rPr>
        <w:t>, or</w:t>
      </w:r>
    </w:p>
    <w:p>
      <w:pPr>
        <w:spacing w:after="0" w:line="4" w:lineRule="exact"/>
        <w:rPr>
          <w:sz w:val="20"/>
          <w:szCs w:val="20"/>
          <w:color w:val="auto"/>
        </w:rPr>
      </w:pPr>
    </w:p>
    <w:p>
      <w:pPr>
        <w:ind w:left="540" w:right="759" w:firstLine="4"/>
        <w:spacing w:after="0" w:line="274" w:lineRule="auto"/>
        <w:tabs>
          <w:tab w:leader="none" w:pos="81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annual revenues exceeded $100 million during such completed fiscal year and the market value of our common stock held by non-affiliates exceeds $700 million as of the prior June 30.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920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6920230"/>
                    </a:xfrm>
                    <a:prstGeom prst="rect">
                      <a:avLst/>
                    </a:prstGeom>
                    <a:noFill/>
                  </pic:spPr>
                </pic:pic>
              </a:graphicData>
            </a:graphic>
          </wp:anchor>
        </w:drawing>
        <w:t>THE OFFERING</w:t>
      </w:r>
    </w:p>
    <w:p>
      <w:pPr>
        <w:spacing w:after="0" w:line="234" w:lineRule="exact"/>
        <w:rPr>
          <w:sz w:val="20"/>
          <w:szCs w:val="20"/>
          <w:color w:val="auto"/>
        </w:rPr>
      </w:pPr>
    </w:p>
    <w:p>
      <w:pPr>
        <w:ind w:left="540" w:right="779"/>
        <w:spacing w:after="0" w:line="237" w:lineRule="auto"/>
        <w:rPr>
          <w:sz w:val="20"/>
          <w:szCs w:val="20"/>
          <w:color w:val="auto"/>
        </w:rPr>
      </w:pPr>
      <w:r>
        <w:rPr>
          <w:rFonts w:ascii="Arial" w:cs="Arial" w:eastAsia="Arial" w:hAnsi="Arial"/>
          <w:sz w:val="18"/>
          <w:szCs w:val="18"/>
          <w:color w:val="auto"/>
        </w:rPr>
        <w:t>In making your decision on whether to invest in our Class A common stock,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in this prospectus.</w:t>
      </w:r>
    </w:p>
    <w:p>
      <w:pPr>
        <w:sectPr>
          <w:pgSz w:w="11900" w:h="16838" w:orient="portrait"/>
          <w:cols w:equalWidth="0" w:num="1">
            <w:col w:w="9019"/>
          </w:cols>
          <w:pgMar w:left="1440" w:top="535" w:right="1440" w:bottom="1440" w:gutter="0" w:footer="0" w:header="0"/>
        </w:sectPr>
      </w:pPr>
    </w:p>
    <w:p>
      <w:pPr>
        <w:spacing w:after="0" w:line="162" w:lineRule="exact"/>
        <w:rPr>
          <w:sz w:val="20"/>
          <w:szCs w:val="20"/>
          <w:color w:val="auto"/>
        </w:rPr>
      </w:pPr>
    </w:p>
    <w:p>
      <w:pPr>
        <w:ind w:left="720" w:hanging="179"/>
        <w:spacing w:after="0" w:line="246" w:lineRule="auto"/>
        <w:rPr>
          <w:sz w:val="20"/>
          <w:szCs w:val="20"/>
          <w:color w:val="auto"/>
        </w:rPr>
      </w:pPr>
      <w:r>
        <w:rPr>
          <w:rFonts w:ascii="Arial" w:cs="Arial" w:eastAsia="Arial" w:hAnsi="Arial"/>
          <w:sz w:val="18"/>
          <w:szCs w:val="18"/>
          <w:color w:val="auto"/>
        </w:rPr>
        <w:t>Shares of Class A common stock offered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739"/>
        <w:spacing w:after="0"/>
        <w:rPr>
          <w:sz w:val="20"/>
          <w:szCs w:val="20"/>
          <w:color w:val="auto"/>
        </w:rPr>
      </w:pPr>
      <w:r>
        <w:rPr>
          <w:rFonts w:ascii="Arial" w:cs="Arial" w:eastAsia="Arial" w:hAnsi="Arial"/>
          <w:sz w:val="18"/>
          <w:szCs w:val="18"/>
          <w:color w:val="auto"/>
        </w:rPr>
        <w:t>10,500,000 shares (or 12,075,000 shares if the underwriter’s over-allotment option is exercised in full), at $10.00 per share.</w:t>
      </w:r>
    </w:p>
    <w:p>
      <w:pPr>
        <w:spacing w:after="0" w:line="176" w:lineRule="exact"/>
        <w:rPr>
          <w:sz w:val="20"/>
          <w:szCs w:val="20"/>
          <w:color w:val="auto"/>
        </w:rPr>
      </w:pPr>
    </w:p>
    <w:p>
      <w:pPr>
        <w:sectPr>
          <w:pgSz w:w="11900" w:h="16838" w:orient="portrait"/>
          <w:cols w:equalWidth="0" w:num="2">
            <w:col w:w="3200" w:space="520"/>
            <w:col w:w="5299"/>
          </w:cols>
          <w:pgMar w:left="1440" w:top="535" w:right="1440"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“FSDC”</w:t>
      </w:r>
    </w:p>
    <w:p>
      <w:pPr>
        <w:spacing w:after="0" w:line="185" w:lineRule="exact"/>
        <w:rPr>
          <w:sz w:val="20"/>
          <w:szCs w:val="20"/>
          <w:color w:val="auto"/>
        </w:rPr>
      </w:pPr>
    </w:p>
    <w:p>
      <w:pPr>
        <w:sectPr>
          <w:pgSz w:w="11900" w:h="16838" w:orient="portrait"/>
          <w:cols w:equalWidth="0" w:num="2">
            <w:col w:w="3000" w:space="720"/>
            <w:col w:w="5299"/>
          </w:cols>
          <w:pgMar w:left="1440" w:top="535" w:right="1440"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Trading commencement</w:t>
      </w:r>
    </w:p>
    <w:p>
      <w:pPr>
        <w:spacing w:after="0" w:line="20" w:lineRule="exact"/>
        <w:rPr>
          <w:sz w:val="20"/>
          <w:szCs w:val="20"/>
          <w:color w:val="auto"/>
        </w:rPr>
      </w:pPr>
      <w:r>
        <w:rPr>
          <w:sz w:val="20"/>
          <w:szCs w:val="20"/>
          <w:color w:val="auto"/>
        </w:rPr>
        <w:br w:type="column"/>
      </w:r>
    </w:p>
    <w:p>
      <w:pPr>
        <w:ind w:right="1019"/>
        <w:spacing w:after="0"/>
        <w:rPr>
          <w:sz w:val="20"/>
          <w:szCs w:val="20"/>
          <w:color w:val="auto"/>
        </w:rPr>
      </w:pPr>
      <w:r>
        <w:rPr>
          <w:rFonts w:ascii="Arial" w:cs="Arial" w:eastAsia="Arial" w:hAnsi="Arial"/>
          <w:sz w:val="18"/>
          <w:szCs w:val="18"/>
          <w:color w:val="auto"/>
        </w:rPr>
        <w:t>The shares of Class A common stock are expected to begin trading on or promptly after the date of this prospectus.</w:t>
      </w:r>
    </w:p>
    <w:p>
      <w:pPr>
        <w:spacing w:after="0" w:line="176" w:lineRule="exact"/>
        <w:rPr>
          <w:sz w:val="20"/>
          <w:szCs w:val="20"/>
          <w:color w:val="auto"/>
        </w:rPr>
      </w:pPr>
    </w:p>
    <w:p>
      <w:pPr>
        <w:sectPr>
          <w:pgSz w:w="11900" w:h="16838" w:orient="portrait"/>
          <w:cols w:equalWidth="0" w:num="2">
            <w:col w:w="3000" w:space="720"/>
            <w:col w:w="5299"/>
          </w:cols>
          <w:pgMar w:left="1440" w:top="535" w:right="1440" w:bottom="1440" w:gutter="0" w:footer="0" w:header="0"/>
          <w:type w:val="continuous"/>
        </w:sectPr>
      </w:pPr>
    </w:p>
    <w:p>
      <w:pPr>
        <w:jc w:val="center"/>
        <w:ind w:left="540"/>
        <w:spacing w:after="0"/>
        <w:rPr>
          <w:sz w:val="20"/>
          <w:szCs w:val="20"/>
          <w:color w:val="auto"/>
        </w:rPr>
      </w:pPr>
      <w:r>
        <w:rPr>
          <w:rFonts w:ascii="Arial" w:cs="Arial" w:eastAsia="Arial" w:hAnsi="Arial"/>
          <w:sz w:val="17"/>
          <w:szCs w:val="17"/>
          <w:color w:val="auto"/>
        </w:rPr>
        <w:t>Number of shares of common stock</w:t>
      </w:r>
    </w:p>
    <w:p>
      <w:pPr>
        <w:spacing w:after="0" w:line="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outstanding before this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3,018,750</w:t>
      </w:r>
      <w:r>
        <w:rPr>
          <w:rFonts w:ascii="Arial" w:cs="Arial" w:eastAsia="Arial" w:hAnsi="Arial"/>
          <w:sz w:val="10"/>
          <w:szCs w:val="10"/>
          <w:color w:val="auto"/>
        </w:rPr>
        <w:t>(2)(3)</w:t>
      </w:r>
    </w:p>
    <w:p>
      <w:pPr>
        <w:spacing w:after="0" w:line="185" w:lineRule="exact"/>
        <w:rPr>
          <w:sz w:val="20"/>
          <w:szCs w:val="20"/>
          <w:color w:val="auto"/>
        </w:rPr>
      </w:pPr>
    </w:p>
    <w:p>
      <w:pPr>
        <w:sectPr>
          <w:pgSz w:w="11900" w:h="16838" w:orient="portrait"/>
          <w:cols w:equalWidth="0" w:num="2">
            <w:col w:w="3380" w:space="340"/>
            <w:col w:w="5299"/>
          </w:cols>
          <w:pgMar w:left="1440" w:top="535" w:right="1440" w:bottom="1440" w:gutter="0" w:footer="0" w:header="0"/>
          <w:type w:val="continuous"/>
        </w:sectPr>
      </w:pPr>
    </w:p>
    <w:p>
      <w:pPr>
        <w:ind w:left="720" w:hanging="179"/>
        <w:spacing w:after="0" w:line="274" w:lineRule="auto"/>
        <w:rPr>
          <w:sz w:val="20"/>
          <w:szCs w:val="20"/>
          <w:color w:val="auto"/>
        </w:rPr>
      </w:pPr>
      <w:r>
        <w:rPr>
          <w:rFonts w:ascii="Arial" w:cs="Arial" w:eastAsia="Arial" w:hAnsi="Arial"/>
          <w:sz w:val="17"/>
          <w:szCs w:val="17"/>
          <w:color w:val="auto"/>
        </w:rPr>
        <w:t>Number of shares of common stock outstanding after this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13,535,000</w:t>
      </w:r>
      <w:r>
        <w:rPr>
          <w:rFonts w:ascii="Arial" w:cs="Arial" w:eastAsia="Arial" w:hAnsi="Arial"/>
          <w:sz w:val="10"/>
          <w:szCs w:val="10"/>
          <w:color w:val="auto"/>
        </w:rPr>
        <w:t>(1)(3)(4)(5)</w:t>
      </w:r>
    </w:p>
    <w:p>
      <w:pPr>
        <w:spacing w:after="0" w:line="184" w:lineRule="exact"/>
        <w:rPr>
          <w:sz w:val="20"/>
          <w:szCs w:val="20"/>
          <w:color w:val="auto"/>
        </w:rPr>
      </w:pPr>
    </w:p>
    <w:p>
      <w:pPr>
        <w:sectPr>
          <w:pgSz w:w="11900" w:h="16838" w:orient="portrait"/>
          <w:cols w:equalWidth="0" w:num="2">
            <w:col w:w="3380" w:space="340"/>
            <w:col w:w="5299"/>
          </w:cols>
          <w:pgMar w:left="1440" w:top="535" w:right="1440"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Indication of Interest</w:t>
      </w:r>
    </w:p>
    <w:p>
      <w:pPr>
        <w:spacing w:after="0" w:line="20" w:lineRule="exact"/>
        <w:rPr>
          <w:sz w:val="20"/>
          <w:szCs w:val="20"/>
          <w:color w:val="auto"/>
        </w:rPr>
      </w:pPr>
      <w:r>
        <w:rPr>
          <w:sz w:val="20"/>
          <w:szCs w:val="20"/>
          <w:color w:val="auto"/>
        </w:rPr>
        <w:br w:type="column"/>
      </w:r>
    </w:p>
    <w:p>
      <w:pPr>
        <w:ind w:right="599"/>
        <w:spacing w:after="0" w:line="235" w:lineRule="auto"/>
        <w:rPr>
          <w:sz w:val="20"/>
          <w:szCs w:val="20"/>
          <w:color w:val="auto"/>
        </w:rPr>
      </w:pPr>
      <w:r>
        <w:rPr>
          <w:rFonts w:ascii="Arial" w:cs="Arial" w:eastAsia="Arial" w:hAnsi="Arial"/>
          <w:sz w:val="18"/>
          <w:szCs w:val="18"/>
          <w:color w:val="auto"/>
        </w:rPr>
        <w:t>Our sponsor has indicated an interest to purchase an aggregate of $ 25,000,000 of shares of our Class A common stock in a private placement that would occur concurrently with the consummation of our initial business combination. The capital from such private placement would be used as part of the consideration to the sellers in our initial business combination, and any excess capital from such private placement would be used for working capital in the post-transaction company. However, because indications of interest are not binding agreements or commitments to purchase, our sponsor may determine not to purchase any such shares, or to purchase fewer shares than it has indicated an interest in purchasing. We are not under any obligation to sell any such shares. Such investment would be made on terms and conditions determined at the time of the business combination.</w:t>
      </w:r>
    </w:p>
    <w:p>
      <w:pPr>
        <w:spacing w:after="0" w:line="94" w:lineRule="exact"/>
        <w:rPr>
          <w:sz w:val="20"/>
          <w:szCs w:val="20"/>
          <w:color w:val="auto"/>
        </w:rPr>
      </w:pPr>
    </w:p>
    <w:p>
      <w:pPr>
        <w:sectPr>
          <w:pgSz w:w="11900" w:h="16838" w:orient="portrait"/>
          <w:cols w:equalWidth="0" w:num="2">
            <w:col w:w="3000" w:space="720"/>
            <w:col w:w="5299"/>
          </w:cols>
          <w:pgMar w:left="1440" w:top="535" w:right="1440"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____________</w:t>
      </w:r>
    </w:p>
    <w:p>
      <w:pPr>
        <w:sectPr>
          <w:pgSz w:w="11900" w:h="16838" w:orient="portrait"/>
          <w:cols w:equalWidth="0" w:num="1">
            <w:col w:w="9019"/>
          </w:cols>
          <w:pgMar w:left="1440" w:top="535" w:right="1440" w:bottom="1440" w:gutter="0" w:footer="0" w:header="0"/>
          <w:type w:val="continuous"/>
        </w:sectPr>
      </w:pPr>
    </w:p>
    <w:p>
      <w:pPr>
        <w:spacing w:after="0" w:line="92" w:lineRule="exact"/>
        <w:rPr>
          <w:sz w:val="20"/>
          <w:szCs w:val="20"/>
          <w:color w:val="auto"/>
        </w:rPr>
      </w:pPr>
    </w:p>
    <w:p>
      <w:pPr>
        <w:ind w:left="980" w:right="859" w:hanging="436"/>
        <w:spacing w:after="0" w:line="216" w:lineRule="auto"/>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Assumes no exercise of the underwriters’ over-allotment option and the forfeiture of 393,750 founder shares by our sponsor for no consideration.</w:t>
      </w:r>
    </w:p>
    <w:p>
      <w:pPr>
        <w:ind w:left="980" w:right="759" w:hanging="436"/>
        <w:spacing w:after="0" w:line="216" w:lineRule="auto"/>
        <w:tabs>
          <w:tab w:leader="none" w:pos="947"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up to 393,750 founder shares that will be forfeited by our sponsor depending on the extent to which the underwriters’ over-allotment option is exercised.</w:t>
      </w:r>
    </w:p>
    <w:p>
      <w:pPr>
        <w:ind w:left="980" w:right="659" w:hanging="436"/>
        <w:spacing w:after="0" w:line="234" w:lineRule="auto"/>
        <w:tabs>
          <w:tab w:leader="none" w:pos="947" w:val="left"/>
        </w:tabs>
        <w:numPr>
          <w:ilvl w:val="0"/>
          <w:numId w:val="8"/>
        </w:numPr>
        <w:rPr>
          <w:rFonts w:ascii="Arial" w:cs="Arial" w:eastAsia="Arial" w:hAnsi="Arial"/>
          <w:sz w:val="12"/>
          <w:szCs w:val="12"/>
          <w:color w:val="auto"/>
        </w:rPr>
      </w:pPr>
      <w:r>
        <w:rPr>
          <w:rFonts w:ascii="Arial" w:cs="Arial" w:eastAsia="Arial" w:hAnsi="Arial"/>
          <w:sz w:val="12"/>
          <w:szCs w:val="12"/>
          <w:color w:val="auto"/>
        </w:rPr>
        <w:t>Founder shares are currently classified as shares of Class B common stock, which shares will automatically convert into shares of Class A common stock concurrently with or immediately following the consummation of our initial business combination on a one-for-one basis, subject to adjustment as described below adjacent to the caption “Founder shares conversion and anti-dilution rights.”</w:t>
      </w:r>
    </w:p>
    <w:p>
      <w:pPr>
        <w:spacing w:after="0" w:line="1" w:lineRule="exact"/>
        <w:rPr>
          <w:rFonts w:ascii="Arial" w:cs="Arial" w:eastAsia="Arial" w:hAnsi="Arial"/>
          <w:sz w:val="12"/>
          <w:szCs w:val="12"/>
          <w:color w:val="auto"/>
        </w:rPr>
      </w:pPr>
    </w:p>
    <w:p>
      <w:pPr>
        <w:ind w:left="980" w:right="1139" w:hanging="436"/>
        <w:spacing w:after="0" w:line="216" w:lineRule="auto"/>
        <w:tabs>
          <w:tab w:leader="none" w:pos="947"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10,500,000 public shares, 2,625,000 founder shares and 410,000 private placement shares to be sold in the private placement that will close simultaneously with the closing of the offering.</w:t>
      </w:r>
    </w:p>
    <w:p>
      <w:pPr>
        <w:ind w:left="980" w:right="659" w:hanging="436"/>
        <w:spacing w:after="0" w:line="230" w:lineRule="auto"/>
        <w:tabs>
          <w:tab w:leader="none" w:pos="947" w:val="left"/>
        </w:tabs>
        <w:numPr>
          <w:ilvl w:val="0"/>
          <w:numId w:val="8"/>
        </w:numPr>
        <w:rPr>
          <w:rFonts w:ascii="Arial" w:cs="Arial" w:eastAsia="Arial" w:hAnsi="Arial"/>
          <w:sz w:val="13"/>
          <w:szCs w:val="13"/>
          <w:color w:val="auto"/>
        </w:rPr>
      </w:pPr>
      <w:r>
        <w:rPr>
          <w:rFonts w:ascii="Arial" w:cs="Arial" w:eastAsia="Arial" w:hAnsi="Arial"/>
          <w:sz w:val="13"/>
          <w:szCs w:val="13"/>
          <w:color w:val="auto"/>
        </w:rPr>
        <w:t>Unlike other SPAC IPOs, investors in this offering will not receive warrants that would become exercisable following completion of our initial business combination.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12" w:name="page13"/>
    <w:bookmarkEnd w:id="12"/>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060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8060055"/>
                    </a:xfrm>
                    <a:prstGeom prst="rect">
                      <a:avLst/>
                    </a:prstGeom>
                    <a:noFill/>
                  </pic:spPr>
                </pic:pic>
              </a:graphicData>
            </a:graphic>
          </wp:anchor>
        </w:drawing>
        <w:t>Founder shares</w:t>
      </w:r>
    </w:p>
    <w:p>
      <w:pPr>
        <w:ind w:left="3720" w:right="619"/>
        <w:spacing w:after="0" w:line="236"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In July 2020, our sponsor transferred 30,000 founder shares to each of Mr. Carey, Dr. Dubin and Dr. Pakianathan. On August 11, 2020, we effected a 1:1.05 stock split of our Class B common stock, resulting in our sponsor holding an aggregate of 2,928,750 founder shares and there being an aggregate of 3,018,750 founder shares outstanding.</w:t>
      </w:r>
    </w:p>
    <w:p>
      <w:pPr>
        <w:spacing w:after="0" w:line="126" w:lineRule="exact"/>
        <w:rPr>
          <w:sz w:val="20"/>
          <w:szCs w:val="20"/>
          <w:color w:val="auto"/>
        </w:rPr>
      </w:pPr>
    </w:p>
    <w:p>
      <w:pPr>
        <w:ind w:left="3720" w:right="599"/>
        <w:spacing w:after="0" w:line="235" w:lineRule="auto"/>
        <w:rPr>
          <w:sz w:val="20"/>
          <w:szCs w:val="20"/>
          <w:color w:val="auto"/>
        </w:rPr>
      </w:pPr>
      <w:r>
        <w:rPr>
          <w:rFonts w:ascii="Arial" w:cs="Arial" w:eastAsia="Arial" w:hAnsi="Arial"/>
          <w:sz w:val="18"/>
          <w:szCs w:val="18"/>
          <w:color w:val="auto"/>
        </w:rPr>
        <w:t>Prior to the initial investment in the company of $25,000 by the sponsor, the company had no assets, tangible or intangible. The per share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12,075,000 shares of Class A common stock if the underwriters’ over-allotment option is exercised in full, and therefore that such founder shares would represent 20% of the issued and outstanding shares of common stock after this offering (excluding the private placement shares). Up to 393,750 of the founder shares will be forfeited by our sponsor depending on the extent to which the underwriters’ over-allotment option is not exercised.</w:t>
      </w:r>
    </w:p>
    <w:p>
      <w:pPr>
        <w:spacing w:after="0" w:line="186" w:lineRule="exact"/>
        <w:rPr>
          <w:sz w:val="20"/>
          <w:szCs w:val="20"/>
          <w:color w:val="auto"/>
        </w:rPr>
      </w:pPr>
    </w:p>
    <w:p>
      <w:pPr>
        <w:ind w:left="3720" w:right="739"/>
        <w:spacing w:after="0" w:line="246" w:lineRule="auto"/>
        <w:rPr>
          <w:sz w:val="20"/>
          <w:szCs w:val="20"/>
          <w:color w:val="auto"/>
        </w:rPr>
      </w:pPr>
      <w:r>
        <w:rPr>
          <w:rFonts w:ascii="Arial" w:cs="Arial" w:eastAsia="Arial" w:hAnsi="Arial"/>
          <w:sz w:val="18"/>
          <w:szCs w:val="18"/>
          <w:color w:val="auto"/>
        </w:rPr>
        <w:t>The founder shares are identical to the shares of Class A common stock being sold in this offering, except that:</w:t>
      </w:r>
    </w:p>
    <w:p>
      <w:pPr>
        <w:spacing w:after="0" w:line="89" w:lineRule="exact"/>
        <w:rPr>
          <w:sz w:val="20"/>
          <w:szCs w:val="20"/>
          <w:color w:val="auto"/>
        </w:rPr>
      </w:pPr>
    </w:p>
    <w:p>
      <w:pPr>
        <w:ind w:left="4160" w:right="659" w:hanging="214"/>
        <w:spacing w:after="0"/>
        <w:tabs>
          <w:tab w:leader="none" w:pos="415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founder shares and the private placement shares are subject to certain transfer restrictions, as described in more detail below;</w:t>
      </w:r>
    </w:p>
    <w:p>
      <w:pPr>
        <w:spacing w:after="0" w:line="175" w:lineRule="exact"/>
        <w:rPr>
          <w:rFonts w:ascii="Arial" w:cs="Arial" w:eastAsia="Arial" w:hAnsi="Arial"/>
          <w:sz w:val="18"/>
          <w:szCs w:val="18"/>
          <w:color w:val="auto"/>
        </w:rPr>
      </w:pPr>
    </w:p>
    <w:p>
      <w:pPr>
        <w:ind w:left="4160" w:hanging="214"/>
        <w:spacing w:after="0"/>
        <w:tabs>
          <w:tab w:leader="none" w:pos="4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84" w:lineRule="exact"/>
        <w:rPr>
          <w:rFonts w:ascii="Arial" w:cs="Arial" w:eastAsia="Arial" w:hAnsi="Arial"/>
          <w:sz w:val="18"/>
          <w:szCs w:val="18"/>
          <w:color w:val="auto"/>
        </w:rPr>
      </w:pPr>
    </w:p>
    <w:p>
      <w:pPr>
        <w:ind w:left="4160" w:right="579" w:hanging="214"/>
        <w:spacing w:after="0" w:line="249" w:lineRule="auto"/>
        <w:tabs>
          <w:tab w:leader="none" w:pos="4157"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initial stockholders, sponsor, officers and directors have entered into a letter agreement with us, pursuant to which they have agreed to (i) waive their redemption rights with respect to any founder shares and private placement shares and any public shares they may acquire during or after this offering in connection with the completion of our initial business combination, (ii) waive their redemption rights with respect to any founder shares and private placement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(iii) waive their rights to liquidating distributions from the trust account with respect to any founder shares and private placement shares they hold if we fail to complete our initial business combination within 24 months from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8" w:right="1440"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720" w:hanging="179"/>
        <w:spacing w:after="0"/>
        <w:rPr>
          <w:sz w:val="20"/>
          <w:szCs w:val="20"/>
          <w:color w:val="auto"/>
        </w:rPr>
      </w:pPr>
      <w:r>
        <w:rPr>
          <w:rFonts w:ascii="Arial" w:cs="Arial" w:eastAsia="Arial" w:hAnsi="Arial"/>
          <w:sz w:val="18"/>
          <w:szCs w:val="18"/>
          <w:color w:val="auto"/>
        </w:rPr>
        <w:t>Transfer restrictions on founder shares and private placement shares</w:t>
      </w:r>
    </w:p>
    <w:p>
      <w:pPr>
        <w:spacing w:after="0" w:line="20" w:lineRule="exact"/>
        <w:rPr>
          <w:sz w:val="20"/>
          <w:szCs w:val="20"/>
          <w:color w:val="auto"/>
        </w:rPr>
      </w:pPr>
      <w:r>
        <w:rPr>
          <w:sz w:val="20"/>
          <w:szCs w:val="20"/>
          <w:color w:val="auto"/>
        </w:rPr>
        <w:br w:type="column"/>
      </w:r>
    </w:p>
    <w:p>
      <w:pPr>
        <w:ind w:left="440" w:right="579"/>
        <w:spacing w:after="0" w:line="235" w:lineRule="auto"/>
        <w:rPr>
          <w:sz w:val="20"/>
          <w:szCs w:val="20"/>
          <w:color w:val="auto"/>
        </w:rPr>
      </w:pPr>
      <w:r>
        <w:rPr>
          <w:rFonts w:ascii="Arial" w:cs="Arial" w:eastAsia="Arial" w:hAnsi="Arial"/>
          <w:sz w:val="18"/>
          <w:szCs w:val="18"/>
          <w:color w:val="auto"/>
        </w:rPr>
        <w:t>or any extended period of time that we may have to consummate an initial business combination as a result of an amendment to our amended and restated certificate of incorporation (an “Extension Period”) (although they will be entitled to liquidating distributions from the trust account with respect to any public shares they hold if we fail to complete our initial business combination within the prescribed time frame). If we submit our initial business combination to our public stockholders for a vote, our initial stockholders have agreed to vote their founder shares, the private placement shares and any public shares purchased during or after this offering in favor of our initial business combination. As a result, in addition to our initial stockholders’ founder shares and private placement shares, we would need 3,732,501, or 35.55%, of the 10,500,000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-3422015</wp:posOffset>
            </wp:positionV>
            <wp:extent cx="5147310" cy="8463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463280"/>
                    </a:xfrm>
                    <a:prstGeom prst="rect">
                      <a:avLst/>
                    </a:prstGeom>
                    <a:noFill/>
                  </pic:spPr>
                </pic:pic>
              </a:graphicData>
            </a:graphic>
          </wp:anchor>
        </w:drawing>
      </w:r>
    </w:p>
    <w:p>
      <w:pPr>
        <w:spacing w:after="0" w:line="165" w:lineRule="exact"/>
        <w:rPr>
          <w:sz w:val="20"/>
          <w:szCs w:val="20"/>
          <w:color w:val="auto"/>
        </w:rPr>
      </w:pPr>
    </w:p>
    <w:p>
      <w:pPr>
        <w:ind w:left="440" w:right="599" w:hanging="214"/>
        <w:spacing w:after="0" w:line="237" w:lineRule="auto"/>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our Class A common stock concurrently with or immediately following the consummation of our initial business combination on a one-for-one basis, subject to adjustment pursuant to certain anti-dilution rights, as described below adjacent to the caption “Founder shares conversion and anti-dilution rights.”</w:t>
      </w:r>
    </w:p>
    <w:p>
      <w:pPr>
        <w:spacing w:after="0" w:line="230" w:lineRule="exact"/>
        <w:rPr>
          <w:sz w:val="20"/>
          <w:szCs w:val="20"/>
          <w:color w:val="auto"/>
        </w:rPr>
      </w:pPr>
    </w:p>
    <w:p>
      <w:pPr>
        <w:ind w:right="619"/>
        <w:spacing w:after="0" w:line="234" w:lineRule="auto"/>
        <w:rPr>
          <w:sz w:val="20"/>
          <w:szCs w:val="20"/>
          <w:color w:val="auto"/>
        </w:rPr>
      </w:pPr>
      <w:r>
        <w:rPr>
          <w:rFonts w:ascii="Arial" w:cs="Arial" w:eastAsia="Arial" w:hAnsi="Arial"/>
          <w:sz w:val="18"/>
          <w:szCs w:val="18"/>
          <w:color w:val="auto"/>
        </w:rPr>
        <w:t>Our initial stockholders have agreed not to transfer, assign or sell any of their founder shares or private placement shares until the earlier to occur of: (i) one year after the completion of our initial business combination and (ii) the date on which we complete a liquidation, merger, capital stock exchange or other similar transaction after our initial business combination that results in all of our stockholders having the right to exchange their Class A common stock for cash, securities or other property; except to certain permitted transferees and under certain circumstances as described herein under “Principal Stockholders — Transfers of Founder Shares and Private Placement Shares”. Any permitted transferees will be subject to the same restrictions and other agreements of our initial stockholders with respect to any founder shares or private placement shares. We refer to such transfer restrictions throughout this prospectus as the lock-up. Notwithstanding the foregoing, if (1)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w:t>
      </w:r>
    </w:p>
    <w:p>
      <w:pPr>
        <w:spacing w:after="0" w:line="16" w:lineRule="exact"/>
        <w:rPr>
          <w:sz w:val="20"/>
          <w:szCs w:val="20"/>
          <w:color w:val="auto"/>
        </w:rPr>
      </w:pPr>
    </w:p>
    <w:p>
      <w:pPr>
        <w:ind w:right="619" w:firstLine="10"/>
        <w:spacing w:after="0" w:line="255" w:lineRule="auto"/>
        <w:tabs>
          <w:tab w:leader="none" w:pos="2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consummate a transaction after our initial business combination which results in our stockholders having the right to exchange their shares for cash, securities or other property, the founder shares and private placement shares will be released from the lock-up.</w:t>
      </w:r>
    </w:p>
    <w:p>
      <w:pPr>
        <w:spacing w:after="0" w:line="200" w:lineRule="exact"/>
        <w:rPr>
          <w:sz w:val="20"/>
          <w:szCs w:val="20"/>
          <w:color w:val="auto"/>
        </w:rPr>
      </w:pPr>
    </w:p>
    <w:p>
      <w:pPr>
        <w:sectPr>
          <w:pgSz w:w="11900" w:h="16838" w:orient="portrait"/>
          <w:cols w:equalWidth="0" w:num="2">
            <w:col w:w="3080" w:space="640"/>
            <w:col w:w="5299"/>
          </w:cols>
          <w:pgMar w:left="1440" w:top="665" w:right="1440"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4" w:name="page15"/>
    <w:bookmarkEnd w:id="14"/>
    <w:tbl>
      <w:tblPr>
        <w:tblLayout w:type="fixed"/>
        <w:tblInd w:w="470" w:type="dxa"/>
        <w:tblCellMar>
          <w:top w:w="0" w:type="dxa"/>
          <w:left w:w="0" w:type="dxa"/>
          <w:bottom w:w="0" w:type="dxa"/>
          <w:right w:w="0" w:type="dxa"/>
        </w:tblCellMar>
      </w:tblPr>
      <w:tr>
        <w:trPr>
          <w:trHeight w:val="580"/>
        </w:trPr>
        <w:tc>
          <w:tcPr>
            <w:tcW w:w="294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Founder shares conversion and</w:t>
            </w:r>
          </w:p>
        </w:tc>
        <w:tc>
          <w:tcPr>
            <w:tcW w:w="5160" w:type="dxa"/>
            <w:vAlign w:val="bottom"/>
            <w:tcBorders>
              <w:top w:val="single" w:sz="8" w:color="auto"/>
              <w:right w:val="single" w:sz="8" w:color="auto"/>
            </w:tcBorders>
          </w:tcPr>
          <w:p>
            <w:pPr>
              <w:spacing w:after="0"/>
              <w:rPr>
                <w:sz w:val="24"/>
                <w:szCs w:val="24"/>
                <w:color w:val="auto"/>
              </w:rPr>
            </w:pPr>
          </w:p>
        </w:tc>
      </w:tr>
      <w:tr>
        <w:trPr>
          <w:trHeight w:val="203"/>
        </w:trPr>
        <w:tc>
          <w:tcPr>
            <w:tcW w:w="2940" w:type="dxa"/>
            <w:vAlign w:val="bottom"/>
            <w:tcBorders>
              <w:left w:val="single" w:sz="8" w:color="auto"/>
            </w:tcBorders>
          </w:tcPr>
          <w:p>
            <w:pPr>
              <w:ind w:left="260"/>
              <w:spacing w:after="0" w:line="202" w:lineRule="exact"/>
              <w:rPr>
                <w:sz w:val="20"/>
                <w:szCs w:val="20"/>
                <w:color w:val="auto"/>
              </w:rPr>
            </w:pPr>
            <w:r>
              <w:rPr>
                <w:rFonts w:ascii="Arial" w:cs="Arial" w:eastAsia="Arial" w:hAnsi="Arial"/>
                <w:sz w:val="18"/>
                <w:szCs w:val="18"/>
                <w:color w:val="auto"/>
              </w:rPr>
              <w:t>anti-dilution rights</w:t>
            </w: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The founder shares will automatically convert into shares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of Class A common stock concurrently with or immediately</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following the consummation of our initial business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combination on a one-for-one basis, subject to adjustment</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for stock splits, stock dividends, reorganizations,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recapitalizations and the like, and subject to further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adjustment as provided herein. In the case that additional</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shares of Class A common stock or equity-linked securities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are issued or deemed issued in connection with our initial</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business combination, the number of shares of Class A</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common stock issuable upon conversion of all founder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shares will equal, in the aggregate, on an as-converted</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basis, 20% of the total number of shares of Class A</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common stock issued and outstanding (excluding the</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private placement shares) after such conversion (after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giving effect to any redemptions of shares of Class A</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common stock by public stockholders), including the total</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number of shares of Class A common stock issued, or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deemed issued or issuable upon conversion or exercise of</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any equity-linked securities or rights issued or deemed</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issued, by the Company in connection with or in relation to</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the consummation of the initial business combination,</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excluding any shares of Class A common stock or equity-</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linked securities or rights exercisable for or convertible into</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shares of Class A common stock issued, or to be issued, to</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any seller in the initial business combination and any</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private placement shares issued to our sponsor, officers or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directors upon conversion of working capital loans,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provided that such conversion of founder shares will never</w:t>
            </w:r>
          </w:p>
        </w:tc>
      </w:tr>
      <w:tr>
        <w:trPr>
          <w:trHeight w:val="217"/>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occur on a less than one-for-one basis.</w:t>
            </w:r>
          </w:p>
        </w:tc>
      </w:tr>
      <w:tr>
        <w:trPr>
          <w:trHeight w:val="229"/>
        </w:trPr>
        <w:tc>
          <w:tcPr>
            <w:tcW w:w="29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Voting Rights</w:t>
            </w: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Holders of record of our Class A common stock and</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holders of record of our Class B common stock will vote</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together as a single class on all matters submitted to a</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vote of our stockholders, with each share of common stock</w:t>
            </w:r>
          </w:p>
        </w:tc>
      </w:tr>
      <w:tr>
        <w:trPr>
          <w:trHeight w:val="217"/>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entitling the holder to one vote except as required by law.</w:t>
            </w:r>
          </w:p>
        </w:tc>
      </w:tr>
      <w:tr>
        <w:trPr>
          <w:trHeight w:val="229"/>
        </w:trPr>
        <w:tc>
          <w:tcPr>
            <w:tcW w:w="29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Private placement shares</w:t>
            </w: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Our sponsor has committed, pursuant to a written</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agreement, to purchase 410,000 private placement shares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(or 441,500 private placement shares if the underwriters’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over-allotment option is exercised in full) at a price of</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$10.00 per private placement share ($4,100,000 in the</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aggregate or $4,415,000 if the underwriters’ over-allotment</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option is exercised in full), in a private placement that will</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close simultaneously with the closing of this offering. Our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sponsor has entered into an agreement with us, pursuant</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to which it has agreed to waive its redemption rights with</w:t>
            </w:r>
          </w:p>
        </w:tc>
      </w:tr>
      <w:tr>
        <w:trPr>
          <w:trHeight w:val="217"/>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respect to the private placement shares.</w:t>
            </w:r>
          </w:p>
        </w:tc>
      </w:tr>
      <w:tr>
        <w:trPr>
          <w:trHeight w:val="388"/>
        </w:trPr>
        <w:tc>
          <w:tcPr>
            <w:tcW w:w="2940" w:type="dxa"/>
            <w:vAlign w:val="bottom"/>
            <w:tcBorders>
              <w:left w:val="single" w:sz="8" w:color="auto"/>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r>
      <w:tr>
        <w:trPr>
          <w:trHeight w:val="375"/>
        </w:trPr>
        <w:tc>
          <w:tcPr>
            <w:tcW w:w="2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9019"/>
          </w:cols>
          <w:pgMar w:left="1440" w:top="120" w:right="1440" w:bottom="1440" w:gutter="0" w:footer="0" w:header="0"/>
        </w:sectPr>
      </w:pPr>
    </w:p>
    <w:bookmarkStart w:id="15" w:name="page16"/>
    <w:bookmarkEnd w:id="15"/>
    <w:p>
      <w:pPr>
        <w:ind w:left="540"/>
        <w:spacing w:after="0"/>
        <w:tabs>
          <w:tab w:leader="none" w:pos="4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423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9423400"/>
                    </a:xfrm>
                    <a:prstGeom prst="rect">
                      <a:avLst/>
                    </a:prstGeom>
                    <a:noFill/>
                  </pic:spPr>
                </pic:pic>
              </a:graphicData>
            </a:graphic>
          </wp:anchor>
        </w:drawing>
        <w:t>Proceeds to be held in trust account</w:t>
      </w:r>
      <w:r>
        <w:rPr>
          <w:sz w:val="20"/>
          <w:szCs w:val="20"/>
          <w:color w:val="auto"/>
        </w:rPr>
        <w:tab/>
      </w:r>
      <w:r>
        <w:rPr>
          <w:rFonts w:ascii="Arial" w:cs="Arial" w:eastAsia="Arial" w:hAnsi="Arial"/>
          <w:sz w:val="17"/>
          <w:szCs w:val="17"/>
          <w:color w:val="auto"/>
        </w:rPr>
        <w:t>Nasdaq rules provide that at least 90% of the gross</w:t>
      </w:r>
    </w:p>
    <w:p>
      <w:pPr>
        <w:ind w:left="4020"/>
        <w:spacing w:after="0" w:line="234" w:lineRule="auto"/>
        <w:rPr>
          <w:sz w:val="20"/>
          <w:szCs w:val="20"/>
          <w:color w:val="auto"/>
        </w:rPr>
      </w:pPr>
      <w:r>
        <w:rPr>
          <w:rFonts w:ascii="Arial" w:cs="Arial" w:eastAsia="Arial" w:hAnsi="Arial"/>
          <w:sz w:val="18"/>
          <w:szCs w:val="18"/>
          <w:color w:val="auto"/>
        </w:rPr>
        <w:t>proceeds from this offering and the sale of the private</w:t>
      </w:r>
    </w:p>
    <w:p>
      <w:pPr>
        <w:ind w:left="4020"/>
        <w:spacing w:after="0" w:line="235" w:lineRule="auto"/>
        <w:rPr>
          <w:sz w:val="20"/>
          <w:szCs w:val="20"/>
          <w:color w:val="auto"/>
        </w:rPr>
      </w:pPr>
      <w:r>
        <w:rPr>
          <w:rFonts w:ascii="Arial" w:cs="Arial" w:eastAsia="Arial" w:hAnsi="Arial"/>
          <w:sz w:val="18"/>
          <w:szCs w:val="18"/>
          <w:color w:val="auto"/>
        </w:rPr>
        <w:t>placement shares be deposited in a trust account. Of</w:t>
      </w:r>
    </w:p>
    <w:p>
      <w:pPr>
        <w:ind w:left="4020"/>
        <w:spacing w:after="0" w:line="235" w:lineRule="auto"/>
        <w:rPr>
          <w:sz w:val="20"/>
          <w:szCs w:val="20"/>
          <w:color w:val="auto"/>
        </w:rPr>
      </w:pPr>
      <w:r>
        <w:rPr>
          <w:rFonts w:ascii="Arial" w:cs="Arial" w:eastAsia="Arial" w:hAnsi="Arial"/>
          <w:sz w:val="18"/>
          <w:szCs w:val="18"/>
          <w:color w:val="auto"/>
        </w:rPr>
        <w:t>the proceeds we will receive from this offering and the</w:t>
      </w:r>
    </w:p>
    <w:p>
      <w:pPr>
        <w:ind w:left="4020"/>
        <w:spacing w:after="0" w:line="235" w:lineRule="auto"/>
        <w:rPr>
          <w:sz w:val="20"/>
          <w:szCs w:val="20"/>
          <w:color w:val="auto"/>
        </w:rPr>
      </w:pPr>
      <w:r>
        <w:rPr>
          <w:rFonts w:ascii="Arial" w:cs="Arial" w:eastAsia="Arial" w:hAnsi="Arial"/>
          <w:sz w:val="18"/>
          <w:szCs w:val="18"/>
          <w:color w:val="auto"/>
        </w:rPr>
        <w:t>sale of the private placement shares described in this</w:t>
      </w:r>
    </w:p>
    <w:p>
      <w:pPr>
        <w:ind w:left="4020"/>
        <w:spacing w:after="0" w:line="235" w:lineRule="auto"/>
        <w:rPr>
          <w:sz w:val="20"/>
          <w:szCs w:val="20"/>
          <w:color w:val="auto"/>
        </w:rPr>
      </w:pPr>
      <w:r>
        <w:rPr>
          <w:rFonts w:ascii="Arial" w:cs="Arial" w:eastAsia="Arial" w:hAnsi="Arial"/>
          <w:sz w:val="18"/>
          <w:szCs w:val="18"/>
          <w:color w:val="auto"/>
        </w:rPr>
        <w:t>prospectus, $105.00 million, or $120.75 million if the</w:t>
      </w:r>
    </w:p>
    <w:p>
      <w:pPr>
        <w:ind w:left="4020"/>
        <w:spacing w:after="0" w:line="234" w:lineRule="auto"/>
        <w:rPr>
          <w:sz w:val="20"/>
          <w:szCs w:val="20"/>
          <w:color w:val="auto"/>
        </w:rPr>
      </w:pPr>
      <w:r>
        <w:rPr>
          <w:rFonts w:ascii="Arial" w:cs="Arial" w:eastAsia="Arial" w:hAnsi="Arial"/>
          <w:sz w:val="18"/>
          <w:szCs w:val="18"/>
          <w:color w:val="auto"/>
        </w:rPr>
        <w:t>underwriters’ over-allotment option is exercised in full</w:t>
      </w:r>
    </w:p>
    <w:p>
      <w:pPr>
        <w:ind w:left="4020"/>
        <w:spacing w:after="0" w:line="235" w:lineRule="auto"/>
        <w:rPr>
          <w:sz w:val="20"/>
          <w:szCs w:val="20"/>
          <w:color w:val="auto"/>
        </w:rPr>
      </w:pPr>
      <w:r>
        <w:rPr>
          <w:rFonts w:ascii="Arial" w:cs="Arial" w:eastAsia="Arial" w:hAnsi="Arial"/>
          <w:sz w:val="18"/>
          <w:szCs w:val="18"/>
          <w:color w:val="auto"/>
        </w:rPr>
        <w:t>($10.00 per share in either case), will be deposited into</w:t>
      </w:r>
    </w:p>
    <w:p>
      <w:pPr>
        <w:ind w:left="4020"/>
        <w:spacing w:after="0" w:line="235" w:lineRule="auto"/>
        <w:rPr>
          <w:sz w:val="20"/>
          <w:szCs w:val="20"/>
          <w:color w:val="auto"/>
        </w:rPr>
      </w:pPr>
      <w:r>
        <w:rPr>
          <w:rFonts w:ascii="Arial" w:cs="Arial" w:eastAsia="Arial" w:hAnsi="Arial"/>
          <w:sz w:val="18"/>
          <w:szCs w:val="18"/>
          <w:color w:val="auto"/>
        </w:rPr>
        <w:t>a segregated trust account located in the United States</w:t>
      </w:r>
    </w:p>
    <w:p>
      <w:pPr>
        <w:ind w:left="4020"/>
        <w:spacing w:after="0" w:line="235" w:lineRule="auto"/>
        <w:rPr>
          <w:sz w:val="20"/>
          <w:szCs w:val="20"/>
          <w:color w:val="auto"/>
        </w:rPr>
      </w:pPr>
      <w:r>
        <w:rPr>
          <w:rFonts w:ascii="Arial" w:cs="Arial" w:eastAsia="Arial" w:hAnsi="Arial"/>
          <w:sz w:val="18"/>
          <w:szCs w:val="18"/>
          <w:color w:val="auto"/>
        </w:rPr>
        <w:t>at JP Morgan Chase Bank, N.A. with Continental Stock</w:t>
      </w:r>
    </w:p>
    <w:p>
      <w:pPr>
        <w:ind w:left="4020"/>
        <w:spacing w:after="0" w:line="235" w:lineRule="auto"/>
        <w:rPr>
          <w:sz w:val="20"/>
          <w:szCs w:val="20"/>
          <w:color w:val="auto"/>
        </w:rPr>
      </w:pPr>
      <w:r>
        <w:rPr>
          <w:rFonts w:ascii="Arial" w:cs="Arial" w:eastAsia="Arial" w:hAnsi="Arial"/>
          <w:sz w:val="18"/>
          <w:szCs w:val="18"/>
          <w:color w:val="auto"/>
        </w:rPr>
        <w:t>Transfer &amp; Trust Company acting as trustee, after</w:t>
      </w:r>
    </w:p>
    <w:p>
      <w:pPr>
        <w:ind w:left="4020"/>
        <w:spacing w:after="0" w:line="234" w:lineRule="auto"/>
        <w:rPr>
          <w:sz w:val="20"/>
          <w:szCs w:val="20"/>
          <w:color w:val="auto"/>
        </w:rPr>
      </w:pPr>
      <w:r>
        <w:rPr>
          <w:rFonts w:ascii="Arial" w:cs="Arial" w:eastAsia="Arial" w:hAnsi="Arial"/>
          <w:sz w:val="18"/>
          <w:szCs w:val="18"/>
          <w:color w:val="auto"/>
        </w:rPr>
        <w:t>deducting $2,100,000 in underwriting discounts and</w:t>
      </w:r>
    </w:p>
    <w:p>
      <w:pPr>
        <w:ind w:left="4020"/>
        <w:spacing w:after="0" w:line="235" w:lineRule="auto"/>
        <w:rPr>
          <w:sz w:val="20"/>
          <w:szCs w:val="20"/>
          <w:color w:val="auto"/>
        </w:rPr>
      </w:pPr>
      <w:r>
        <w:rPr>
          <w:rFonts w:ascii="Arial" w:cs="Arial" w:eastAsia="Arial" w:hAnsi="Arial"/>
          <w:sz w:val="18"/>
          <w:szCs w:val="18"/>
          <w:color w:val="auto"/>
        </w:rPr>
        <w:t>commissions payable upon the closing of this offering</w:t>
      </w:r>
    </w:p>
    <w:p>
      <w:pPr>
        <w:ind w:left="4020"/>
        <w:spacing w:after="0" w:line="235" w:lineRule="auto"/>
        <w:rPr>
          <w:sz w:val="20"/>
          <w:szCs w:val="20"/>
          <w:color w:val="auto"/>
        </w:rPr>
      </w:pPr>
      <w:r>
        <w:rPr>
          <w:rFonts w:ascii="Arial" w:cs="Arial" w:eastAsia="Arial" w:hAnsi="Arial"/>
          <w:sz w:val="18"/>
          <w:szCs w:val="18"/>
          <w:color w:val="auto"/>
        </w:rPr>
        <w:t>(or $2,415,000 if the underwriters’ over-allotment option</w:t>
      </w:r>
    </w:p>
    <w:p>
      <w:pPr>
        <w:ind w:left="4020"/>
        <w:spacing w:after="0" w:line="235" w:lineRule="auto"/>
        <w:rPr>
          <w:sz w:val="20"/>
          <w:szCs w:val="20"/>
          <w:color w:val="auto"/>
        </w:rPr>
      </w:pPr>
      <w:r>
        <w:rPr>
          <w:rFonts w:ascii="Arial" w:cs="Arial" w:eastAsia="Arial" w:hAnsi="Arial"/>
          <w:sz w:val="18"/>
          <w:szCs w:val="18"/>
          <w:color w:val="auto"/>
        </w:rPr>
        <w:t>is exercised in full) and an aggregate of $2.0 million to</w:t>
      </w:r>
    </w:p>
    <w:p>
      <w:pPr>
        <w:ind w:left="4020"/>
        <w:spacing w:after="0"/>
        <w:rPr>
          <w:sz w:val="20"/>
          <w:szCs w:val="20"/>
          <w:color w:val="auto"/>
        </w:rPr>
      </w:pPr>
      <w:r>
        <w:rPr>
          <w:rFonts w:ascii="Arial" w:cs="Arial" w:eastAsia="Arial" w:hAnsi="Arial"/>
          <w:sz w:val="17"/>
          <w:szCs w:val="17"/>
          <w:color w:val="auto"/>
        </w:rPr>
        <w:t>pay fees and expenses in connection with the closing of</w:t>
      </w:r>
    </w:p>
    <w:p>
      <w:pPr>
        <w:spacing w:after="0" w:line="7"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this offering and for working capital following the closing</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of this offering. The proceeds to be placed in the trust</w:t>
      </w:r>
    </w:p>
    <w:p>
      <w:pPr>
        <w:ind w:left="4020"/>
        <w:spacing w:after="0" w:line="234" w:lineRule="auto"/>
        <w:rPr>
          <w:sz w:val="20"/>
          <w:szCs w:val="20"/>
          <w:color w:val="auto"/>
        </w:rPr>
      </w:pPr>
      <w:r>
        <w:rPr>
          <w:rFonts w:ascii="Arial" w:cs="Arial" w:eastAsia="Arial" w:hAnsi="Arial"/>
          <w:sz w:val="18"/>
          <w:szCs w:val="18"/>
          <w:color w:val="auto"/>
        </w:rPr>
        <w:t>account include $3,675,000 (or up to $4,226,250 if the</w:t>
      </w:r>
    </w:p>
    <w:p>
      <w:pPr>
        <w:ind w:left="4020"/>
        <w:spacing w:after="0" w:line="235" w:lineRule="auto"/>
        <w:rPr>
          <w:sz w:val="20"/>
          <w:szCs w:val="20"/>
          <w:color w:val="auto"/>
        </w:rPr>
      </w:pPr>
      <w:r>
        <w:rPr>
          <w:rFonts w:ascii="Arial" w:cs="Arial" w:eastAsia="Arial" w:hAnsi="Arial"/>
          <w:sz w:val="18"/>
          <w:szCs w:val="18"/>
          <w:color w:val="auto"/>
        </w:rPr>
        <w:t>underwriters’ over-allotment option is exercised in full)</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deferred underwriting commissions.</w:t>
      </w:r>
    </w:p>
    <w:p>
      <w:pPr>
        <w:spacing w:after="0" w:line="36"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Except with respect to interest earned on the funds held</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the trust account that may be released to us to pay</w:t>
      </w:r>
    </w:p>
    <w:p>
      <w:pPr>
        <w:ind w:left="4020"/>
        <w:spacing w:after="0" w:line="234" w:lineRule="auto"/>
        <w:rPr>
          <w:sz w:val="20"/>
          <w:szCs w:val="20"/>
          <w:color w:val="auto"/>
        </w:rPr>
      </w:pPr>
      <w:r>
        <w:rPr>
          <w:rFonts w:ascii="Arial" w:cs="Arial" w:eastAsia="Arial" w:hAnsi="Arial"/>
          <w:sz w:val="18"/>
          <w:szCs w:val="18"/>
          <w:color w:val="auto"/>
        </w:rPr>
        <w:t>our taxes, the proceeds from this offering and the sale</w:t>
      </w:r>
    </w:p>
    <w:p>
      <w:pPr>
        <w:ind w:left="4020"/>
        <w:spacing w:after="0" w:line="235" w:lineRule="auto"/>
        <w:rPr>
          <w:sz w:val="20"/>
          <w:szCs w:val="20"/>
          <w:color w:val="auto"/>
        </w:rPr>
      </w:pPr>
      <w:r>
        <w:rPr>
          <w:rFonts w:ascii="Arial" w:cs="Arial" w:eastAsia="Arial" w:hAnsi="Arial"/>
          <w:sz w:val="18"/>
          <w:szCs w:val="18"/>
          <w:color w:val="auto"/>
        </w:rPr>
        <w:t>of the private placement shares will not be released</w:t>
      </w:r>
    </w:p>
    <w:p>
      <w:pPr>
        <w:ind w:left="4020"/>
        <w:spacing w:after="0" w:line="235" w:lineRule="auto"/>
        <w:rPr>
          <w:sz w:val="20"/>
          <w:szCs w:val="20"/>
          <w:color w:val="auto"/>
        </w:rPr>
      </w:pPr>
      <w:r>
        <w:rPr>
          <w:rFonts w:ascii="Arial" w:cs="Arial" w:eastAsia="Arial" w:hAnsi="Arial"/>
          <w:sz w:val="18"/>
          <w:szCs w:val="18"/>
          <w:color w:val="auto"/>
        </w:rPr>
        <w:t>from the trust account until the earliest of (i) the</w:t>
      </w:r>
    </w:p>
    <w:p>
      <w:pPr>
        <w:ind w:left="4020"/>
        <w:spacing w:after="0" w:line="235" w:lineRule="auto"/>
        <w:rPr>
          <w:sz w:val="20"/>
          <w:szCs w:val="20"/>
          <w:color w:val="auto"/>
        </w:rPr>
      </w:pPr>
      <w:r>
        <w:rPr>
          <w:rFonts w:ascii="Arial" w:cs="Arial" w:eastAsia="Arial" w:hAnsi="Arial"/>
          <w:sz w:val="18"/>
          <w:szCs w:val="18"/>
          <w:color w:val="auto"/>
        </w:rPr>
        <w:t>completion of our initial business combination, (ii) the</w:t>
      </w:r>
    </w:p>
    <w:p>
      <w:pPr>
        <w:ind w:left="4020"/>
        <w:spacing w:after="0" w:line="235" w:lineRule="auto"/>
        <w:rPr>
          <w:sz w:val="20"/>
          <w:szCs w:val="20"/>
          <w:color w:val="auto"/>
        </w:rPr>
      </w:pPr>
      <w:r>
        <w:rPr>
          <w:rFonts w:ascii="Arial" w:cs="Arial" w:eastAsia="Arial" w:hAnsi="Arial"/>
          <w:sz w:val="18"/>
          <w:szCs w:val="18"/>
          <w:color w:val="auto"/>
        </w:rPr>
        <w:t>redemption of our public shares if we are unable to</w:t>
      </w:r>
    </w:p>
    <w:p>
      <w:pPr>
        <w:ind w:left="4020"/>
        <w:spacing w:after="0" w:line="234" w:lineRule="auto"/>
        <w:rPr>
          <w:sz w:val="20"/>
          <w:szCs w:val="20"/>
          <w:color w:val="auto"/>
        </w:rPr>
      </w:pPr>
      <w:r>
        <w:rPr>
          <w:rFonts w:ascii="Arial" w:cs="Arial" w:eastAsia="Arial" w:hAnsi="Arial"/>
          <w:sz w:val="18"/>
          <w:szCs w:val="18"/>
          <w:color w:val="auto"/>
        </w:rPr>
        <w:t>complete our initial business combination within 24</w:t>
      </w:r>
    </w:p>
    <w:p>
      <w:pPr>
        <w:ind w:left="4020"/>
        <w:spacing w:after="0" w:line="235" w:lineRule="auto"/>
        <w:rPr>
          <w:sz w:val="20"/>
          <w:szCs w:val="20"/>
          <w:color w:val="auto"/>
        </w:rPr>
      </w:pPr>
      <w:r>
        <w:rPr>
          <w:rFonts w:ascii="Arial" w:cs="Arial" w:eastAsia="Arial" w:hAnsi="Arial"/>
          <w:sz w:val="18"/>
          <w:szCs w:val="18"/>
          <w:color w:val="auto"/>
        </w:rPr>
        <w:t>months from the closing of this offering, subject to</w:t>
      </w:r>
    </w:p>
    <w:p>
      <w:pPr>
        <w:ind w:left="4020"/>
        <w:spacing w:after="0" w:line="235" w:lineRule="auto"/>
        <w:rPr>
          <w:sz w:val="20"/>
          <w:szCs w:val="20"/>
          <w:color w:val="auto"/>
        </w:rPr>
      </w:pPr>
      <w:r>
        <w:rPr>
          <w:rFonts w:ascii="Arial" w:cs="Arial" w:eastAsia="Arial" w:hAnsi="Arial"/>
          <w:sz w:val="18"/>
          <w:szCs w:val="18"/>
          <w:color w:val="auto"/>
        </w:rPr>
        <w:t>applicable law, and (iii) the redemption of our public</w:t>
      </w:r>
    </w:p>
    <w:p>
      <w:pPr>
        <w:ind w:left="4020"/>
        <w:spacing w:after="0" w:line="235" w:lineRule="auto"/>
        <w:rPr>
          <w:sz w:val="20"/>
          <w:szCs w:val="20"/>
          <w:color w:val="auto"/>
        </w:rPr>
      </w:pPr>
      <w:r>
        <w:rPr>
          <w:rFonts w:ascii="Arial" w:cs="Arial" w:eastAsia="Arial" w:hAnsi="Arial"/>
          <w:sz w:val="18"/>
          <w:szCs w:val="18"/>
          <w:color w:val="auto"/>
        </w:rPr>
        <w:t>shares properly submitted in connection with a</w:t>
      </w:r>
    </w:p>
    <w:p>
      <w:pPr>
        <w:ind w:left="4020"/>
        <w:spacing w:after="0" w:line="235" w:lineRule="auto"/>
        <w:rPr>
          <w:sz w:val="20"/>
          <w:szCs w:val="20"/>
          <w:color w:val="auto"/>
        </w:rPr>
      </w:pPr>
      <w:r>
        <w:rPr>
          <w:rFonts w:ascii="Arial" w:cs="Arial" w:eastAsia="Arial" w:hAnsi="Arial"/>
          <w:sz w:val="18"/>
          <w:szCs w:val="18"/>
          <w:color w:val="auto"/>
        </w:rPr>
        <w:t>stockholder vote to amend our amended and restated</w:t>
      </w:r>
    </w:p>
    <w:p>
      <w:pPr>
        <w:ind w:left="4020"/>
        <w:spacing w:after="0" w:line="234" w:lineRule="auto"/>
        <w:rPr>
          <w:sz w:val="20"/>
          <w:szCs w:val="20"/>
          <w:color w:val="auto"/>
        </w:rPr>
      </w:pPr>
      <w:r>
        <w:rPr>
          <w:rFonts w:ascii="Arial" w:cs="Arial" w:eastAsia="Arial" w:hAnsi="Arial"/>
          <w:sz w:val="18"/>
          <w:szCs w:val="18"/>
          <w:color w:val="auto"/>
        </w:rPr>
        <w:t>certificate of incorporation to modify the substance or</w:t>
      </w:r>
    </w:p>
    <w:p>
      <w:pPr>
        <w:ind w:left="4020"/>
        <w:spacing w:after="0" w:line="235" w:lineRule="auto"/>
        <w:rPr>
          <w:sz w:val="20"/>
          <w:szCs w:val="20"/>
          <w:color w:val="auto"/>
        </w:rPr>
      </w:pPr>
      <w:r>
        <w:rPr>
          <w:rFonts w:ascii="Arial" w:cs="Arial" w:eastAsia="Arial" w:hAnsi="Arial"/>
          <w:sz w:val="18"/>
          <w:szCs w:val="18"/>
          <w:color w:val="auto"/>
        </w:rPr>
        <w:t>timing of our obligation to redeem 100% of our public</w:t>
      </w:r>
    </w:p>
    <w:p>
      <w:pPr>
        <w:ind w:left="4020"/>
        <w:spacing w:after="0" w:line="235" w:lineRule="auto"/>
        <w:rPr>
          <w:sz w:val="20"/>
          <w:szCs w:val="20"/>
          <w:color w:val="auto"/>
        </w:rPr>
      </w:pPr>
      <w:r>
        <w:rPr>
          <w:rFonts w:ascii="Arial" w:cs="Arial" w:eastAsia="Arial" w:hAnsi="Arial"/>
          <w:sz w:val="18"/>
          <w:szCs w:val="18"/>
          <w:color w:val="auto"/>
        </w:rPr>
        <w:t>shares if we have not consummated an initial business</w:t>
      </w:r>
    </w:p>
    <w:p>
      <w:pPr>
        <w:ind w:left="4020"/>
        <w:spacing w:after="0" w:line="235" w:lineRule="auto"/>
        <w:rPr>
          <w:sz w:val="20"/>
          <w:szCs w:val="20"/>
          <w:color w:val="auto"/>
        </w:rPr>
      </w:pPr>
      <w:r>
        <w:rPr>
          <w:rFonts w:ascii="Arial" w:cs="Arial" w:eastAsia="Arial" w:hAnsi="Arial"/>
          <w:sz w:val="18"/>
          <w:szCs w:val="18"/>
          <w:color w:val="auto"/>
        </w:rPr>
        <w:t>combination within 24 months from the closing of this</w:t>
      </w:r>
    </w:p>
    <w:p>
      <w:pPr>
        <w:ind w:left="4020"/>
        <w:spacing w:after="0" w:line="235" w:lineRule="auto"/>
        <w:rPr>
          <w:sz w:val="20"/>
          <w:szCs w:val="20"/>
          <w:color w:val="auto"/>
        </w:rPr>
      </w:pPr>
      <w:r>
        <w:rPr>
          <w:rFonts w:ascii="Arial" w:cs="Arial" w:eastAsia="Arial" w:hAnsi="Arial"/>
          <w:sz w:val="18"/>
          <w:szCs w:val="18"/>
          <w:color w:val="auto"/>
        </w:rPr>
        <w:t>offering or with respect to any other material provisions</w:t>
      </w:r>
    </w:p>
    <w:p>
      <w:pPr>
        <w:ind w:left="4020"/>
        <w:spacing w:after="0" w:line="234" w:lineRule="auto"/>
        <w:rPr>
          <w:sz w:val="20"/>
          <w:szCs w:val="20"/>
          <w:color w:val="auto"/>
        </w:rPr>
      </w:pPr>
      <w:r>
        <w:rPr>
          <w:rFonts w:ascii="Arial" w:cs="Arial" w:eastAsia="Arial" w:hAnsi="Arial"/>
          <w:sz w:val="18"/>
          <w:szCs w:val="18"/>
          <w:color w:val="auto"/>
        </w:rPr>
        <w:t>relating to stockholders’ rights or pre-initial business</w:t>
      </w:r>
    </w:p>
    <w:p>
      <w:pPr>
        <w:ind w:left="4020"/>
        <w:spacing w:after="0" w:line="235" w:lineRule="auto"/>
        <w:rPr>
          <w:sz w:val="20"/>
          <w:szCs w:val="20"/>
          <w:color w:val="auto"/>
        </w:rPr>
      </w:pPr>
      <w:r>
        <w:rPr>
          <w:rFonts w:ascii="Arial" w:cs="Arial" w:eastAsia="Arial" w:hAnsi="Arial"/>
          <w:sz w:val="18"/>
          <w:szCs w:val="18"/>
          <w:color w:val="auto"/>
        </w:rPr>
        <w:t>combination activity. The proceeds deposited in the</w:t>
      </w:r>
    </w:p>
    <w:p>
      <w:pPr>
        <w:ind w:left="4020"/>
        <w:spacing w:after="0" w:line="235" w:lineRule="auto"/>
        <w:rPr>
          <w:sz w:val="20"/>
          <w:szCs w:val="20"/>
          <w:color w:val="auto"/>
        </w:rPr>
      </w:pPr>
      <w:r>
        <w:rPr>
          <w:rFonts w:ascii="Arial" w:cs="Arial" w:eastAsia="Arial" w:hAnsi="Arial"/>
          <w:sz w:val="18"/>
          <w:szCs w:val="18"/>
          <w:color w:val="auto"/>
        </w:rPr>
        <w:t>trust account could become subject to the claims of our</w:t>
      </w:r>
    </w:p>
    <w:p>
      <w:pPr>
        <w:ind w:left="4020"/>
        <w:spacing w:after="0" w:line="235" w:lineRule="auto"/>
        <w:rPr>
          <w:sz w:val="20"/>
          <w:szCs w:val="20"/>
          <w:color w:val="auto"/>
        </w:rPr>
      </w:pPr>
      <w:r>
        <w:rPr>
          <w:rFonts w:ascii="Arial" w:cs="Arial" w:eastAsia="Arial" w:hAnsi="Arial"/>
          <w:sz w:val="18"/>
          <w:szCs w:val="18"/>
          <w:color w:val="auto"/>
        </w:rPr>
        <w:t>creditors, if any, which could have priority over the</w:t>
      </w:r>
    </w:p>
    <w:p>
      <w:pPr>
        <w:ind w:left="4020"/>
        <w:spacing w:after="0"/>
        <w:rPr>
          <w:sz w:val="20"/>
          <w:szCs w:val="20"/>
          <w:color w:val="auto"/>
        </w:rPr>
      </w:pPr>
      <w:r>
        <w:rPr>
          <w:rFonts w:ascii="Arial" w:cs="Arial" w:eastAsia="Arial" w:hAnsi="Arial"/>
          <w:sz w:val="18"/>
          <w:szCs w:val="18"/>
          <w:color w:val="auto"/>
        </w:rPr>
        <w:t>claims of our public stockholders.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Anticipated expenses and funding sources Unless and until we complete our initial business</w:t>
      </w:r>
    </w:p>
    <w:p>
      <w:pPr>
        <w:ind w:left="4020"/>
        <w:spacing w:after="0" w:line="234" w:lineRule="auto"/>
        <w:rPr>
          <w:sz w:val="20"/>
          <w:szCs w:val="20"/>
          <w:color w:val="auto"/>
        </w:rPr>
      </w:pPr>
      <w:r>
        <w:rPr>
          <w:rFonts w:ascii="Arial" w:cs="Arial" w:eastAsia="Arial" w:hAnsi="Arial"/>
          <w:sz w:val="18"/>
          <w:szCs w:val="18"/>
          <w:color w:val="auto"/>
        </w:rPr>
        <w:t>combination, no proceeds held in the trust account will</w:t>
      </w:r>
    </w:p>
    <w:p>
      <w:pPr>
        <w:ind w:left="4020"/>
        <w:spacing w:after="0" w:line="235" w:lineRule="auto"/>
        <w:rPr>
          <w:sz w:val="20"/>
          <w:szCs w:val="20"/>
          <w:color w:val="auto"/>
        </w:rPr>
      </w:pPr>
      <w:r>
        <w:rPr>
          <w:rFonts w:ascii="Arial" w:cs="Arial" w:eastAsia="Arial" w:hAnsi="Arial"/>
          <w:sz w:val="18"/>
          <w:szCs w:val="18"/>
          <w:color w:val="auto"/>
        </w:rPr>
        <w:t>be available for our use, except the withdrawal of</w:t>
      </w:r>
    </w:p>
    <w:p>
      <w:pPr>
        <w:ind w:left="4020"/>
        <w:spacing w:after="0" w:line="235" w:lineRule="auto"/>
        <w:rPr>
          <w:sz w:val="20"/>
          <w:szCs w:val="20"/>
          <w:color w:val="auto"/>
        </w:rPr>
      </w:pPr>
      <w:r>
        <w:rPr>
          <w:rFonts w:ascii="Arial" w:cs="Arial" w:eastAsia="Arial" w:hAnsi="Arial"/>
          <w:sz w:val="18"/>
          <w:szCs w:val="18"/>
          <w:color w:val="auto"/>
        </w:rPr>
        <w:t>interest to pay our taxes and/or to redeem our public</w:t>
      </w:r>
    </w:p>
    <w:p>
      <w:pPr>
        <w:ind w:left="4020"/>
        <w:spacing w:after="0" w:line="235" w:lineRule="auto"/>
        <w:rPr>
          <w:sz w:val="20"/>
          <w:szCs w:val="20"/>
          <w:color w:val="auto"/>
        </w:rPr>
      </w:pPr>
      <w:r>
        <w:rPr>
          <w:rFonts w:ascii="Arial" w:cs="Arial" w:eastAsia="Arial" w:hAnsi="Arial"/>
          <w:sz w:val="18"/>
          <w:szCs w:val="18"/>
          <w:color w:val="auto"/>
        </w:rPr>
        <w:t>shares in connection with an amendment to our</w:t>
      </w:r>
    </w:p>
    <w:p>
      <w:pPr>
        <w:ind w:left="4020"/>
        <w:spacing w:after="0" w:line="235" w:lineRule="auto"/>
        <w:rPr>
          <w:sz w:val="20"/>
          <w:szCs w:val="20"/>
          <w:color w:val="auto"/>
        </w:rPr>
      </w:pPr>
      <w:r>
        <w:rPr>
          <w:rFonts w:ascii="Arial" w:cs="Arial" w:eastAsia="Arial" w:hAnsi="Arial"/>
          <w:sz w:val="18"/>
          <w:szCs w:val="18"/>
          <w:color w:val="auto"/>
        </w:rPr>
        <w:t>amended and restated certificate of incorporation, as</w:t>
      </w:r>
    </w:p>
    <w:p>
      <w:pPr>
        <w:ind w:left="4020"/>
        <w:spacing w:after="0" w:line="234" w:lineRule="auto"/>
        <w:rPr>
          <w:sz w:val="20"/>
          <w:szCs w:val="20"/>
          <w:color w:val="auto"/>
        </w:rPr>
      </w:pPr>
      <w:r>
        <w:rPr>
          <w:rFonts w:ascii="Arial" w:cs="Arial" w:eastAsia="Arial" w:hAnsi="Arial"/>
          <w:sz w:val="18"/>
          <w:szCs w:val="18"/>
          <w:color w:val="auto"/>
        </w:rPr>
        <w:t>described above. The proceeds held in the trust</w:t>
      </w:r>
    </w:p>
    <w:p>
      <w:pPr>
        <w:ind w:left="4020"/>
        <w:spacing w:after="0" w:line="235" w:lineRule="auto"/>
        <w:rPr>
          <w:sz w:val="20"/>
          <w:szCs w:val="20"/>
          <w:color w:val="auto"/>
        </w:rPr>
      </w:pPr>
      <w:r>
        <w:rPr>
          <w:rFonts w:ascii="Arial" w:cs="Arial" w:eastAsia="Arial" w:hAnsi="Arial"/>
          <w:sz w:val="18"/>
          <w:szCs w:val="18"/>
          <w:color w:val="auto"/>
        </w:rPr>
        <w:t>account will be invested only in U.S. government</w:t>
      </w:r>
    </w:p>
    <w:p>
      <w:pPr>
        <w:ind w:left="4020"/>
        <w:spacing w:after="0" w:line="235" w:lineRule="auto"/>
        <w:rPr>
          <w:sz w:val="20"/>
          <w:szCs w:val="20"/>
          <w:color w:val="auto"/>
        </w:rPr>
      </w:pPr>
      <w:r>
        <w:rPr>
          <w:rFonts w:ascii="Arial" w:cs="Arial" w:eastAsia="Arial" w:hAnsi="Arial"/>
          <w:sz w:val="18"/>
          <w:szCs w:val="18"/>
          <w:color w:val="auto"/>
        </w:rPr>
        <w:t>treasury obligations with a maturity of 185 days or less</w:t>
      </w:r>
    </w:p>
    <w:p>
      <w:pPr>
        <w:ind w:left="4020"/>
        <w:spacing w:after="0" w:line="235" w:lineRule="auto"/>
        <w:rPr>
          <w:sz w:val="20"/>
          <w:szCs w:val="20"/>
          <w:color w:val="auto"/>
        </w:rPr>
      </w:pPr>
      <w:r>
        <w:rPr>
          <w:rFonts w:ascii="Arial" w:cs="Arial" w:eastAsia="Arial" w:hAnsi="Arial"/>
          <w:sz w:val="18"/>
          <w:szCs w:val="18"/>
          <w:color w:val="auto"/>
        </w:rPr>
        <w:t>or in money market funds meeting certain conditions</w:t>
      </w:r>
    </w:p>
    <w:p>
      <w:pPr>
        <w:ind w:left="4020"/>
        <w:spacing w:after="0" w:line="235" w:lineRule="auto"/>
        <w:rPr>
          <w:sz w:val="20"/>
          <w:szCs w:val="20"/>
          <w:color w:val="auto"/>
        </w:rPr>
      </w:pPr>
      <w:r>
        <w:rPr>
          <w:rFonts w:ascii="Arial" w:cs="Arial" w:eastAsia="Arial" w:hAnsi="Arial"/>
          <w:sz w:val="18"/>
          <w:szCs w:val="18"/>
          <w:color w:val="auto"/>
        </w:rPr>
        <w:t>under Rule 2a-7 under the Investment Company Act</w:t>
      </w:r>
    </w:p>
    <w:p>
      <w:pPr>
        <w:ind w:left="4020"/>
        <w:spacing w:after="0" w:line="234" w:lineRule="auto"/>
        <w:rPr>
          <w:sz w:val="20"/>
          <w:szCs w:val="20"/>
          <w:color w:val="auto"/>
        </w:rPr>
      </w:pPr>
      <w:r>
        <w:rPr>
          <w:rFonts w:ascii="Arial" w:cs="Arial" w:eastAsia="Arial" w:hAnsi="Arial"/>
          <w:sz w:val="18"/>
          <w:szCs w:val="18"/>
          <w:color w:val="auto"/>
        </w:rPr>
        <w:t>which invest only in direct U.S. government treasury</w:t>
      </w:r>
    </w:p>
    <w:p>
      <w:pPr>
        <w:ind w:left="4020"/>
        <w:spacing w:after="0" w:line="235" w:lineRule="auto"/>
        <w:rPr>
          <w:sz w:val="20"/>
          <w:szCs w:val="20"/>
          <w:color w:val="auto"/>
        </w:rPr>
      </w:pPr>
      <w:r>
        <w:rPr>
          <w:rFonts w:ascii="Arial" w:cs="Arial" w:eastAsia="Arial" w:hAnsi="Arial"/>
          <w:sz w:val="18"/>
          <w:szCs w:val="18"/>
          <w:color w:val="auto"/>
        </w:rPr>
        <w:t>obligations. We estimate the interest earned on the</w:t>
      </w:r>
    </w:p>
    <w:p>
      <w:pPr>
        <w:ind w:left="4020"/>
        <w:spacing w:after="0" w:line="235" w:lineRule="auto"/>
        <w:rPr>
          <w:sz w:val="20"/>
          <w:szCs w:val="20"/>
          <w:color w:val="auto"/>
        </w:rPr>
      </w:pPr>
      <w:r>
        <w:rPr>
          <w:rFonts w:ascii="Arial" w:cs="Arial" w:eastAsia="Arial" w:hAnsi="Arial"/>
          <w:sz w:val="18"/>
          <w:szCs w:val="18"/>
          <w:color w:val="auto"/>
        </w:rPr>
        <w:t>trust account will be approximately $105,000 per year,</w:t>
      </w:r>
    </w:p>
    <w:p>
      <w:pPr>
        <w:ind w:left="4020"/>
        <w:spacing w:after="0" w:line="235" w:lineRule="auto"/>
        <w:rPr>
          <w:sz w:val="20"/>
          <w:szCs w:val="20"/>
          <w:color w:val="auto"/>
        </w:rPr>
      </w:pPr>
      <w:r>
        <w:rPr>
          <w:rFonts w:ascii="Arial" w:cs="Arial" w:eastAsia="Arial" w:hAnsi="Arial"/>
          <w:sz w:val="18"/>
          <w:szCs w:val="18"/>
          <w:color w:val="auto"/>
        </w:rPr>
        <w:t>assuming an interest rate of 0.1% per year; however</w:t>
      </w:r>
    </w:p>
    <w:p>
      <w:pPr>
        <w:ind w:left="4020"/>
        <w:spacing w:after="0" w:line="235" w:lineRule="auto"/>
        <w:rPr>
          <w:sz w:val="20"/>
          <w:szCs w:val="20"/>
          <w:color w:val="auto"/>
        </w:rPr>
      </w:pPr>
      <w:r>
        <w:rPr>
          <w:rFonts w:ascii="Arial" w:cs="Arial" w:eastAsia="Arial" w:hAnsi="Arial"/>
          <w:sz w:val="18"/>
          <w:szCs w:val="18"/>
          <w:color w:val="auto"/>
        </w:rPr>
        <w:t>we can provide no assurances regarding this amount.</w:t>
      </w:r>
    </w:p>
    <w:p>
      <w:pPr>
        <w:ind w:left="4020"/>
        <w:spacing w:after="0" w:line="234" w:lineRule="auto"/>
        <w:rPr>
          <w:sz w:val="20"/>
          <w:szCs w:val="20"/>
          <w:color w:val="auto"/>
        </w:rPr>
      </w:pPr>
      <w:r>
        <w:rPr>
          <w:rFonts w:ascii="Arial" w:cs="Arial" w:eastAsia="Arial" w:hAnsi="Arial"/>
          <w:sz w:val="18"/>
          <w:szCs w:val="18"/>
          <w:color w:val="auto"/>
        </w:rPr>
        <w:t>Unless and until we complete our initial business</w:t>
      </w:r>
    </w:p>
    <w:p>
      <w:pPr>
        <w:ind w:left="4020"/>
        <w:spacing w:after="0" w:line="235" w:lineRule="auto"/>
        <w:rPr>
          <w:sz w:val="20"/>
          <w:szCs w:val="20"/>
          <w:color w:val="auto"/>
        </w:rPr>
      </w:pPr>
      <w:r>
        <w:rPr>
          <w:rFonts w:ascii="Arial" w:cs="Arial" w:eastAsia="Arial" w:hAnsi="Arial"/>
          <w:sz w:val="18"/>
          <w:szCs w:val="18"/>
          <w:color w:val="auto"/>
        </w:rPr>
        <w:t>combination, we may pay our expenses only from such</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interest withdrawn from the trust account and:</w:t>
      </w:r>
    </w:p>
    <w:p>
      <w:pPr>
        <w:spacing w:after="0" w:line="185" w:lineRule="exact"/>
        <w:rPr>
          <w:sz w:val="20"/>
          <w:szCs w:val="20"/>
          <w:color w:val="auto"/>
        </w:rPr>
      </w:pPr>
    </w:p>
    <w:p>
      <w:pPr>
        <w:ind w:left="4440" w:right="599" w:hanging="211"/>
        <w:spacing w:after="0" w:line="237" w:lineRule="auto"/>
        <w:tabs>
          <w:tab w:leader="none" w:pos="44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private placement shares not held in the trust account, which initially will be approximately $1,000,000 in working capital after the payment of approximately $1,000,000 in expenses relating to this offering; and</w:t>
      </w:r>
    </w:p>
    <w:p>
      <w:pPr>
        <w:sectPr>
          <w:pgSz w:w="11900" w:h="16838" w:orient="portrait"/>
          <w:cols w:equalWidth="0" w:num="1">
            <w:col w:w="9019"/>
          </w:cols>
          <w:pgMar w:left="1440" w:top="512" w:right="1440" w:bottom="927"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2" w:right="1440" w:bottom="927"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20" w:hanging="179"/>
        <w:spacing w:after="0" w:line="246"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ind w:left="440" w:right="579" w:hanging="214"/>
        <w:spacing w:after="0" w:line="236" w:lineRule="auto"/>
        <w:tabs>
          <w:tab w:leader="none" w:pos="4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our initial business combination. Up to $1,500,000 of such loans may be convertible into private placement shares, at a price of $10.00 per share, at the option of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-1660525</wp:posOffset>
            </wp:positionV>
            <wp:extent cx="5147310" cy="9371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9371965"/>
                    </a:xfrm>
                    <a:prstGeom prst="rect">
                      <a:avLst/>
                    </a:prstGeom>
                    <a:noFill/>
                  </pic:spPr>
                </pic:pic>
              </a:graphicData>
            </a:graphic>
          </wp:anchor>
        </w:drawing>
      </w:r>
    </w:p>
    <w:p>
      <w:pPr>
        <w:spacing w:after="0" w:line="212"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145"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We will complete our initial business combination only if the post-transaction company in which our public stockholders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or shares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provided that in the event that the business combination involves more than one target business, the 80% of net assets test will be based on the aggregate value of all of the target businesses and we will treat the target businesses together as our initial business combination for purposes of a seeking stockholder approval or conducting a tender offer, as applicable.</w:t>
      </w:r>
    </w:p>
    <w:p>
      <w:pPr>
        <w:spacing w:after="0" w:line="200" w:lineRule="exact"/>
        <w:rPr>
          <w:sz w:val="20"/>
          <w:szCs w:val="20"/>
          <w:color w:val="auto"/>
        </w:rPr>
      </w:pPr>
    </w:p>
    <w:p>
      <w:pPr>
        <w:sectPr>
          <w:pgSz w:w="11900" w:h="16838" w:orient="portrait"/>
          <w:cols w:equalWidth="0" w:num="2">
            <w:col w:w="3280" w:space="440"/>
            <w:col w:w="5299"/>
          </w:cols>
          <w:pgMar w:left="1440" w:top="517" w:right="1440" w:bottom="1008"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008" w:gutter="0" w:footer="0" w:header="0"/>
          <w:type w:val="continuous"/>
        </w:sectPr>
      </w:pPr>
    </w:p>
    <w:bookmarkStart w:id="17" w:name="page18"/>
    <w:bookmarkEnd w:id="17"/>
    <w:p>
      <w:pPr>
        <w:ind w:left="720" w:hanging="179"/>
        <w:spacing w:after="0" w:line="246" w:lineRule="auto"/>
        <w:rPr>
          <w:sz w:val="20"/>
          <w:szCs w:val="20"/>
          <w:color w:val="auto"/>
        </w:rPr>
      </w:pPr>
      <w:r>
        <w:rPr>
          <w:rFonts w:ascii="Arial" w:cs="Arial" w:eastAsia="Arial" w:hAnsi="Arial"/>
          <w:sz w:val="18"/>
          <w:szCs w:val="18"/>
          <w:color w:val="auto"/>
        </w:rPr>
        <w:t>Permitted purchases of public shares by our affiliates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5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held in the trust account will be used to purchase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We expect any such purchases will be reported pursuant to Section 13 and Section 16 of the Exchange Act to the extent such purchasers are subject to such reporting requirements. See “Proposed Business — Permitted Purchases of Our Securities” for a description of how our sponsor, initial stockholders, directors, executive officers, advisors or any of their affiliates will select which stockholders to purchase securities from in any private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-5257800</wp:posOffset>
            </wp:positionV>
            <wp:extent cx="5147310" cy="7828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7828915"/>
                    </a:xfrm>
                    <a:prstGeom prst="rect">
                      <a:avLst/>
                    </a:prstGeom>
                    <a:noFill/>
                  </pic:spPr>
                </pic:pic>
              </a:graphicData>
            </a:graphic>
          </wp:anchor>
        </w:drawing>
      </w:r>
    </w:p>
    <w:p>
      <w:pPr>
        <w:spacing w:after="0" w:line="162"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Any such purchases of our shares of Class A common stock may result in the completion of our initial business combination that may not otherwise have been possible. In addition, if such purchases are made, the public “float” of our Class A common stock may be reduced and the number of beneficial holders of our Class A common stock may be reduced, which may make it difficult to maintain or obtain the quotation, listing or trading of our Class A common stock on a national securities exchange.</w:t>
      </w:r>
    </w:p>
    <w:p>
      <w:pPr>
        <w:spacing w:after="0" w:line="200" w:lineRule="exact"/>
        <w:rPr>
          <w:sz w:val="20"/>
          <w:szCs w:val="20"/>
          <w:color w:val="auto"/>
        </w:rPr>
      </w:pPr>
    </w:p>
    <w:p>
      <w:pPr>
        <w:sectPr>
          <w:pgSz w:w="11900" w:h="16838" w:orient="portrait"/>
          <w:cols w:equalWidth="0" w:num="2">
            <w:col w:w="3500" w:space="220"/>
            <w:col w:w="5299"/>
          </w:cols>
          <w:pgMar w:left="1440" w:top="517"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720" w:hanging="179"/>
        <w:spacing w:after="0"/>
        <w:rPr>
          <w:sz w:val="20"/>
          <w:szCs w:val="20"/>
          <w:color w:val="auto"/>
        </w:rPr>
      </w:pPr>
      <w:r>
        <w:rPr>
          <w:rFonts w:ascii="Arial" w:cs="Arial" w:eastAsia="Arial" w:hAnsi="Arial"/>
          <w:sz w:val="18"/>
          <w:szCs w:val="18"/>
          <w:color w:val="auto"/>
        </w:rPr>
        <w:t>Redemption rights for public stockholders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Limitations on redemptions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private placement shares. Our initial stockholders, sponsor, officers and directors have entered into a letter agreement with us, pursuant to which they have agreed to waive their redemption rights with respect to any founder shares, private placement shares and any public shares they may acquire during or after this offering in connection with the completion of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-3584575</wp:posOffset>
            </wp:positionV>
            <wp:extent cx="5147310" cy="8848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8848725"/>
                    </a:xfrm>
                    <a:prstGeom prst="rect">
                      <a:avLst/>
                    </a:prstGeom>
                    <a:noFill/>
                  </pic:spPr>
                </pic:pic>
              </a:graphicData>
            </a:graphic>
          </wp:anchor>
        </w:drawing>
      </w:r>
    </w:p>
    <w:p>
      <w:pPr>
        <w:spacing w:after="0" w:line="165" w:lineRule="exact"/>
        <w:rPr>
          <w:sz w:val="20"/>
          <w:szCs w:val="20"/>
          <w:color w:val="auto"/>
        </w:rPr>
      </w:pPr>
    </w:p>
    <w:p>
      <w:pPr>
        <w:ind w:right="639"/>
        <w:spacing w:after="0" w:line="235" w:lineRule="auto"/>
        <w:rPr>
          <w:sz w:val="20"/>
          <w:szCs w:val="20"/>
          <w:color w:val="auto"/>
        </w:rPr>
      </w:pPr>
      <w:r>
        <w:rPr>
          <w:rFonts w:ascii="Arial" w:cs="Arial" w:eastAsia="Arial" w:hAnsi="Arial"/>
          <w:sz w:val="18"/>
          <w:szCs w:val="18"/>
          <w:color w:val="auto"/>
        </w:rPr>
        <w:t>Our amended and restated certificate of incorporation provides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0" w:lineRule="exact"/>
        <w:rPr>
          <w:sz w:val="20"/>
          <w:szCs w:val="20"/>
          <w:color w:val="auto"/>
        </w:rPr>
      </w:pPr>
    </w:p>
    <w:p>
      <w:pPr>
        <w:sectPr>
          <w:pgSz w:w="11900" w:h="16838" w:orient="portrait"/>
          <w:cols w:equalWidth="0" w:num="2">
            <w:col w:w="3620" w:space="100"/>
            <w:col w:w="5299"/>
          </w:cols>
          <w:pgMar w:left="1440" w:top="517" w:right="1440" w:bottom="1440" w:gutter="0" w:footer="0" w:header="0"/>
        </w:sectPr>
      </w:pPr>
    </w:p>
    <w:p>
      <w:pPr>
        <w:ind w:left="540"/>
        <w:spacing w:after="0"/>
        <w:tabs>
          <w:tab w:leader="none" w:pos="3700" w:val="left"/>
        </w:tabs>
        <w:rPr>
          <w:sz w:val="20"/>
          <w:szCs w:val="20"/>
          <w:color w:val="auto"/>
        </w:rPr>
      </w:pPr>
      <w:r>
        <w:rPr>
          <w:rFonts w:ascii="Arial" w:cs="Arial" w:eastAsia="Arial" w:hAnsi="Arial"/>
          <w:sz w:val="18"/>
          <w:szCs w:val="18"/>
          <w:color w:val="auto"/>
        </w:rPr>
        <w:t>Manner of conducting redemptions</w:t>
      </w:r>
      <w:r>
        <w:rPr>
          <w:sz w:val="20"/>
          <w:szCs w:val="20"/>
          <w:color w:val="auto"/>
        </w:rPr>
        <w:tab/>
      </w:r>
      <w:r>
        <w:rPr>
          <w:rFonts w:ascii="Arial" w:cs="Arial" w:eastAsia="Arial" w:hAnsi="Arial"/>
          <w:sz w:val="18"/>
          <w:szCs w:val="18"/>
          <w:color w:val="auto"/>
        </w:rPr>
        <w:t>We will provide our public stockholders with the opportunity</w:t>
      </w:r>
    </w:p>
    <w:p>
      <w:pPr>
        <w:ind w:left="3720" w:right="659"/>
        <w:spacing w:after="0" w:line="236" w:lineRule="auto"/>
        <w:rPr>
          <w:sz w:val="20"/>
          <w:szCs w:val="20"/>
          <w:color w:val="auto"/>
        </w:rPr>
      </w:pPr>
      <w:r>
        <w:rPr>
          <w:rFonts w:ascii="Arial" w:cs="Arial" w:eastAsia="Arial" w:hAnsi="Arial"/>
          <w:sz w:val="18"/>
          <w:szCs w:val="18"/>
          <w:color w:val="auto"/>
        </w:rPr>
        <w:t>to redeem all or a portion of their public shares upon the completion of our initial business combination either (i) in connection with a stockholder meeting called to approve the business combination or (ii) without a stockholder vote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3720" w:right="59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852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9852025"/>
                    </a:xfrm>
                    <a:prstGeom prst="rect">
                      <a:avLst/>
                    </a:prstGeom>
                    <a:noFill/>
                  </pic:spPr>
                </pic:pic>
              </a:graphicData>
            </a:graphic>
          </wp:anchor>
        </w:drawing>
        <w:t>to seek stockholder approval under applicable law or stock exchange listing requirement. Asset acquisitions and share purchases would not typically require stockholder approval while direct mergers with our company where we do not survive and any transactions where we issue more than 20% of our outstanding Class A common stock (excluding the private placement shares)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77"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is contained in provisions of our amended and restated certificate of incorporation and applies whether or not we maintain our registration under the Exchange Act or our listing on Nasdaq. Such provisions of our amended and restated certificate of incorporation may be amended if approved by holders of at least 65% of all then issued and outstanding shares of our common stock entitled to vote thereon.</w:t>
      </w:r>
    </w:p>
    <w:p>
      <w:pPr>
        <w:spacing w:after="0" w:line="179" w:lineRule="exact"/>
        <w:rPr>
          <w:sz w:val="20"/>
          <w:szCs w:val="20"/>
          <w:color w:val="auto"/>
        </w:rPr>
      </w:pPr>
    </w:p>
    <w:p>
      <w:pPr>
        <w:jc w:val="both"/>
        <w:ind w:left="3720" w:right="559"/>
        <w:spacing w:after="0"/>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176" w:lineRule="exact"/>
        <w:rPr>
          <w:sz w:val="20"/>
          <w:szCs w:val="20"/>
          <w:color w:val="auto"/>
        </w:rPr>
      </w:pPr>
    </w:p>
    <w:p>
      <w:pPr>
        <w:ind w:left="4160" w:right="739" w:hanging="214"/>
        <w:spacing w:after="0" w:line="238" w:lineRule="auto"/>
        <w:tabs>
          <w:tab w:leader="none" w:pos="41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5" w:lineRule="exact"/>
        <w:rPr>
          <w:rFonts w:ascii="Arial" w:cs="Arial" w:eastAsia="Arial" w:hAnsi="Arial"/>
          <w:sz w:val="18"/>
          <w:szCs w:val="18"/>
          <w:color w:val="auto"/>
        </w:rPr>
      </w:pPr>
    </w:p>
    <w:p>
      <w:pPr>
        <w:ind w:left="4160" w:hanging="214"/>
        <w:spacing w:after="0"/>
        <w:tabs>
          <w:tab w:leader="none" w:pos="4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85"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issued and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issued and outstanding shares of capital stock of the Company entitled to vote at such meeting. Our initial stockholders will count towards this quorum and, pursuant to the letter agreement, our sponsor, officers and directors have agreed to vote any founder shares and private placement shares they hold and any public shares purchased during or after this offering (including in open market and privately-negotiated transactions) in favor of our initial business combination. For purposes of seeking approval of the majority of our issued and outstanding shares of common stock voted, non-votes will have no effect on the approval of our initial business combination once a quorum is obtained. As a result, in addition to our initial stockholders’ founder shares and private placement shares, we would need only 3,732,501, or 35.55%, of the 10,500,000 public shares sold in this offering to be voted in favor of an initial business combination in order to have our initial business combination approved (assuming all issued and outstanding shares of common stock are voted, the private placement shares to be issued to our sponsor are voted in favor of the transaction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ectPr>
          <w:pgSz w:w="11900" w:h="16838" w:orient="portrait"/>
          <w:cols w:equalWidth="0" w:num="1">
            <w:col w:w="9019"/>
          </w:cols>
          <w:pgMar w:left="1440" w:top="517" w:right="1440" w:bottom="252"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252" w:gutter="0" w:footer="0" w:header="0"/>
          <w:type w:val="continuous"/>
        </w:sectPr>
      </w:pPr>
    </w:p>
    <w:bookmarkStart w:id="20" w:name="page21"/>
    <w:bookmarkEnd w:id="20"/>
    <w:p>
      <w:pPr>
        <w:ind w:left="3720" w:right="7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1147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9114790"/>
                    </a:xfrm>
                    <a:prstGeom prst="rect">
                      <a:avLst/>
                    </a:prstGeom>
                    <a:noFill/>
                  </pic:spPr>
                </pic:pic>
              </a:graphicData>
            </a:graphic>
          </wp:anchor>
        </w:drawing>
        <w:t>If a stockholder vote is not required and we do not decide to hold a stockholder vote for business or other legal reasons, we will:</w:t>
      </w:r>
    </w:p>
    <w:p>
      <w:pPr>
        <w:spacing w:after="0" w:line="176" w:lineRule="exact"/>
        <w:rPr>
          <w:sz w:val="20"/>
          <w:szCs w:val="20"/>
          <w:color w:val="auto"/>
        </w:rPr>
      </w:pPr>
    </w:p>
    <w:p>
      <w:pPr>
        <w:jc w:val="both"/>
        <w:ind w:left="4160" w:right="659" w:hanging="214"/>
        <w:spacing w:after="0"/>
        <w:tabs>
          <w:tab w:leader="none" w:pos="41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5" w:lineRule="exact"/>
        <w:rPr>
          <w:rFonts w:ascii="Arial" w:cs="Arial" w:eastAsia="Arial" w:hAnsi="Arial"/>
          <w:sz w:val="18"/>
          <w:szCs w:val="18"/>
          <w:color w:val="auto"/>
        </w:rPr>
      </w:pPr>
    </w:p>
    <w:p>
      <w:pPr>
        <w:ind w:left="4160" w:right="559" w:hanging="214"/>
        <w:spacing w:after="0" w:line="237" w:lineRule="auto"/>
        <w:tabs>
          <w:tab w:leader="none" w:pos="41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ind w:left="3720" w:right="63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the number of public shares we are permitted to redeem. If public stockholders tender more shares than we have offered to purchase, we will withdraw the tender offer and not complete such initial business combination.</w:t>
      </w:r>
    </w:p>
    <w:p>
      <w:pPr>
        <w:spacing w:after="0" w:line="28" w:lineRule="exact"/>
        <w:rPr>
          <w:sz w:val="20"/>
          <w:szCs w:val="20"/>
          <w:color w:val="auto"/>
        </w:rPr>
      </w:pPr>
    </w:p>
    <w:p>
      <w:pPr>
        <w:ind w:left="3720" w:right="619"/>
        <w:spacing w:after="0" w:line="237"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76"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720" w:right="80" w:hanging="179"/>
        <w:spacing w:after="0" w:line="238" w:lineRule="auto"/>
        <w:rPr>
          <w:sz w:val="20"/>
          <w:szCs w:val="20"/>
          <w:color w:val="auto"/>
        </w:rPr>
      </w:pPr>
      <w:r>
        <w:rPr>
          <w:rFonts w:ascii="Arial" w:cs="Arial" w:eastAsia="Arial" w:hAnsi="Arial"/>
          <w:sz w:val="18"/>
          <w:szCs w:val="18"/>
          <w:color w:val="auto"/>
        </w:rPr>
        <w:t>Limitation on redemption rights of stockholders holding 20% or more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hanging="179"/>
        <w:spacing w:after="0" w:line="274" w:lineRule="auto"/>
        <w:rPr>
          <w:sz w:val="20"/>
          <w:szCs w:val="20"/>
          <w:color w:val="auto"/>
        </w:rPr>
      </w:pPr>
      <w:r>
        <w:rPr>
          <w:rFonts w:ascii="Arial" w:cs="Arial" w:eastAsia="Arial" w:hAnsi="Arial"/>
          <w:sz w:val="17"/>
          <w:szCs w:val="17"/>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20%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stockholders’ ability to redeem to no more than 20%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20% of the shares sold in this offering)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-6029960</wp:posOffset>
            </wp:positionV>
            <wp:extent cx="5147310" cy="97574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9757410"/>
                    </a:xfrm>
                    <a:prstGeom prst="rect">
                      <a:avLst/>
                    </a:prstGeom>
                    <a:noFill/>
                  </pic:spPr>
                </pic:pic>
              </a:graphicData>
            </a:graphic>
          </wp:anchor>
        </w:drawing>
      </w:r>
    </w:p>
    <w:p>
      <w:pPr>
        <w:spacing w:after="0" w:line="364" w:lineRule="exact"/>
        <w:rPr>
          <w:sz w:val="20"/>
          <w:szCs w:val="20"/>
          <w:color w:val="auto"/>
        </w:rPr>
      </w:pPr>
    </w:p>
    <w:p>
      <w:pPr>
        <w:ind w:right="599"/>
        <w:spacing w:after="0" w:line="249"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properly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4020" w:space="280"/>
            <w:col w:w="4719"/>
          </w:cols>
          <w:pgMar w:left="1440" w:top="517" w:right="1440" w:bottom="401"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401" w:gutter="0" w:footer="0" w:header="0"/>
          <w:type w:val="continuous"/>
        </w:sectPr>
      </w:pPr>
    </w:p>
    <w:bookmarkStart w:id="22" w:name="page23"/>
    <w:bookmarkEnd w:id="22"/>
    <w:p>
      <w:pPr>
        <w:jc w:val="both"/>
        <w:ind w:left="720" w:hanging="179"/>
        <w:spacing w:after="0"/>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579"/>
        <w:spacing w:after="0" w:line="248"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or during any Extension Period. If we are unable to complete our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-2676525</wp:posOffset>
            </wp:positionV>
            <wp:extent cx="5147310" cy="87458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8745855"/>
                    </a:xfrm>
                    <a:prstGeom prst="rect">
                      <a:avLst/>
                    </a:prstGeom>
                    <a:noFill/>
                  </pic:spPr>
                </pic:pic>
              </a:graphicData>
            </a:graphic>
          </wp:anchor>
        </w:drawing>
      </w:r>
    </w:p>
    <w:p>
      <w:pPr>
        <w:ind w:right="879" w:firstLine="10"/>
        <w:spacing w:after="0" w:line="237" w:lineRule="auto"/>
        <w:tabs>
          <w:tab w:leader="none" w:pos="2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78" w:lineRule="exact"/>
        <w:rPr>
          <w:sz w:val="20"/>
          <w:szCs w:val="20"/>
          <w:color w:val="auto"/>
        </w:rPr>
      </w:pPr>
    </w:p>
    <w:p>
      <w:pPr>
        <w:ind w:right="599"/>
        <w:spacing w:after="0" w:line="236" w:lineRule="auto"/>
        <w:rPr>
          <w:sz w:val="20"/>
          <w:szCs w:val="20"/>
          <w:color w:val="auto"/>
        </w:rPr>
      </w:pPr>
      <w:r>
        <w:rPr>
          <w:rFonts w:ascii="Arial" w:cs="Arial" w:eastAsia="Arial" w:hAnsi="Arial"/>
          <w:sz w:val="18"/>
          <w:szCs w:val="18"/>
          <w:color w:val="auto"/>
        </w:rPr>
        <w:t>Our initial stockholders have entered into agreements with us, pursuant to which they have waived their rights to liquidating distributions from the trust account with respect to their founder shares and private placement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allotted 24-month time frame.</w:t>
      </w:r>
    </w:p>
    <w:p>
      <w:pPr>
        <w:spacing w:after="0" w:line="177" w:lineRule="exact"/>
        <w:rPr>
          <w:sz w:val="20"/>
          <w:szCs w:val="20"/>
          <w:color w:val="auto"/>
        </w:rPr>
      </w:pPr>
    </w:p>
    <w:p>
      <w:pPr>
        <w:ind w:right="619"/>
        <w:spacing w:after="0" w:line="236" w:lineRule="auto"/>
        <w:rPr>
          <w:sz w:val="20"/>
          <w:szCs w:val="20"/>
          <w:color w:val="auto"/>
        </w:rPr>
      </w:pPr>
      <w:r>
        <w:rPr>
          <w:rFonts w:ascii="Arial" w:cs="Arial" w:eastAsia="Arial" w:hAnsi="Arial"/>
          <w:sz w:val="18"/>
          <w:szCs w:val="18"/>
          <w:color w:val="auto"/>
        </w:rPr>
        <w:t>The underwriters have agreed to waive their rights to their deferred underwriting commission held in the trust account in the event we do not complete our initial business combination within 24 months from the closing of this offering or during any Extension Period and, in such event, such amounts will be included with the funds held in the trust account that will be available to fund the redemption of our public shares.</w:t>
      </w:r>
    </w:p>
    <w:p>
      <w:pPr>
        <w:spacing w:after="0" w:line="32" w:lineRule="exact"/>
        <w:rPr>
          <w:sz w:val="20"/>
          <w:szCs w:val="20"/>
          <w:color w:val="auto"/>
        </w:rPr>
      </w:pPr>
    </w:p>
    <w:p>
      <w:pPr>
        <w:ind w:right="599"/>
        <w:spacing w:after="0" w:line="235" w:lineRule="auto"/>
        <w:rPr>
          <w:sz w:val="20"/>
          <w:szCs w:val="20"/>
          <w:color w:val="auto"/>
        </w:rPr>
      </w:pPr>
      <w:r>
        <w:rPr>
          <w:rFonts w:ascii="Arial" w:cs="Arial" w:eastAsia="Arial" w:hAnsi="Arial"/>
          <w:sz w:val="18"/>
          <w:szCs w:val="18"/>
          <w:color w:val="auto"/>
        </w:rPr>
        <w:t>Our sponsor, executive officers, directors and director nominees have agreed, pursuant to a written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w:t>
      </w:r>
    </w:p>
    <w:p>
      <w:pPr>
        <w:spacing w:after="0" w:line="200" w:lineRule="exact"/>
        <w:rPr>
          <w:sz w:val="20"/>
          <w:szCs w:val="20"/>
          <w:color w:val="auto"/>
        </w:rPr>
      </w:pPr>
    </w:p>
    <w:p>
      <w:pPr>
        <w:sectPr>
          <w:pgSz w:w="11900" w:h="16838" w:orient="portrait"/>
          <w:cols w:equalWidth="0" w:num="2">
            <w:col w:w="3200" w:space="520"/>
            <w:col w:w="5299"/>
          </w:cols>
          <w:pgMar w:left="1440" w:top="517"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tbl>
      <w:tblPr>
        <w:tblLayout w:type="fixed"/>
        <w:tblInd w:w="470" w:type="dxa"/>
        <w:tblCellMar>
          <w:top w:w="0" w:type="dxa"/>
          <w:left w:w="0" w:type="dxa"/>
          <w:bottom w:w="0" w:type="dxa"/>
          <w:right w:w="0" w:type="dxa"/>
        </w:tblCellMar>
      </w:tblPr>
      <w:tr>
        <w:trPr>
          <w:trHeight w:val="580"/>
        </w:trPr>
        <w:tc>
          <w:tcPr>
            <w:tcW w:w="2820" w:type="dxa"/>
            <w:vAlign w:val="bottom"/>
            <w:tcBorders>
              <w:top w:val="single" w:sz="8" w:color="auto"/>
              <w:left w:val="single" w:sz="8" w:color="auto"/>
            </w:tcBorders>
          </w:tcPr>
          <w:p>
            <w:pPr>
              <w:spacing w:after="0"/>
              <w:rPr>
                <w:sz w:val="24"/>
                <w:szCs w:val="24"/>
                <w:color w:val="auto"/>
              </w:rPr>
            </w:pPr>
          </w:p>
        </w:tc>
        <w:tc>
          <w:tcPr>
            <w:tcW w:w="52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then outstanding public shares, subject to the limitations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described above under “Limitations on redemptions.” For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example, our board of directors may propose such an</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amendment if it determines that additional time is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necessary to complete our initial business combination. In</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such event, we will conduct a proxy solicitation and</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distribute proxy materials pursuant to Regulation 14A of</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the Exchange Act seeking stockholder approval of such</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proposal, and in connection therewith, provide our public</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stockholders with the redemption rights described above</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upon stockholder approval of such amendment.</w:t>
            </w:r>
          </w:p>
        </w:tc>
      </w:tr>
      <w:tr>
        <w:trPr>
          <w:trHeight w:val="377"/>
        </w:trPr>
        <w:tc>
          <w:tcPr>
            <w:tcW w:w="28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Limited payments to insiders</w:t>
            </w: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There will be no finder’s fees, reimbursement, consulting</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fee, monies in respect of any payment of a loan or other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compensation paid by us to our sponsor, officers or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directors, or any affiliate of our sponsor or officers prior to,</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or in connection with any services rendered in order to</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effectuate, the consummation of our initial business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combination (regardless of the type of transaction that it is).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However, the following payments will be made to our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sponsor, officers or directors, or our or their affiliates, and,</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if made prior to our initial business combination will be</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made from funds held outside the trust account.</w:t>
            </w:r>
          </w:p>
        </w:tc>
      </w:tr>
      <w:tr>
        <w:trPr>
          <w:trHeight w:val="377"/>
        </w:trPr>
        <w:tc>
          <w:tcPr>
            <w:tcW w:w="282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Repayment of up to an aggregate of $200,000 in</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loans made to us by our sponsor to cover offering-</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related and organizational expenses;</w:t>
            </w:r>
          </w:p>
        </w:tc>
      </w:tr>
      <w:tr>
        <w:trPr>
          <w:trHeight w:val="377"/>
        </w:trPr>
        <w:tc>
          <w:tcPr>
            <w:tcW w:w="282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Payment to our sponsor of $10,000 per month for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office space, secretarial and administrative services</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provided to members of our management team;</w:t>
            </w:r>
          </w:p>
        </w:tc>
      </w:tr>
      <w:tr>
        <w:trPr>
          <w:trHeight w:val="377"/>
        </w:trPr>
        <w:tc>
          <w:tcPr>
            <w:tcW w:w="282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Reimbursement for any out-of-pocket expenses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related to identifying, investigating, negotiating and</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completing an initial business combination; and</w:t>
            </w:r>
          </w:p>
        </w:tc>
      </w:tr>
      <w:tr>
        <w:trPr>
          <w:trHeight w:val="377"/>
        </w:trPr>
        <w:tc>
          <w:tcPr>
            <w:tcW w:w="282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Repayment of loans which may be made by our</w:t>
            </w:r>
          </w:p>
        </w:tc>
      </w:tr>
      <w:tr>
        <w:trPr>
          <w:trHeight w:val="202"/>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sponsor or an affiliate of our sponsor or certain of our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officers and directors to finance transaction costs in</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connection with an intended initial business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combination. Up to $1,500,000 of such loans may be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convertible into private placement shares of the post-</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business combination entity at a price of $10.00 per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share at the option of the lender. Except for the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foregoing, the terms of such loans, if any, have not</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been determined and no written agreements exist</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with respect to such loans.</w:t>
            </w:r>
          </w:p>
        </w:tc>
      </w:tr>
      <w:tr>
        <w:trPr>
          <w:trHeight w:val="229"/>
        </w:trPr>
        <w:tc>
          <w:tcPr>
            <w:tcW w:w="28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Audit Committee</w:t>
            </w: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We have established and will maintain an audit committee.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Among its responsibilities, the audit committee will review</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on a quarterly basis all payments that were made to our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sponsor, officers or directors, or our or their respective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affiliates and monitor compliance with the other terms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relating to this offering. If any noncompliance is identified,</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then the audit committee will be charged with the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responsibility to promptly take all action necessary to</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rectify such noncompliance or otherwise to cause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compliance with the terms of this offering. For more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information, see the section entitled “Management —</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Committees of the Board of Directors — Audit Committee.”</w:t>
            </w:r>
          </w:p>
        </w:tc>
      </w:tr>
      <w:tr>
        <w:trPr>
          <w:trHeight w:val="388"/>
        </w:trPr>
        <w:tc>
          <w:tcPr>
            <w:tcW w:w="2820" w:type="dxa"/>
            <w:vAlign w:val="bottom"/>
            <w:tcBorders>
              <w:left w:val="single" w:sz="8" w:color="auto"/>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r>
      <w:tr>
        <w:trPr>
          <w:trHeight w:val="375"/>
        </w:trPr>
        <w:tc>
          <w:tcPr>
            <w:tcW w:w="28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9019"/>
          </w:cols>
          <w:pgMar w:left="1440" w:top="120"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025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2025015"/>
                    </a:xfrm>
                    <a:prstGeom prst="rect">
                      <a:avLst/>
                    </a:prstGeom>
                    <a:noFill/>
                  </pic:spPr>
                </pic:pic>
              </a:graphicData>
            </a:graphic>
          </wp:anchor>
        </w:drawing>
        <w:t>RISKS</w:t>
      </w:r>
    </w:p>
    <w:p>
      <w:pPr>
        <w:spacing w:after="0" w:line="153" w:lineRule="exact"/>
        <w:rPr>
          <w:sz w:val="20"/>
          <w:szCs w:val="20"/>
          <w:color w:val="auto"/>
        </w:rPr>
      </w:pPr>
    </w:p>
    <w:p>
      <w:pPr>
        <w:ind w:left="540" w:right="659"/>
        <w:spacing w:after="0" w:line="236" w:lineRule="auto"/>
        <w:rPr>
          <w:sz w:val="20"/>
          <w:szCs w:val="20"/>
          <w:color w:val="auto"/>
        </w:rPr>
      </w:pPr>
      <w:r>
        <w:rPr>
          <w:rFonts w:ascii="Arial" w:cs="Arial" w:eastAsia="Arial" w:hAnsi="Arial"/>
          <w:sz w:val="18"/>
          <w:szCs w:val="18"/>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 Rule 419.” You should carefully consider these and the other risks set forth in the section entitled “Risk Factors” in this prospectus.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316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2316480"/>
                    </a:xfrm>
                    <a:prstGeom prst="rect">
                      <a:avLst/>
                    </a:prstGeom>
                    <a:noFill/>
                  </pic:spPr>
                </pic:pic>
              </a:graphicData>
            </a:graphic>
          </wp:anchor>
        </w:drawing>
        <w:t>SUMMARY FINANCIAL DATA</w:t>
      </w:r>
    </w:p>
    <w:p>
      <w:pPr>
        <w:spacing w:after="0" w:line="153" w:lineRule="exact"/>
        <w:rPr>
          <w:sz w:val="20"/>
          <w:szCs w:val="20"/>
          <w:color w:val="auto"/>
        </w:rPr>
      </w:pPr>
    </w:p>
    <w:p>
      <w:pPr>
        <w:ind w:left="540" w:right="559"/>
        <w:spacing w:after="0"/>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r>
      <w:tr>
        <w:trPr>
          <w:trHeight w:val="26"/>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7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(29,500)</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78,000</w:t>
            </w: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54,500</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5"/>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6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5"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99"/>
        <w:spacing w:after="0" w:line="241"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Class A common stock. If any of the following events occur, our business, financial condition and operating results may be materially adversely affected. In that event, the trading price of our Class A common stock could decline, and you could lose all or part of your investment.</w:t>
      </w:r>
    </w:p>
    <w:p>
      <w:pPr>
        <w:spacing w:after="0" w:line="180" w:lineRule="exact"/>
        <w:rPr>
          <w:sz w:val="20"/>
          <w:szCs w:val="20"/>
          <w:color w:val="auto"/>
        </w:rPr>
      </w:pPr>
    </w:p>
    <w:p>
      <w:pPr>
        <w:ind w:left="460" w:right="719"/>
        <w:spacing w:after="0" w:line="271"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95"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We are a blank check company incorporated under the laws of the State of Delaware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1" w:lineRule="exact"/>
        <w:rPr>
          <w:sz w:val="20"/>
          <w:szCs w:val="20"/>
          <w:color w:val="auto"/>
        </w:rPr>
      </w:pPr>
    </w:p>
    <w:p>
      <w:pPr>
        <w:ind w:left="460" w:right="519"/>
        <w:spacing w:after="0" w:line="247" w:lineRule="auto"/>
        <w:rPr>
          <w:sz w:val="20"/>
          <w:szCs w:val="20"/>
          <w:color w:val="auto"/>
        </w:rPr>
      </w:pPr>
      <w:r>
        <w:rPr>
          <w:rFonts w:ascii="Arial" w:cs="Arial" w:eastAsia="Arial" w:hAnsi="Arial"/>
          <w:sz w:val="18"/>
          <w:szCs w:val="18"/>
          <w:b w:val="1"/>
          <w:bCs w:val="1"/>
          <w:color w:val="auto"/>
        </w:rPr>
        <w:t>Our public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2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may choose not to hold a stockholder vote to approve our initial business combination if the business combination would not require stockholder approval under applicable law or stock exchange listing requirement. For instance, Nasdaq rules currently allow us to engage in a tender offer in lieu of a stockholder meeting but would still require us to obtain stockholder approval if we were seeking to issue more than 20% of our issued and outstanding shares of common stock (excluding the private placement shares) to a target business as consideration in any business combination. Therefore, if we were structuring a business combination that required us to issue more than 20% of our issued and outstanding common stock (excluding the private placement shares), we would seek stockholder approval of such business combination. However, except for as required by applicable law or stock exchange requirement,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a majority of our public stockholders do not approve of the business combination we complete. Please see the section entitled “Proposed Business — Stockholders May Not Have the Ability to Approve Our Initial Business Combination” for additional information.</w:t>
      </w:r>
    </w:p>
    <w:p>
      <w:pPr>
        <w:spacing w:after="0" w:line="191" w:lineRule="exact"/>
        <w:rPr>
          <w:sz w:val="20"/>
          <w:szCs w:val="20"/>
          <w:color w:val="auto"/>
        </w:rPr>
      </w:pPr>
    </w:p>
    <w:p>
      <w:pPr>
        <w:ind w:left="460" w:right="799"/>
        <w:spacing w:after="0" w:line="253"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12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stockholder approval, public stockholders may not have the right or opportunity to vote on the business combination, unless we seek such stockholder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6"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10" w:lineRule="exact"/>
        <w:rPr>
          <w:sz w:val="20"/>
          <w:szCs w:val="20"/>
          <w:color w:val="auto"/>
        </w:rPr>
      </w:pPr>
    </w:p>
    <w:p>
      <w:pPr>
        <w:jc w:val="both"/>
        <w:ind w:left="460" w:right="759"/>
        <w:spacing w:after="0" w:line="238" w:lineRule="auto"/>
        <w:rPr>
          <w:sz w:val="20"/>
          <w:szCs w:val="20"/>
          <w:color w:val="auto"/>
        </w:rPr>
      </w:pPr>
      <w:r>
        <w:rPr>
          <w:rFonts w:ascii="Arial" w:cs="Arial" w:eastAsia="Arial" w:hAnsi="Arial"/>
          <w:sz w:val="18"/>
          <w:szCs w:val="18"/>
          <w:color w:val="auto"/>
        </w:rPr>
        <w:t>Our initial stockholders will own, on an as-converted basis, 20% of our outstanding common stock immediately following the completion of this offering (excluding the private placement shares). Our initial stockholders and management team also may from time to time purchase Class A common stock prior to the completion of our initial</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7" w:name="page28"/>
    <w:bookmarkEnd w:id="27"/>
    <w:p>
      <w:pPr>
        <w:ind w:left="460" w:right="479"/>
        <w:spacing w:after="0" w:line="236" w:lineRule="auto"/>
        <w:rPr>
          <w:sz w:val="20"/>
          <w:szCs w:val="20"/>
          <w:color w:val="auto"/>
        </w:rPr>
      </w:pPr>
      <w:r>
        <w:rPr>
          <w:rFonts w:ascii="Arial" w:cs="Arial" w:eastAsia="Arial" w:hAnsi="Arial"/>
          <w:sz w:val="18"/>
          <w:szCs w:val="18"/>
          <w:color w:val="auto"/>
        </w:rPr>
        <w:t>business combination. Our amended and restated certificate of incorporation provides that, if we seek stockholder approval of an initial business combination, such initial business combination will be approved if we receive the affirmative vote of a majority of the shares voted at such meeting, including the founder shares and private placement shares. As a result, in addition to our initial stockholders’ founder shares and private placement shares, we would need 3,732,501, or 35.55%, of the 10,500,000 public shares sold in this offering to be voted in favor of an initial business combination in order to have our initial business combination approved (assuming all issued and outstanding shares of common stock are voted, the private placement shares to be issued to our sponsor are voted in favor of the transaction and the over-allotment option is not exercised). Accordingly, if we seek stockholder approval of our initial business combination, the agreement by our initial stockholders and management team to vote in favor of our initial business combination will increase the likelihood that we will receive the requisite stockholder approval for such initial business combination.</w:t>
      </w:r>
    </w:p>
    <w:p>
      <w:pPr>
        <w:spacing w:after="0" w:line="181" w:lineRule="exact"/>
        <w:rPr>
          <w:sz w:val="20"/>
          <w:szCs w:val="20"/>
          <w:color w:val="auto"/>
        </w:rPr>
      </w:pPr>
    </w:p>
    <w:p>
      <w:pPr>
        <w:jc w:val="both"/>
        <w:ind w:left="460" w:right="599"/>
        <w:spacing w:after="0" w:line="253"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1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may seek to enter into a business combination transaction agreement with minimum cash requirement for (i) cash consideration to be paid to the target or its owners, (ii) cash for working capital or other general corporate purposes or (iii) the retention of cash to satisfy other conditions.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82"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results in the issues of shares of Class A common stock on a greater than one-to-one basis upon conversion of the shares of Class B common stock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91"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28" w:name="page29"/>
    <w:bookmarkEnd w:id="28"/>
    <w:p>
      <w:pPr>
        <w:ind w:left="460" w:right="519"/>
        <w:spacing w:after="0" w:line="238" w:lineRule="auto"/>
        <w:rPr>
          <w:sz w:val="20"/>
          <w:szCs w:val="20"/>
          <w:color w:val="auto"/>
        </w:rPr>
      </w:pPr>
      <w:r>
        <w:rPr>
          <w:rFonts w:ascii="Arial" w:cs="Arial" w:eastAsia="Arial" w:hAnsi="Arial"/>
          <w:sz w:val="18"/>
          <w:szCs w:val="18"/>
          <w:color w:val="auto"/>
        </w:rPr>
        <w:t>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80" w:lineRule="exact"/>
        <w:rPr>
          <w:sz w:val="20"/>
          <w:szCs w:val="20"/>
          <w:color w:val="auto"/>
        </w:rPr>
      </w:pPr>
    </w:p>
    <w:p>
      <w:pPr>
        <w:ind w:left="460" w:right="499"/>
        <w:spacing w:after="0" w:line="242" w:lineRule="auto"/>
        <w:rPr>
          <w:sz w:val="20"/>
          <w:szCs w:val="20"/>
          <w:color w:val="auto"/>
        </w:rPr>
      </w:pPr>
      <w:r>
        <w:rPr>
          <w:rFonts w:ascii="Arial" w:cs="Arial" w:eastAsia="Arial" w:hAnsi="Arial"/>
          <w:sz w:val="18"/>
          <w:szCs w:val="18"/>
          <w:b w:val="1"/>
          <w:b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20"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5" w:lineRule="exact"/>
        <w:rPr>
          <w:sz w:val="20"/>
          <w:szCs w:val="20"/>
          <w:color w:val="auto"/>
        </w:rPr>
      </w:pPr>
    </w:p>
    <w:p>
      <w:pPr>
        <w:jc w:val="both"/>
        <w:ind w:left="460" w:right="919"/>
        <w:spacing w:after="0" w:line="253"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2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45" w:lineRule="exact"/>
        <w:rPr>
          <w:sz w:val="20"/>
          <w:szCs w:val="20"/>
          <w:color w:val="auto"/>
        </w:rPr>
      </w:pPr>
    </w:p>
    <w:p>
      <w:pPr>
        <w:jc w:val="both"/>
        <w:ind w:left="460" w:right="739"/>
        <w:spacing w:after="0" w:line="238"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110"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may not be able to find a suitable target business and complete our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w:t>
      </w:r>
    </w:p>
    <w:p>
      <w:pPr>
        <w:sectPr>
          <w:pgSz w:w="11900" w:h="16838" w:orient="portrait"/>
          <w:cols w:equalWidth="0" w:num="1">
            <w:col w:w="9019"/>
          </w:cols>
          <w:pgMar w:left="1440" w:top="287"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29" w:name="page30"/>
    <w:bookmarkEnd w:id="29"/>
    <w:p>
      <w:pPr>
        <w:ind w:left="460" w:right="499"/>
        <w:spacing w:after="0" w:line="236" w:lineRule="auto"/>
        <w:rPr>
          <w:sz w:val="20"/>
          <w:szCs w:val="20"/>
          <w:color w:val="auto"/>
        </w:rPr>
      </w:pPr>
      <w:r>
        <w:rPr>
          <w:rFonts w:ascii="Arial" w:cs="Arial" w:eastAsia="Arial" w:hAnsi="Arial"/>
          <w:sz w:val="18"/>
          <w:szCs w:val="18"/>
          <w:color w:val="auto"/>
        </w:rPr>
        <w:t>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82" w:lineRule="exact"/>
        <w:rPr>
          <w:sz w:val="20"/>
          <w:szCs w:val="20"/>
          <w:color w:val="auto"/>
        </w:rPr>
      </w:pPr>
    </w:p>
    <w:p>
      <w:pPr>
        <w:ind w:left="460" w:right="579"/>
        <w:spacing w:after="0" w:line="247"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initial stockholders, directors, executive officers, advisors and their affiliates may elect to purchase public shares from stockholders, which may influence a vote on a proposed business combination and reduce the public “float” of our Class A common stock.</w:t>
      </w:r>
    </w:p>
    <w:p>
      <w:pPr>
        <w:spacing w:after="0" w:line="11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equity-linked securities in privately negotiated transactions or in the open market either prior to or following the completion of our initial business combination, although they are under no obligation to do so. There is no limit on the number of shares our initial stockholders, directors, officers, advisors or their respective affiliates may purchase in such transactions, subject to compliance with applicable law and Nasdaq rules. However, other than as expressly stated herein, they have no current commitments, plans or intentions to engage in such purchases or transactions and have not formulated any terms or conditions for any such purchases or transactions. None of the funds in the trust account will be used to purchase public shares or equity-linked securities in such transactions. Such purchases may include a contractual acknowledgment that such stockholder, although still the record holder of our shares, is no longer the beneficial owner thereof and therefore agrees not to exercise its redemption rights.</w:t>
      </w:r>
    </w:p>
    <w:p>
      <w:pPr>
        <w:spacing w:after="0" w:line="146" w:lineRule="exact"/>
        <w:rPr>
          <w:sz w:val="20"/>
          <w:szCs w:val="20"/>
          <w:color w:val="auto"/>
        </w:rPr>
      </w:pPr>
    </w:p>
    <w:p>
      <w:pPr>
        <w:ind w:left="460" w:right="459"/>
        <w:spacing w:after="0" w:line="250" w:lineRule="auto"/>
        <w:rPr>
          <w:sz w:val="20"/>
          <w:szCs w:val="20"/>
          <w:color w:val="auto"/>
        </w:rPr>
      </w:pPr>
      <w:r>
        <w:rPr>
          <w:rFonts w:ascii="Arial" w:cs="Arial" w:eastAsia="Arial" w:hAnsi="Arial"/>
          <w:sz w:val="17"/>
          <w:szCs w:val="17"/>
          <w:color w:val="auto"/>
        </w:rPr>
        <w:t>In the event that our sponsor, initial stockholders, directors, executive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Any such purchases may result in the completion of our initial business combination that may not otherwise have been possible. We expect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stockholders to purchase securities from in any private transaction.</w:t>
      </w:r>
    </w:p>
    <w:p>
      <w:pPr>
        <w:spacing w:after="0" w:line="133" w:lineRule="exact"/>
        <w:rPr>
          <w:sz w:val="20"/>
          <w:szCs w:val="20"/>
          <w:color w:val="auto"/>
        </w:rPr>
      </w:pPr>
    </w:p>
    <w:p>
      <w:pPr>
        <w:jc w:val="both"/>
        <w:ind w:left="460" w:right="101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and the number of beneficial holders of our Class A common stock may be reduced, possibly making it difficult to obtain or maintain the quotation, listing or trading of our Class A common stock on a national securities exchange.</w:t>
      </w:r>
    </w:p>
    <w:p>
      <w:pPr>
        <w:spacing w:after="0" w:line="183" w:lineRule="exact"/>
        <w:rPr>
          <w:sz w:val="20"/>
          <w:szCs w:val="20"/>
          <w:color w:val="auto"/>
        </w:rPr>
      </w:pPr>
    </w:p>
    <w:p>
      <w:pPr>
        <w:jc w:val="both"/>
        <w:ind w:left="460" w:right="619"/>
        <w:spacing w:after="0" w:line="253"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w:t>
      </w:r>
    </w:p>
    <w:p>
      <w:pPr>
        <w:sectPr>
          <w:pgSz w:w="11900" w:h="16838" w:orient="portrait"/>
          <w:cols w:equalWidth="0" w:num="1">
            <w:col w:w="9019"/>
          </w:cols>
          <w:pgMar w:left="1440" w:top="287"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0" w:name="page31"/>
    <w:bookmarkEnd w:id="30"/>
    <w:p>
      <w:pPr>
        <w:ind w:left="460" w:right="479"/>
        <w:spacing w:after="0" w:line="236" w:lineRule="auto"/>
        <w:rPr>
          <w:sz w:val="20"/>
          <w:szCs w:val="20"/>
          <w:color w:val="auto"/>
        </w:rPr>
      </w:pPr>
      <w:r>
        <w:rPr>
          <w:rFonts w:ascii="Arial" w:cs="Arial" w:eastAsia="Arial" w:hAnsi="Arial"/>
          <w:sz w:val="18"/>
          <w:szCs w:val="18"/>
          <w:color w:val="auto"/>
        </w:rPr>
        <w:t>to require our public stockholders seeking to exercise their redemption rights, whether they are record holders or hold their shares in “street name,” to, at the holder’s option, either deliver their stock certificates to our transfer 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 See the section of this prospectus entitled “Proposed Business — Submitting Stock Certificates in Connection with Redemption Rights.”</w:t>
      </w:r>
    </w:p>
    <w:p>
      <w:pPr>
        <w:spacing w:after="0" w:line="181" w:lineRule="exact"/>
        <w:rPr>
          <w:sz w:val="20"/>
          <w:szCs w:val="20"/>
          <w:color w:val="auto"/>
        </w:rPr>
      </w:pPr>
    </w:p>
    <w:p>
      <w:pPr>
        <w:jc w:val="both"/>
        <w:ind w:left="460" w:right="539"/>
        <w:spacing w:after="0" w:line="253"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potentially at a loss.</w:t>
      </w:r>
    </w:p>
    <w:p>
      <w:pPr>
        <w:spacing w:after="0" w:line="11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upon the earlier to occur of: (i) our completion of an initial business combination, and then only in connection with those shares of Class A common stock that such stockholder properly elected to redeem, subject to the limitations described herein, (ii)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addition, if our plan to redeem our public shares if we are unable to complete an initial business combination within 24 months from the closing of this offering is not completed for any reason, compliance with Delaware law may require that we submit a plan of dissolution to our then-existing stockholders for approval prior to the distribution of the proceeds held in our trust account. In that case, public stockholders may be forced to wait beyond 24 months from the closing of this offering before they receive funds from our trust account. In no other circumstances will a public stockholder have any right or interest of any kind in the trust account. Accordingly, to liquidate your investment, you may be forced to sell your public shares, potentially at a loss.</w:t>
      </w:r>
    </w:p>
    <w:p>
      <w:pPr>
        <w:spacing w:after="0" w:line="191" w:lineRule="exact"/>
        <w:rPr>
          <w:sz w:val="20"/>
          <w:szCs w:val="20"/>
          <w:color w:val="auto"/>
        </w:rPr>
      </w:pPr>
    </w:p>
    <w:p>
      <w:pPr>
        <w:ind w:left="460" w:right="539"/>
        <w:spacing w:after="0" w:line="253" w:lineRule="auto"/>
        <w:rPr>
          <w:sz w:val="20"/>
          <w:szCs w:val="20"/>
          <w:color w:val="auto"/>
        </w:rPr>
      </w:pPr>
      <w:r>
        <w:rPr>
          <w:rFonts w:ascii="Arial" w:cs="Arial" w:eastAsia="Arial" w:hAnsi="Arial"/>
          <w:sz w:val="18"/>
          <w:szCs w:val="18"/>
          <w:b w:val="1"/>
          <w:bCs w:val="1"/>
          <w:color w:val="auto"/>
        </w:rPr>
        <w:t>Nasdaq may delist our Class A common stock from trading on its exchange, which could limit investors’ ability to make transactions in our Class A common stock and subject us to additional trading restrictions.</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been approved to have our shares of Class A common stock listed on Nasdaq. Although after giving effect to this offering we expect to meet, on a pro forma basis, the minimum initial listing standards set forth in Nasdaq listing standards, we cannot assure you that our Class A common stock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stockholder’s equity would generally be required to be at least $5,000,000. We cannot assure you that we will be able to meet those initial listing requirements at that time.</w:t>
      </w:r>
    </w:p>
    <w:p>
      <w:pPr>
        <w:spacing w:after="0" w:line="146" w:lineRule="exact"/>
        <w:rPr>
          <w:sz w:val="20"/>
          <w:szCs w:val="20"/>
          <w:color w:val="auto"/>
        </w:rPr>
      </w:pPr>
    </w:p>
    <w:p>
      <w:pPr>
        <w:jc w:val="both"/>
        <w:ind w:left="460" w:right="559"/>
        <w:spacing w:after="0" w:line="238" w:lineRule="auto"/>
        <w:rPr>
          <w:sz w:val="20"/>
          <w:szCs w:val="20"/>
          <w:color w:val="auto"/>
        </w:rPr>
      </w:pPr>
      <w:r>
        <w:rPr>
          <w:rFonts w:ascii="Arial" w:cs="Arial" w:eastAsia="Arial" w:hAnsi="Arial"/>
          <w:sz w:val="18"/>
          <w:szCs w:val="18"/>
          <w:color w:val="auto"/>
        </w:rPr>
        <w:t>If Nasdaq delists our Class A common stock from trading on its exchange and we are not able to list our Class A common stock on another national securities exchange, we expect our Class A common stock could be quoted on an over-the-counter market. If this were to occur, we could face significant material adverse consequences, including:</w:t>
      </w:r>
    </w:p>
    <w:p>
      <w:pPr>
        <w:spacing w:after="0" w:line="16" w:lineRule="exact"/>
        <w:rPr>
          <w:sz w:val="20"/>
          <w:szCs w:val="20"/>
          <w:color w:val="auto"/>
        </w:rPr>
      </w:pPr>
    </w:p>
    <w:p>
      <w:pPr>
        <w:ind w:left="1040" w:hanging="26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Class A common stock;</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liquidity for our Class A common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1" w:name="page32"/>
    <w:bookmarkEnd w:id="31"/>
    <w:p>
      <w:pPr>
        <w:ind w:left="1100" w:right="459" w:hanging="322"/>
        <w:spacing w:after="0" w:line="238" w:lineRule="auto"/>
        <w:tabs>
          <w:tab w:leader="none" w:pos="10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shares of Class A common stock;</w:t>
      </w:r>
    </w:p>
    <w:p>
      <w:pPr>
        <w:spacing w:after="0" w:line="15" w:lineRule="exact"/>
        <w:rPr>
          <w:rFonts w:ascii="Arial" w:cs="Arial" w:eastAsia="Arial" w:hAnsi="Arial"/>
          <w:sz w:val="18"/>
          <w:szCs w:val="18"/>
          <w:color w:val="auto"/>
        </w:rPr>
      </w:pPr>
    </w:p>
    <w:p>
      <w:pPr>
        <w:ind w:left="1040" w:hanging="26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Class A common stock will be listed on Nasdaq, our shares of Class A common stock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181" w:lineRule="exact"/>
        <w:rPr>
          <w:sz w:val="20"/>
          <w:szCs w:val="20"/>
          <w:color w:val="auto"/>
        </w:rPr>
      </w:pPr>
    </w:p>
    <w:p>
      <w:pPr>
        <w:ind w:left="460" w:right="979"/>
        <w:spacing w:after="0" w:line="271"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95" w:lineRule="exact"/>
        <w:rPr>
          <w:sz w:val="20"/>
          <w:szCs w:val="20"/>
          <w:color w:val="auto"/>
        </w:rPr>
      </w:pPr>
    </w:p>
    <w:p>
      <w:pPr>
        <w:ind w:left="460" w:right="519"/>
        <w:spacing w:after="0" w:line="248" w:lineRule="auto"/>
        <w:rPr>
          <w:sz w:val="20"/>
          <w:szCs w:val="20"/>
          <w:color w:val="auto"/>
        </w:rPr>
      </w:pPr>
      <w:r>
        <w:rPr>
          <w:rFonts w:ascii="Arial" w:cs="Arial" w:eastAsia="Arial" w:hAnsi="Arial"/>
          <w:sz w:val="17"/>
          <w:szCs w:val="17"/>
          <w:color w:val="auto"/>
        </w:rPr>
        <w:t>Since the net proceeds of this offering and the sale of the private placement shares are intended to be used to complete an initial business combination with a target business that has not been selected, we may be deemed to be a “blank check” company under the United States securities laws. However, because we will have net tangible assets in excess of $ 5,000,000 upon the completion of this offering and the sale of the private placement shares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shares will be immediately tradable and we will have a longer period of time to complete our initial business combination than do companies subject to Rule 419. Moreover, if this offering were subject to</w:t>
      </w:r>
    </w:p>
    <w:p>
      <w:pPr>
        <w:spacing w:after="0" w:line="5"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80" w:lineRule="exact"/>
        <w:rPr>
          <w:sz w:val="20"/>
          <w:szCs w:val="20"/>
          <w:color w:val="auto"/>
        </w:rPr>
      </w:pPr>
    </w:p>
    <w:p>
      <w:pPr>
        <w:jc w:val="both"/>
        <w:ind w:left="460" w:right="799"/>
        <w:spacing w:after="0" w:line="247"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12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32" w:name="page33"/>
    <w:bookmarkEnd w:id="32"/>
    <w:p>
      <w:pPr>
        <w:ind w:left="460" w:right="719"/>
        <w:spacing w:after="0" w:line="244"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within the required time period, our public stockholders may receive only their pro rata portion of the funds in the trust account that are available for distribution to public stockholders.</w:t>
      </w:r>
    </w:p>
    <w:p>
      <w:pPr>
        <w:spacing w:after="0" w:line="9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shares,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within the required time period, our public stockholders may receive only their pro rata portion of the funds in the trust account that are available for distribution to public stockholders.</w:t>
      </w:r>
    </w:p>
    <w:p>
      <w:pPr>
        <w:spacing w:after="0" w:line="19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24 months following the closing of the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90"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Of the net proceeds of this offering, only $1,000,000 will be available to us initially outside the trust account to fund our working capital requirements. We believe that, upon closing of this offering, the funds available to us outside of the trust account will be sufficient to allow us to operate for at least the 24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4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private placement shares of the post-business combination entity at a price of $10.00 per share at the option of the lender. Prior to the completion of our initial business combination, we do not expect to seek loans from parties other than our sponsor or an affiliate of our sponsor as we do not believe third parties will be willing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3" w:name="page34"/>
    <w:bookmarkEnd w:id="33"/>
    <w:p>
      <w:pPr>
        <w:ind w:left="460" w:right="559"/>
        <w:spacing w:after="0" w:line="238" w:lineRule="auto"/>
        <w:rPr>
          <w:sz w:val="20"/>
          <w:szCs w:val="20"/>
          <w:color w:val="auto"/>
        </w:rPr>
      </w:pPr>
      <w:r>
        <w:rPr>
          <w:rFonts w:ascii="Arial" w:cs="Arial" w:eastAsia="Arial" w:hAnsi="Arial"/>
          <w:sz w:val="18"/>
          <w:szCs w:val="18"/>
          <w:color w:val="auto"/>
        </w:rPr>
        <w:t>loan such funds and provide a waiver against any and all rights to seek access to funds in our trust account. If we are unable to complete our initial business combination within the required time period because we do not have sufficient funds available to us, we will be forced to cease operations and liquidate the trust account. Consequently, our public stockholders may only receive an estimated $10.00 per public share, or possibly less, on our redemption of our public shares.</w:t>
      </w:r>
    </w:p>
    <w:p>
      <w:pPr>
        <w:spacing w:after="0" w:line="180"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0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who choose to remain stockholders following the business combination could suffer a reduction in the value of their shares.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91" w:lineRule="exact"/>
        <w:rPr>
          <w:sz w:val="20"/>
          <w:szCs w:val="20"/>
          <w:color w:val="auto"/>
        </w:rPr>
      </w:pPr>
    </w:p>
    <w:p>
      <w:pPr>
        <w:ind w:left="460" w:right="859"/>
        <w:spacing w:after="0" w:line="253"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$10.00 per public share.</w:t>
      </w:r>
    </w:p>
    <w:p>
      <w:pPr>
        <w:spacing w:after="0" w:line="9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placing of funds in the trust account may not protect those funds from third party claims against us. Although we will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The underwriters of this offering as well as our registered independent public accounting firm will not execute agreements with us waiving such claims to the monies held in the trust account.</w:t>
      </w:r>
    </w:p>
    <w:p>
      <w:pPr>
        <w:spacing w:after="0" w:line="132"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required time period,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w:t>
      </w:r>
    </w:p>
    <w:p>
      <w:pPr>
        <w:sectPr>
          <w:pgSz w:w="11900" w:h="16838" w:orient="portrait"/>
          <w:cols w:equalWidth="0" w:num="1">
            <w:col w:w="9019"/>
          </w:cols>
          <w:pgMar w:left="1440" w:top="287"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4" w:name="page35"/>
    <w:bookmarkEnd w:id="34"/>
    <w:p>
      <w:pPr>
        <w:ind w:left="460" w:right="499"/>
        <w:spacing w:after="0" w:line="235" w:lineRule="auto"/>
        <w:rPr>
          <w:sz w:val="20"/>
          <w:szCs w:val="20"/>
          <w:color w:val="auto"/>
        </w:rPr>
      </w:pPr>
      <w:r>
        <w:rPr>
          <w:rFonts w:ascii="Arial" w:cs="Arial" w:eastAsia="Arial" w:hAnsi="Arial"/>
          <w:sz w:val="18"/>
          <w:szCs w:val="18"/>
          <w:color w:val="auto"/>
        </w:rPr>
        <w:t>stockholders could be less than the $10.00 per public share initially held in the trust account, due to claims of such creditors. Pursuant to a letter agreement,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90"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2" w:lineRule="exact"/>
        <w:rPr>
          <w:sz w:val="20"/>
          <w:szCs w:val="20"/>
          <w:color w:val="auto"/>
        </w:rPr>
      </w:pPr>
    </w:p>
    <w:p>
      <w:pPr>
        <w:ind w:left="460" w:right="1259"/>
        <w:spacing w:after="0" w:line="271" w:lineRule="auto"/>
        <w:rPr>
          <w:sz w:val="20"/>
          <w:szCs w:val="20"/>
          <w:color w:val="auto"/>
        </w:rPr>
      </w:pPr>
      <w:r>
        <w:rPr>
          <w:rFonts w:ascii="Arial" w:cs="Arial" w:eastAsia="Arial" w:hAnsi="Arial"/>
          <w:sz w:val="18"/>
          <w:szCs w:val="18"/>
          <w:b w:val="1"/>
          <w:bCs w:val="1"/>
          <w:color w:val="auto"/>
        </w:rPr>
        <w:t>We may not have sufficient funds to satisfy indemnification claims of our officers and directors.</w:t>
      </w:r>
    </w:p>
    <w:p>
      <w:pPr>
        <w:spacing w:after="0" w:line="81"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w:t>
      </w:r>
    </w:p>
    <w:p>
      <w:pPr>
        <w:spacing w:after="0" w:line="2" w:lineRule="exact"/>
        <w:rPr>
          <w:sz w:val="20"/>
          <w:szCs w:val="20"/>
          <w:color w:val="auto"/>
        </w:rPr>
      </w:pPr>
    </w:p>
    <w:p>
      <w:pPr>
        <w:ind w:left="460" w:right="539" w:hanging="6"/>
        <w:spacing w:after="0" w:line="236" w:lineRule="auto"/>
        <w:tabs>
          <w:tab w:leader="none" w:pos="6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6" w:lineRule="exact"/>
        <w:rPr>
          <w:sz w:val="20"/>
          <w:szCs w:val="20"/>
          <w:color w:val="auto"/>
        </w:rPr>
      </w:pPr>
    </w:p>
    <w:p>
      <w:pPr>
        <w:ind w:left="460" w:right="719"/>
        <w:spacing w:after="0" w:line="242"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06" w:lineRule="exact"/>
        <w:rPr>
          <w:sz w:val="20"/>
          <w:szCs w:val="20"/>
          <w:color w:val="auto"/>
        </w:rPr>
      </w:pPr>
    </w:p>
    <w:p>
      <w:pPr>
        <w:jc w:val="both"/>
        <w:ind w:left="460" w:right="499"/>
        <w:spacing w:after="0"/>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w:t>
      </w:r>
    </w:p>
    <w:p>
      <w:pPr>
        <w:sectPr>
          <w:pgSz w:w="11900" w:h="16838" w:orient="portrait"/>
          <w:cols w:equalWidth="0" w:num="1">
            <w:col w:w="9019"/>
          </w:cols>
          <w:pgMar w:left="1440" w:top="260"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35" w:name="page36"/>
    <w:bookmarkEnd w:id="35"/>
    <w:p>
      <w:pPr>
        <w:ind w:left="460" w:right="499"/>
        <w:spacing w:after="0" w:line="237" w:lineRule="auto"/>
        <w:rPr>
          <w:sz w:val="20"/>
          <w:szCs w:val="20"/>
          <w:color w:val="auto"/>
        </w:rPr>
      </w:pPr>
      <w:r>
        <w:rPr>
          <w:rFonts w:ascii="Arial" w:cs="Arial" w:eastAsia="Arial" w:hAnsi="Arial"/>
          <w:sz w:val="18"/>
          <w:szCs w:val="18"/>
          <w:color w:val="auto"/>
        </w:rPr>
        <w:t>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83"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31"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81" w:lineRule="exact"/>
        <w:rPr>
          <w:sz w:val="20"/>
          <w:szCs w:val="20"/>
          <w:color w:val="auto"/>
        </w:rPr>
      </w:pPr>
    </w:p>
    <w:p>
      <w:pPr>
        <w:ind w:left="460" w:right="699"/>
        <w:spacing w:after="0" w:line="275" w:lineRule="auto"/>
        <w:rPr>
          <w:sz w:val="20"/>
          <w:szCs w:val="20"/>
          <w:color w:val="auto"/>
        </w:rPr>
      </w:pPr>
      <w:r>
        <w:rPr>
          <w:rFonts w:ascii="Arial" w:cs="Arial" w:eastAsia="Arial" w:hAnsi="Arial"/>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6"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8" w:lineRule="exact"/>
        <w:rPr>
          <w:sz w:val="20"/>
          <w:szCs w:val="20"/>
          <w:color w:val="auto"/>
        </w:rPr>
      </w:pPr>
    </w:p>
    <w:p>
      <w:pPr>
        <w:ind w:left="1040" w:hanging="262"/>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44" w:lineRule="exact"/>
        <w:rPr>
          <w:sz w:val="20"/>
          <w:szCs w:val="20"/>
          <w:color w:val="auto"/>
        </w:rPr>
      </w:pPr>
    </w:p>
    <w:p>
      <w:pPr>
        <w:ind w:left="460" w:right="539"/>
        <w:spacing w:after="0" w:line="246"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8" w:lineRule="exact"/>
        <w:rPr>
          <w:sz w:val="20"/>
          <w:szCs w:val="20"/>
          <w:color w:val="auto"/>
        </w:rPr>
      </w:pPr>
    </w:p>
    <w:p>
      <w:pPr>
        <w:ind w:left="1040" w:hanging="26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36" w:lineRule="exact"/>
        <w:rPr>
          <w:rFonts w:ascii="Arial" w:cs="Arial" w:eastAsia="Arial" w:hAnsi="Arial"/>
          <w:sz w:val="18"/>
          <w:szCs w:val="18"/>
          <w:color w:val="auto"/>
        </w:rPr>
      </w:pPr>
    </w:p>
    <w:p>
      <w:pPr>
        <w:ind w:left="1100" w:right="939" w:hanging="322"/>
        <w:spacing w:after="0" w:line="246" w:lineRule="auto"/>
        <w:tabs>
          <w:tab w:leader="none" w:pos="10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currently subject to.</w:t>
      </w:r>
    </w:p>
    <w:p>
      <w:pPr>
        <w:spacing w:after="0" w:line="116" w:lineRule="exact"/>
        <w:rPr>
          <w:sz w:val="20"/>
          <w:szCs w:val="20"/>
          <w:color w:val="auto"/>
        </w:rPr>
      </w:pPr>
    </w:p>
    <w:p>
      <w:pPr>
        <w:ind w:left="460" w:right="639"/>
        <w:spacing w:after="0" w:line="236"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39"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w:t>
      </w:r>
    </w:p>
    <w:p>
      <w:pPr>
        <w:spacing w:after="0" w:line="7" w:lineRule="exact"/>
        <w:rPr>
          <w:sz w:val="20"/>
          <w:szCs w:val="20"/>
          <w:color w:val="auto"/>
        </w:rPr>
      </w:pPr>
    </w:p>
    <w:p>
      <w:pPr>
        <w:ind w:left="460" w:right="539" w:hanging="6"/>
        <w:spacing w:after="0"/>
        <w:tabs>
          <w:tab w:leader="none" w:pos="7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of any public shares properly tendered in connection with a stockholder vote to amend our amended and restated certificate of incorporation to modify the substance or timing of our obligation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6" w:name="page37"/>
    <w:bookmarkEnd w:id="36"/>
    <w:p>
      <w:pPr>
        <w:ind w:left="460" w:right="519"/>
        <w:spacing w:after="0" w:line="236" w:lineRule="auto"/>
        <w:rPr>
          <w:sz w:val="20"/>
          <w:szCs w:val="20"/>
          <w:color w:val="auto"/>
        </w:rPr>
      </w:pPr>
      <w:r>
        <w:rPr>
          <w:rFonts w:ascii="Arial" w:cs="Arial" w:eastAsia="Arial" w:hAnsi="Arial"/>
          <w:sz w:val="18"/>
          <w:szCs w:val="18"/>
          <w:color w:val="auto"/>
        </w:rPr>
        <w:t>redeem 100% of our public shares if we do not complete our initial business combination within 24 months from the closing of this offering; and (iii) absent an initial business combination within 24 months from the closing of this offering or with respect to any other material provisions relating to stockholders’ rights or pre-initial business combination activity,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within the required time period, our public stockholders may only receive their pro rata portion of the funds in the trust account that are available for distribution to public stockholders.</w:t>
      </w:r>
    </w:p>
    <w:p>
      <w:pPr>
        <w:spacing w:after="0" w:line="182" w:lineRule="exact"/>
        <w:rPr>
          <w:sz w:val="20"/>
          <w:szCs w:val="20"/>
          <w:color w:val="auto"/>
        </w:rPr>
      </w:pPr>
    </w:p>
    <w:p>
      <w:pPr>
        <w:ind w:left="460" w:right="919"/>
        <w:spacing w:after="0" w:line="253"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6" w:lineRule="exact"/>
        <w:rPr>
          <w:sz w:val="20"/>
          <w:szCs w:val="20"/>
          <w:color w:val="auto"/>
        </w:rPr>
      </w:pPr>
    </w:p>
    <w:p>
      <w:pPr>
        <w:ind w:left="460" w:right="939"/>
        <w:spacing w:after="0" w:line="271"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108"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13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7" w:name="page38"/>
    <w:bookmarkEnd w:id="37"/>
    <w:p>
      <w:pPr>
        <w:ind w:left="460" w:right="699"/>
        <w:spacing w:after="0" w:line="238" w:lineRule="auto"/>
        <w:rPr>
          <w:sz w:val="20"/>
          <w:szCs w:val="20"/>
          <w:color w:val="auto"/>
        </w:rPr>
      </w:pPr>
      <w:r>
        <w:rPr>
          <w:rFonts w:ascii="Arial" w:cs="Arial" w:eastAsia="Arial" w:hAnsi="Arial"/>
          <w:sz w:val="18"/>
          <w:szCs w:val="18"/>
          <w:color w:val="auto"/>
        </w:rPr>
        <w:t>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Nasdaq’s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76" w:lineRule="exact"/>
        <w:rPr>
          <w:sz w:val="20"/>
          <w:szCs w:val="20"/>
          <w:color w:val="auto"/>
        </w:rPr>
      </w:pPr>
    </w:p>
    <w:p>
      <w:pPr>
        <w:ind w:left="460" w:right="619"/>
        <w:spacing w:after="0" w:line="247" w:lineRule="auto"/>
        <w:rPr>
          <w:sz w:val="20"/>
          <w:szCs w:val="20"/>
          <w:color w:val="auto"/>
        </w:rPr>
      </w:pPr>
      <w:r>
        <w:rPr>
          <w:rFonts w:ascii="Arial" w:cs="Arial" w:eastAsia="Arial" w:hAnsi="Arial"/>
          <w:sz w:val="18"/>
          <w:szCs w:val="18"/>
          <w:b w:val="1"/>
          <w:bCs w:val="1"/>
          <w:color w:val="auto"/>
        </w:rPr>
        <w:t>The grant of registration rights to our initial stockholders and their permitted transferees and holders of our private placement shares and their permitted transferees may make it more difficult to complete our initial business combination, and the future exercise of such rights may adversely affect the market price of our shares of Class A common stock.</w:t>
      </w:r>
    </w:p>
    <w:p>
      <w:pPr>
        <w:spacing w:after="0" w:line="88"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Pursuant to an agreement to be entered into concurrently with or prior to the issuance and sale of the securities in this offering, at or after the time of our initial business combination, our initial stockholders and their permitted transferees can demand that we register the shares of Class A common stock into which founder shares are convertible, holders of our private placement shares and their permitted transferees can demand that we register the private placement shares of Class A common stock and holders of private placement shares that may be issued upon conversion of working capital loans may demand that we register such Class A common stock issuable upon conversion of such loans.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shares of common stock owned by our initial stockholders, holders of our private placement shares or holders of our working capital loans or their respective permitted transferees are registered.</w:t>
      </w:r>
    </w:p>
    <w:p>
      <w:pPr>
        <w:spacing w:after="0" w:line="83" w:lineRule="exact"/>
        <w:rPr>
          <w:sz w:val="20"/>
          <w:szCs w:val="20"/>
          <w:color w:val="auto"/>
        </w:rPr>
      </w:pPr>
    </w:p>
    <w:p>
      <w:pPr>
        <w:ind w:left="460" w:right="799"/>
        <w:spacing w:after="0" w:line="247"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or sector nor have we selected any specific target businesses with which to pursue our initial business combination, you will be unable to ascertain the merits or risks of any particular target business’s operations.</w:t>
      </w:r>
    </w:p>
    <w:p>
      <w:pPr>
        <w:spacing w:after="0" w:line="128"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acquire and operate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Our amended and restated certificate of incorporation prohibits us from effectuating a business combination with another blank check company or similar company with nominal operations. 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w:t>
      </w:r>
    </w:p>
    <w:p>
      <w:pPr>
        <w:sectPr>
          <w:pgSz w:w="11900" w:h="16838" w:orient="portrait"/>
          <w:cols w:equalWidth="0" w:num="1">
            <w:col w:w="9019"/>
          </w:cols>
          <w:pgMar w:left="1440" w:top="287"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8" w:name="page39"/>
    <w:bookmarkEnd w:id="38"/>
    <w:p>
      <w:pPr>
        <w:ind w:left="460" w:right="599"/>
        <w:spacing w:after="0" w:line="236" w:lineRule="auto"/>
        <w:rPr>
          <w:sz w:val="20"/>
          <w:szCs w:val="20"/>
          <w:color w:val="auto"/>
        </w:rPr>
      </w:pPr>
      <w:r>
        <w:rPr>
          <w:rFonts w:ascii="Arial" w:cs="Arial" w:eastAsia="Arial" w:hAnsi="Arial"/>
          <w:sz w:val="18"/>
          <w:szCs w:val="18"/>
          <w:color w:val="auto"/>
        </w:rPr>
        <w:t>and leave us with no ability to control or reduce the chances that those risks will adversely impact a target business. We also cannot assure you that an investment in our shares of Class A common stock will ultimately prove to be more favorable to investors than a direct investment, if such opportunity were available, in a business combination target. Accordingly, any stockholders who choose to remain stockholders following the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83" w:lineRule="exact"/>
        <w:rPr>
          <w:sz w:val="20"/>
          <w:szCs w:val="20"/>
          <w:color w:val="auto"/>
        </w:rPr>
      </w:pPr>
    </w:p>
    <w:p>
      <w:pPr>
        <w:ind w:left="460" w:right="1279"/>
        <w:spacing w:after="0" w:line="271" w:lineRule="auto"/>
        <w:rPr>
          <w:sz w:val="20"/>
          <w:szCs w:val="20"/>
          <w:color w:val="auto"/>
        </w:rPr>
      </w:pPr>
      <w:r>
        <w:rPr>
          <w:rFonts w:ascii="Arial" w:cs="Arial" w:eastAsia="Arial" w:hAnsi="Arial"/>
          <w:sz w:val="18"/>
          <w:szCs w:val="18"/>
          <w:b w:val="1"/>
          <w:bCs w:val="1"/>
          <w:color w:val="auto"/>
        </w:rPr>
        <w:t>Past performance by our management team and their respective affiliates may not be indicative of future performance of an investment in us.</w:t>
      </w:r>
    </w:p>
    <w:p>
      <w:pPr>
        <w:spacing w:after="0" w:line="95"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Information regarding performance by, or businesses associated with, our management team or businesses associated with them is presented for informational purposes only. Past performance by our management team and their respective affiliates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team’s or businesses associated with them as indicative of our future performance of an investment in us or the returns we will, or is likely to, generate going forward.</w:t>
      </w:r>
    </w:p>
    <w:p>
      <w:pPr>
        <w:spacing w:after="0" w:line="186" w:lineRule="exact"/>
        <w:rPr>
          <w:sz w:val="20"/>
          <w:szCs w:val="20"/>
          <w:color w:val="auto"/>
        </w:rPr>
      </w:pPr>
    </w:p>
    <w:p>
      <w:pPr>
        <w:ind w:left="460" w:right="519"/>
        <w:spacing w:after="0" w:line="271" w:lineRule="auto"/>
        <w:rPr>
          <w:sz w:val="20"/>
          <w:szCs w:val="20"/>
          <w:color w:val="auto"/>
        </w:rPr>
      </w:pPr>
      <w:r>
        <w:rPr>
          <w:rFonts w:ascii="Arial" w:cs="Arial" w:eastAsia="Arial" w:hAnsi="Arial"/>
          <w:sz w:val="18"/>
          <w:szCs w:val="18"/>
          <w:b w:val="1"/>
          <w:bCs w:val="1"/>
          <w:color w:val="auto"/>
        </w:rPr>
        <w:t>We may seek business combination opportunities in industries or sectors that may be outside of our management’s areas of expertise.</w:t>
      </w:r>
    </w:p>
    <w:p>
      <w:pPr>
        <w:spacing w:after="0" w:line="108"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We will consider a business combination in industries or sectors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Class A common shares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stockholders who choose to remain stockholders, respectively, following our initial business combination could suffer a reduction in the value of their shares. Such stockholders are unlikely to have a remedy for such reduction in value.</w:t>
      </w:r>
    </w:p>
    <w:p>
      <w:pPr>
        <w:spacing w:after="0" w:line="19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31"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stock exchange listing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their pro rata portion of the funds in the trust account that are available for distribution to public stockholders.</w:t>
      </w:r>
    </w:p>
    <w:p>
      <w:pPr>
        <w:sectPr>
          <w:pgSz w:w="11900" w:h="16838" w:orient="portrait"/>
          <w:cols w:equalWidth="0" w:num="1">
            <w:col w:w="9019"/>
          </w:cols>
          <w:pgMar w:left="1440" w:top="287" w:right="1440"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9" w:name="page40"/>
    <w:bookmarkEnd w:id="39"/>
    <w:p>
      <w:pPr>
        <w:ind w:left="460" w:right="479"/>
        <w:spacing w:after="0" w:line="247"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stockholders from a financial point of view.</w:t>
      </w:r>
    </w:p>
    <w:p>
      <w:pPr>
        <w:spacing w:after="0" w:line="128"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5" w:lineRule="exact"/>
        <w:rPr>
          <w:sz w:val="20"/>
          <w:szCs w:val="20"/>
          <w:color w:val="auto"/>
        </w:rPr>
      </w:pPr>
    </w:p>
    <w:p>
      <w:pPr>
        <w:ind w:left="460" w:right="519"/>
        <w:spacing w:after="0"/>
        <w:rPr>
          <w:sz w:val="20"/>
          <w:szCs w:val="20"/>
          <w:color w:val="auto"/>
        </w:rPr>
      </w:pPr>
      <w:r>
        <w:rPr>
          <w:rFonts w:ascii="Arial" w:cs="Arial" w:eastAsia="Arial" w:hAnsi="Arial"/>
          <w:sz w:val="18"/>
          <w:szCs w:val="18"/>
          <w:b w:val="1"/>
          <w:bCs w:val="1"/>
          <w:color w:val="auto"/>
        </w:rPr>
        <w:t>We may issue additional shares of Class A common stock or shares of preferred stock to complete our initial business combination or under an employee incentive plan after completion of our initial business combination. We may also issue shares of Class A common stock upon the conversion of the founder shares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2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amended and restated certificate of incorporation authorizes the issuance of up to 100,000,000 shares of Class A common stock, par value $ 0.0001 per share, 10,000,000 shares of Class B common stock, par value $0.0001 per share, and 1,000,000 shares of preferred stock, par value $0.0001 per share. Immediately after this offering, there will be 89,090,000 and 7,375,000 (assuming in each case that the underwriters have not exercised their over-allotment option and the forfeiture by our sponsor of 393,750 shares of Class B common stock) authorized but unissued shares of Class A common stock and Class B common stock, respectively, available for issuance which amount does not take into account shares issuable upon conversion of the Class B common stock. The Class B common stock is automatically convertible into Class A common stock concurrently with or immediately following the consummation of our initial business combination, initially at a one-for-one ratio but subject to adjustment as set forth herein and in our amended and restated certificate of incorporation. Immediately after this offering, there will be no shares of preferred stock issued and outstanding.</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may issue a substantial number of additional shares of Class A common stock or shares of preferred stock to complete our initial business combination or under an employee incentive plan after completion of our initial business combination. We may also issue shares of Class A common stock upon conversion of the Class B common stock at a ratio greater than one-to-one at the time of our initial business combination as a result of the anti-dilution provisions as set forth therein. However, our amended and restated certificate of incorporation provides, among other things, that prior to our initial business combination, we may not issue additional shares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 These provisions of our amended and restated certificate of incorporation, like all provisions of our amended and restated certificate of incorporation, may be amended with a stockholder vote. The issuance of additional shares of common stock or shares of preferred stock:</w:t>
      </w:r>
    </w:p>
    <w:p>
      <w:pPr>
        <w:spacing w:after="0" w:line="38" w:lineRule="exact"/>
        <w:rPr>
          <w:sz w:val="20"/>
          <w:szCs w:val="20"/>
          <w:color w:val="auto"/>
        </w:rPr>
      </w:pPr>
    </w:p>
    <w:p>
      <w:pPr>
        <w:ind w:left="1040" w:hanging="262"/>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21" w:lineRule="exact"/>
        <w:rPr>
          <w:rFonts w:ascii="Arial" w:cs="Arial" w:eastAsia="Arial" w:hAnsi="Arial"/>
          <w:sz w:val="18"/>
          <w:szCs w:val="18"/>
          <w:color w:val="auto"/>
        </w:rPr>
      </w:pPr>
    </w:p>
    <w:p>
      <w:pPr>
        <w:ind w:left="1100" w:right="539" w:hanging="322"/>
        <w:spacing w:after="0" w:line="238" w:lineRule="auto"/>
        <w:tabs>
          <w:tab w:leader="none" w:pos="10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Class A common stock is issued, which may affect, among other things, our ability to use our net operating loss carry forwards, if any, and could result in the resignation or removal of our present officers and directors; and</w:t>
      </w:r>
    </w:p>
    <w:p>
      <w:pPr>
        <w:spacing w:after="0" w:line="29" w:lineRule="exact"/>
        <w:rPr>
          <w:rFonts w:ascii="Arial" w:cs="Arial" w:eastAsia="Arial" w:hAnsi="Arial"/>
          <w:sz w:val="18"/>
          <w:szCs w:val="18"/>
          <w:color w:val="auto"/>
        </w:rPr>
      </w:pPr>
    </w:p>
    <w:p>
      <w:pPr>
        <w:ind w:left="1040" w:hanging="262"/>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0" w:name="page41"/>
    <w:bookmarkEnd w:id="40"/>
    <w:p>
      <w:pPr>
        <w:jc w:val="both"/>
        <w:ind w:left="460" w:right="959"/>
        <w:spacing w:after="0" w:line="253"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stockholders will receive additional shares of Class A common stock if we issue certain shares to consummate an initial business combination.</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to our sponsor, officers or directors upon conversion of working capital loans, provided that such conversion of founder shares will never occur on a less than one-for-one basis. This is different than some other similarly structured special purpose acquisition companies in which the initial stockholders will only be issued an aggregate of 20% of the total number of shares to be issued and outstanding prior to the initial business combination.</w:t>
      </w:r>
    </w:p>
    <w:p>
      <w:pPr>
        <w:spacing w:after="0" w:line="191"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w:t>
      </w:r>
    </w:p>
    <w:p>
      <w:pPr>
        <w:spacing w:after="0" w:line="117"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w:t>
      </w:r>
    </w:p>
    <w:p>
      <w:pPr>
        <w:spacing w:after="0" w:line="182" w:lineRule="exact"/>
        <w:rPr>
          <w:sz w:val="20"/>
          <w:szCs w:val="20"/>
          <w:color w:val="auto"/>
        </w:rPr>
      </w:pPr>
    </w:p>
    <w:p>
      <w:pPr>
        <w:ind w:left="460" w:right="799"/>
        <w:spacing w:after="0" w:line="271"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10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1" w:name="page42"/>
    <w:bookmarkEnd w:id="41"/>
    <w:p>
      <w:pPr>
        <w:ind w:left="460" w:right="539"/>
        <w:spacing w:after="0" w:line="247"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2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85" w:lineRule="exact"/>
        <w:rPr>
          <w:sz w:val="20"/>
          <w:szCs w:val="20"/>
          <w:color w:val="auto"/>
        </w:rPr>
      </w:pPr>
    </w:p>
    <w:p>
      <w:pPr>
        <w:ind w:left="460" w:right="519"/>
        <w:spacing w:after="0" w:line="242" w:lineRule="auto"/>
        <w:rPr>
          <w:sz w:val="20"/>
          <w:szCs w:val="20"/>
          <w:color w:val="auto"/>
        </w:rPr>
      </w:pPr>
      <w:r>
        <w:rPr>
          <w:rFonts w:ascii="Arial" w:cs="Arial" w:eastAsia="Arial" w:hAnsi="Arial"/>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2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85"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2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who choose to remain stockholders following the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2"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23"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ind w:left="460" w:right="819"/>
        <w:spacing w:after="0" w:line="247" w:lineRule="auto"/>
        <w:rPr>
          <w:sz w:val="20"/>
          <w:szCs w:val="20"/>
          <w:color w:val="auto"/>
        </w:rPr>
      </w:pPr>
      <w:r>
        <w:rPr>
          <w:rFonts w:ascii="Arial" w:cs="Arial" w:eastAsia="Arial" w:hAnsi="Arial"/>
          <w:sz w:val="18"/>
          <w:szCs w:val="18"/>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182" w:lineRule="exact"/>
        <w:rPr>
          <w:sz w:val="20"/>
          <w:szCs w:val="20"/>
          <w:color w:val="auto"/>
        </w:rPr>
      </w:pPr>
    </w:p>
    <w:p>
      <w:pPr>
        <w:ind w:left="460" w:right="559"/>
        <w:spacing w:after="0" w:line="275" w:lineRule="auto"/>
        <w:rPr>
          <w:sz w:val="20"/>
          <w:szCs w:val="20"/>
          <w:color w:val="auto"/>
        </w:rPr>
      </w:pPr>
      <w:r>
        <w:rPr>
          <w:rFonts w:ascii="Arial" w:cs="Arial" w:eastAsia="Arial" w:hAnsi="Arial"/>
          <w:sz w:val="17"/>
          <w:szCs w:val="17"/>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9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ventures may present additional conflicts of interest in pursuing an initial business combination. However, we do not believe that any such potential conflicts would materially affect our ability to complete our initial business combination.</w:t>
      </w:r>
    </w:p>
    <w:p>
      <w:pPr>
        <w:spacing w:after="0" w:line="14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183" w:lineRule="exact"/>
        <w:rPr>
          <w:sz w:val="20"/>
          <w:szCs w:val="20"/>
          <w:color w:val="auto"/>
        </w:rPr>
      </w:pPr>
    </w:p>
    <w:p>
      <w:pPr>
        <w:ind w:left="460" w:right="919"/>
        <w:spacing w:after="0" w:line="271"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108"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27" w:lineRule="exact"/>
        <w:rPr>
          <w:sz w:val="20"/>
          <w:szCs w:val="20"/>
          <w:color w:val="auto"/>
        </w:rPr>
      </w:pPr>
    </w:p>
    <w:p>
      <w:pPr>
        <w:ind w:left="460" w:right="879"/>
        <w:spacing w:after="0" w:line="238"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ind w:left="460" w:right="499"/>
        <w:spacing w:after="0" w:line="238" w:lineRule="auto"/>
        <w:rPr>
          <w:sz w:val="20"/>
          <w:szCs w:val="20"/>
          <w:color w:val="auto"/>
        </w:rPr>
      </w:pPr>
      <w:r>
        <w:rPr>
          <w:rFonts w:ascii="Arial" w:cs="Arial" w:eastAsia="Arial" w:hAnsi="Arial"/>
          <w:sz w:val="18"/>
          <w:szCs w:val="18"/>
          <w:color w:val="auto"/>
        </w:rPr>
        <w:t>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80"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10"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In light of the involvement of our sponsor, executive officers and directors with other entities, we may decide to acquire one or more businesses affiliated with our sponsor, executive officers, directors or existing holders. Our directors and officers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Initial Business Combination — Sourcing of Potential Initial Business Combination Targets”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191"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3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In July 2020, our sponsor transferred 30,000 founder shares to each of Mr. Carey, Dr. Dubin and Dr. Pakianathan. On August 11, 2020, we effected a 1:1.05 stock split of our Class B common stock, resulting in our sponsor holding 2,928,750 founder shares and there being an aggregate of 3,018,750 founder shares outstanding. Prior to the initial investment in the company of $ 25,000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12,075,000 shares of Class A common stock if the underwriters’ over-allotment option is exercised in full, and therefore that such founder shares would represent 20% of the issued and outstanding shares after this offering (excluding the private placement shares). Up to 393,750 of the founder shares will be forfeited by our sponsor depending on the extent to which the underwriters’ over-allotment is exercised. The founder shares will be worthless if we do not complete an initial business combination. In addition, our sponsor has committed to purchase 410,000 private placement shares (or 441,500 private placement shares if the underwriters’ over-allotment option is exercised in full) at a price of $10.00 per private placement share ($4,100,000 in the aggregate or $ 4,415,000 if the underwriters’ over-allotment option is exercised in full), that will also be worthless if we do not complete our initial business combination.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completion of an initial business combination.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4" w:name="page45"/>
    <w:bookmarkEnd w:id="44"/>
    <w:p>
      <w:pPr>
        <w:jc w:val="both"/>
        <w:ind w:left="460" w:right="579"/>
        <w:spacing w:after="0" w:line="253"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2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4" w:lineRule="exact"/>
        <w:rPr>
          <w:sz w:val="20"/>
          <w:szCs w:val="20"/>
          <w:color w:val="auto"/>
        </w:rPr>
      </w:pPr>
    </w:p>
    <w:p>
      <w:pPr>
        <w:ind w:left="1100" w:right="1099" w:hanging="322"/>
        <w:spacing w:after="0" w:line="246"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7"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7" w:lineRule="exact"/>
        <w:rPr>
          <w:rFonts w:ascii="Arial" w:cs="Arial" w:eastAsia="Arial" w:hAnsi="Arial"/>
          <w:sz w:val="18"/>
          <w:szCs w:val="18"/>
          <w:color w:val="auto"/>
        </w:rPr>
      </w:pPr>
    </w:p>
    <w:p>
      <w:pPr>
        <w:ind w:left="1100" w:right="599" w:hanging="322"/>
        <w:spacing w:after="0" w:line="246"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36" w:lineRule="exact"/>
        <w:rPr>
          <w:rFonts w:ascii="Arial" w:cs="Arial" w:eastAsia="Arial" w:hAnsi="Arial"/>
          <w:sz w:val="18"/>
          <w:szCs w:val="18"/>
          <w:color w:val="auto"/>
        </w:rPr>
      </w:pPr>
    </w:p>
    <w:p>
      <w:pPr>
        <w:jc w:val="both"/>
        <w:ind w:left="1100" w:right="499" w:hanging="322"/>
        <w:spacing w:after="0"/>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13" w:lineRule="exact"/>
        <w:rPr>
          <w:rFonts w:ascii="Arial" w:cs="Arial" w:eastAsia="Arial" w:hAnsi="Arial"/>
          <w:sz w:val="18"/>
          <w:szCs w:val="18"/>
          <w:color w:val="auto"/>
        </w:rPr>
      </w:pPr>
    </w:p>
    <w:p>
      <w:pPr>
        <w:ind w:left="1100" w:right="639" w:hanging="322"/>
        <w:spacing w:after="0" w:line="246"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79" w:hanging="322"/>
        <w:spacing w:after="0" w:line="246"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21" w:lineRule="exact"/>
        <w:rPr>
          <w:rFonts w:ascii="Arial" w:cs="Arial" w:eastAsia="Arial" w:hAnsi="Arial"/>
          <w:sz w:val="18"/>
          <w:szCs w:val="18"/>
          <w:color w:val="auto"/>
        </w:rPr>
      </w:pPr>
    </w:p>
    <w:p>
      <w:pPr>
        <w:ind w:left="1100" w:right="779" w:hanging="322"/>
        <w:spacing w:after="0"/>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1" w:lineRule="exact"/>
        <w:rPr>
          <w:sz w:val="20"/>
          <w:szCs w:val="20"/>
          <w:color w:val="auto"/>
        </w:rPr>
      </w:pPr>
    </w:p>
    <w:p>
      <w:pPr>
        <w:ind w:left="460" w:right="539"/>
        <w:spacing w:after="0" w:line="247"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and the sale of the private placement shares, which will cause us to be solely dependent on a single business which may have a limited number of products or services. This lack of diversification may negatively impact our operations and profitability.</w:t>
      </w:r>
    </w:p>
    <w:p>
      <w:pPr>
        <w:spacing w:after="0" w:line="115"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net proceeds from this offering and the private placement of shares held in the trust account will provide us with $101,325,000 (or $116,523,750 if the underwriters’ over-allotment option is exercised in full) that we may use to complete our initial business combination (after taking into account the $3,675,000, or up to $4,226,250 if the over-allotment option is exercised in full, of deferred underwriting commissions being held in the trust account).</w:t>
      </w:r>
    </w:p>
    <w:p>
      <w:pPr>
        <w:spacing w:after="0" w:line="135" w:lineRule="exact"/>
        <w:rPr>
          <w:sz w:val="20"/>
          <w:szCs w:val="20"/>
          <w:color w:val="auto"/>
        </w:rPr>
      </w:pPr>
    </w:p>
    <w:p>
      <w:pPr>
        <w:ind w:left="460" w:right="459"/>
        <w:spacing w:after="0" w:line="251"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 w:lineRule="exact"/>
        <w:rPr>
          <w:sz w:val="20"/>
          <w:szCs w:val="20"/>
          <w:color w:val="auto"/>
        </w:rPr>
      </w:pPr>
    </w:p>
    <w:p>
      <w:pPr>
        <w:ind w:left="1040" w:hanging="26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 w:lineRule="exact"/>
        <w:rPr>
          <w:rFonts w:ascii="Arial" w:cs="Arial" w:eastAsia="Arial" w:hAnsi="Arial"/>
          <w:sz w:val="18"/>
          <w:szCs w:val="18"/>
          <w:color w:val="auto"/>
        </w:rPr>
      </w:pPr>
    </w:p>
    <w:p>
      <w:pPr>
        <w:ind w:left="1100" w:right="99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5" w:name="page46"/>
    <w:bookmarkEnd w:id="45"/>
    <w:p>
      <w:pPr>
        <w:jc w:val="both"/>
        <w:ind w:left="460" w:right="719"/>
        <w:spacing w:after="0"/>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1" w:lineRule="exact"/>
        <w:rPr>
          <w:sz w:val="20"/>
          <w:szCs w:val="20"/>
          <w:color w:val="auto"/>
        </w:rPr>
      </w:pPr>
    </w:p>
    <w:p>
      <w:pPr>
        <w:ind w:left="460" w:right="519"/>
        <w:spacing w:after="0" w:line="275"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9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5"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23"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0" w:lineRule="exact"/>
        <w:rPr>
          <w:sz w:val="20"/>
          <w:szCs w:val="20"/>
          <w:color w:val="auto"/>
        </w:rPr>
      </w:pPr>
    </w:p>
    <w:p>
      <w:pPr>
        <w:ind w:left="460" w:right="839"/>
        <w:spacing w:after="0" w:line="247" w:lineRule="auto"/>
        <w:rPr>
          <w:sz w:val="20"/>
          <w:szCs w:val="20"/>
          <w:color w:val="auto"/>
        </w:rPr>
      </w:pPr>
      <w:r>
        <w:rPr>
          <w:rFonts w:ascii="Arial" w:cs="Arial" w:eastAsia="Arial" w:hAnsi="Arial"/>
          <w:sz w:val="18"/>
          <w:szCs w:val="18"/>
          <w:b w:val="1"/>
          <w:b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2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191" w:lineRule="exact"/>
        <w:rPr>
          <w:sz w:val="20"/>
          <w:szCs w:val="20"/>
          <w:color w:val="auto"/>
        </w:rPr>
      </w:pPr>
    </w:p>
    <w:p>
      <w:pPr>
        <w:ind w:left="460" w:right="1439"/>
        <w:spacing w:after="0" w:line="275" w:lineRule="auto"/>
        <w:rPr>
          <w:sz w:val="20"/>
          <w:szCs w:val="20"/>
          <w:color w:val="auto"/>
        </w:rPr>
      </w:pPr>
      <w:r>
        <w:rPr>
          <w:rFonts w:ascii="Arial" w:cs="Arial" w:eastAsia="Arial" w:hAnsi="Arial"/>
          <w:sz w:val="17"/>
          <w:szCs w:val="17"/>
          <w:b w:val="1"/>
          <w:bCs w:val="1"/>
          <w:color w:val="auto"/>
        </w:rPr>
        <w:t>We do not have a specified maximum redemption threshold. The absence of such a redemption threshold may make it possible for us to complete our initial business combination with which a substantial majority of our stockholders do not agree.</w:t>
      </w:r>
    </w:p>
    <w:p>
      <w:pPr>
        <w:spacing w:after="0" w:line="93"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amended and restated certificate of incorporation does not provide a specified maximum redemption threshold, except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6" w:name="page47"/>
    <w:bookmarkEnd w:id="46"/>
    <w:p>
      <w:pPr>
        <w:ind w:left="460" w:right="499"/>
        <w:spacing w:after="0" w:line="236" w:lineRule="auto"/>
        <w:rPr>
          <w:sz w:val="20"/>
          <w:szCs w:val="20"/>
          <w:color w:val="auto"/>
        </w:rPr>
      </w:pPr>
      <w:r>
        <w:rPr>
          <w:rFonts w:ascii="Arial" w:cs="Arial" w:eastAsia="Arial" w:hAnsi="Arial"/>
          <w:sz w:val="18"/>
          <w:szCs w:val="18"/>
          <w:color w:val="auto"/>
        </w:rPr>
        <w:t>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all shares of Class A common stock submitted for redemption will be returned to the holders thereof, and we instead may search for an alternate business combination.</w:t>
      </w:r>
    </w:p>
    <w:p>
      <w:pPr>
        <w:spacing w:after="0" w:line="182"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In order to effectuate an initial business combination, special purpose acquisition companies have, in the recent past, amended various provisions of their charters and other governing instruments.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17"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order to effectuate a business combination, special purpose acquisition companies have, in the recent past, amended various provisions of their charters and governing instruments. For example, special purpose acquisition companies have amended the definition of business combination, increased redemption thresholds and extended the time to consummate an initial business combination. Amending such provisions of our amended and restated certificate of incorporation will require the approval of holders of at least 65% of all then issued and outstanding shares of common stock. In addition, our amended and restated certificate of incorporation requires us to provide our public stockholders with the opportunity to redeem their public shares for cash if we propose an amendment to our amended and restated certificate of incorporation to modify the substance or timing of our obligation to redeem 100% of our public shares if we do not complete an initial business combination within 24 months of the closing of this offering or with respect to any other material provisions relating to stockholders’ rights or pre-initial business combination activity. To the extent any of such amendments would be deemed to fundamentally change the nature of the Class A common shares offered hereby,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91" w:lineRule="exact"/>
        <w:rPr>
          <w:sz w:val="20"/>
          <w:szCs w:val="20"/>
          <w:color w:val="auto"/>
        </w:rPr>
      </w:pPr>
    </w:p>
    <w:p>
      <w:pPr>
        <w:ind w:left="460" w:right="539"/>
        <w:spacing w:after="0"/>
        <w:rPr>
          <w:sz w:val="20"/>
          <w:szCs w:val="20"/>
          <w:color w:val="auto"/>
        </w:rPr>
      </w:pPr>
      <w:r>
        <w:rPr>
          <w:rFonts w:ascii="Arial" w:cs="Arial" w:eastAsia="Arial" w:hAnsi="Arial"/>
          <w:sz w:val="18"/>
          <w:szCs w:val="18"/>
          <w:b w:val="1"/>
          <w:b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amended and restated certificate of incorporation to facilitate the completion of an initial business combination that some of our stockholders may not support.</w:t>
      </w:r>
    </w:p>
    <w:p>
      <w:pPr>
        <w:spacing w:after="0" w:line="12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amended and restated certificate of incorporation provides that any of its provisions related to pre-business combination activity (including the requirement to deposit proceeds of this offering and the private placement of shares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Our initial stockholders, who will collectively beneficially own 20% of our common stock upon the closing of this offering (excluding the private placement shares and assuming they do not purchase any shares in this offering), may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pre-business combination behavior more easily than some other special purpose acquisition companies, and this may increase our ability to complete a business combination with which you do not agree. Our stockholders may pursue remedies against us for any breach of our amended and restated certificate of incorporation.</w:t>
      </w:r>
    </w:p>
    <w:p>
      <w:pPr>
        <w:sectPr>
          <w:pgSz w:w="11900" w:h="16838" w:orient="portrait"/>
          <w:cols w:equalWidth="0" w:num="1">
            <w:col w:w="9019"/>
          </w:cols>
          <w:pgMar w:left="1440" w:top="287"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7" w:name="page48"/>
    <w:bookmarkEnd w:id="47"/>
    <w:p>
      <w:pPr>
        <w:ind w:left="460" w:right="479"/>
        <w:spacing w:after="0" w:line="235" w:lineRule="auto"/>
        <w:rPr>
          <w:sz w:val="20"/>
          <w:szCs w:val="20"/>
          <w:color w:val="auto"/>
        </w:rPr>
      </w:pPr>
      <w:r>
        <w:rPr>
          <w:rFonts w:ascii="Arial" w:cs="Arial" w:eastAsia="Arial" w:hAnsi="Arial"/>
          <w:sz w:val="18"/>
          <w:szCs w:val="18"/>
          <w:color w:val="auto"/>
        </w:rPr>
        <w:t>Our sponsor, executive officers, directors and director nominees have agreed, pursuant to written agreements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agreements related to this offering may be amended without stockholder approval.</w:t>
      </w:r>
    </w:p>
    <w:p>
      <w:pPr>
        <w:spacing w:after="0" w:line="15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Each of the agreements related to this offering to which we are a party, other than the investment management trust agreement, may be amended without stockholder approval. Such agreements are: the underwriting agreement; the letter agreement among us and our initial stockholders, sponsor, officers and directors; the registration rights agreement among us and our initial stockholders; the private placement shares purchase agreement between us and our sponsor; and the administrative services agreement among us, our sponsor and an affiliate of our sponsor. These agreements contain various provisions that our public stockholders might deem to be material. For example, our letter agreement and the underwriting agreement contain certain lock-up provisions with respect to the founder shares, private placement shares and other securities held by our initial stockholders,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materials or tender offer documents,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stockholders selling their securities earlier than they would otherwise be permitted, which may have an adverse effect on the price of our securities.</w:t>
      </w:r>
    </w:p>
    <w:p>
      <w:pPr>
        <w:spacing w:after="0" w:line="190" w:lineRule="exact"/>
        <w:rPr>
          <w:sz w:val="20"/>
          <w:szCs w:val="20"/>
          <w:color w:val="auto"/>
        </w:rPr>
      </w:pPr>
    </w:p>
    <w:p>
      <w:pPr>
        <w:ind w:left="460" w:right="579"/>
        <w:spacing w:after="0" w:line="253"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96"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We have not selected any specific business combination target but intend to target businesses with enterprise values that are greater than we could acquire with the net proceeds of this offering and the sale of the private placement shares. As a result, if the cash portion of the purchase price exceeds the amount available from the trust account, net of amounts needed to satisfy any redemption by public stockholders,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within the required time period, our public stockholders may only receive their pro rata portion of the funds in the trust account that are available for distribution to public stockholders. In addition, even if we do not need additional financing to complete our initial business combination, we may require such financing to fund the operations or growth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8" w:name="page49"/>
    <w:bookmarkEnd w:id="48"/>
    <w:p>
      <w:pPr>
        <w:ind w:left="460" w:right="519"/>
        <w:spacing w:after="0" w:line="238" w:lineRule="auto"/>
        <w:rPr>
          <w:sz w:val="20"/>
          <w:szCs w:val="20"/>
          <w:color w:val="auto"/>
        </w:rPr>
      </w:pPr>
      <w:r>
        <w:rPr>
          <w:rFonts w:ascii="Arial" w:cs="Arial" w:eastAsia="Arial" w:hAnsi="Arial"/>
          <w:sz w:val="18"/>
          <w:szCs w:val="18"/>
          <w:color w:val="auto"/>
        </w:rPr>
        <w:t>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29"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Our initial stockholders control a substantial interest in us and thus may exert a substantial influence on actions requiring a stockholder vote, potentially in a manner that you do not support.</w:t>
      </w:r>
    </w:p>
    <w:p>
      <w:pPr>
        <w:spacing w:after="0" w:line="123"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Upon closing of this offering, our initial stockholders will own 20% of our issued and outstanding common stock (excluding the private placement shares and assuming they do not purchase any shares of Class A common stock in this offering). Accordingly, they may exert a substantial influence on actions requiring a stockholder vote, potentially in a manner that you do not support, including amendments to our amended and restated certificate of incorporation. If our initial stockholders purchase any shares of Class A common stock in this offering or if our initial stockholders purchase any additional Class A common stock in the aftermarket or in privately negotiated transactions, this would increase their control.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137" w:lineRule="exact"/>
        <w:rPr>
          <w:sz w:val="20"/>
          <w:szCs w:val="20"/>
          <w:color w:val="auto"/>
        </w:rPr>
      </w:pPr>
    </w:p>
    <w:p>
      <w:pPr>
        <w:ind w:left="460" w:right="639"/>
        <w:spacing w:after="0" w:line="247" w:lineRule="auto"/>
        <w:rPr>
          <w:sz w:val="20"/>
          <w:szCs w:val="20"/>
          <w:color w:val="auto"/>
        </w:rPr>
      </w:pPr>
      <w:r>
        <w:rPr>
          <w:rFonts w:ascii="Arial" w:cs="Arial" w:eastAsia="Arial" w:hAnsi="Arial"/>
          <w:sz w:val="18"/>
          <w:szCs w:val="18"/>
          <w:b w:val="1"/>
          <w:bCs w:val="1"/>
          <w:color w:val="auto"/>
        </w:rPr>
        <w:t>Our initial stockholders paid an aggregate of $25,000 to cover certain of our offering costs in exchange for 2,875,000 founder shares, or approximately $0.009 per founder share and, accordingly, you will experience immediate and substantial dilution from the purchase of our shares of Class A common stock.</w:t>
      </w:r>
    </w:p>
    <w:p>
      <w:pPr>
        <w:spacing w:after="0" w:line="128"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The difference between the public offering price per share and the pro forma net tangible book value per share of our Class A common stock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86.8% or $8.68 per share, assuming no exercise of the underwriters’ over-allotment option), the difference between the pro forma net tangible book value per share after this offering of $1.32 and the initial offering price of $10.00 per share. This dilution would increase to the extent that the anti-dilution provisions of the founder shares result in the issuance of shares of Class A common stock on a greater than one-to-one basis upon conversion of the founder shares at the time of our initial business combination and would become exacerbated to the extent that public stockholders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common stock.</w:t>
      </w:r>
    </w:p>
    <w:p>
      <w:pPr>
        <w:spacing w:after="0" w:line="138"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The determination of the offering price of our shares of Class A common stock, the size of this offering and terms of the shares is more arbitrary than the pricing of securities and size of an offering of an operating company in a particular industry. You may have less assurance, therefore, that the offering price of our shares properly reflects the value of such shares than you would have in a typical offering of an operating company.</w:t>
      </w:r>
    </w:p>
    <w:p>
      <w:pPr>
        <w:spacing w:after="0" w:line="117"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Prior to this offering there has been no public market for any of our Class A common stock. The public offering price of the shares was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Class A common stock include:</w:t>
      </w:r>
    </w:p>
    <w:p>
      <w:pPr>
        <w:spacing w:after="0" w:line="27" w:lineRule="exact"/>
        <w:rPr>
          <w:sz w:val="20"/>
          <w:szCs w:val="20"/>
          <w:color w:val="auto"/>
        </w:rPr>
      </w:pPr>
    </w:p>
    <w:p>
      <w:pPr>
        <w:ind w:left="1100" w:right="759" w:hanging="322"/>
        <w:spacing w:after="0" w:line="246" w:lineRule="auto"/>
        <w:tabs>
          <w:tab w:leader="none" w:pos="10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ectPr>
          <w:pgSz w:w="11900" w:h="16838" w:orient="portrait"/>
          <w:cols w:equalWidth="0" w:num="1">
            <w:col w:w="9019"/>
          </w:cols>
          <w:pgMar w:left="1440" w:top="260" w:right="1440"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49" w:name="page50"/>
    <w:bookmarkEnd w:id="49"/>
    <w:p>
      <w:pPr>
        <w:ind w:left="1040" w:hanging="26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44" w:lineRule="exact"/>
        <w:rPr>
          <w:sz w:val="20"/>
          <w:szCs w:val="20"/>
          <w:color w:val="auto"/>
        </w:rPr>
      </w:pPr>
    </w:p>
    <w:p>
      <w:pPr>
        <w:jc w:val="both"/>
        <w:ind w:left="460" w:right="539"/>
        <w:spacing w:after="0"/>
        <w:rPr>
          <w:sz w:val="20"/>
          <w:szCs w:val="20"/>
          <w:color w:val="auto"/>
        </w:rPr>
      </w:pPr>
      <w:r>
        <w:rPr>
          <w:rFonts w:ascii="Arial" w:cs="Arial" w:eastAsia="Arial" w:hAnsi="Arial"/>
          <w:sz w:val="18"/>
          <w:szCs w:val="18"/>
          <w:color w:val="auto"/>
        </w:rPr>
        <w:t>Although these factors were considered, the determination of our offering size, price and terms of the shares is more arbitrary than the pricing of securities of an operating company in a particular industry since we have no historical operations or financial results.</w:t>
      </w:r>
    </w:p>
    <w:p>
      <w:pPr>
        <w:spacing w:after="0" w:line="181" w:lineRule="exact"/>
        <w:rPr>
          <w:sz w:val="20"/>
          <w:szCs w:val="20"/>
          <w:color w:val="auto"/>
        </w:rPr>
      </w:pPr>
    </w:p>
    <w:p>
      <w:pPr>
        <w:ind w:left="460" w:right="759"/>
        <w:spacing w:after="0" w:line="253" w:lineRule="auto"/>
        <w:rPr>
          <w:sz w:val="20"/>
          <w:szCs w:val="20"/>
          <w:color w:val="auto"/>
        </w:rPr>
      </w:pPr>
      <w:r>
        <w:rPr>
          <w:rFonts w:ascii="Arial" w:cs="Arial" w:eastAsia="Arial" w:hAnsi="Arial"/>
          <w:sz w:val="18"/>
          <w:szCs w:val="18"/>
          <w:b w:val="1"/>
          <w:bCs w:val="1"/>
          <w:color w:val="auto"/>
        </w:rPr>
        <w:t>There is currently no market for our Class A common stock and a market for our Class A common stock may not develop, which would adversely affect the liquidity and price of our shares.</w:t>
      </w:r>
    </w:p>
    <w:p>
      <w:pPr>
        <w:spacing w:after="0" w:line="110"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There is currently no market for our Class A common stock. Stockholders therefore have no access to information about prior market history on which to base their investment decision. Following this offering, the price of our Class A common stock may vary significantly due to one or more potential business combinations and general market or economic conditions, including as a result of the COVID-19 outbreak and other events (such as terrorist attacks, natural disasters or a significant outbreak of other infectious diseases). Furthermore, an active trading market for our Class A common stock may never develop or, if developed, it may not be sustained. You may be unable to sell your shares of Class A common stock unless a market can be established and sustained.</w:t>
      </w:r>
    </w:p>
    <w:p>
      <w:pPr>
        <w:spacing w:after="0" w:line="186"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23"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7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9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50" w:name="page51"/>
    <w:bookmarkEnd w:id="50"/>
    <w:p>
      <w:pPr>
        <w:ind w:left="460" w:right="479"/>
        <w:spacing w:after="0" w:line="23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06" w:lineRule="exact"/>
        <w:rPr>
          <w:sz w:val="20"/>
          <w:szCs w:val="20"/>
          <w:color w:val="auto"/>
        </w:rPr>
      </w:pPr>
    </w:p>
    <w:p>
      <w:pPr>
        <w:ind w:left="460" w:right="459"/>
        <w:spacing w:after="0" w:line="230"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To the extent we take advantage of such reduced disclosure obligations, it may also make comparison of our financial statements with other public companies difficult or impossible.</w:t>
      </w:r>
    </w:p>
    <w:p>
      <w:pPr>
        <w:spacing w:after="0" w:line="187" w:lineRule="exact"/>
        <w:rPr>
          <w:sz w:val="20"/>
          <w:szCs w:val="20"/>
          <w:color w:val="auto"/>
        </w:rPr>
      </w:pPr>
    </w:p>
    <w:p>
      <w:pPr>
        <w:jc w:val="both"/>
        <w:ind w:left="460" w:right="859"/>
        <w:spacing w:after="0" w:line="275" w:lineRule="auto"/>
        <w:rPr>
          <w:sz w:val="20"/>
          <w:szCs w:val="20"/>
          <w:color w:val="auto"/>
        </w:rPr>
      </w:pPr>
      <w:r>
        <w:rPr>
          <w:rFonts w:ascii="Arial" w:cs="Arial" w:eastAsia="Arial" w:hAnsi="Arial"/>
          <w:sz w:val="17"/>
          <w:szCs w:val="17"/>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0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92" w:lineRule="exact"/>
        <w:rPr>
          <w:sz w:val="20"/>
          <w:szCs w:val="20"/>
          <w:color w:val="auto"/>
        </w:rPr>
      </w:pPr>
    </w:p>
    <w:p>
      <w:pPr>
        <w:jc w:val="both"/>
        <w:ind w:left="460" w:right="839"/>
        <w:spacing w:after="0" w:line="253"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shares of Class A common stock and could entrench management.</w:t>
      </w:r>
    </w:p>
    <w:p>
      <w:pPr>
        <w:spacing w:after="0" w:line="110"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51" w:name="page52"/>
    <w:bookmarkEnd w:id="51"/>
    <w:p>
      <w:pPr>
        <w:ind w:left="460" w:right="839"/>
        <w:spacing w:after="0" w:line="271"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have the effect of discouraging lawsuits against our directors and officers.</w:t>
      </w:r>
    </w:p>
    <w:p>
      <w:pPr>
        <w:spacing w:after="0" w:line="68" w:lineRule="exact"/>
        <w:rPr>
          <w:sz w:val="20"/>
          <w:szCs w:val="20"/>
          <w:color w:val="auto"/>
        </w:rPr>
      </w:pPr>
    </w:p>
    <w:p>
      <w:pPr>
        <w:jc w:val="both"/>
        <w:ind w:left="460" w:right="759"/>
        <w:spacing w:after="0" w:line="248" w:lineRule="auto"/>
        <w:rPr>
          <w:sz w:val="20"/>
          <w:szCs w:val="20"/>
          <w:color w:val="auto"/>
        </w:rPr>
      </w:pPr>
      <w:r>
        <w:rPr>
          <w:rFonts w:ascii="Arial" w:cs="Arial" w:eastAsia="Arial" w:hAnsi="Arial"/>
          <w:sz w:val="17"/>
          <w:szCs w:val="17"/>
          <w:color w:val="auto"/>
        </w:rPr>
        <w:t>Our amended and restated certificate of incorporation requires, unless we consent in writing to the selection of an alternative forum, that (i) any derivative action or proceeding brought on our behalf,</w:t>
      </w:r>
    </w:p>
    <w:p>
      <w:pPr>
        <w:spacing w:after="0" w:line="1" w:lineRule="exact"/>
        <w:rPr>
          <w:sz w:val="20"/>
          <w:szCs w:val="20"/>
          <w:color w:val="auto"/>
        </w:rPr>
      </w:pPr>
    </w:p>
    <w:p>
      <w:pPr>
        <w:ind w:left="460" w:right="479" w:hanging="6"/>
        <w:spacing w:after="0" w:line="235"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0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Notwithstanding the foregoing, our amended and restated certificate of incorporation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Class A common stock shall be deemed to have notice of and consented to these provisions. Although we believe this provision benefits us by providing increased consistency in the application of Delaware law in the types of lawsuits to which it applies, the provision may limit our stockholders’ ability to obtain a favorable judicial forum for disputes with us and may have the effect of discouraging lawsuits against our directors and officers.</w:t>
      </w:r>
    </w:p>
    <w:p>
      <w:pPr>
        <w:spacing w:after="0" w:line="140" w:lineRule="exact"/>
        <w:rPr>
          <w:sz w:val="20"/>
          <w:szCs w:val="20"/>
          <w:color w:val="auto"/>
        </w:rPr>
      </w:pPr>
    </w:p>
    <w:p>
      <w:pPr>
        <w:ind w:left="460" w:right="859"/>
        <w:spacing w:after="0" w:line="271"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108"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effect our initial business combination with a company located outside of the</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United States, we would be subject to a variety of additional risks that may adversely affect us.</w:t>
      </w:r>
    </w:p>
    <w:p>
      <w:pPr>
        <w:spacing w:after="0" w:line="156" w:lineRule="exact"/>
        <w:rPr>
          <w:sz w:val="20"/>
          <w:szCs w:val="20"/>
          <w:color w:val="auto"/>
        </w:rPr>
      </w:pPr>
    </w:p>
    <w:p>
      <w:pPr>
        <w:ind w:left="460" w:right="759"/>
        <w:spacing w:after="0" w:line="238"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2" w:name="page53"/>
    <w:bookmarkEnd w:id="52"/>
    <w:p>
      <w:pPr>
        <w:ind w:left="460" w:right="499"/>
        <w:spacing w:after="0" w:line="237"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24" w:lineRule="exact"/>
        <w:rPr>
          <w:sz w:val="20"/>
          <w:szCs w:val="20"/>
          <w:color w:val="auto"/>
        </w:rPr>
      </w:pPr>
    </w:p>
    <w:p>
      <w:pPr>
        <w:jc w:val="both"/>
        <w:ind w:left="460" w:right="559"/>
        <w:spacing w:after="0"/>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27" w:lineRule="exact"/>
        <w:rPr>
          <w:sz w:val="20"/>
          <w:szCs w:val="20"/>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 w:lineRule="exact"/>
        <w:rPr>
          <w:rFonts w:ascii="Arial" w:cs="Arial" w:eastAsia="Arial" w:hAnsi="Arial"/>
          <w:sz w:val="18"/>
          <w:szCs w:val="18"/>
          <w:color w:val="auto"/>
        </w:rPr>
      </w:pPr>
    </w:p>
    <w:p>
      <w:pPr>
        <w:ind w:left="1100" w:right="1459" w:hanging="322"/>
        <w:spacing w:after="0" w:line="246" w:lineRule="auto"/>
        <w:tabs>
          <w:tab w:leader="none" w:pos="103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corruption;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4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7" w:lineRule="exact"/>
        <w:rPr>
          <w:sz w:val="20"/>
          <w:szCs w:val="20"/>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22" w:lineRule="exact"/>
        <w:rPr>
          <w:rFonts w:ascii="Arial" w:cs="Arial" w:eastAsia="Arial" w:hAnsi="Arial"/>
          <w:sz w:val="18"/>
          <w:szCs w:val="18"/>
          <w:color w:val="auto"/>
        </w:rPr>
      </w:pPr>
    </w:p>
    <w:p>
      <w:pPr>
        <w:ind w:left="1100" w:right="699" w:hanging="322"/>
        <w:spacing w:after="0" w:line="246" w:lineRule="auto"/>
        <w:tabs>
          <w:tab w:leader="none" w:pos="10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21" w:lineRule="exact"/>
        <w:rPr>
          <w:rFonts w:ascii="Arial" w:cs="Arial" w:eastAsia="Arial" w:hAnsi="Arial"/>
          <w:sz w:val="18"/>
          <w:szCs w:val="18"/>
          <w:color w:val="auto"/>
        </w:rPr>
      </w:pPr>
    </w:p>
    <w:p>
      <w:pPr>
        <w:ind w:left="1100" w:right="999" w:hanging="322"/>
        <w:spacing w:after="0" w:line="273" w:lineRule="auto"/>
        <w:tabs>
          <w:tab w:leader="none" w:pos="1039"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36" w:lineRule="exact"/>
        <w:rPr>
          <w:rFonts w:ascii="Arial" w:cs="Arial" w:eastAsia="Arial" w:hAnsi="Arial"/>
          <w:sz w:val="18"/>
          <w:szCs w:val="18"/>
          <w:color w:val="auto"/>
        </w:rPr>
      </w:pPr>
    </w:p>
    <w:p>
      <w:pPr>
        <w:ind w:left="1100" w:right="519" w:hanging="322"/>
        <w:spacing w:after="0" w:line="246" w:lineRule="auto"/>
        <w:tabs>
          <w:tab w:leader="none" w:pos="10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21" w:lineRule="exact"/>
        <w:rPr>
          <w:rFonts w:ascii="Arial" w:cs="Arial" w:eastAsia="Arial" w:hAnsi="Arial"/>
          <w:sz w:val="18"/>
          <w:szCs w:val="18"/>
          <w:color w:val="auto"/>
        </w:rPr>
      </w:pPr>
    </w:p>
    <w:p>
      <w:pPr>
        <w:ind w:left="1100" w:right="519" w:hanging="322"/>
        <w:spacing w:after="0" w:line="246" w:lineRule="auto"/>
        <w:tabs>
          <w:tab w:leader="none" w:pos="10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36" w:lineRule="exact"/>
        <w:rPr>
          <w:rFonts w:ascii="Arial" w:cs="Arial" w:eastAsia="Arial" w:hAnsi="Arial"/>
          <w:sz w:val="18"/>
          <w:szCs w:val="18"/>
          <w:color w:val="auto"/>
        </w:rPr>
      </w:pPr>
    </w:p>
    <w:p>
      <w:pPr>
        <w:ind w:left="1100" w:right="499" w:hanging="322"/>
        <w:spacing w:after="0" w:line="246" w:lineRule="auto"/>
        <w:tabs>
          <w:tab w:leader="none" w:pos="10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44"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We are offering 10,500,000 shares of our Class A common stock at an offering price of $ 10.00 per shares. We estimate that the net proceeds of this offering together with the funds we will receive from the sale of the private placement shares will be used as set forth in the following table.</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Exercised</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180"/>
              <w:spacing w:after="0" w:line="201" w:lineRule="exact"/>
              <w:rPr>
                <w:sz w:val="20"/>
                <w:szCs w:val="20"/>
                <w:color w:val="auto"/>
              </w:rPr>
            </w:pPr>
            <w:r>
              <w:rPr>
                <w:rFonts w:ascii="Arial" w:cs="Arial" w:eastAsia="Arial" w:hAnsi="Arial"/>
                <w:sz w:val="18"/>
                <w:szCs w:val="18"/>
                <w:color w:val="auto"/>
              </w:rPr>
              <w:t>Gross proceeds from shares of Class A common stock offered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360"/>
              <w:spacing w:after="0"/>
              <w:rPr>
                <w:sz w:val="20"/>
                <w:szCs w:val="20"/>
                <w:color w:val="auto"/>
              </w:rPr>
            </w:pPr>
            <w:r>
              <w:rPr>
                <w:rFonts w:ascii="Arial" w:cs="Arial" w:eastAsia="Arial" w:hAnsi="Arial"/>
                <w:sz w:val="18"/>
                <w:szCs w:val="18"/>
                <w:color w:val="auto"/>
              </w:rPr>
              <w:t>to public</w:t>
            </w:r>
            <w:r>
              <w:rPr>
                <w:rFonts w:ascii="Arial" w:cs="Arial" w:eastAsia="Arial" w:hAnsi="Arial"/>
                <w:sz w:val="20"/>
                <w:szCs w:val="20"/>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105,000,000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120,750,000</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Gross proceeds from private placement shares offered in the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placement</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4,415,000</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360"/>
              <w:spacing w:after="0"/>
              <w:rPr>
                <w:sz w:val="20"/>
                <w:szCs w:val="20"/>
                <w:color w:val="auto"/>
              </w:rPr>
            </w:pPr>
            <w:r>
              <w:rPr>
                <w:rFonts w:ascii="Arial" w:cs="Arial" w:eastAsia="Arial" w:hAnsi="Arial"/>
                <w:sz w:val="18"/>
                <w:szCs w:val="18"/>
                <w:color w:val="auto"/>
              </w:rPr>
              <w:t>Total gross proceeds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3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109,100,000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125,165,000</w:t>
            </w:r>
          </w:p>
        </w:tc>
        <w:tc>
          <w:tcPr>
            <w:tcW w:w="0" w:type="dxa"/>
            <w:vAlign w:val="bottom"/>
          </w:tcPr>
          <w:p>
            <w:pPr>
              <w:spacing w:after="0"/>
              <w:rPr>
                <w:sz w:val="1"/>
                <w:szCs w:val="1"/>
                <w:color w:val="auto"/>
              </w:rPr>
            </w:pPr>
          </w:p>
        </w:tc>
      </w:tr>
      <w:tr>
        <w:trPr>
          <w:trHeight w:val="264"/>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Estimated offering expenses</w:t>
            </w:r>
            <w:r>
              <w:rPr>
                <w:rFonts w:ascii="Arial" w:cs="Arial" w:eastAsia="Arial" w:hAnsi="Arial"/>
                <w:sz w:val="20"/>
                <w:szCs w:val="20"/>
                <w:color w:val="auto"/>
                <w:vertAlign w:val="superscript"/>
              </w:rPr>
              <w:t>(2)</w:t>
            </w: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180"/>
              <w:spacing w:after="0" w:line="201" w:lineRule="exact"/>
              <w:rPr>
                <w:sz w:val="20"/>
                <w:szCs w:val="20"/>
                <w:color w:val="auto"/>
              </w:rPr>
            </w:pPr>
            <w:r>
              <w:rPr>
                <w:rFonts w:ascii="Arial" w:cs="Arial" w:eastAsia="Arial" w:hAnsi="Arial"/>
                <w:sz w:val="18"/>
                <w:szCs w:val="18"/>
                <w:color w:val="auto"/>
              </w:rPr>
              <w:t>Underwriting commissions (2.0% of gross proceeds from</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360"/>
              <w:spacing w:after="0" w:line="202" w:lineRule="exact"/>
              <w:rPr>
                <w:sz w:val="20"/>
                <w:szCs w:val="20"/>
                <w:color w:val="auto"/>
              </w:rPr>
            </w:pPr>
            <w:r>
              <w:rPr>
                <w:rFonts w:ascii="Arial" w:cs="Arial" w:eastAsia="Arial" w:hAnsi="Arial"/>
                <w:sz w:val="18"/>
                <w:szCs w:val="18"/>
                <w:color w:val="auto"/>
              </w:rPr>
              <w:t>shares of Class A common stock offered to public, excluding</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360"/>
              <w:spacing w:after="0"/>
              <w:rPr>
                <w:sz w:val="20"/>
                <w:szCs w:val="20"/>
                <w:color w:val="auto"/>
              </w:rPr>
            </w:pPr>
            <w:r>
              <w:rPr>
                <w:rFonts w:ascii="Arial" w:cs="Arial" w:eastAsia="Arial" w:hAnsi="Arial"/>
                <w:sz w:val="18"/>
                <w:szCs w:val="18"/>
                <w:color w:val="auto"/>
              </w:rPr>
              <w:t>deferred portion)</w:t>
            </w:r>
            <w:r>
              <w:rPr>
                <w:rFonts w:ascii="Arial" w:cs="Arial" w:eastAsia="Arial" w:hAnsi="Arial"/>
                <w:sz w:val="20"/>
                <w:szCs w:val="20"/>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2,415,000</w:t>
            </w:r>
          </w:p>
        </w:tc>
        <w:tc>
          <w:tcPr>
            <w:tcW w:w="0" w:type="dxa"/>
            <w:vAlign w:val="bottom"/>
          </w:tcPr>
          <w:p>
            <w:pPr>
              <w:spacing w:after="0"/>
              <w:rPr>
                <w:sz w:val="1"/>
                <w:szCs w:val="1"/>
                <w:color w:val="auto"/>
              </w:rPr>
            </w:pPr>
          </w:p>
        </w:tc>
      </w:tr>
      <w:tr>
        <w:trPr>
          <w:trHeight w:val="26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Accounting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8"/>
                <w:szCs w:val="18"/>
                <w:color w:val="auto"/>
              </w:rPr>
              <w:t>SEC/FINRA Expenses</w:t>
            </w: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34,286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34,286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 and road show</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8"/>
                <w:szCs w:val="18"/>
                <w:color w:val="auto"/>
              </w:rPr>
              <w:t>Nasdaq listing and filing fees</w:t>
            </w: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Directors and officers insurance</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7"/>
        </w:trPr>
        <w:tc>
          <w:tcPr>
            <w:tcW w:w="536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325,714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325,714</w:t>
            </w:r>
          </w:p>
        </w:tc>
        <w:tc>
          <w:tcPr>
            <w:tcW w:w="0" w:type="dxa"/>
            <w:vAlign w:val="bottom"/>
          </w:tcPr>
          <w:p>
            <w:pPr>
              <w:spacing w:after="0"/>
              <w:rPr>
                <w:sz w:val="1"/>
                <w:szCs w:val="1"/>
                <w:color w:val="auto"/>
              </w:rPr>
            </w:pPr>
          </w:p>
        </w:tc>
      </w:tr>
      <w:tr>
        <w:trPr>
          <w:trHeight w:val="188"/>
        </w:trPr>
        <w:tc>
          <w:tcPr>
            <w:tcW w:w="5360" w:type="dxa"/>
            <w:vAlign w:val="bottom"/>
            <w:tcBorders>
              <w:top w:val="single" w:sz="8" w:color="CCEEFF"/>
            </w:tcBorders>
            <w:shd w:val="clear" w:color="auto" w:fill="CCEEFF"/>
          </w:tcPr>
          <w:p>
            <w:pPr>
              <w:ind w:left="360"/>
              <w:spacing w:after="0" w:line="189" w:lineRule="exact"/>
              <w:rPr>
                <w:sz w:val="20"/>
                <w:szCs w:val="20"/>
                <w:color w:val="auto"/>
              </w:rPr>
            </w:pPr>
            <w:r>
              <w:rPr>
                <w:rFonts w:ascii="Arial" w:cs="Arial" w:eastAsia="Arial" w:hAnsi="Arial"/>
                <w:sz w:val="18"/>
                <w:szCs w:val="18"/>
                <w:color w:val="auto"/>
              </w:rPr>
              <w:t>Total offering expenses (other than underwriting</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commissions)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106,000,000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121,750,000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0"/>
                <w:szCs w:val="20"/>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105,000,000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120,750,000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 of public offering size</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right="779"/>
        <w:spacing w:after="0" w:line="273" w:lineRule="auto"/>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20"/>
          <w:szCs w:val="20"/>
          <w:color w:val="auto"/>
          <w:vertAlign w:val="superscript"/>
        </w:rPr>
        <w:t>(4)</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 Total</w:t>
            </w:r>
          </w:p>
        </w:tc>
      </w:tr>
      <w:tr>
        <w:trPr>
          <w:trHeight w:val="25"/>
        </w:trPr>
        <w:tc>
          <w:tcPr>
            <w:tcW w:w="5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2"/>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Legal, accounting, due diligence, travel, and other expenses in</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44"/>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connection with any business combination)</w:t>
            </w:r>
            <w:r>
              <w:rPr>
                <w:rFonts w:ascii="Arial" w:cs="Arial" w:eastAsia="Arial" w:hAnsi="Arial"/>
                <w:sz w:val="20"/>
                <w:szCs w:val="20"/>
                <w:color w:val="auto"/>
                <w:vertAlign w:val="superscript"/>
              </w:rPr>
              <w:t>(5)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and other regulatory fees</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Payment for office space, secretarial and administrative services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Consulting, travel and miscellaneous expenses incurred during search</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initial business combination target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77"/>
        </w:trPr>
        <w:tc>
          <w:tcPr>
            <w:tcW w:w="5700" w:type="dxa"/>
            <w:vAlign w:val="bottom"/>
          </w:tcPr>
          <w:p>
            <w:pPr>
              <w:spacing w:after="0"/>
              <w:rPr>
                <w:sz w:val="20"/>
                <w:szCs w:val="20"/>
                <w:color w:val="auto"/>
              </w:rPr>
            </w:pPr>
            <w:r>
              <w:rPr>
                <w:rFonts w:ascii="Arial" w:cs="Arial" w:eastAsia="Arial" w:hAnsi="Arial"/>
                <w:sz w:val="18"/>
                <w:szCs w:val="18"/>
                <w:color w:val="auto"/>
              </w:rPr>
              <w:t>Working capital to cover miscellaneous expenses</w:t>
            </w:r>
          </w:p>
        </w:tc>
        <w:tc>
          <w:tcPr>
            <w:tcW w:w="108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7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1,000,000</w:t>
            </w:r>
          </w:p>
        </w:tc>
        <w:tc>
          <w:tcPr>
            <w:tcW w:w="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679" w:hanging="426"/>
        <w:spacing w:after="0" w:line="216" w:lineRule="auto"/>
        <w:tabs>
          <w:tab w:leader="none" w:pos="847"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Includes amounts payable to public stockholders who properly redeem their shares in connection with our successful completion of our initial business combination.</w:t>
      </w:r>
    </w:p>
    <w:p>
      <w:pPr>
        <w:ind w:left="880" w:right="499" w:hanging="426"/>
        <w:spacing w:after="0" w:line="216" w:lineRule="auto"/>
        <w:tabs>
          <w:tab w:leader="none" w:pos="8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portion of the offering expenses will be paid from the proceeds of loans from our sponsor of up to $200,000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w:t>
      </w:r>
    </w:p>
    <w:p>
      <w:pPr>
        <w:spacing w:after="0" w:line="1" w:lineRule="exact"/>
        <w:rPr>
          <w:rFonts w:ascii="Arial" w:cs="Arial" w:eastAsia="Arial" w:hAnsi="Arial"/>
          <w:sz w:val="13"/>
          <w:szCs w:val="13"/>
          <w:color w:val="auto"/>
        </w:rPr>
      </w:pPr>
    </w:p>
    <w:p>
      <w:pPr>
        <w:ind w:left="880" w:right="499" w:hanging="426"/>
        <w:spacing w:after="0" w:line="222" w:lineRule="auto"/>
        <w:tabs>
          <w:tab w:leader="none" w:pos="845"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underwriters have agreed to defer underwriting commissions of 3.5% of the gross proceeds of this offering. Upon and concurrently with the completion of our initial business combination, up to $3,675,000, which constitutes the underwriters’ deferred commissions (or up to $4,226,250 if the underwriters’ over-allotment option is exercised in full) will be paid to the underwriters from the funds held in the trust account. See “Underwriting”. The remaining funds, less amounts released to the trustee to pay redeeming stockholders, will be released to us and can be used to</w:t>
      </w:r>
    </w:p>
    <w:p>
      <w:pPr>
        <w:sectPr>
          <w:pgSz w:w="11900" w:h="16838" w:orient="portrait"/>
          <w:cols w:equalWidth="0" w:num="1">
            <w:col w:w="9019"/>
          </w:cols>
          <w:pgMar w:left="1440" w:top="333"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5" w:name="page56"/>
    <w:bookmarkEnd w:id="55"/>
    <w:p>
      <w:pPr>
        <w:ind w:left="880" w:right="519"/>
        <w:spacing w:after="0" w:line="216" w:lineRule="auto"/>
        <w:rPr>
          <w:sz w:val="20"/>
          <w:szCs w:val="20"/>
          <w:color w:val="auto"/>
        </w:rPr>
      </w:pPr>
      <w:r>
        <w:rPr>
          <w:rFonts w:ascii="Arial" w:cs="Arial" w:eastAsia="Arial" w:hAnsi="Arial"/>
          <w:sz w:val="13"/>
          <w:szCs w:val="13"/>
          <w:color w:val="auto"/>
        </w:rPr>
        <w:t>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2" w:lineRule="exact"/>
        <w:rPr>
          <w:sz w:val="20"/>
          <w:szCs w:val="20"/>
          <w:color w:val="auto"/>
        </w:rPr>
      </w:pPr>
    </w:p>
    <w:p>
      <w:pPr>
        <w:ind w:left="880" w:right="479" w:hanging="426"/>
        <w:spacing w:after="0" w:line="216" w:lineRule="auto"/>
        <w:tabs>
          <w:tab w:leader="none" w:pos="845"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$105,000 per year, assuming an interest rate of 0.1% per year; however, we can provide no assurances regarding this amount.</w:t>
      </w:r>
    </w:p>
    <w:p>
      <w:pPr>
        <w:spacing w:after="0" w:line="5" w:lineRule="exact"/>
        <w:rPr>
          <w:rFonts w:ascii="Arial" w:cs="Arial" w:eastAsia="Arial" w:hAnsi="Arial"/>
          <w:sz w:val="13"/>
          <w:szCs w:val="13"/>
          <w:color w:val="auto"/>
        </w:rPr>
      </w:pPr>
    </w:p>
    <w:p>
      <w:pPr>
        <w:ind w:left="880" w:right="639" w:hanging="426"/>
        <w:spacing w:after="0" w:line="230" w:lineRule="auto"/>
        <w:tabs>
          <w:tab w:leader="none" w:pos="847"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estimated amounts that may also be used in connection with our initial business combination to fund a “no shop” provision and commitment fees for financing.</w:t>
      </w:r>
    </w:p>
    <w:p>
      <w:pPr>
        <w:spacing w:after="0" w:line="11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Nasdaq rules provide that at least 90% of the gross proceeds from this offering and the sale of the private placement shares be deposited in a trust account. Of the $ 109.10 million in gross proceeds we receive from this offering and the sale of the private placement shares described in this prospectus, or approximately $125.17 million if the underwriters’ over-allotment option is exercised in full, $105.00 million ($10.00 per share), or $120.75 million if the underwriters’ over-allotment option is exercised in full ($10.00 per share), will be deposited into a trust account with Continental Stock Transfer &amp; Trust Company acting as trustee, after deducting $ 2.10 million in underwriting discounts and commissions payable upon the closing of this offering (or approximately $2.42 million if the underwriters’ over-allotment option is exercised in full) and an aggregate of $2.00 million to pay fees and expenses in connection with the closing of this offering and for working capital following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$105,000 per year, assuming an interest rate of 0.1% per year; however, we can provide no assurances regarding this amount.</w:t>
      </w:r>
    </w:p>
    <w:p>
      <w:pPr>
        <w:spacing w:after="0" w:line="132"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color w:val="auto"/>
        </w:rPr>
        <w:t>We expect that the interest earned on the trust account will be sufficient to pay income taxes. We will not be permitted to withdraw any of the principal or interest held in the trust account, except for the withdrawal of interest to pay our taxes, until the earliest of (i) the completion of our initial business combination, (ii) the redemption of our public shares if we are unable to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our initial business combination within 24 months from the closing of this offering or with respect to any other material provisions relating to stockholders’ rights or pre-initial business combination activity.</w:t>
      </w:r>
    </w:p>
    <w:p>
      <w:pPr>
        <w:spacing w:after="0" w:line="10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However, our amended and restated certificate of incorporation provides that, following this offering and prior to the consummation of our initial business combination, we will be prohibited from issuing additional securities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460" w:right="539"/>
        <w:spacing w:after="0" w:line="236" w:lineRule="auto"/>
        <w:rPr>
          <w:sz w:val="20"/>
          <w:szCs w:val="20"/>
          <w:color w:val="auto"/>
        </w:rPr>
      </w:pPr>
      <w:r>
        <w:rPr>
          <w:rFonts w:ascii="Arial" w:cs="Arial" w:eastAsia="Arial" w:hAnsi="Arial"/>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2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Subsequent to the closing of this offering, we will pay our sponsor $10,000 per month for office space, secretarial and administrative services provided to members of our management team. Upon completion of our initial business combination or our liquidation, we will cease paying these monthly fees.</w:t>
      </w:r>
    </w:p>
    <w:p>
      <w:pPr>
        <w:spacing w:after="0" w:line="137"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Prior to the closing of this offering, our sponsor has agreed to loan us up to $200,000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35"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private placement shares of the post business combination entity at a price of $ 10.00 per share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incur any indebtedness in connection with our initial business combination, our ability to declare dividends may be limited by restrictive covenants we may agree to in connection therewith.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DILUTION</w:t>
      </w:r>
    </w:p>
    <w:p>
      <w:pPr>
        <w:spacing w:after="0" w:line="166" w:lineRule="exact"/>
        <w:rPr>
          <w:sz w:val="20"/>
          <w:szCs w:val="20"/>
          <w:color w:val="auto"/>
        </w:rPr>
      </w:pPr>
    </w:p>
    <w:p>
      <w:pPr>
        <w:ind w:left="460" w:right="619"/>
        <w:spacing w:after="0" w:line="237" w:lineRule="auto"/>
        <w:rPr>
          <w:sz w:val="20"/>
          <w:szCs w:val="20"/>
          <w:color w:val="auto"/>
        </w:rPr>
      </w:pPr>
      <w:r>
        <w:rPr>
          <w:rFonts w:ascii="Arial" w:cs="Arial" w:eastAsia="Arial" w:hAnsi="Arial"/>
          <w:sz w:val="18"/>
          <w:szCs w:val="18"/>
          <w:color w:val="auto"/>
        </w:rPr>
        <w:t>The difference between the public offering price per share of Class A common stock and the pro forma net tangible book value per share of our Class A common stock after this offering constitutes the dilution to investors in this offering. Net tangible book value per share is determined by dividing our net tangible book value, which is our total tangible assets less total liabilities (including the value of shares of Class A common stock which may be redeemed for cash), by the number of shares of outstanding Class A common stock.</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At June 30, 2020, our net tangible book deficit was $(29,500), or approximately $(0.01) per share of common stock. After giving effect to the sale of 10,500,000 shares of Class A common stock we are offering by this prospectus (or 12,075,000 shares of Class A common stock if the underwriters’ over-allotment option is exercised in full), the sale of the private placement shares and the deduction of underwriting commissions and estimated expenses of this offering, our pro forma net tangible book value at June 30, 2020 would have been $5,000,010 or $1.32 per share (or $5,000,010 or $1.17 per share if the underwriters’ over-allotment option is exercised in full), representing an immediate increase in net tangible book value (as decreased by the value of 9,734,849 shares of Class A common stock that may be redeemed for cash, or 11,254,724 shares of Class A common stock if the underwriters’ over-allotment option is exercised in full) of $1.33 per share (or $1.18 if the underwriters’ over-allotment option is exercised in full) to our initial stockholders as of the date of this prospectus. Total dilution to public stockholders from this offering will be $8.68 per share (or $8.83 if the underwriters’ over-allotment option is exercised in full).</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dilution to the public stockholders on a per-share basis: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Without</w:t>
            </w:r>
          </w:p>
        </w:tc>
        <w:tc>
          <w:tcPr>
            <w:tcW w:w="26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With</w:t>
            </w:r>
          </w:p>
        </w:tc>
      </w:t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Over-allotment</w:t>
            </w:r>
          </w:p>
        </w:tc>
        <w:tc>
          <w:tcPr>
            <w:tcW w:w="12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Over-allotment</w:t>
            </w:r>
          </w:p>
        </w:tc>
      </w:tr>
      <w:tr>
        <w:trPr>
          <w:trHeight w:val="26"/>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(0.01)</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1.18</w:t>
            </w: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color w:val="auto"/>
              </w:rPr>
              <w:t>Pro forma net tangible book value after this offering and the sale of</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5480" w:type="dxa"/>
            <w:vAlign w:val="bottom"/>
          </w:tcPr>
          <w:p>
            <w:pPr>
              <w:ind w:left="180"/>
              <w:spacing w:after="0"/>
              <w:rPr>
                <w:sz w:val="20"/>
                <w:szCs w:val="20"/>
                <w:color w:val="auto"/>
              </w:rPr>
            </w:pPr>
            <w:r>
              <w:rPr>
                <w:rFonts w:ascii="Arial" w:cs="Arial" w:eastAsia="Arial" w:hAnsi="Arial"/>
                <w:sz w:val="18"/>
                <w:szCs w:val="18"/>
                <w:color w:val="auto"/>
              </w:rPr>
              <w:t>the private placement shares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1.17</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8.83</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Percentage of dilution to public stockholders</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88.3%</w:t>
            </w:r>
          </w:p>
        </w:tc>
      </w:tr>
    </w:tbl>
    <w:p>
      <w:pPr>
        <w:spacing w:after="0" w:line="17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over-allotment option) by $97,348,490 because holders of up to approximately 92.7%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earned on the funds held in the trust account and not previously released to us to pay our taxes), divided by the number of shares of Class A common stock sold in this offering.</w:t>
      </w:r>
    </w:p>
    <w:p>
      <w:pPr>
        <w:spacing w:after="0" w:line="139" w:lineRule="exact"/>
        <w:rPr>
          <w:sz w:val="20"/>
          <w:szCs w:val="20"/>
          <w:color w:val="auto"/>
        </w:rPr>
      </w:pPr>
    </w:p>
    <w:p>
      <w:pPr>
        <w:ind w:left="460" w:right="1119"/>
        <w:spacing w:after="0" w:line="246"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24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Shares Purchased</w:t>
            </w:r>
          </w:p>
        </w:tc>
        <w:tc>
          <w:tcPr>
            <w:tcW w:w="21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1160" w:type="dxa"/>
            <w:vAlign w:val="bottom"/>
            <w:gridSpan w:val="2"/>
            <w:vMerge w:val="restart"/>
          </w:tcPr>
          <w:p>
            <w:pPr>
              <w:jc w:val="right"/>
              <w:ind w:right="35"/>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
        </w:trPr>
        <w:tc>
          <w:tcPr>
            <w:tcW w:w="2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r>
              <w:rPr>
                <w:rFonts w:ascii="Arial" w:cs="Arial" w:eastAsia="Arial" w:hAnsi="Arial"/>
                <w:sz w:val="20"/>
                <w:szCs w:val="20"/>
                <w:color w:val="auto"/>
                <w:vertAlign w:val="superscript"/>
              </w:rPr>
              <w:t>(1)(2)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2,625,000</w:t>
            </w: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19.39%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2240" w:type="dxa"/>
            <w:vAlign w:val="bottom"/>
          </w:tcPr>
          <w:p>
            <w:pPr>
              <w:spacing w:after="0"/>
              <w:rPr>
                <w:sz w:val="20"/>
                <w:szCs w:val="20"/>
                <w:color w:val="auto"/>
              </w:rPr>
            </w:pPr>
            <w:r>
              <w:rPr>
                <w:rFonts w:ascii="Arial" w:cs="Arial" w:eastAsia="Arial" w:hAnsi="Arial"/>
                <w:sz w:val="18"/>
                <w:szCs w:val="18"/>
                <w:color w:val="auto"/>
              </w:rPr>
              <w:t>Private placement shares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4,100,000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105,000,000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96.22%</w:t>
            </w:r>
          </w:p>
        </w:tc>
        <w:tc>
          <w:tcPr>
            <w:tcW w:w="1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2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13,535,000</w:t>
            </w: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100.00% $</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109,125,000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719" w:hanging="426"/>
        <w:spacing w:after="0" w:line="216" w:lineRule="auto"/>
        <w:tabs>
          <w:tab w:leader="none" w:pos="8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Assumes that 393,750 founder shares are forfeited by our sponsor after the closing of this offering in the event the underwriters do not exercise their over-allotment option.</w:t>
      </w:r>
    </w:p>
    <w:p>
      <w:pPr>
        <w:ind w:left="860" w:hanging="406"/>
        <w:spacing w:after="0"/>
        <w:tabs>
          <w:tab w:leader="none" w:pos="8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 July 2020, our sponsor transferred 30,000 shares of Class B common stock to each of Mr. Carey, Dr. Dubin and Dr. Pakianathan.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(29,500)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this offering and sale of the private placement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106,000,000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121,750,000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Plus: Offering costs paid in advance, excluded from tangible book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value before this offering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(4,226,250)</w:t>
            </w:r>
          </w:p>
        </w:tc>
        <w:tc>
          <w:tcPr>
            <w:tcW w:w="0" w:type="dxa"/>
            <w:vAlign w:val="bottom"/>
          </w:tcPr>
          <w:p>
            <w:pPr>
              <w:spacing w:after="0"/>
              <w:rPr>
                <w:sz w:val="1"/>
                <w:szCs w:val="1"/>
                <w:color w:val="auto"/>
              </w:rPr>
            </w:pPr>
          </w:p>
        </w:tc>
      </w:tr>
      <w:tr>
        <w:trPr>
          <w:trHeight w:val="283"/>
        </w:trPr>
        <w:tc>
          <w:tcPr>
            <w:tcW w:w="536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(97,348,490)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(112,547,240)</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B common stock outstanding prior to this offering</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3,018,750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3,018,750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Class B common stock forfeited by our sponsor if over-allotment is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not exercised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(393,750)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sold in this offering</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12,075,000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Class A common stock sold to our sponsor in a private placement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441,500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Less: Shares subject to redemption</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(9,734,849)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(11,254,724)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3,800,151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4,280,526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1039" w:hanging="426"/>
        <w:spacing w:after="0" w:line="216" w:lineRule="auto"/>
        <w:tabs>
          <w:tab w:leader="none" w:pos="847"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Expenses applied against gross proceeds include offering expenses of $1,000,000 and underwriting commissions of $2,100,000 (excluding deferred underwriting fees). See “Use of Proceeds.”</w:t>
      </w:r>
    </w:p>
    <w:p>
      <w:pPr>
        <w:ind w:left="880" w:right="579" w:hanging="426"/>
        <w:spacing w:after="0" w:line="220" w:lineRule="auto"/>
        <w:tabs>
          <w:tab w:leader="none" w:pos="847" w:val="left"/>
        </w:tabs>
        <w:numPr>
          <w:ilvl w:val="0"/>
          <w:numId w:val="34"/>
        </w:numPr>
        <w:rPr>
          <w:rFonts w:ascii="Arial" w:cs="Arial" w:eastAsia="Arial" w:hAnsi="Arial"/>
          <w:sz w:val="13"/>
          <w:szCs w:val="13"/>
          <w:color w:val="auto"/>
        </w:rPr>
      </w:pPr>
      <w:r>
        <w:rPr>
          <w:rFonts w:ascii="Arial" w:cs="Arial" w:eastAsia="Arial" w:hAnsi="Arial"/>
          <w:sz w:val="13"/>
          <w:szCs w:val="13"/>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Initial Business Combination — Permitted Purchases of Our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following table sets forth our capitalization at June 30, 2020, and as adjusted to give effect to the filing of our amended and restated certificate of incorporation, the sale of our shares of common stock in this offering and the sale of the private placement shares and the application of the estimated net proceeds derived from the sale of such securities, assuming no exercise by the underwriters of their over-allotment option:</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June 30, 2020</w:t>
            </w:r>
          </w:p>
        </w:tc>
      </w:tr>
      <w:tr>
        <w:trPr>
          <w:trHeight w:val="26"/>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51"/>
        </w:trPr>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 Adjusted</w:t>
            </w:r>
          </w:p>
        </w:tc>
      </w:tr>
      <w:tr>
        <w:trPr>
          <w:trHeight w:val="26"/>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(1)</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3,675,000</w:t>
            </w:r>
          </w:p>
        </w:tc>
        <w:tc>
          <w:tcPr>
            <w:tcW w:w="120" w:type="dxa"/>
            <w:vAlign w:val="bottom"/>
          </w:tcPr>
          <w:p>
            <w:pPr>
              <w:spacing w:after="0"/>
              <w:rPr>
                <w:sz w:val="24"/>
                <w:szCs w:val="24"/>
                <w:color w:val="auto"/>
              </w:rPr>
            </w:pPr>
          </w:p>
        </w:tc>
      </w:tr>
      <w:tr>
        <w:trPr>
          <w:trHeight w:val="188"/>
        </w:trPr>
        <w:tc>
          <w:tcPr>
            <w:tcW w:w="54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Class A common stock subject to possible redemption; -0- and</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44"/>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9,734,849 shares, actual and as adjusted, respectively</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97,348,490</w:t>
            </w:r>
          </w:p>
        </w:tc>
        <w:tc>
          <w:tcPr>
            <w:tcW w:w="120" w:type="dxa"/>
            <w:vAlign w:val="bottom"/>
            <w:shd w:val="clear" w:color="auto" w:fill="CCEEFF"/>
          </w:tcPr>
          <w:p>
            <w:pPr>
              <w:spacing w:after="0"/>
              <w:rPr>
                <w:sz w:val="21"/>
                <w:szCs w:val="21"/>
                <w:color w:val="auto"/>
              </w:rPr>
            </w:pPr>
          </w:p>
        </w:tc>
      </w:tr>
      <w:tr>
        <w:trPr>
          <w:trHeight w:val="182"/>
        </w:trPr>
        <w:tc>
          <w:tcPr>
            <w:tcW w:w="5440" w:type="dxa"/>
            <w:vAlign w:val="bottom"/>
          </w:tcPr>
          <w:p>
            <w:pPr>
              <w:spacing w:after="0" w:line="182" w:lineRule="exact"/>
              <w:rPr>
                <w:sz w:val="20"/>
                <w:szCs w:val="20"/>
                <w:color w:val="auto"/>
              </w:rPr>
            </w:pPr>
            <w:r>
              <w:rPr>
                <w:rFonts w:ascii="Arial" w:cs="Arial" w:eastAsia="Arial" w:hAnsi="Arial"/>
                <w:sz w:val="18"/>
                <w:szCs w:val="18"/>
                <w:color w:val="auto"/>
              </w:rPr>
              <w:t>Preferred stock, $0.0001 par value, 1,000,000 shares authorized;</w:t>
            </w: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7"/>
        </w:trPr>
        <w:tc>
          <w:tcPr>
            <w:tcW w:w="5440" w:type="dxa"/>
            <w:vAlign w:val="bottom"/>
          </w:tcPr>
          <w:p>
            <w:pPr>
              <w:ind w:left="180"/>
              <w:spacing w:after="0"/>
              <w:rPr>
                <w:sz w:val="20"/>
                <w:szCs w:val="20"/>
                <w:color w:val="auto"/>
              </w:rPr>
            </w:pPr>
            <w:r>
              <w:rPr>
                <w:rFonts w:ascii="Arial" w:cs="Arial" w:eastAsia="Arial" w:hAnsi="Arial"/>
                <w:sz w:val="18"/>
                <w:szCs w:val="18"/>
                <w:color w:val="auto"/>
              </w:rPr>
              <w:t>none issued and outstanding, actual and as adjusted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100,000,000 shares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-0- and 1,175,151 shares issued and outstanding</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(excluding -0- and 9,734,849 shares subject to possible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actual and as adjusted,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Class B common stock, $0.0001 par value, 10,000,000 shares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authorized; 3,018,750 and 2,625,000 shares issued and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4"/>
        </w:trPr>
        <w:tc>
          <w:tcPr>
            <w:tcW w:w="5440" w:type="dxa"/>
            <w:vAlign w:val="bottom"/>
          </w:tcPr>
          <w:p>
            <w:pPr>
              <w:ind w:left="180"/>
              <w:spacing w:after="0"/>
              <w:rPr>
                <w:sz w:val="20"/>
                <w:szCs w:val="20"/>
                <w:color w:val="auto"/>
              </w:rPr>
            </w:pPr>
            <w:r>
              <w:rPr>
                <w:rFonts w:ascii="Arial" w:cs="Arial" w:eastAsia="Arial" w:hAnsi="Arial"/>
                <w:sz w:val="18"/>
                <w:szCs w:val="18"/>
                <w:color w:val="auto"/>
              </w:rPr>
              <w:t>outstanding, actual and as adjusted, respectively</w:t>
            </w:r>
            <w:r>
              <w:rPr>
                <w:rFonts w:ascii="Arial" w:cs="Arial" w:eastAsia="Arial" w:hAnsi="Arial"/>
                <w:sz w:val="20"/>
                <w:szCs w:val="20"/>
                <w:color w:val="auto"/>
                <w:vertAlign w:val="superscript"/>
              </w:rPr>
              <w:t>(3)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5,001,129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27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20" w:type="dxa"/>
            <w:vAlign w:val="bottom"/>
            <w:tcBorders>
              <w:top w:val="single" w:sz="8" w:color="CCEEFF"/>
            </w:tcBorders>
            <w:shd w:val="clear" w:color="auto" w:fill="CCEEFF"/>
          </w:tcPr>
          <w:p>
            <w:pPr>
              <w:spacing w:after="0"/>
              <w:rPr>
                <w:sz w:val="23"/>
                <w:szCs w:val="23"/>
                <w:color w:val="auto"/>
              </w:rPr>
            </w:pPr>
          </w:p>
        </w:tc>
      </w:tr>
      <w:tr>
        <w:trPr>
          <w:trHeight w:val="250"/>
        </w:trPr>
        <w:tc>
          <w:tcPr>
            <w:tcW w:w="544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106,023,500</w:t>
            </w:r>
          </w:p>
        </w:tc>
        <w:tc>
          <w:tcPr>
            <w:tcW w:w="12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519" w:hanging="426"/>
        <w:spacing w:after="0" w:line="234" w:lineRule="auto"/>
        <w:tabs>
          <w:tab w:leader="none" w:pos="847"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sponsor has agreed to purchase 410,000 shares of Class A common stock (or 441,500 shares of Class A common stock if the underwriters’ over-allotment option is exercised in full), at a price of $10.00 per share in a private placement for an aggregate purchase price of $4,100,000 (or $4,415,000 if the over-allotment option is exercised in full) that will close simultaneously with the closing of this offering. Additionally, our sponsor may loan us up to $200,000 under an unsecured promissory note to be used for a portion of the expenses of this offering. The “as adjusted” information gives effect to the repayment of any loans made under this note out of the proceeds from this offering and the sale of the private placement shares. To date, we had borrowed $200,000 under the promissory note.</w:t>
      </w:r>
    </w:p>
    <w:p>
      <w:pPr>
        <w:spacing w:after="0" w:line="2" w:lineRule="exact"/>
        <w:rPr>
          <w:rFonts w:ascii="Arial" w:cs="Arial" w:eastAsia="Arial" w:hAnsi="Arial"/>
          <w:sz w:val="12"/>
          <w:szCs w:val="12"/>
          <w:color w:val="auto"/>
        </w:rPr>
      </w:pPr>
    </w:p>
    <w:p>
      <w:pPr>
        <w:ind w:left="880" w:right="499" w:hanging="426"/>
        <w:spacing w:after="0" w:line="216" w:lineRule="auto"/>
        <w:tabs>
          <w:tab w:leader="none" w:pos="847" w:val="left"/>
        </w:tabs>
        <w:numPr>
          <w:ilvl w:val="0"/>
          <w:numId w:val="35"/>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whereby redemptions cannot cause our net tangible assets to be less than $5,000,001.</w:t>
      </w:r>
    </w:p>
    <w:p>
      <w:pPr>
        <w:spacing w:after="0" w:line="2" w:lineRule="exact"/>
        <w:rPr>
          <w:rFonts w:ascii="Arial" w:cs="Arial" w:eastAsia="Arial" w:hAnsi="Arial"/>
          <w:sz w:val="13"/>
          <w:szCs w:val="13"/>
          <w:color w:val="auto"/>
        </w:rPr>
      </w:pPr>
    </w:p>
    <w:p>
      <w:pPr>
        <w:ind w:left="880" w:right="659" w:hanging="426"/>
        <w:spacing w:after="0" w:line="230" w:lineRule="auto"/>
        <w:tabs>
          <w:tab w:leader="none" w:pos="8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Actual share amount is prior to any forfeiture of founder shares and as adjusted amount assumes no exercise of the underwriters’ over-allotment option and forfeiture by our sponsor of an aggregate of 393,750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1" w:name="page62"/>
    <w:bookmarkEnd w:id="61"/>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We are a blank check company incorporated on June 25, 2020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industry or geographic region. We intend to focus our search for an initial business combination in the biotechnology sector. We intend to effectuate our initial business combination using cash from the proceeds of this offering and the private placement of the private placement shares,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122" w:lineRule="exact"/>
        <w:rPr>
          <w:sz w:val="20"/>
          <w:szCs w:val="20"/>
          <w:color w:val="auto"/>
        </w:rPr>
      </w:pPr>
    </w:p>
    <w:p>
      <w:pPr>
        <w:ind w:left="460" w:right="839"/>
        <w:spacing w:after="0" w:line="246" w:lineRule="auto"/>
        <w:rPr>
          <w:sz w:val="20"/>
          <w:szCs w:val="20"/>
          <w:color w:val="auto"/>
        </w:rPr>
      </w:pPr>
      <w:r>
        <w:rPr>
          <w:rFonts w:ascii="Arial" w:cs="Arial" w:eastAsia="Arial" w:hAnsi="Arial"/>
          <w:sz w:val="18"/>
          <w:szCs w:val="18"/>
          <w:color w:val="auto"/>
        </w:rPr>
        <w:t>The issuance of additional shares in connection with a business combination to the owners of the target or other investors:</w:t>
      </w:r>
    </w:p>
    <w:p>
      <w:pPr>
        <w:spacing w:after="0" w:line="21" w:lineRule="exact"/>
        <w:rPr>
          <w:sz w:val="20"/>
          <w:szCs w:val="20"/>
          <w:color w:val="auto"/>
        </w:rPr>
      </w:pPr>
    </w:p>
    <w:p>
      <w:pPr>
        <w:ind w:left="1100" w:right="539" w:hanging="322"/>
        <w:spacing w:after="0" w:line="238" w:lineRule="auto"/>
        <w:tabs>
          <w:tab w:leader="none" w:pos="10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common stock resulted in the issuance of Class A common stock on a greater than one-to-one basis upon conversion of the Class B common stock;</w:t>
      </w:r>
    </w:p>
    <w:p>
      <w:pPr>
        <w:spacing w:after="0" w:line="29"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7" w:lineRule="exact"/>
        <w:rPr>
          <w:rFonts w:ascii="Arial" w:cs="Arial" w:eastAsia="Arial" w:hAnsi="Arial"/>
          <w:sz w:val="18"/>
          <w:szCs w:val="18"/>
          <w:color w:val="auto"/>
        </w:rPr>
      </w:pPr>
    </w:p>
    <w:p>
      <w:pPr>
        <w:ind w:left="1100" w:right="719" w:hanging="322"/>
        <w:spacing w:after="0" w:line="238" w:lineRule="auto"/>
        <w:tabs>
          <w:tab w:leader="none" w:pos="10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w:t>
      </w:r>
    </w:p>
    <w:p>
      <w:pPr>
        <w:spacing w:after="0" w:line="29" w:lineRule="exact"/>
        <w:rPr>
          <w:rFonts w:ascii="Arial" w:cs="Arial" w:eastAsia="Arial" w:hAnsi="Arial"/>
          <w:sz w:val="18"/>
          <w:szCs w:val="18"/>
          <w:color w:val="auto"/>
        </w:rPr>
      </w:pPr>
    </w:p>
    <w:p>
      <w:pPr>
        <w:ind w:left="1100" w:right="719" w:hanging="322"/>
        <w:spacing w:after="0" w:line="246" w:lineRule="auto"/>
        <w:tabs>
          <w:tab w:leader="none" w:pos="10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w:t>
      </w:r>
    </w:p>
    <w:p>
      <w:pPr>
        <w:spacing w:after="0" w:line="131"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21" w:lineRule="exact"/>
        <w:rPr>
          <w:sz w:val="20"/>
          <w:szCs w:val="20"/>
          <w:color w:val="auto"/>
        </w:rPr>
      </w:pPr>
    </w:p>
    <w:p>
      <w:pPr>
        <w:ind w:left="1100" w:right="1099" w:hanging="322"/>
        <w:spacing w:after="0" w:line="246"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3"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1" w:lineRule="exact"/>
        <w:rPr>
          <w:rFonts w:ascii="Arial" w:cs="Arial" w:eastAsia="Arial" w:hAnsi="Arial"/>
          <w:sz w:val="18"/>
          <w:szCs w:val="18"/>
          <w:color w:val="auto"/>
        </w:rPr>
      </w:pPr>
    </w:p>
    <w:p>
      <w:pPr>
        <w:ind w:left="1100" w:right="599" w:hanging="322"/>
        <w:spacing w:after="0" w:line="246"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22" w:lineRule="exact"/>
        <w:rPr>
          <w:rFonts w:ascii="Arial" w:cs="Arial" w:eastAsia="Arial" w:hAnsi="Arial"/>
          <w:sz w:val="18"/>
          <w:szCs w:val="18"/>
          <w:color w:val="auto"/>
        </w:rPr>
      </w:pPr>
    </w:p>
    <w:p>
      <w:pPr>
        <w:jc w:val="both"/>
        <w:ind w:left="1100" w:right="499" w:hanging="322"/>
        <w:spacing w:after="0"/>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27" w:lineRule="exact"/>
        <w:rPr>
          <w:rFonts w:ascii="Arial" w:cs="Arial" w:eastAsia="Arial" w:hAnsi="Arial"/>
          <w:sz w:val="18"/>
          <w:szCs w:val="18"/>
          <w:color w:val="auto"/>
        </w:rPr>
      </w:pPr>
    </w:p>
    <w:p>
      <w:pPr>
        <w:ind w:left="1100" w:right="639" w:hanging="322"/>
        <w:spacing w:after="0" w:line="246"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79" w:hanging="322"/>
        <w:spacing w:after="0" w:line="246"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 w:lineRule="exact"/>
        <w:rPr>
          <w:rFonts w:ascii="Arial" w:cs="Arial" w:eastAsia="Arial" w:hAnsi="Arial"/>
          <w:sz w:val="18"/>
          <w:szCs w:val="18"/>
          <w:color w:val="auto"/>
        </w:rPr>
      </w:pPr>
    </w:p>
    <w:p>
      <w:pPr>
        <w:ind w:left="1100" w:right="779" w:hanging="322"/>
        <w:spacing w:after="0"/>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2" w:name="page63"/>
    <w:bookmarkEnd w:id="62"/>
    <w:p>
      <w:pPr>
        <w:ind w:left="460" w:right="479"/>
        <w:spacing w:after="0" w:line="238" w:lineRule="auto"/>
        <w:rPr>
          <w:sz w:val="20"/>
          <w:szCs w:val="20"/>
          <w:color w:val="auto"/>
        </w:rPr>
      </w:pPr>
      <w:r>
        <w:rPr>
          <w:rFonts w:ascii="Arial" w:cs="Arial" w:eastAsia="Arial" w:hAnsi="Arial"/>
          <w:sz w:val="18"/>
          <w:szCs w:val="18"/>
          <w:color w:val="auto"/>
        </w:rPr>
        <w:t>As indicated in the accompanying financial statements, at June 30, 2020, we had $25,000 in cash, deferred offering costs of $53,000, and a working capital deficit of $(29,500). Further, we expect to incur significant costs in the pursuit of our initial business combination.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ind w:left="460" w:right="719"/>
        <w:spacing w:after="0"/>
        <w:rPr>
          <w:sz w:val="20"/>
          <w:szCs w:val="20"/>
          <w:color w:val="auto"/>
        </w:rPr>
      </w:pPr>
      <w:r>
        <w:rPr>
          <w:rFonts w:ascii="Arial" w:cs="Arial" w:eastAsia="Arial" w:hAnsi="Arial"/>
          <w:sz w:val="18"/>
          <w:szCs w:val="18"/>
          <w:color w:val="auto"/>
        </w:rPr>
        <w:t>Our liquidity needs have been satisfied prior to the completion of this offering through a capital contribution from our sponsor of $25,000 in exchange for the issuance of the founder shares to our sponsor and up to $200,000 in loans available from our sponsor.</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estimate that the net proceeds from the sale of the shares of Class A common stock in this offering and the sale of the private placement shares for an aggregate purchase price of $4,100,000 (or $4,415,000 if the underwriters’ over-allotment option is exercised in full), after deducting offering expenses of approximately $1,000,000 and underwriting commissions of $2,100,000 (or $2,415,000 if the underwriters’ over-allotment option is exercised in full) (excluding deferred underwriting commissions of $3,675,000, or $4,226,250 if the underwriters’ over-allotment option is exercised in full), will be $106,000,000 (or $121,750,000 if the underwriters’ over-allotment option is exercised in full). $105,000,000 (or $120,750,000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32"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(excluding deferred underwriting commissions) to complete our initial business combination. We may withdraw interest to pay our taxes. We estimate our annual franchise tax obligations, based on the number of shares of our common stock authorized and outstanding after the completion of this offering, to be $200,000, which is the maximum amount of annual franchise taxes payable by us as a Delaware corporation per annum, which we may pay from funds from this offering held outside of the trust account or from interest earned on the funds held in the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46" w:lineRule="exact"/>
        <w:rPr>
          <w:sz w:val="20"/>
          <w:szCs w:val="20"/>
          <w:color w:val="auto"/>
        </w:rPr>
      </w:pPr>
    </w:p>
    <w:p>
      <w:pPr>
        <w:ind w:left="460" w:right="539"/>
        <w:spacing w:after="0" w:line="253"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3" w:name="page64"/>
    <w:bookmarkEnd w:id="63"/>
    <w:p>
      <w:pPr>
        <w:ind w:left="460" w:right="479"/>
        <w:spacing w:after="0" w:line="235" w:lineRule="auto"/>
        <w:rPr>
          <w:sz w:val="20"/>
          <w:szCs w:val="20"/>
          <w:color w:val="auto"/>
        </w:rPr>
      </w:pPr>
      <w:r>
        <w:rPr>
          <w:rFonts w:ascii="Arial" w:cs="Arial" w:eastAsia="Arial" w:hAnsi="Arial"/>
          <w:sz w:val="18"/>
          <w:szCs w:val="18"/>
          <w:color w:val="auto"/>
        </w:rPr>
        <w:t>We do not believe we will need to raise additional funds following this offering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 at the option of the lender.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2"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expect our primary liquidity requirements during that period to include approximately $500,000 for legal, accounting, due diligence, travel and other expenses associated with structuring, negotiating and documenting successful business combinations; $ 85,000 for legal and accounting fees related to regulatory reporting requirements; $75,000 for Nasdaq and other regulatory fees; $75,000 for consulting, travel and miscellaneous expenses incurred during the search for a business combination target; and approximately $25,000 for general working capital that will be used for miscellaneous expenses and reserves. We will also pay our sponsor $10,000 per month for office space, secretarial and administrative services provided to members of our management team subsequent to the closing of this offering.</w:t>
      </w:r>
    </w:p>
    <w:p>
      <w:pPr>
        <w:spacing w:after="0" w:line="139"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36" w:lineRule="exact"/>
        <w:rPr>
          <w:sz w:val="20"/>
          <w:szCs w:val="20"/>
          <w:color w:val="auto"/>
        </w:rPr>
      </w:pPr>
    </w:p>
    <w:p>
      <w:pPr>
        <w:ind w:left="460" w:right="579"/>
        <w:spacing w:after="0" w:line="235" w:lineRule="auto"/>
        <w:rPr>
          <w:sz w:val="20"/>
          <w:szCs w:val="20"/>
          <w:color w:val="auto"/>
        </w:rPr>
      </w:pPr>
      <w:r>
        <w:rPr>
          <w:rFonts w:ascii="Arial" w:cs="Arial" w:eastAsia="Arial" w:hAnsi="Arial"/>
          <w:sz w:val="18"/>
          <w:szCs w:val="18"/>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shares,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2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32" w:lineRule="exact"/>
        <w:rPr>
          <w:sz w:val="20"/>
          <w:szCs w:val="20"/>
          <w:color w:val="auto"/>
        </w:rPr>
      </w:pPr>
    </w:p>
    <w:p>
      <w:pPr>
        <w:ind w:left="1040" w:hanging="26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net proceeds of this offering and the sale of the private placement shares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0" w:lineRule="exact"/>
        <w:rPr>
          <w:sz w:val="20"/>
          <w:szCs w:val="20"/>
          <w:color w:val="auto"/>
        </w:rPr>
      </w:pPr>
    </w:p>
    <w:p>
      <w:pPr>
        <w:ind w:left="460" w:right="1059"/>
        <w:spacing w:after="0" w:line="271" w:lineRule="auto"/>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08"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As of June 30, 2020, we did not have any off-balance sheet arrangements as defined in Item 303(a) (4)(ii) of Regulation S-K and did not have any commitments or contractual obligations. No unaudited quarterly operating data is included in this prospectus as we have not conducted any operations to date.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6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w:t>
      </w:r>
    </w:p>
    <w:p>
      <w:pPr>
        <w:sectPr>
          <w:pgSz w:w="11900" w:h="16838" w:orient="portrait"/>
          <w:cols w:equalWidth="0" w:num="1">
            <w:col w:w="9019"/>
          </w:cols>
          <w:pgMar w:left="1440" w:top="33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65" w:name="page66"/>
    <w:bookmarkEnd w:id="65"/>
    <w:p>
      <w:pPr>
        <w:ind w:left="460" w:right="479"/>
        <w:spacing w:after="0" w:line="238" w:lineRule="auto"/>
        <w:rPr>
          <w:sz w:val="20"/>
          <w:szCs w:val="20"/>
          <w:color w:val="auto"/>
        </w:rPr>
      </w:pPr>
      <w:r>
        <w:rPr>
          <w:rFonts w:ascii="Arial" w:cs="Arial" w:eastAsia="Arial" w:hAnsi="Arial"/>
          <w:sz w:val="18"/>
          <w:szCs w:val="18"/>
          <w:color w:val="auto"/>
        </w:rPr>
        <w:t>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are a newly organized blank check company incorporated in June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business industry or geographic region, we intend to capitalize on our management team’s background and experience to identify promising opportunities in the biotechnology sector.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Founders</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were co-founded by Foresite Capital, an investment firm with over $2.6 billion in assets under management as of March 31, 2020 (”Foresite Capital”) and Jim Tananbaum, our President, Chief Executive Officer and a director. Foresite Capital, which is a member of our sponsor and is our affiliate, was established in 2011 by Jim Tananbaum and has been focused on therapeutic companies within the biotechnology sector.</w:t>
      </w:r>
    </w:p>
    <w:p>
      <w:pPr>
        <w:spacing w:after="0" w:line="135" w:lineRule="exact"/>
        <w:rPr>
          <w:sz w:val="20"/>
          <w:szCs w:val="20"/>
          <w:color w:val="auto"/>
        </w:rPr>
      </w:pPr>
    </w:p>
    <w:p>
      <w:pPr>
        <w:ind w:left="460" w:right="479"/>
        <w:spacing w:after="0" w:line="251" w:lineRule="auto"/>
        <w:rPr>
          <w:sz w:val="20"/>
          <w:szCs w:val="20"/>
          <w:color w:val="auto"/>
        </w:rPr>
      </w:pPr>
      <w:r>
        <w:rPr>
          <w:rFonts w:ascii="Arial" w:cs="Arial" w:eastAsia="Arial" w:hAnsi="Arial"/>
          <w:sz w:val="17"/>
          <w:szCs w:val="17"/>
          <w:color w:val="auto"/>
        </w:rPr>
        <w:t>Since its establishment, Foresite Capital has led financings in numerous healthcare companies that have emerged or are emerging as leaders in their respective sectors of the healthcare economy using a systematic process for screening and evaluating potential investments that was designed to quickly identify compelling opportunities and eliminate unattractive opportunities as effectively as possible. We believe Foresite Capital’s combination of traditional investment management techniques with cutting edge tools and methods, its experience in multiple scientific fields (including biology, medicinal chemistry, physiology and pharmacology) and related areas (including reimbursement strategies, regulatory frameworks and processes) and its ability to collect and synthesize significant amounts of information (including academic research, medical journals, medical conference presentations, patent filings, regulatory actions and legal proceedings) and data (including genomic, clinical trial, laboratory, electronic health records, claims/billing, imaging and pathology) will provide us with deep functional expertise and diverse skill sets and contribute insights to each stage of the investment process.</w:t>
      </w:r>
    </w:p>
    <w:p>
      <w:pPr>
        <w:spacing w:after="0" w:line="12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As an affiliate of Foresite Capital, we intend to draw upon its experience and networks, team-based and multidisciplinary investment process and substantial information resources to optimize the sourcing, evaluation, and growth acceleration of prospective target companies. We believe that Foresite Capital’s track record demonstrates the ability of the members of our management team and affiliates to find high quality investment opportunities and achieve liquidity in such investments. Foresite Capital considers investments in hundreds of companies each year and, since inception, has invested in 229 companies in various financing rounds, which can be summarized as follows:</w:t>
      </w:r>
    </w:p>
    <w:p>
      <w:pPr>
        <w:spacing w:after="0" w:line="14" w:lineRule="exact"/>
        <w:rPr>
          <w:sz w:val="20"/>
          <w:szCs w:val="20"/>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179 biotechnology companies;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30 crossover investments;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28 IPOs following crossover investments;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95 IPOs.</w:t>
      </w:r>
    </w:p>
    <w:p>
      <w:pPr>
        <w:spacing w:after="0" w:line="144" w:lineRule="exact"/>
        <w:rPr>
          <w:sz w:val="20"/>
          <w:szCs w:val="20"/>
          <w:color w:val="auto"/>
        </w:rPr>
      </w:pPr>
    </w:p>
    <w:p>
      <w:pPr>
        <w:ind w:left="460" w:right="719"/>
        <w:spacing w:after="0"/>
        <w:rPr>
          <w:sz w:val="20"/>
          <w:szCs w:val="20"/>
          <w:color w:val="auto"/>
        </w:rPr>
      </w:pPr>
      <w:r>
        <w:rPr>
          <w:rFonts w:ascii="Arial" w:cs="Arial" w:eastAsia="Arial" w:hAnsi="Arial"/>
          <w:sz w:val="18"/>
          <w:szCs w:val="18"/>
          <w:color w:val="auto"/>
        </w:rPr>
        <w:t>Representative investments by Foresite include Turning Point Therapeutics, Kinnate Biopharma, Keros Therapeutics, Fulcrum Therapeutics, 10X Genomics, Oric Pharmaceuticals, Generation Bio, Vaxcyte, Relay Therapeutics, Alx Oncology Holdings and Nurix Therapeutics.</w:t>
      </w:r>
    </w:p>
    <w:p>
      <w:pPr>
        <w:spacing w:after="0" w:line="135" w:lineRule="exact"/>
        <w:rPr>
          <w:sz w:val="20"/>
          <w:szCs w:val="20"/>
          <w:color w:val="auto"/>
        </w:rPr>
      </w:pPr>
    </w:p>
    <w:p>
      <w:pPr>
        <w:ind w:left="460" w:right="1039"/>
        <w:spacing w:after="0" w:line="246" w:lineRule="auto"/>
        <w:rPr>
          <w:sz w:val="20"/>
          <w:szCs w:val="20"/>
          <w:color w:val="auto"/>
        </w:rPr>
      </w:pPr>
      <w:r>
        <w:rPr>
          <w:rFonts w:ascii="Arial" w:cs="Arial" w:eastAsia="Arial" w:hAnsi="Arial"/>
          <w:sz w:val="18"/>
          <w:szCs w:val="18"/>
          <w:color w:val="auto"/>
        </w:rPr>
        <w:t>We believe that biotechnology companies at the correct stage of development will see material benefits from being publicly traded.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Process and Competitive Advantages</w:t>
      </w:r>
    </w:p>
    <w:p>
      <w:pPr>
        <w:spacing w:after="0" w:line="153" w:lineRule="exact"/>
        <w:rPr>
          <w:sz w:val="20"/>
          <w:szCs w:val="20"/>
          <w:color w:val="auto"/>
        </w:rPr>
      </w:pPr>
    </w:p>
    <w:p>
      <w:pPr>
        <w:jc w:val="both"/>
        <w:ind w:left="460" w:right="699"/>
        <w:spacing w:after="0" w:line="238" w:lineRule="auto"/>
        <w:rPr>
          <w:sz w:val="20"/>
          <w:szCs w:val="20"/>
          <w:color w:val="auto"/>
        </w:rPr>
      </w:pPr>
      <w:r>
        <w:rPr>
          <w:rFonts w:ascii="Arial" w:cs="Arial" w:eastAsia="Arial" w:hAnsi="Arial"/>
          <w:sz w:val="18"/>
          <w:szCs w:val="18"/>
          <w:color w:val="auto"/>
        </w:rPr>
        <w:t>Since its inception, Foresite Capital has been developing what we believe to be a state-of-the-art information management system and analytical framework designed to capture, store and surface critical information that impacts target markets and companies when it is most useful. In addition to capturing and synthesizing external sources of information, Foresite Capital seeks to capture every material interaction with prospective and existing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7" w:name="page68"/>
    <w:bookmarkEnd w:id="67"/>
    <w:p>
      <w:pPr>
        <w:ind w:left="460" w:right="579"/>
        <w:spacing w:after="0" w:line="237" w:lineRule="auto"/>
        <w:rPr>
          <w:sz w:val="20"/>
          <w:szCs w:val="20"/>
          <w:color w:val="auto"/>
        </w:rPr>
      </w:pPr>
      <w:r>
        <w:rPr>
          <w:rFonts w:ascii="Arial" w:cs="Arial" w:eastAsia="Arial" w:hAnsi="Arial"/>
          <w:sz w:val="18"/>
          <w:szCs w:val="18"/>
          <w:color w:val="auto"/>
        </w:rPr>
        <w:t>portfolio companies. Members of Foresite Capital’s investment team receive structured, detailed notes and updates (such as refined product development timelines and revised probabilities of technical success) from these interactions, which also flow to the firm’s detailed financial and investment models. We believe that access to Foresite Capital’s internal database of every company that it has interacted with since inception will provide a competitive advantage to identifying opportunities for the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Management Team</w:t>
      </w:r>
    </w:p>
    <w:p>
      <w:pPr>
        <w:spacing w:after="0" w:line="153" w:lineRule="exact"/>
        <w:rPr>
          <w:sz w:val="20"/>
          <w:szCs w:val="20"/>
          <w:color w:val="auto"/>
        </w:rPr>
      </w:pPr>
    </w:p>
    <w:p>
      <w:pPr>
        <w:ind w:left="460" w:right="559"/>
        <w:spacing w:after="0" w:line="257" w:lineRule="auto"/>
        <w:rPr>
          <w:sz w:val="20"/>
          <w:szCs w:val="20"/>
          <w:color w:val="auto"/>
        </w:rPr>
      </w:pPr>
      <w:r>
        <w:rPr>
          <w:rFonts w:ascii="Arial" w:cs="Arial" w:eastAsia="Arial" w:hAnsi="Arial"/>
          <w:sz w:val="17"/>
          <w:szCs w:val="17"/>
          <w:color w:val="auto"/>
        </w:rPr>
        <w:t>Our management team includes healthcare industry veterans who have started, built and/or financed multiple companies with revenue in excess of $1 billion, managed clinical development divisions, designed and managed large-scale data science and machine learning projects, and worked in healthcare venture capital, private equity, hedge funds, investment banking and consulting.</w:t>
      </w:r>
    </w:p>
    <w:p>
      <w:pPr>
        <w:spacing w:after="0" w:line="99"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b w:val="1"/>
          <w:bCs w:val="1"/>
          <w:color w:val="auto"/>
        </w:rPr>
        <w:t>Dr. Jim Tananbaum</w:t>
      </w:r>
      <w:r>
        <w:rPr>
          <w:rFonts w:ascii="Arial" w:cs="Arial" w:eastAsia="Arial" w:hAnsi="Arial"/>
          <w:sz w:val="18"/>
          <w:szCs w:val="18"/>
          <w:color w:val="auto"/>
        </w:rPr>
        <w:t>, President, Chief Executive Officer and Director. Dr. Jim Tananbaum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our President, Chief Executive Officer and a director since June 2020. He founded Foresite Capital in 2011 and has overseen the development of Foresite Capital’s team and systems. While at Harvard Business School in 1991, Dr. Tananbaum co-founded his first company, GelTex Pharmaceuticals (Nasdaq: GENZ). GelTex ultimately brought two drugs to market, and the company was acquired by Genzyme Corporation in 2000 for $1.4 billion. From 1991 to 1994, Dr. Tananbaum worked at Merck in marketing and had product management responsibilities for Prilosec. In 1994, Dr. Tananbaum decided to leave Merck and join Sierra Ventures, to start Sierra Ventures’ healthcare services investment practice. At Sierra Ventures, Dr. Tananbaum was responsible for leading the firm’s investments in Amerigroup (now Anthem Medicaid division) and Healtheon/WebMD, among others. In 1997, he cofounded his second company, Theravance, Inc. (initially called “Advanced Medicine”). As the founding CEO of Theravance, Dr. Tananbaum hired the company’s first approximately 175 employees and raised over $350 million of private capital. Theravance has since split into two companies, one of which is now part of GlaxoSmithKline’s respiratory franchise through a joint venture, Innoviva (Nasdaq: INVA), and the other, Theravance BioPharma, Inc. (Nasdaq: TBPH). Together, they have a combined market capitalization of approximately $3 billion as of July 2020. In 2000, Dr. Tananbaum co-founded Prospect Ventures II (and later III), which raised and deployed approximately $1 billion. During his time at Prospect, Dr. Tananbaum led numerous financings including Jazz Pharmaceuticals and Amira Pharmaceauticals. In 2010, Dr. Tananbaum decided to leave Prospect Ventures to create Foresite Capital. He sought to construct, from the ground up, an investment platform designed and optimized to invest specifically and exclusively in the modern health economy, based on his learnings and observations as a healthcare investor and entrepreneur over the preceding two decades. Dr. Tananbaum earned a BS and BSEE in applied math and electrical engineering/computer science from Yale, an MD from the Harvard-MIT HST program and an MBA from Harvard.</w:t>
      </w:r>
    </w:p>
    <w:p>
      <w:pPr>
        <w:spacing w:after="0" w:line="12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color w:val="auto"/>
        </w:rPr>
        <w:t>Dennis Ryan</w:t>
      </w:r>
      <w:r>
        <w:rPr>
          <w:rFonts w:ascii="Arial" w:cs="Arial" w:eastAsia="Arial" w:hAnsi="Arial"/>
          <w:sz w:val="18"/>
          <w:szCs w:val="18"/>
          <w:color w:val="auto"/>
        </w:rPr>
        <w:t>, Chief Financial Officer. Dennis Ryan has been our Chief Financial Officer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2020. Since 2011, Mr. Ryan has also led the Operations Group at Foresite Capital as Chief Financial Officer and Managing Director. Mr. Ryan has over thirty years of experience as a financial executive in the venture capital, private equity, investment and real estate industries. Mr. Ryan began his career with the international accounting firm KPMG (Peat, Marwick &amp; Mitchell). As a licensed certified public accountant (CPA - inactive) in California, Mr. Ryan has served as chief financial officer and senior executive in firms ranging from a publicly owned real estate investment trust (REIT), Western Properties Trust, to a sponsor of a series of venture debt funds, Lighthouse Capital Partners, to a start-up of investment funds, Berkeley Advisors Group. In his role as chief financial officer with these firms, his responsibilities included debt and equity financing, investment structuring, financial reporting, portfolio management and strategic planning. Mr. Ryan currently serves as Board President of Whistlestop, a non-profit providing transportation and nutrition services to seniors. He received a B.A. from University of California, Berkeley in Economics, and an M.B.A from the University of Santa Clara.</w:t>
      </w:r>
    </w:p>
    <w:p>
      <w:pPr>
        <w:spacing w:after="0" w:line="108" w:lineRule="exact"/>
        <w:rPr>
          <w:sz w:val="20"/>
          <w:szCs w:val="20"/>
          <w:color w:val="auto"/>
        </w:rPr>
      </w:pPr>
    </w:p>
    <w:p>
      <w:pPr>
        <w:jc w:val="both"/>
        <w:ind w:left="460" w:right="599"/>
        <w:spacing w:after="0" w:line="257" w:lineRule="auto"/>
        <w:rPr>
          <w:sz w:val="20"/>
          <w:szCs w:val="20"/>
          <w:color w:val="auto"/>
        </w:rPr>
      </w:pPr>
      <w:r>
        <w:rPr>
          <w:rFonts w:ascii="Arial" w:cs="Arial" w:eastAsia="Arial" w:hAnsi="Arial"/>
          <w:sz w:val="17"/>
          <w:szCs w:val="17"/>
          <w:b w:val="1"/>
          <w:bCs w:val="1"/>
          <w:color w:val="auto"/>
        </w:rPr>
        <w:t>Dr. Michael Rome</w:t>
      </w:r>
      <w:r>
        <w:rPr>
          <w:rFonts w:ascii="Arial" w:cs="Arial" w:eastAsia="Arial" w:hAnsi="Arial"/>
          <w:sz w:val="17"/>
          <w:szCs w:val="17"/>
          <w:color w:val="auto"/>
        </w:rPr>
        <w:t>, Vice President and Director. Dr. Michael Rome has been our Vice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 director on our board of directors since June 2020, and is a Managing Director at Foresite Capital. He joined Foresite Capital in 2016 and is active in the firm’s public and private market investments.</w:t>
      </w:r>
    </w:p>
    <w:p>
      <w:pPr>
        <w:spacing w:after="0" w:line="2"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Dr. Rome has experience investing across diverse therapeutic areas and has board roles at Kinnate Biopharma, Phavaris B.V., and board observer roles (past and present) at Turning Point Therapeutics, Arcus Biosciences, Maze Therapeutics, and PACT Pharma. Prior to Foresite Capital from 2015 to 2016, he was an equity analyst at DAFNA Capital Management, a long-short healthcare hedge fund, where he analyzed fund positions and formulated investment ideas in small/midcap biotechnology companies. From 2014 to 2015, Dr. Rome worked in early-stage drug development for an academic start-up out of the California NanoSystems Institute at UCLA. He received his Ph.D. in Biochemistry from Caltech as an NSF graduate research fellow, and his B.S. in Molecular, Cell and Developmental Biology from UCLA. He has more than 12 years of experience as a research scientist and has authored numerous publications in top-tier biomedical research journals.</w:t>
      </w:r>
    </w:p>
    <w:p>
      <w:pPr>
        <w:sectPr>
          <w:pgSz w:w="11900" w:h="16838" w:orient="portrait"/>
          <w:cols w:equalWidth="0" w:num="1">
            <w:col w:w="9019"/>
          </w:cols>
          <w:pgMar w:left="1440" w:top="287"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68" w:name="page69"/>
    <w:bookmarkEnd w:id="68"/>
    <w:p>
      <w:pPr>
        <w:ind w:left="460" w:right="499"/>
        <w:spacing w:after="0" w:line="237" w:lineRule="auto"/>
        <w:rPr>
          <w:sz w:val="20"/>
          <w:szCs w:val="20"/>
          <w:color w:val="auto"/>
        </w:rPr>
      </w:pPr>
      <w:r>
        <w:rPr>
          <w:rFonts w:ascii="Arial" w:cs="Arial" w:eastAsia="Arial" w:hAnsi="Arial"/>
          <w:sz w:val="18"/>
          <w:szCs w:val="18"/>
          <w:b w:val="1"/>
          <w:bCs w:val="1"/>
          <w:color w:val="auto"/>
        </w:rPr>
        <w:t>Dr. Vikram Bajaj</w:t>
      </w:r>
      <w:r>
        <w:rPr>
          <w:rFonts w:ascii="Arial" w:cs="Arial" w:eastAsia="Arial" w:hAnsi="Arial"/>
          <w:sz w:val="18"/>
          <w:szCs w:val="18"/>
          <w:color w:val="auto"/>
        </w:rPr>
        <w:t>, Director. Dr. Vikram Bajaj has been a director on our board of directors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2020, and is a Managing Director at Foresite Capital, evaluating and pursuing investments at the intersection of technology and life sciences, including personalized and precision healthcare. Prior to joining Foresite Capital, from 2016 to 2017, Dr. Bajaj was the Chief Scientific Officer of GRAIL, a life sciences company working to detect cancer early when it can be cured, and served on its Scientific Advisory Board. He is also the Co-Founder and former Chief Scientific officer of Verily (formerly Google Life Sciences) from 2013 to 2016, and served as Chair of its Scientific Advisory Board. A former academic principal investigator, Dr. Bajaj retains appointments as Associate Professor (Consulting) at the Stanford School of Medicine, and as an Affiliate Scientist of the Lawrence Berkeley National Laboratory and the University of California, Berkeley, for which he currently serves on the advisory board of the College of Chemistry. He is also currently an advisor to the Department of Defense through the Defense Science Board’s Task Force on Biology. Dr. Bajaj received a Ph.D. in physical chemistry from the Massachusetts Institute of Technology. His scientific and engineering awards include the Anatole Abragam Prize (2012), the R&amp;D 100 Award for the most promising commercialized technologies (2011 and 2013), and the Department of Energy’s LBL Innovation Grant (2013).</w:t>
      </w:r>
    </w:p>
    <w:p>
      <w:pPr>
        <w:spacing w:after="0" w:line="105"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color w:val="auto"/>
        </w:rPr>
        <w:t>Robert Carey</w:t>
      </w:r>
      <w:r>
        <w:rPr>
          <w:rFonts w:ascii="Arial" w:cs="Arial" w:eastAsia="Arial" w:hAnsi="Arial"/>
          <w:sz w:val="18"/>
          <w:szCs w:val="18"/>
          <w:color w:val="auto"/>
        </w:rPr>
        <w:t>, Director Nominee. Mr. Carey served as Executive Vice President and Chief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at Horizon Therapeutics plc (Nasdaq: HZNP) from March 2014 until October 2019, during which time Horizon deployed more than $3 billion to acquire or license eight commercial products and three products in development, including TEPEZZA™ and KRYSTEXXA®, resulting in Horizon’s net sales increasing from $ 74 million in 2013 to $1.2 billion in 2018. Prior to Horizon, Mr. Carey was Managing Director and Head of the Life Sciences Investment Banking Group at JMP Securities International, Inc. from 2003 until 2014 and Managing Director in the healthcare groups at Dresdner Kleinwort Wasserstein, from 2001 until 2003, and Vector Securities, from 1988 until 2001. Mr. Carey currently serves on the board of Sangamo Therapeutics, Inc. (Nasdaq: SGMO) and Beyond Air, Inc. (Nasdaq: XAIR). Mr. Carey also has held roles at Shearson Lehman Hutton and Ernst &amp; Whinney. Mr. Carey received his bachelor’s degree from the University of Notre Dame.</w:t>
      </w:r>
    </w:p>
    <w:p>
      <w:pPr>
        <w:spacing w:after="0" w:line="118" w:lineRule="exact"/>
        <w:rPr>
          <w:sz w:val="20"/>
          <w:szCs w:val="20"/>
          <w:color w:val="auto"/>
        </w:rPr>
      </w:pPr>
    </w:p>
    <w:p>
      <w:pPr>
        <w:ind w:left="460" w:right="499"/>
        <w:spacing w:after="0" w:line="257" w:lineRule="auto"/>
        <w:rPr>
          <w:sz w:val="20"/>
          <w:szCs w:val="20"/>
          <w:color w:val="auto"/>
        </w:rPr>
      </w:pPr>
      <w:r>
        <w:rPr>
          <w:rFonts w:ascii="Arial" w:cs="Arial" w:eastAsia="Arial" w:hAnsi="Arial"/>
          <w:sz w:val="17"/>
          <w:szCs w:val="17"/>
          <w:b w:val="1"/>
          <w:bCs w:val="1"/>
          <w:color w:val="auto"/>
        </w:rPr>
        <w:t>Dan Dubin</w:t>
      </w:r>
      <w:r>
        <w:rPr>
          <w:rFonts w:ascii="Arial" w:cs="Arial" w:eastAsia="Arial" w:hAnsi="Arial"/>
          <w:sz w:val="17"/>
          <w:szCs w:val="17"/>
          <w:color w:val="auto"/>
        </w:rPr>
        <w:t>, Director Nominee. Dr. Dubin is also the Vice Chairman and Head of Biopharma</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Banking at SVB Leerink, an investment bank specializing in healthcare and life sciences, a role he has held since January 2006. Prior to joining SVB Leerink in 1999, Dr. Dubin co-founded MEDACorp, a provider of insights on the commercial potential of biotherapeutics and medical devices to healthcare companies and investors. He also serves as a director of Olivo Laboratories LLC, a dermatological biotechnology company and sits on the SVB Leerink’s executive committee. Dr. Dubin holds a B.A. from Dartmouth College in Chemistry and an M.D. from Harvard Medical School.</w:t>
      </w:r>
    </w:p>
    <w:p>
      <w:pPr>
        <w:spacing w:after="0" w:line="101"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color w:val="auto"/>
        </w:rPr>
        <w:t>Deepa Pakianathan</w:t>
      </w:r>
      <w:r>
        <w:rPr>
          <w:rFonts w:ascii="Arial" w:cs="Arial" w:eastAsia="Arial" w:hAnsi="Arial"/>
          <w:sz w:val="18"/>
          <w:szCs w:val="18"/>
          <w:color w:val="auto"/>
        </w:rPr>
        <w:t>, Director Nominee. Dr. Pakianathan is a Managing Member of Delphi Ventures,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she joined in 2001 to build and lead the firm’s biotechnology investment practice. Prior to joining Delphi, Deepa was an M&amp;A and corporate finance banker in the healthcare group at J.P. Morgan. Prior to that, she was a biotechnology research analyst at Genesis Merchant Group and a postdoctoral scientist in the Immunology Department at Genentech Corporation. Dr. Pakianathan currently serves on the board of Calithera Biosciences, Inc. (Nasdaq: CALA) where she is lead director, as well as the boards of Karyopharm Therapeutics (Nasdaq: KPTI), Mereo BioPharma Group plc (Nasdaq: MREO) and Theravance Biopharma (Nasdaq: TBPH). She serves as Executive Vice-chair and Treasurer on the San Francisco Conservatory of Music’s Board of Trustees. Deepa previously served on the boards of Alder Biopharma (Nasdaq: ALDR), Relypsa (acquired by Vifor), Proteolix (acquired by Onyx Pharmaceuticals), Ilypsa (acquired by Amgen), Forsight V5 (acquired by Allergan), Alexa Pharmaceuticals (acquired by Ferrer), Salmedix (acquired by Cephalon) and led an investment in Seattle Genetics. She was also on the BIO and NVCA boards. Deepa received her Ph.D. and MS from Wake Forest University and her MSc and BSc from the University of Bombay.</w:t>
      </w:r>
    </w:p>
    <w:p>
      <w:pPr>
        <w:spacing w:after="0" w:line="130" w:lineRule="exact"/>
        <w:rPr>
          <w:sz w:val="20"/>
          <w:szCs w:val="20"/>
          <w:color w:val="auto"/>
        </w:rPr>
      </w:pPr>
    </w:p>
    <w:p>
      <w:pPr>
        <w:ind w:left="460" w:right="599"/>
        <w:spacing w:after="0" w:line="253" w:lineRule="auto"/>
        <w:rPr>
          <w:sz w:val="20"/>
          <w:szCs w:val="20"/>
          <w:color w:val="auto"/>
        </w:rPr>
      </w:pPr>
      <w:r>
        <w:rPr>
          <w:rFonts w:ascii="Arial" w:cs="Arial" w:eastAsia="Arial" w:hAnsi="Arial"/>
          <w:sz w:val="17"/>
          <w:szCs w:val="17"/>
          <w:color w:val="auto"/>
        </w:rPr>
        <w:t>Our management team will also be supported by certain of Foresite Capital’s team of investment professionals, who will also serve as our non-executive officers and will assist us in our efforts to consummate our initial business combination, including Dr. Dorothy Margolskee, our Senior Advisor and a Managing Director of Foresite Capital. Dr. Margolskee joined Foresite Capital in 2012 and has overseen the development of Foresite Capital’s Clinical &amp; Research Analysis team. Dr. Margolskee has worked with Dr. Tananbaum for the last 17.5 years, previously at Prospect Ventures as a managing director in charge of research from 2001 to 2011, and now at Foresite Capital.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460" w:right="559"/>
        <w:spacing w:after="0" w:line="250" w:lineRule="auto"/>
        <w:rPr>
          <w:sz w:val="20"/>
          <w:szCs w:val="20"/>
          <w:color w:val="auto"/>
        </w:rPr>
      </w:pPr>
      <w:r>
        <w:rPr>
          <w:rFonts w:ascii="Arial" w:cs="Arial" w:eastAsia="Arial" w:hAnsi="Arial"/>
          <w:sz w:val="17"/>
          <w:szCs w:val="17"/>
          <w:color w:val="auto"/>
        </w:rPr>
        <w:t>In this capacity, she developed the Foresite Capital investment technical review process, rigorously analyzing biotechnology company portfolios on the basis of scientific validation, clinical efficacy and safety, manufacturing readiness and FDA regulatory risk. Dr. Margolskee had 15 years of drug development experience at Merck Research Labs from 1987 to 2001, ultimately becoming a senior vice president with responsibility for a wide variety of clinical development programs and project planning. In particular, she was deeply involved in the design and execution of several vaccine programs, including Gardisil, RotaTeq and Zostavax. Dr. Margolskee received an MRL Divisional Scientific Award in 1998 for developing one of Merck’s most successful drugs, Singulair. In addition, she led the team that designed and implemented the advanced AIDS program during the development of Crixivan, one of the first HIV protease inhibitors that revolutionized the treatment of HIV infection. Prior to joining Merck, Dr. Margolskee received an M.D. from Johns Hopkins Medical School where she was elected to Alpha Omega Alpha and a B.S. from Harvard University where she graduated summa cum laude. Dr. Margolskee is boarded in both Internal Medicine and Pulmonary, and completed her residency at the Johns Hopkins Hospital and fellowship training at UCSF.</w:t>
      </w:r>
    </w:p>
    <w:p>
      <w:pPr>
        <w:spacing w:after="0" w:line="11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Opportunity</w:t>
      </w:r>
    </w:p>
    <w:p>
      <w:pPr>
        <w:spacing w:after="0" w:line="166" w:lineRule="exact"/>
        <w:rPr>
          <w:sz w:val="20"/>
          <w:szCs w:val="20"/>
          <w:color w:val="auto"/>
        </w:rPr>
      </w:pPr>
    </w:p>
    <w:p>
      <w:pPr>
        <w:ind w:left="460" w:right="619"/>
        <w:spacing w:after="0" w:line="235" w:lineRule="auto"/>
        <w:rPr>
          <w:sz w:val="20"/>
          <w:szCs w:val="20"/>
          <w:color w:val="auto"/>
        </w:rPr>
      </w:pPr>
      <w:r>
        <w:rPr>
          <w:rFonts w:ascii="Arial" w:cs="Arial" w:eastAsia="Arial" w:hAnsi="Arial"/>
          <w:sz w:val="18"/>
          <w:szCs w:val="18"/>
          <w:color w:val="auto"/>
        </w:rPr>
        <w:t>Our primary focus will be on the healthcare industry in the United States. We believe the healthcare industry, particularly the biotechnology sector, represents an enormous and growing target market with a large number of potential target acquisition opportunities. Overall, total U.S. national health expenditures currently exceed $3.6 trillion according to the Centers for Medicare and Medicaid Services, which also estimates that total healthcare spending will approach 20% of total U.S. Gross Domestic Product in 2028. In addition to these industry-wide dynamics in healthcare, specifically within biotechnology sector, the past decade has seen a shift in the research and development strategy of the Big Pharma companies to external innovation through licensing partnerships and strategic acquisitions, resulting in 1,195 M&amp;A transactions totaling $801 billion from 2015 to 2019 according to Evaluate Pharma, a data-driven pharma, biotechnology and medtech consultant. Furthermore, there has been a gradual increase in US Food and Drugs Administration (FDA) approval of new drugs, from 163 approvals between 2010 and 2014 to 220 approvals between 2015 and 2019. The global biotechnology market is expecting to grow almost 2.9% to over $294 billion in revenue in 2020, according to IBISWorld, and total sales of prescription drugs worldwide were $843 billion in 2019 according to Evaluate Pharma. We believe that these trends present a favorable opportunity for investors in preclinical to pre-commercial companies within the biotechnology sector, which is where Foresite Capital has largely focused since inception.</w:t>
      </w:r>
    </w:p>
    <w:p>
      <w:pPr>
        <w:spacing w:after="0" w:line="14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believe that there are major benefits for privately-held, pre-commercial stage biotechnology companies to become publicly-traded, including greater access to capital, broader investor base, more liquid securities, and increased market awareness. An acquisition by a special purpose acquisition company with a management team that is well-known and respected by biotechnology company founders, their investors, and management teams, we believe, will become a preferred route for a high quality private healthcare company to access the public markets. Furthermore, we believe that market volatility caused by the COVID-19 pandemic is likely to make such an on-ramp to the public markets even more attractive to private companies, as it promises more certainty about deal completion, a more efficient path to the public markets, and a defined investor base.</w:t>
      </w:r>
    </w:p>
    <w:p>
      <w:pPr>
        <w:spacing w:after="0" w:line="12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addition, we believe that the current state of the biotechnology IPO market may enhance our ability to locate an attractive target. According to IBISWorld, in 2019, there were estimated to be approximately 9,500 biotechnology companies globally, only a fraction of which are publicly traded. These privately held biotechnology companies represent an enormous investment opportunity, and recent trends in equity capital markets continue to demonstrate their desire to access public capital. Since 2015, approximately $170 billion has been raised in the public equity markets by biotechnology companies, of which approximately $30 billion has been raised through IPOs by approximately 250 biotechnology companies.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0" w:name="page71"/>
    <w:bookmarkEnd w:id="70"/>
    <w:p>
      <w:pPr>
        <w:ind w:left="460" w:right="599"/>
        <w:spacing w:after="0" w:line="255" w:lineRule="auto"/>
        <w:rPr>
          <w:sz w:val="20"/>
          <w:szCs w:val="20"/>
          <w:color w:val="auto"/>
        </w:rPr>
      </w:pPr>
      <w:r>
        <w:rPr>
          <w:rFonts w:ascii="Arial" w:cs="Arial" w:eastAsia="Arial" w:hAnsi="Arial"/>
          <w:sz w:val="17"/>
          <w:szCs w:val="17"/>
          <w:color w:val="auto"/>
        </w:rPr>
        <w:t>We believe that there is tremendous investor demand for IPOs in the biotechnology sector and that the COVID-19 pandemic has led to a renewed appreciation of the critical contributions the biotechnology sector makes to society, which in turn will continue to fuel investor demand. Given our sponsor’s track record of identifying, evaluating, and investing in leading biotechnology companies, we believe a business combination target we identify will benefit by partnering with us to go public.</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Strategy</w:t>
      </w:r>
    </w:p>
    <w:p>
      <w:pPr>
        <w:spacing w:after="0" w:line="15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As Foresite Capital’s affiliate, we will benefit from our access to Foresite Capital’s infrastructure, personnel, network and relationships. Foresite Capital’s investment team is in regular contact with entrepreneurs, key opinion leaders, management teams, and contacts in the venture capital and investment banking communities to source new deals. Our robust screening and due diligence process includes numerous meetings or calls with management and leverages Foresite’s expansive network of key opinion leaders, healthcare company executives, entrepreneurs and leading academics. Foresite Capital has invested heavily in its team, information management systems and data science infrastructure, which we expect will provide us with substantial sourcing and analytical capabilities, as well as other capabilities (including clinical development, translational medicine, chemistry, biostatistics and data science) that would ordinarily be outsourced to specialized third-party consultants. Prospective target companies will need to pass rigorous due diligence criteria, which may include, but are not limited to:</w:t>
      </w:r>
    </w:p>
    <w:p>
      <w:pPr>
        <w:spacing w:after="0" w:line="28" w:lineRule="exact"/>
        <w:rPr>
          <w:sz w:val="20"/>
          <w:szCs w:val="20"/>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Compelling risk/reward proposition;</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market leading product;</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Addressing unmet medical need;</w:t>
      </w:r>
    </w:p>
    <w:p>
      <w:pPr>
        <w:spacing w:after="0" w:line="36" w:lineRule="exact"/>
        <w:rPr>
          <w:rFonts w:ascii="Arial" w:cs="Arial" w:eastAsia="Arial" w:hAnsi="Arial"/>
          <w:sz w:val="18"/>
          <w:szCs w:val="18"/>
          <w:color w:val="auto"/>
        </w:rPr>
      </w:pPr>
    </w:p>
    <w:p>
      <w:pPr>
        <w:ind w:left="1100" w:right="859" w:hanging="322"/>
        <w:spacing w:after="0"/>
        <w:tabs>
          <w:tab w:leader="none" w:pos="10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team with experience in the public market (our management team has often previously worked with or known management of many of the companies in which they invest);</w:t>
      </w:r>
    </w:p>
    <w:p>
      <w:pPr>
        <w:spacing w:after="0" w:line="27" w:lineRule="exact"/>
        <w:rPr>
          <w:rFonts w:ascii="Arial" w:cs="Arial" w:eastAsia="Arial" w:hAnsi="Arial"/>
          <w:sz w:val="18"/>
          <w:szCs w:val="18"/>
          <w:color w:val="auto"/>
        </w:rPr>
      </w:pPr>
    </w:p>
    <w:p>
      <w:pPr>
        <w:ind w:left="1100" w:right="719" w:hanging="322"/>
        <w:spacing w:after="0" w:line="246" w:lineRule="auto"/>
        <w:tabs>
          <w:tab w:leader="none" w:pos="10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Multiple assets with the ability to create value, diversifying risk, looking for multiple shots on goal; and</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Premier scientific and clinical leadership.</w:t>
      </w:r>
    </w:p>
    <w:p>
      <w:pPr>
        <w:spacing w:after="0" w:line="144"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Foresite Capital has carefully curated a multidisciplinary investment team with deep, diverse and complementary experience in order to identify emerging leaders across the health economy, develop comprehensive, 360-degree views of companies and their unique risks, and help portfolio companies achieve technical success and reach liquidity. We believe that this purpose-built structure and process reduces biases and asymmetric information flows that may hamper decisions to enter and exit investments in traditional fund structures. Our management team, through its members’ shared experience at Foresite Capital, has significant and coordinated expertise including: (1) clinical and product development experience, which enables deep understanding and evaluation of every aspect of development and regulatory processes; (2) comprehensive commercialization experience across multiple healthcare sectors, which allows the team to evaluate the entire lifecycle of product launch and market adoption, as well as opportunities and structures for partnership and acquisitions; and (3) broad financing experience across investment banking, buy-side investing and venture capital and private equity investing, which enables the team to evaluate IPO and buyout opportunities and structure terms based on a deep understanding of the entire financing lifecycle.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Acquisition and Diligence Process includes:</w:t>
      </w:r>
    </w:p>
    <w:p>
      <w:pPr>
        <w:spacing w:after="0" w:line="23" w:lineRule="exact"/>
        <w:rPr>
          <w:sz w:val="20"/>
          <w:szCs w:val="20"/>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Scientific and clinical analysis, with assessment of clinical and regulatory success factors;</w:t>
      </w:r>
    </w:p>
    <w:p>
      <w:pPr>
        <w:spacing w:after="0" w:line="36"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of market factors such as size, growth opportunity, competition, and development trends;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Reimbursement review;</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Full review of proprietary technology content and intellectual property;</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Interviews with key opinion leaders, customers, competitors and industry experts;</w:t>
      </w:r>
    </w:p>
    <w:p>
      <w:pPr>
        <w:spacing w:after="0" w:line="36" w:lineRule="exact"/>
        <w:rPr>
          <w:rFonts w:ascii="Arial" w:cs="Arial" w:eastAsia="Arial" w:hAnsi="Arial"/>
          <w:sz w:val="18"/>
          <w:szCs w:val="18"/>
          <w:color w:val="auto"/>
        </w:rPr>
      </w:pPr>
    </w:p>
    <w:p>
      <w:pPr>
        <w:ind w:left="1100" w:right="1139" w:hanging="322"/>
        <w:spacing w:after="0" w:line="246" w:lineRule="auto"/>
        <w:tabs>
          <w:tab w:leader="none" w:pos="10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Full financial evaluation including analysis of historical results and modeling of various scenarios including product launch forecasting;</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evaluation of operations including R&amp;D, manufacturing, sales, and distribution;</w:t>
      </w:r>
    </w:p>
    <w:p>
      <w:pPr>
        <w:spacing w:after="0" w:line="36"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Identification of key milestones that will drive liquidity, and assessment of the likelihood of various paths to liquidity;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1" w:name="page72"/>
    <w:bookmarkEnd w:id="71"/>
    <w:p>
      <w:pPr>
        <w:ind w:left="1100" w:right="61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Preparation of a detailed financial forecast and potential cash-on-cash returns analysis using several scenarios of financial performance, structure and exit timing;</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Comparison of a company’s progress against tracked prior meetings and its competition; and</w:t>
      </w:r>
    </w:p>
    <w:p>
      <w:pPr>
        <w:spacing w:after="0" w:line="36" w:lineRule="exact"/>
        <w:rPr>
          <w:rFonts w:ascii="Arial" w:cs="Arial" w:eastAsia="Arial" w:hAnsi="Arial"/>
          <w:sz w:val="18"/>
          <w:szCs w:val="18"/>
          <w:color w:val="auto"/>
        </w:rPr>
      </w:pPr>
    </w:p>
    <w:p>
      <w:pPr>
        <w:ind w:left="1100" w:right="51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Analysis of relevant and available data using advanced data science techniques (for example, claims analysis to identify potential patient population).</w:t>
      </w:r>
    </w:p>
    <w:p>
      <w:pPr>
        <w:spacing w:after="0" w:line="102"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management team will utilize the information management system of our affiliate, Foresite Capital, to track company progress, milestones, commercial KPIs, future financing needs and timing, action items, key risks and open items. Decisions to proceed with final negotiation and consummation of the initial business combination will be made by consensus of the management team after the completion of what we believe to be appropriate due diligence, which may encompass, among other things, meetings with incumbent management and employees, document reviews, interviews of customers and suppliers, inspections of facilities, as well as reviewing financial and other information which will be made available to us. The time required for the initial business combination to advance from sourcing to final approval will vary depending on the circumstances. If our management team or our affiliate, Foresite Capital, has been previously following a prospective target company and has identified key hurdles, open items, or pieces of data believed essential to making an investment, we will be able leverage these insights and move quickly when our requirements are met. 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39" w:lineRule="exact"/>
        <w:rPr>
          <w:sz w:val="20"/>
          <w:szCs w:val="20"/>
          <w:color w:val="auto"/>
        </w:rPr>
      </w:pPr>
    </w:p>
    <w:p>
      <w:pPr>
        <w:ind w:left="460" w:right="619"/>
        <w:spacing w:after="0" w:line="235"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11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ectPr>
          <w:pgSz w:w="11900" w:h="16838" w:orient="portrait"/>
          <w:cols w:equalWidth="0" w:num="1">
            <w:col w:w="9019"/>
          </w:cols>
          <w:pgMar w:left="1440" w:top="179"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type w:val="continuous"/>
        </w:sectPr>
      </w:pPr>
    </w:p>
    <w:bookmarkStart w:id="72" w:name="page73"/>
    <w:bookmarkEnd w:id="72"/>
    <w:p>
      <w:pPr>
        <w:ind w:left="460" w:right="519"/>
        <w:spacing w:after="0" w:line="236" w:lineRule="auto"/>
        <w:rPr>
          <w:sz w:val="20"/>
          <w:szCs w:val="20"/>
          <w:color w:val="auto"/>
        </w:rPr>
      </w:pPr>
      <w:r>
        <w:rPr>
          <w:rFonts w:ascii="Arial" w:cs="Arial" w:eastAsia="Arial" w:hAnsi="Arial"/>
          <w:sz w:val="18"/>
          <w:szCs w:val="18"/>
          <w:color w:val="auto"/>
        </w:rPr>
        <w:t>In addition, our sponsor has indicated an interest to purchase $25,000,000 of our shares of Class A common stock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123"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Prior to the date of this prospectus, we filed a Registration Statement on Form 8-A with the SEC to voluntarily register our securities under Section 12 of the Securities Exchange Act of 1934, as amended, or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Sourcing of Potential Initial Business Combination Targets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In addition, commencing on the date of this prospectus, we will pay our sponsor $ 10,000 per month for office space, secretarial and administrative services provided to members of our management team. Any such payments prior to our initial business combination will be made from funds held outside the trust account. Other than the foregoing, there will be no finder’s fees, reimbursement, consulting 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w:t>
      </w:r>
    </w:p>
    <w:p>
      <w:pPr>
        <w:spacing w:after="0" w:line="14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w:t>
      </w:r>
    </w:p>
    <w:p>
      <w:pPr>
        <w:spacing w:after="0" w:line="127"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3" w:name="page74"/>
    <w:bookmarkEnd w:id="73"/>
    <w:p>
      <w:pPr>
        <w:ind w:left="460" w:right="619"/>
        <w:spacing w:after="0" w:line="236" w:lineRule="auto"/>
        <w:rPr>
          <w:sz w:val="20"/>
          <w:szCs w:val="20"/>
          <w:color w:val="auto"/>
        </w:rPr>
      </w:pPr>
      <w:r>
        <w:rPr>
          <w:rFonts w:ascii="Arial" w:cs="Arial" w:eastAsia="Arial" w:hAnsi="Arial"/>
          <w:sz w:val="18"/>
          <w:szCs w:val="18"/>
          <w:color w:val="auto"/>
        </w:rPr>
        <w:t>contractual obligations, he or she will honor his or her fiduciary or contractual obligations to present such business combination opportunity to such other entity. Our amended and restated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2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Position</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With funds in the trust account available for a business combination initially in the amount of $101,325,000 (assuming no redemptions), after payment of $3,675,000 of deferred underwriting fees (or $ 116,523,750 (assuming no redemptions) after payment of $4,226,250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66"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6" w:lineRule="exact"/>
        <w:rPr>
          <w:sz w:val="20"/>
          <w:szCs w:val="20"/>
          <w:color w:val="auto"/>
        </w:rPr>
      </w:pPr>
    </w:p>
    <w:p>
      <w:pPr>
        <w:ind w:left="1100" w:right="499" w:hanging="322"/>
        <w:spacing w:after="0"/>
        <w:tabs>
          <w:tab w:leader="none" w:pos="10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27" w:lineRule="exact"/>
        <w:rPr>
          <w:rFonts w:ascii="Arial" w:cs="Arial" w:eastAsia="Arial" w:hAnsi="Arial"/>
          <w:sz w:val="18"/>
          <w:szCs w:val="18"/>
          <w:color w:val="auto"/>
        </w:rPr>
      </w:pPr>
    </w:p>
    <w:p>
      <w:pPr>
        <w:ind w:left="1100" w:right="1119" w:hanging="322"/>
        <w:spacing w:after="0" w:line="246" w:lineRule="auto"/>
        <w:tabs>
          <w:tab w:leader="none" w:pos="10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23"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4" w:name="page75"/>
    <w:bookmarkEnd w:id="74"/>
    <w:p>
      <w:pPr>
        <w:ind w:left="460" w:right="599"/>
        <w:spacing w:after="0" w:line="238"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Our Initial Business Combination</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subject to the provisions of our amended and restated certificate of incorporation. However, we will seek stockholder approval if it is required by law or applicable stock exchange rule, or we may decide to seek stockholder approval for business or other legal reasons.</w:t>
      </w:r>
    </w:p>
    <w:p>
      <w:pPr>
        <w:spacing w:after="0" w:line="137"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Presented in the table below is a graphic explanation of the types of initial business combinations we may consider and whether stockholder approval is currently required under Delaware law for each such transaction.</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WHETHER</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STOCKHOLDER</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APPROVAL IS</w:t>
            </w:r>
          </w:p>
        </w:tc>
      </w:tr>
      <w:tr>
        <w:trPr>
          <w:trHeight w:val="190"/>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TYPE OF TRANSACTION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REQUIRED</w:t>
            </w:r>
          </w:p>
        </w:tc>
      </w:tr>
      <w:tr>
        <w:trPr>
          <w:trHeight w:val="26"/>
        </w:trPr>
        <w:tc>
          <w:tcPr>
            <w:tcW w:w="6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No</w:t>
            </w:r>
          </w:p>
        </w:tc>
      </w:tr>
      <w:tr>
        <w:trPr>
          <w:trHeight w:val="257"/>
        </w:trPr>
        <w:tc>
          <w:tcPr>
            <w:tcW w:w="6900" w:type="dxa"/>
            <w:vAlign w:val="bottom"/>
            <w:gridSpan w:val="2"/>
          </w:tcPr>
          <w:p>
            <w:pPr>
              <w:spacing w:after="0"/>
              <w:rPr>
                <w:sz w:val="20"/>
                <w:szCs w:val="20"/>
                <w:color w:val="auto"/>
              </w:rPr>
            </w:pPr>
            <w:r>
              <w:rPr>
                <w:rFonts w:ascii="Arial" w:cs="Arial" w:eastAsia="Arial" w:hAnsi="Arial"/>
                <w:sz w:val="16"/>
                <w:szCs w:val="16"/>
                <w:color w:val="auto"/>
              </w:rPr>
              <w:t>Purchase of stock of target not involving a merger with the company</w:t>
            </w:r>
          </w:p>
        </w:tc>
        <w:tc>
          <w:tcPr>
            <w:tcW w:w="1200" w:type="dxa"/>
            <w:vAlign w:val="bottom"/>
          </w:tcPr>
          <w:p>
            <w:pPr>
              <w:jc w:val="center"/>
              <w:spacing w:after="0"/>
              <w:rPr>
                <w:sz w:val="20"/>
                <w:szCs w:val="20"/>
                <w:color w:val="auto"/>
              </w:rPr>
            </w:pPr>
            <w:r>
              <w:rPr>
                <w:rFonts w:ascii="Arial" w:cs="Arial" w:eastAsia="Arial" w:hAnsi="Arial"/>
                <w:sz w:val="18"/>
                <w:szCs w:val="18"/>
                <w:color w:val="auto"/>
              </w:rPr>
              <w:t>No</w:t>
            </w:r>
          </w:p>
        </w:tc>
      </w:tr>
      <w:tr>
        <w:trPr>
          <w:trHeight w:val="27"/>
        </w:trPr>
        <w:tc>
          <w:tcPr>
            <w:tcW w:w="6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Merger of target into a subsidiary of the company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No</w:t>
            </w:r>
          </w:p>
        </w:tc>
      </w:tr>
      <w:tr>
        <w:trPr>
          <w:trHeight w:val="257"/>
        </w:trPr>
        <w:tc>
          <w:tcPr>
            <w:tcW w:w="6900" w:type="dxa"/>
            <w:vAlign w:val="bottom"/>
            <w:gridSpan w:val="2"/>
          </w:tcPr>
          <w:p>
            <w:pPr>
              <w:spacing w:after="0"/>
              <w:rPr>
                <w:sz w:val="20"/>
                <w:szCs w:val="20"/>
                <w:color w:val="auto"/>
              </w:rPr>
            </w:pPr>
            <w:r>
              <w:rPr>
                <w:rFonts w:ascii="Arial" w:cs="Arial" w:eastAsia="Arial" w:hAnsi="Arial"/>
                <w:sz w:val="16"/>
                <w:szCs w:val="16"/>
                <w:color w:val="auto"/>
              </w:rPr>
              <w:t>Merger of the company with a target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Yes</w:t>
            </w:r>
          </w:p>
        </w:tc>
      </w:tr>
    </w:tbl>
    <w:p>
      <w:pPr>
        <w:spacing w:after="0" w:line="215" w:lineRule="exact"/>
        <w:rPr>
          <w:sz w:val="20"/>
          <w:szCs w:val="20"/>
          <w:color w:val="auto"/>
        </w:rPr>
      </w:pPr>
    </w:p>
    <w:p>
      <w:pPr>
        <w:ind w:left="460" w:right="1299"/>
        <w:spacing w:after="0" w:line="246" w:lineRule="auto"/>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8" w:lineRule="exact"/>
        <w:rPr>
          <w:sz w:val="20"/>
          <w:szCs w:val="20"/>
          <w:color w:val="auto"/>
        </w:rPr>
      </w:pPr>
    </w:p>
    <w:p>
      <w:pPr>
        <w:ind w:left="1100" w:right="639" w:hanging="322"/>
        <w:spacing w:after="0" w:line="238" w:lineRule="auto"/>
        <w:tabs>
          <w:tab w:leader="none" w:pos="10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issue (other than in a public offering for cash) shares of common stock that will either (a) be equal to or in excess of 20% of the number of our shares of common stock then issued and outstanding (excluding the private placement shares) or (b) have voting power equal to or in excess of 20% of the voting power then outstanding;</w:t>
      </w:r>
    </w:p>
    <w:p>
      <w:pPr>
        <w:spacing w:after="0" w:line="29" w:lineRule="exact"/>
        <w:rPr>
          <w:rFonts w:ascii="Arial" w:cs="Arial" w:eastAsia="Arial" w:hAnsi="Arial"/>
          <w:sz w:val="18"/>
          <w:szCs w:val="18"/>
          <w:color w:val="auto"/>
        </w:rPr>
      </w:pPr>
    </w:p>
    <w:p>
      <w:pPr>
        <w:ind w:left="1100" w:right="659" w:hanging="322"/>
        <w:spacing w:after="0" w:line="236" w:lineRule="auto"/>
        <w:tabs>
          <w:tab w:leader="none" w:pos="10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of our directors, officers or substantial stockholders (as defined by Nasdaq rules) has a 5% or greater interest, directly or indirectly, in the target business or assets to be acquired and if the number of shares of common stock to be issued, or if the number of shares of common stock in which the securities may be convertible or exercisable, exceeds either (a) 1% of the number of shares of common stock or 1% of the voting power outstanding before the issuance in the case of any of our directors and officers and (b) 5% of the number of shares of common stock or 5% of the voting power outstanding before the issuance in the case of any substantial security holder; or</w:t>
      </w:r>
    </w:p>
    <w:p>
      <w:pPr>
        <w:spacing w:after="0" w:line="32" w:lineRule="exact"/>
        <w:rPr>
          <w:rFonts w:ascii="Arial" w:cs="Arial" w:eastAsia="Arial" w:hAnsi="Arial"/>
          <w:sz w:val="18"/>
          <w:szCs w:val="18"/>
          <w:color w:val="auto"/>
        </w:rPr>
      </w:pPr>
    </w:p>
    <w:p>
      <w:pPr>
        <w:ind w:left="1100" w:right="559" w:hanging="322"/>
        <w:spacing w:after="0" w:line="246" w:lineRule="auto"/>
        <w:tabs>
          <w:tab w:leader="none" w:pos="10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in the trust account will be used to purchase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35" w:lineRule="exact"/>
        <w:rPr>
          <w:sz w:val="20"/>
          <w:szCs w:val="20"/>
          <w:color w:val="auto"/>
        </w:rPr>
      </w:pPr>
    </w:p>
    <w:p>
      <w:pPr>
        <w:ind w:left="460" w:right="799"/>
        <w:spacing w:after="0" w:line="238" w:lineRule="auto"/>
        <w:rPr>
          <w:sz w:val="20"/>
          <w:szCs w:val="20"/>
          <w:color w:val="auto"/>
        </w:rPr>
      </w:pPr>
      <w:r>
        <w:rPr>
          <w:rFonts w:ascii="Arial" w:cs="Arial" w:eastAsia="Arial" w:hAnsi="Arial"/>
          <w:sz w:val="18"/>
          <w:szCs w:val="18"/>
          <w:color w:val="auto"/>
        </w:rPr>
        <w:t>In the event that our sponsor, initial stockholders, directors,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5" w:name="page76"/>
    <w:bookmarkEnd w:id="75"/>
    <w:p>
      <w:pPr>
        <w:jc w:val="both"/>
        <w:ind w:left="460" w:right="659"/>
        <w:spacing w:after="0" w:line="261" w:lineRule="auto"/>
        <w:rPr>
          <w:sz w:val="20"/>
          <w:szCs w:val="20"/>
          <w:color w:val="auto"/>
        </w:rPr>
      </w:pPr>
      <w:r>
        <w:rPr>
          <w:rFonts w:ascii="Arial" w:cs="Arial" w:eastAsia="Arial" w:hAnsi="Arial"/>
          <w:sz w:val="17"/>
          <w:szCs w:val="17"/>
          <w:color w:val="auto"/>
        </w:rPr>
        <w:t>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0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purpose of any such purchases of shares could be to (i) vote such shares in favor of the business combination and thereby increase the likelihood of obtaining the requisite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Any such purchases of our shares may result in the completion of our initial business combination that may not otherwise have been possible.</w:t>
      </w:r>
    </w:p>
    <w:p>
      <w:pPr>
        <w:spacing w:after="0" w:line="135"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may be reduced and the number of beneficial holders of our Class A common stock may be reduced, which may make it difficult to maintain or obtain the quotation, listing or trading of our Class A common stock on a national securities exchange.</w:t>
      </w:r>
    </w:p>
    <w:p>
      <w:pPr>
        <w:spacing w:after="0" w:line="137"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Our sponsor, initial stockholders, officers, directors and/or their respective affiliates anticipate that they may identify the stockholders with whom our initial stockholders, officers, directors or their respective affiliates may pursue privately negotiated purchases by either the stockholders contacting us directly or by our receipt of redemption requests submitted by stockholders (in the case of Class A common stock) following our mailing of proxy materials in connection with our initial business combination. To the extent that our sponsor, officers, directors, advisors or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but only if such shares have not already been voted at the stockholder meeting related to our initial business combination. Our sponsor, executive officers, directors, advisors or any of their affiliates will select which stockholders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respective affiliates will be restricted from making purchases of shares if the purchases would violate Section 9(a)(2) or Rule 10b-5 of the Exchange Act. We expect any such purchases will be reported pursuant to Section 13 and Section 16 of the Exchange Act to the extent such purchases are subject to such reporting requirements.</w:t>
      </w:r>
    </w:p>
    <w:p>
      <w:pPr>
        <w:spacing w:after="0" w:line="191" w:lineRule="exact"/>
        <w:rPr>
          <w:sz w:val="20"/>
          <w:szCs w:val="20"/>
          <w:color w:val="auto"/>
        </w:rPr>
      </w:pPr>
    </w:p>
    <w:p>
      <w:pPr>
        <w:ind w:left="460" w:right="1359"/>
        <w:spacing w:after="0" w:line="271" w:lineRule="auto"/>
        <w:rPr>
          <w:sz w:val="20"/>
          <w:szCs w:val="20"/>
          <w:color w:val="auto"/>
        </w:rPr>
      </w:pPr>
      <w:r>
        <w:rPr>
          <w:rFonts w:ascii="Arial" w:cs="Arial" w:eastAsia="Arial" w:hAnsi="Arial"/>
          <w:sz w:val="18"/>
          <w:szCs w:val="18"/>
          <w:b w:val="1"/>
          <w:bCs w:val="1"/>
          <w:i w:val="1"/>
          <w:iCs w:val="1"/>
          <w:color w:val="auto"/>
        </w:rPr>
        <w:t>Redemption Rights for Public Stockholders upon Completion of Our Initial Business Combination</w:t>
      </w:r>
    </w:p>
    <w:p>
      <w:pPr>
        <w:spacing w:after="0" w:line="9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private placement shares and public shares they may hold in connection with the completion of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Redemptions</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Our amended and restated certificate of incorporation provides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6" w:name="page77"/>
    <w:bookmarkEnd w:id="76"/>
    <w:p>
      <w:pPr>
        <w:ind w:left="460" w:right="739"/>
        <w:spacing w:after="0" w:line="238" w:lineRule="auto"/>
        <w:rPr>
          <w:sz w:val="20"/>
          <w:szCs w:val="20"/>
          <w:color w:val="auto"/>
        </w:rPr>
      </w:pPr>
      <w:r>
        <w:rPr>
          <w:rFonts w:ascii="Arial" w:cs="Arial" w:eastAsia="Arial" w:hAnsi="Arial"/>
          <w:sz w:val="18"/>
          <w:szCs w:val="18"/>
          <w:color w:val="auto"/>
        </w:rPr>
        <w:t>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 (ii) without a stockholder vote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Asset acquisitions and stock purchases would not typically require stockholder approval while direct mergers with our company where we do not survive and any transactions where we issue more than 20% of our issued and outstanding common stock (excluding the private placement shares)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35"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is contained in provisions of our amended and restated certificate of incorporation and applies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37"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8" w:lineRule="exact"/>
        <w:rPr>
          <w:sz w:val="20"/>
          <w:szCs w:val="20"/>
          <w:color w:val="auto"/>
        </w:rPr>
      </w:pPr>
    </w:p>
    <w:p>
      <w:pPr>
        <w:ind w:left="1100" w:right="519" w:hanging="322"/>
        <w:spacing w:after="0"/>
        <w:tabs>
          <w:tab w:leader="none" w:pos="10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27" w:lineRule="exact"/>
        <w:rPr>
          <w:rFonts w:ascii="Arial" w:cs="Arial" w:eastAsia="Arial" w:hAnsi="Arial"/>
          <w:sz w:val="18"/>
          <w:szCs w:val="18"/>
          <w:color w:val="auto"/>
        </w:rPr>
      </w:pPr>
    </w:p>
    <w:p>
      <w:pPr>
        <w:ind w:left="1040" w:hanging="262"/>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44" w:lineRule="exact"/>
        <w:rPr>
          <w:sz w:val="20"/>
          <w:szCs w:val="20"/>
          <w:color w:val="auto"/>
        </w:rPr>
      </w:pPr>
    </w:p>
    <w:p>
      <w:pPr>
        <w:ind w:left="460" w:right="459"/>
        <w:spacing w:after="0" w:line="248" w:lineRule="auto"/>
        <w:rPr>
          <w:sz w:val="20"/>
          <w:szCs w:val="20"/>
          <w:color w:val="auto"/>
        </w:rPr>
      </w:pPr>
      <w:r>
        <w:rPr>
          <w:rFonts w:ascii="Arial" w:cs="Arial" w:eastAsia="Arial" w:hAnsi="Arial"/>
          <w:sz w:val="17"/>
          <w:szCs w:val="17"/>
          <w:color w:val="auto"/>
        </w:rPr>
        <w:t>If we seek stockholder approval, we will complete our initial business combination only if a majority of the issued and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issued and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issued and outstanding shares of common stock voted, non-votes will have no effect on the approval of our initial business combination once a quorum is obtained. As a result, in addition to our initial stockholders’ founder shares and private placement shares, we would need only 3,732,501, or</w:t>
      </w:r>
    </w:p>
    <w:p>
      <w:pPr>
        <w:spacing w:after="0" w:line="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35.55%, of the 10,500,000 public shares sold in this offering to be voted in favor of an initial business combination in order to have our initial business combination approved (assuming all issued and outstanding shares of common stock are voted, the private placement shares to be issued to our sponsor are voted in favor of the transaction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26" w:lineRule="exact"/>
        <w:rPr>
          <w:sz w:val="20"/>
          <w:szCs w:val="20"/>
          <w:color w:val="auto"/>
        </w:rPr>
      </w:pPr>
    </w:p>
    <w:p>
      <w:pPr>
        <w:ind w:left="460" w:right="679"/>
        <w:spacing w:after="0" w:line="246"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spacing w:after="0" w:line="21" w:lineRule="exact"/>
        <w:rPr>
          <w:sz w:val="20"/>
          <w:szCs w:val="20"/>
          <w:color w:val="auto"/>
        </w:rPr>
      </w:pPr>
    </w:p>
    <w:p>
      <w:pPr>
        <w:ind w:left="1100" w:right="779" w:hanging="322"/>
        <w:spacing w:after="0" w:line="246" w:lineRule="auto"/>
        <w:tabs>
          <w:tab w:leader="none" w:pos="10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1" w:lineRule="exact"/>
        <w:rPr>
          <w:rFonts w:ascii="Arial" w:cs="Arial" w:eastAsia="Arial" w:hAnsi="Arial"/>
          <w:sz w:val="18"/>
          <w:szCs w:val="18"/>
          <w:color w:val="auto"/>
        </w:rPr>
      </w:pPr>
    </w:p>
    <w:p>
      <w:pPr>
        <w:ind w:left="1100" w:right="519" w:hanging="322"/>
        <w:spacing w:after="0" w:line="238" w:lineRule="auto"/>
        <w:tabs>
          <w:tab w:leader="none" w:pos="10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7" w:name="page78"/>
    <w:bookmarkEnd w:id="77"/>
    <w:p>
      <w:pPr>
        <w:ind w:left="460" w:right="47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If public stockholders tender more shares than we have offered to purchase, we will withdraw the tender offer and not complete the initial business combination.</w:t>
      </w:r>
    </w:p>
    <w:p>
      <w:pPr>
        <w:spacing w:after="0" w:line="12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145"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amended and restated certificate of incorporation provides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91" w:lineRule="exact"/>
        <w:rPr>
          <w:sz w:val="20"/>
          <w:szCs w:val="20"/>
          <w:color w:val="auto"/>
        </w:rPr>
      </w:pPr>
    </w:p>
    <w:p>
      <w:pPr>
        <w:ind w:left="460" w:right="739"/>
        <w:spacing w:after="0" w:line="271" w:lineRule="auto"/>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9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We believe this restriction will discourage stockholders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if such holder’s shares are not purchased by us, our sponsor or our management at a premium to the then-current market</w:t>
      </w:r>
    </w:p>
    <w:p>
      <w:pPr>
        <w:sectPr>
          <w:pgSz w:w="11900" w:h="16838" w:orient="portrait"/>
          <w:cols w:equalWidth="0" w:num="1">
            <w:col w:w="9019"/>
          </w:cols>
          <w:pgMar w:left="1440" w:top="287"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8" w:name="page79"/>
    <w:bookmarkEnd w:id="78"/>
    <w:p>
      <w:pPr>
        <w:ind w:left="460" w:right="559"/>
        <w:spacing w:after="0" w:line="238" w:lineRule="auto"/>
        <w:rPr>
          <w:sz w:val="20"/>
          <w:szCs w:val="20"/>
          <w:color w:val="auto"/>
        </w:rPr>
      </w:pPr>
      <w:r>
        <w:rPr>
          <w:rFonts w:ascii="Arial" w:cs="Arial" w:eastAsia="Arial" w:hAnsi="Arial"/>
          <w:sz w:val="18"/>
          <w:szCs w:val="18"/>
          <w:color w:val="auto"/>
        </w:rPr>
        <w:t>price or on other undesirable terms. By limiting our stockholders’ ability to redeem no more than 20% of the shares sold in this offering without our prior consent,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21" w:lineRule="exact"/>
        <w:rPr>
          <w:sz w:val="20"/>
          <w:szCs w:val="20"/>
          <w:color w:val="auto"/>
        </w:rPr>
      </w:pPr>
    </w:p>
    <w:p>
      <w:pPr>
        <w:ind w:left="460" w:right="879"/>
        <w:spacing w:after="0" w:line="246" w:lineRule="auto"/>
        <w:rPr>
          <w:sz w:val="20"/>
          <w:szCs w:val="20"/>
          <w:color w:val="auto"/>
        </w:rPr>
      </w:pPr>
      <w:r>
        <w:rPr>
          <w:rFonts w:ascii="Arial" w:cs="Arial" w:eastAsia="Arial" w:hAnsi="Arial"/>
          <w:sz w:val="18"/>
          <w:szCs w:val="18"/>
          <w:color w:val="auto"/>
        </w:rPr>
        <w:t>However, we would not be restricting our stockholders’ ability to vote all of their shares (including Excess Shares) for or against our initial business combination.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Delivering Stock Certificates in Connection with the Exercise of Redemption Rights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As described above, 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stockholder fails to comply with these or any other procedures disclosed in the proxy or tender offer materials, as applicable, its shares may not be redeemed. Given the relatively short exercise period, it is advisable for stockholders to use electronic delivery of their public shares.</w:t>
      </w:r>
    </w:p>
    <w:p>
      <w:pPr>
        <w:spacing w:after="0" w:line="145"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37"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24 months from the closing of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5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amended and restated certificate of incorporation provides that we will have only 24 months from the closing of this offering to complete our initial business combination. If we are unable to complete our initial business combination within such 24-month period from the closing of this offering or during any Extension Period, we will: (i) cease all operations except for the purpose of winding up, (ii) as promptly as reasonably possible but not more than ten business days thereafter, redeem the public shares, at a per-share price, payable in cash, equal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9" w:name="page80"/>
    <w:bookmarkEnd w:id="79"/>
    <w:p>
      <w:pPr>
        <w:ind w:left="460" w:right="539"/>
        <w:spacing w:after="0" w:line="236" w:lineRule="auto"/>
        <w:rPr>
          <w:sz w:val="20"/>
          <w:szCs w:val="20"/>
          <w:color w:val="auto"/>
        </w:rPr>
      </w:pPr>
      <w:r>
        <w:rPr>
          <w:rFonts w:ascii="Arial" w:cs="Arial" w:eastAsia="Arial" w:hAnsi="Arial"/>
          <w:sz w:val="18"/>
          <w:szCs w:val="18"/>
          <w:color w:val="auto"/>
        </w:rPr>
        <w:t>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27"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Our initial stockholders, sponsor, officers and directors have entered into a letter agreement with us, pursuant to which they have waived their rights to liquidating distributions from the trust account with respect to any founder shares and private placement shares they hold if we fail to complete our initial business combination within 24 months from the closing of this offering or during any Extension Period. However, if our initial stockholders,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4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initial stockholders, sponsor, officers and directors have agreed, pursuant to a letter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46"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2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shares, other than the proceeds deposited in the trust account, and without taking into account interest, if any, earned on the trust account and any tax payments or expenses for the dissolution of the trust,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2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Although we will seek to have all vendors, service providers (other than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80" w:name="page81"/>
    <w:bookmarkEnd w:id="80"/>
    <w:p>
      <w:pPr>
        <w:ind w:left="460" w:right="479"/>
        <w:spacing w:after="0" w:line="235" w:lineRule="auto"/>
        <w:rPr>
          <w:sz w:val="20"/>
          <w:szCs w:val="20"/>
          <w:color w:val="auto"/>
        </w:rPr>
      </w:pPr>
      <w:r>
        <w:rPr>
          <w:rFonts w:ascii="Arial" w:cs="Arial" w:eastAsia="Arial" w:hAnsi="Arial"/>
          <w:sz w:val="18"/>
          <w:szCs w:val="18"/>
          <w:color w:val="auto"/>
        </w:rPr>
        <w:t>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this offering and our independent registered public accounting firm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3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1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$1,000,000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81" w:name="page82"/>
    <w:bookmarkEnd w:id="81"/>
    <w:p>
      <w:pPr>
        <w:ind w:left="460" w:right="479"/>
        <w:spacing w:after="0" w:line="25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12"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28"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82" w:name="page83"/>
    <w:bookmarkEnd w:id="82"/>
    <w:p>
      <w:pPr>
        <w:ind w:left="460" w:right="479"/>
        <w:spacing w:after="0" w:line="235"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3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(i) in the event of the redemption of our public shares if we do not complete our initial business combination within 24 months from the closing of this offering, (ii)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or (iii) if they redeem their respective shares for cash upon the completion of our initial business combination.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described above. These provisions of our amended and restated certificate of incorporation, like all provisions of our amended and restated certificate of incorporation, may be amended with a stockholder vote.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3" w:name="page84"/>
    <w:bookmarkEnd w:id="83"/>
    <w:p>
      <w:pPr>
        <w:ind w:left="460" w:right="1119"/>
        <w:spacing w:after="0" w:line="271"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08" w:lineRule="exact"/>
        <w:rPr>
          <w:sz w:val="20"/>
          <w:szCs w:val="20"/>
          <w:color w:val="auto"/>
        </w:rPr>
      </w:pPr>
    </w:p>
    <w:p>
      <w:pPr>
        <w:ind w:left="460" w:right="539"/>
        <w:spacing w:after="0" w:line="261"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9019"/>
          </w:cols>
          <w:pgMar w:left="1440" w:top="3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b w:val="1"/>
                <w:bCs w:val="1"/>
                <w:color w:val="auto"/>
              </w:rPr>
              <w:t>Redemptions in Connection</w:t>
            </w:r>
          </w:p>
        </w:tc>
        <w:tc>
          <w:tcPr>
            <w:tcW w:w="10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 Permitted Purchases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Redemptions if we fail to</w:t>
            </w:r>
          </w:p>
        </w:tc>
      </w:tr>
      <w:tr>
        <w:trPr>
          <w:trHeight w:val="162"/>
        </w:trPr>
        <w:tc>
          <w:tcPr>
            <w:tcW w:w="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with our Initial Business</w:t>
            </w:r>
          </w:p>
        </w:tc>
        <w:tc>
          <w:tcPr>
            <w:tcW w:w="100" w:type="dxa"/>
            <w:vAlign w:val="bottom"/>
          </w:tcPr>
          <w:p>
            <w:pPr>
              <w:spacing w:after="0"/>
              <w:rPr>
                <w:sz w:val="14"/>
                <w:szCs w:val="14"/>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Public Shares by our</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Complete an Initial Business</w:t>
            </w:r>
          </w:p>
        </w:tc>
      </w:tr>
      <w:tr>
        <w:trPr>
          <w:trHeight w:val="190"/>
        </w:trPr>
        <w:tc>
          <w:tcPr>
            <w:tcW w:w="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Combination</w:t>
            </w:r>
          </w:p>
        </w:tc>
        <w:tc>
          <w:tcPr>
            <w:tcW w:w="100" w:type="dxa"/>
            <w:vAlign w:val="bottom"/>
          </w:tcPr>
          <w:p>
            <w:pPr>
              <w:spacing w:after="0"/>
              <w:rPr>
                <w:sz w:val="16"/>
                <w:szCs w:val="16"/>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Affiliates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Combination</w:t>
            </w:r>
          </w:p>
        </w:tc>
      </w:tr>
      <w:tr>
        <w:trPr>
          <w:trHeight w:val="26"/>
        </w:trPr>
        <w:tc>
          <w:tcPr>
            <w:tcW w:w="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1900" w:type="dxa"/>
            <w:vAlign w:val="bottom"/>
          </w:tcPr>
          <w:p>
            <w:pPr>
              <w:spacing w:after="0" w:line="195" w:lineRule="exact"/>
              <w:rPr>
                <w:sz w:val="20"/>
                <w:szCs w:val="20"/>
                <w:color w:val="auto"/>
              </w:rPr>
            </w:pPr>
            <w:r>
              <w:rPr>
                <w:rFonts w:ascii="Arial" w:cs="Arial" w:eastAsia="Arial" w:hAnsi="Arial"/>
                <w:sz w:val="18"/>
                <w:szCs w:val="18"/>
                <w:color w:val="auto"/>
              </w:rPr>
              <w:t>Redemptions at the</w:t>
            </w:r>
          </w:p>
        </w:tc>
        <w:tc>
          <w:tcPr>
            <w:tcW w:w="100" w:type="dxa"/>
            <w:vAlign w:val="bottom"/>
          </w:tcPr>
          <w:p>
            <w:pPr>
              <w:spacing w:after="0"/>
              <w:rPr>
                <w:sz w:val="16"/>
                <w:szCs w:val="16"/>
                <w:color w:val="auto"/>
              </w:rPr>
            </w:pPr>
          </w:p>
        </w:tc>
        <w:tc>
          <w:tcPr>
            <w:tcW w:w="1940" w:type="dxa"/>
            <w:vAlign w:val="bottom"/>
          </w:tcPr>
          <w:p>
            <w:pPr>
              <w:spacing w:after="0" w:line="195" w:lineRule="exact"/>
              <w:rPr>
                <w:sz w:val="20"/>
                <w:szCs w:val="20"/>
                <w:color w:val="auto"/>
              </w:rPr>
            </w:pPr>
            <w:r>
              <w:rPr>
                <w:rFonts w:ascii="Arial" w:cs="Arial" w:eastAsia="Arial" w:hAnsi="Arial"/>
                <w:sz w:val="18"/>
                <w:szCs w:val="18"/>
                <w:color w:val="auto"/>
              </w:rPr>
              <w:t>If we seek stockholder</w:t>
            </w:r>
          </w:p>
        </w:tc>
        <w:tc>
          <w:tcPr>
            <w:tcW w:w="100" w:type="dxa"/>
            <w:vAlign w:val="bottom"/>
          </w:tcPr>
          <w:p>
            <w:pPr>
              <w:spacing w:after="0"/>
              <w:rPr>
                <w:sz w:val="16"/>
                <w:szCs w:val="16"/>
                <w:color w:val="auto"/>
              </w:rPr>
            </w:pPr>
          </w:p>
        </w:tc>
        <w:tc>
          <w:tcPr>
            <w:tcW w:w="2060" w:type="dxa"/>
            <w:vAlign w:val="bottom"/>
          </w:tcPr>
          <w:p>
            <w:pPr>
              <w:spacing w:after="0" w:line="195" w:lineRule="exact"/>
              <w:rPr>
                <w:sz w:val="20"/>
                <w:szCs w:val="20"/>
                <w:color w:val="auto"/>
              </w:rPr>
            </w:pPr>
            <w:r>
              <w:rPr>
                <w:rFonts w:ascii="Arial" w:cs="Arial" w:eastAsia="Arial" w:hAnsi="Arial"/>
                <w:sz w:val="18"/>
                <w:szCs w:val="18"/>
                <w:color w:val="auto"/>
              </w:rPr>
              <w:t>If we are unable to</w:t>
            </w:r>
          </w:p>
        </w:tc>
      </w:tr>
      <w:tr>
        <w:trPr>
          <w:trHeight w:val="202"/>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time of our initial</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approval of our initial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complete our initial</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business combination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business combination,</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business combination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may be made pursuant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our initial stockholders,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within 24 months from</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to a tender offer or in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directors, officers,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the closing of this</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connection with a</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advisors or their</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offering, we will redeem</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stockholder vote.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respective affiliates may</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all public shares at a per-</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redemption price will be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 public shares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share price, payable in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same whether we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in privately negotiated</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cash, equal to the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conduct redemptions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transactions or in the</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aggregate amount, then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pursuant to a tender</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open market either prior</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on deposit in the trust</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offer or in connection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to or following</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account (which is initially</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with a stockholder vote.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completion of our initial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anticipated to be $10.00</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 either case, our</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business combination.</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per share), including</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8"/>
              </w:rPr>
              <w:t>public stockholders may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There is no limit to the</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interest earned on the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redeem their public</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prices that our initial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funds held in the trust</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8"/>
              </w:rPr>
              <w:t>shares for cash equal to</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stockholders, directors,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account and not</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aggregate amount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officers, advisors or</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previously released to us</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then on deposit in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their respective affiliates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to pay our taxes (less up</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trust account calculated</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may pay in these</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to $100,000 of interest to</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as of two business days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transactions. If they</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pay dissolution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prior to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engage in such</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expenses) divided by the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consummation of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transactions, they will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number of then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initial business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be restricted from</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outstanding public</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combination (which is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making any such</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shares.</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initially anticipated to be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when they</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$10.00 per share),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are in possession of any</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including interest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material nonpublic</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earned on the funds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information not</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held in the trust account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disclosed to the seller or</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and not previously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if such purchases are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released to us to pay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prohibited by Regulation</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our taxes, divided by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 under the Exchange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number of then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Act. We do not currently</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outstanding public</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anticipate that such</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shares, subject to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if any, would</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limitation that no</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constitute a tender offer</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redemptions will take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subject to the tender</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place if all of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offer rules under the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redemptions would</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Exchange Act or a</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cause our net tangible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going-private</w:t>
            </w:r>
          </w:p>
        </w:tc>
        <w:tc>
          <w:tcPr>
            <w:tcW w:w="2060" w:type="dxa"/>
            <w:vAlign w:val="bottom"/>
          </w:tcPr>
          <w:p>
            <w:pPr>
              <w:spacing w:after="0"/>
              <w:rPr>
                <w:sz w:val="17"/>
                <w:szCs w:val="17"/>
                <w:color w:val="auto"/>
              </w:rPr>
            </w:pPr>
          </w:p>
        </w:tc>
      </w:tr>
      <w:tr>
        <w:trPr>
          <w:trHeight w:val="202"/>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assets to be less than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 subject to</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$5,000,001.</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 going-private rules</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under the Exchange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Act; however, if the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purchasers determine at</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 time of any such</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that the</w:t>
            </w:r>
          </w:p>
        </w:tc>
        <w:tc>
          <w:tcPr>
            <w:tcW w:w="20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are subject</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to such rules, the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purchasers will be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required to comply with</w:t>
            </w:r>
          </w:p>
        </w:tc>
        <w:tc>
          <w:tcPr>
            <w:tcW w:w="206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gridSpan w:val="3"/>
          </w:tcPr>
          <w:p>
            <w:pPr>
              <w:ind w:left="100"/>
              <w:spacing w:after="0"/>
              <w:rPr>
                <w:sz w:val="20"/>
                <w:szCs w:val="20"/>
                <w:color w:val="auto"/>
              </w:rPr>
            </w:pPr>
            <w:r>
              <w:rPr>
                <w:rFonts w:ascii="Arial" w:cs="Arial" w:eastAsia="Arial" w:hAnsi="Arial"/>
                <w:sz w:val="18"/>
                <w:szCs w:val="18"/>
                <w:color w:val="auto"/>
              </w:rPr>
              <w:t>such rules.</w:t>
            </w:r>
          </w:p>
        </w:tc>
        <w:tc>
          <w:tcPr>
            <w:tcW w:w="2060" w:type="dxa"/>
            <w:vAlign w:val="bottom"/>
          </w:tcPr>
          <w:p>
            <w:pPr>
              <w:spacing w:after="0"/>
              <w:rPr>
                <w:sz w:val="18"/>
                <w:szCs w:val="18"/>
                <w:color w:val="auto"/>
              </w:rPr>
            </w:pPr>
          </w:p>
        </w:tc>
      </w:tr>
      <w:tr>
        <w:trPr>
          <w:trHeight w:val="419"/>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40" w:type="dxa"/>
            <w:vAlign w:val="bottom"/>
            <w:gridSpan w:val="2"/>
          </w:tcPr>
          <w:p>
            <w:pPr>
              <w:jc w:val="right"/>
              <w:ind w:right="172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-1260475</wp:posOffset>
            </wp:positionH>
            <wp:positionV relativeFrom="paragraph">
              <wp:posOffset>-8255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2100" w:space="340"/>
            <w:col w:w="6579"/>
          </w:cols>
          <w:pgMar w:left="1440" w:top="333" w:right="1440" w:bottom="1440" w:gutter="0" w:footer="0" w:header="0"/>
          <w:type w:val="continuous"/>
        </w:sectPr>
      </w:pPr>
    </w:p>
    <w:bookmarkStart w:id="84" w:name="page85"/>
    <w:bookmarkEnd w:id="84"/>
    <w:p>
      <w:pPr>
        <w:spacing w:after="0" w:line="200" w:lineRule="exact"/>
        <w:rPr>
          <w:sz w:val="20"/>
          <w:szCs w:val="20"/>
          <w:color w:val="auto"/>
        </w:rPr>
      </w:pPr>
    </w:p>
    <w:p>
      <w:pPr>
        <w:spacing w:after="0" w:line="317"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Impact to remaining stockholders</w:t>
      </w:r>
    </w:p>
    <w:p>
      <w:pPr>
        <w:spacing w:after="0" w:line="20" w:lineRule="exact"/>
        <w:rPr>
          <w:sz w:val="20"/>
          <w:szCs w:val="20"/>
          <w:color w:val="auto"/>
        </w:rPr>
      </w:pPr>
      <w:r>
        <w:rPr>
          <w:sz w:val="20"/>
          <w:szCs w:val="20"/>
          <w:color w:val="auto"/>
        </w:rPr>
        <w:br w:type="column"/>
      </w:r>
    </w:p>
    <w:p>
      <w:pPr>
        <w:jc w:val="center"/>
        <w:spacing w:after="0" w:line="263" w:lineRule="auto"/>
        <w:rPr>
          <w:sz w:val="20"/>
          <w:szCs w:val="20"/>
          <w:color w:val="auto"/>
        </w:rPr>
      </w:pPr>
      <w:r>
        <w:rPr>
          <w:rFonts w:ascii="Arial" w:cs="Arial" w:eastAsia="Arial" w:hAnsi="Arial"/>
          <w:sz w:val="14"/>
          <w:szCs w:val="14"/>
          <w:b w:val="1"/>
          <w:bCs w:val="1"/>
          <w:color w:val="auto"/>
        </w:rPr>
        <w:t>Redemptions in Connection with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2261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redemptions in connection with our initial business combination will reduce the book value per share for our remaining stockholders, who will bear the burden of the deferred underwriting commissions and interest withdrawn in order to pay our taxes (to the extent not paid from amounts accrued as interest on the funds held in the trust account).</w:t>
      </w:r>
    </w:p>
    <w:p>
      <w:pPr>
        <w:spacing w:after="0" w:line="20" w:lineRule="exact"/>
        <w:rPr>
          <w:sz w:val="20"/>
          <w:szCs w:val="20"/>
          <w:color w:val="auto"/>
        </w:rPr>
      </w:pPr>
      <w:r>
        <w:rPr>
          <w:sz w:val="20"/>
          <w:szCs w:val="20"/>
          <w:color w:val="auto"/>
        </w:rPr>
        <w:br w:type="column"/>
      </w:r>
    </w:p>
    <w:p>
      <w:pPr>
        <w:jc w:val="center"/>
        <w:ind w:left="40"/>
        <w:spacing w:after="0" w:line="263"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2344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jc w:val="center"/>
        <w:ind w:left="20" w:right="519"/>
        <w:spacing w:after="0" w:line="263"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3030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 w:lineRule="exact"/>
        <w:rPr>
          <w:sz w:val="20"/>
          <w:szCs w:val="20"/>
          <w:color w:val="auto"/>
        </w:rPr>
      </w:pPr>
    </w:p>
    <w:p>
      <w:pPr>
        <w:ind w:right="479"/>
        <w:spacing w:after="0" w:line="236" w:lineRule="auto"/>
        <w:rPr>
          <w:sz w:val="20"/>
          <w:szCs w:val="20"/>
          <w:color w:val="auto"/>
        </w:rPr>
      </w:pPr>
      <w:r>
        <w:rPr>
          <w:rFonts w:ascii="Arial" w:cs="Arial" w:eastAsia="Arial" w:hAnsi="Arial"/>
          <w:sz w:val="18"/>
          <w:szCs w:val="18"/>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1422" w:lineRule="exact"/>
        <w:rPr>
          <w:sz w:val="20"/>
          <w:szCs w:val="20"/>
          <w:color w:val="auto"/>
        </w:rPr>
      </w:pPr>
    </w:p>
    <w:p>
      <w:pPr>
        <w:sectPr>
          <w:pgSz w:w="11900" w:h="16838" w:orient="portrait"/>
          <w:cols w:equalWidth="0" w:num="4">
            <w:col w:w="2160" w:space="280"/>
            <w:col w:w="1920" w:space="100"/>
            <w:col w:w="1940" w:space="100"/>
            <w:col w:w="2519"/>
          </w:cols>
          <w:pgMar w:left="1440" w:top="302" w:right="1440" w:bottom="1440" w:gutter="0" w:footer="0" w:header="0"/>
        </w:sectPr>
      </w:pP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49" w:lineRule="exact"/>
        <w:rPr>
          <w:sz w:val="20"/>
          <w:szCs w:val="20"/>
          <w:color w:val="auto"/>
        </w:rPr>
      </w:pPr>
    </w:p>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2" w:right="1440" w:bottom="1440" w:gutter="0" w:footer="0" w:header="0"/>
          <w:type w:val="continuous"/>
        </w:sectPr>
      </w:pPr>
    </w:p>
    <w:p>
      <w:pPr>
        <w:spacing w:after="0" w:line="113"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$105,000,000 of the net proceeds of this offering and the sale of the private placement shares will be deposited into a trust account located in the United States with Continental Stock Transfer &amp; Trust Company acting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-915670</wp:posOffset>
            </wp:positionV>
            <wp:extent cx="18770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479"/>
        <w:spacing w:after="0" w:line="236" w:lineRule="auto"/>
        <w:rPr>
          <w:sz w:val="20"/>
          <w:szCs w:val="20"/>
          <w:color w:val="auto"/>
        </w:rPr>
      </w:pPr>
      <w:r>
        <w:rPr>
          <w:rFonts w:ascii="Arial" w:cs="Arial" w:eastAsia="Arial" w:hAnsi="Arial"/>
          <w:sz w:val="18"/>
          <w:szCs w:val="18"/>
          <w:color w:val="auto"/>
        </w:rPr>
        <w:t>Approximately $89,302,500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-1299845</wp:posOffset>
            </wp:positionV>
            <wp:extent cx="19456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3">
            <w:col w:w="2040" w:space="400"/>
            <w:col w:w="2880" w:space="160"/>
            <w:col w:w="3539"/>
          </w:cols>
          <w:pgMar w:left="1440" w:top="302" w:right="1440" w:bottom="1440" w:gutter="0" w:footer="0" w:header="0"/>
          <w:type w:val="continuous"/>
        </w:sectPr>
      </w:pPr>
    </w:p>
    <w:p>
      <w:pPr>
        <w:ind w:left="460"/>
        <w:spacing w:after="0"/>
        <w:tabs>
          <w:tab w:leader="none" w:pos="2420" w:val="left"/>
        </w:tabs>
        <w:rPr>
          <w:sz w:val="20"/>
          <w:szCs w:val="20"/>
          <w:color w:val="auto"/>
        </w:rPr>
      </w:pPr>
      <w:r>
        <w:rPr>
          <w:rFonts w:ascii="Arial" w:cs="Arial" w:eastAsia="Arial" w:hAnsi="Arial"/>
          <w:sz w:val="18"/>
          <w:szCs w:val="18"/>
          <w:b w:val="1"/>
          <w:bCs w:val="1"/>
          <w:color w:val="auto"/>
        </w:rPr>
        <w:t>Investment of net</w:t>
      </w:r>
      <w:r>
        <w:rPr>
          <w:sz w:val="20"/>
          <w:szCs w:val="20"/>
          <w:color w:val="auto"/>
        </w:rPr>
        <w:tab/>
      </w:r>
      <w:r>
        <w:rPr>
          <w:rFonts w:ascii="Arial" w:cs="Arial" w:eastAsia="Arial" w:hAnsi="Arial"/>
          <w:sz w:val="17"/>
          <w:szCs w:val="17"/>
          <w:color w:val="auto"/>
        </w:rPr>
        <w:t>$105,000,000 of the net proceeds of</w:t>
      </w:r>
    </w:p>
    <w:p>
      <w:pPr>
        <w:spacing w:after="0" w:line="18" w:lineRule="exact"/>
        <w:rPr>
          <w:sz w:val="20"/>
          <w:szCs w:val="20"/>
          <w:color w:val="auto"/>
        </w:rPr>
      </w:pPr>
    </w:p>
    <w:p>
      <w:pPr>
        <w:ind w:left="2440" w:hanging="1799"/>
        <w:spacing w:after="0" w:line="236" w:lineRule="auto"/>
        <w:tabs>
          <w:tab w:leader="none" w:pos="2420" w:val="left"/>
        </w:tabs>
        <w:rPr>
          <w:sz w:val="20"/>
          <w:szCs w:val="20"/>
          <w:color w:val="auto"/>
        </w:rPr>
      </w:pPr>
      <w:r>
        <w:rPr>
          <w:rFonts w:ascii="Arial" w:cs="Arial" w:eastAsia="Arial" w:hAnsi="Arial"/>
          <w:sz w:val="18"/>
          <w:szCs w:val="18"/>
          <w:b w:val="1"/>
          <w:bCs w:val="1"/>
          <w:color w:val="auto"/>
        </w:rPr>
        <w:t>proceeds</w:t>
      </w:r>
      <w:r>
        <w:rPr>
          <w:sz w:val="20"/>
          <w:szCs w:val="20"/>
          <w:color w:val="auto"/>
        </w:rPr>
        <w:tab/>
      </w:r>
      <w:r>
        <w:rPr>
          <w:rFonts w:ascii="Arial" w:cs="Arial" w:eastAsia="Arial" w:hAnsi="Arial"/>
          <w:sz w:val="18"/>
          <w:szCs w:val="18"/>
          <w:color w:val="auto"/>
        </w:rPr>
        <w:t>this offering and the sale of the private placement shares held in trust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19"/>
        <w:spacing w:after="0" w:line="236" w:lineRule="auto"/>
        <w:rPr>
          <w:sz w:val="20"/>
          <w:szCs w:val="20"/>
          <w:color w:val="auto"/>
        </w:rPr>
      </w:pPr>
      <w:r>
        <w:rPr>
          <w:rFonts w:ascii="Arial" w:cs="Arial" w:eastAsia="Arial" w:hAnsi="Arial"/>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79" w:lineRule="exact"/>
        <w:rPr>
          <w:sz w:val="20"/>
          <w:szCs w:val="20"/>
          <w:color w:val="auto"/>
        </w:rPr>
      </w:pPr>
    </w:p>
    <w:p>
      <w:pPr>
        <w:sectPr>
          <w:pgSz w:w="11900" w:h="16838" w:orient="portrait"/>
          <w:cols w:equalWidth="0" w:num="2">
            <w:col w:w="5360" w:space="120"/>
            <w:col w:w="3539"/>
          </w:cols>
          <w:pgMar w:left="1440" w:top="302" w:right="1440"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 xml:space="preserve">Receipt of interest on  </w:t>
      </w:r>
      <w:r>
        <w:rPr>
          <w:rFonts w:ascii="Arial" w:cs="Arial" w:eastAsia="Arial" w:hAnsi="Arial"/>
          <w:sz w:val="18"/>
          <w:szCs w:val="18"/>
          <w:color w:val="auto"/>
        </w:rPr>
        <w:t>Interest on proceeds from the trust</w:t>
      </w:r>
    </w:p>
    <w:p>
      <w:pPr>
        <w:spacing w:after="0" w:line="18" w:lineRule="exact"/>
        <w:rPr>
          <w:sz w:val="20"/>
          <w:szCs w:val="20"/>
          <w:color w:val="auto"/>
        </w:rPr>
      </w:pPr>
    </w:p>
    <w:p>
      <w:pPr>
        <w:ind w:left="2440" w:hanging="1803"/>
        <w:spacing w:after="0" w:line="236" w:lineRule="auto"/>
        <w:tabs>
          <w:tab w:leader="none" w:pos="2420" w:val="left"/>
        </w:tabs>
        <w:rPr>
          <w:sz w:val="20"/>
          <w:szCs w:val="20"/>
          <w:color w:val="auto"/>
        </w:rPr>
      </w:pPr>
      <w:r>
        <w:rPr>
          <w:rFonts w:ascii="Arial" w:cs="Arial" w:eastAsia="Arial" w:hAnsi="Arial"/>
          <w:sz w:val="18"/>
          <w:szCs w:val="18"/>
          <w:b w:val="1"/>
          <w:bCs w:val="1"/>
          <w:color w:val="auto"/>
        </w:rPr>
        <w:t>escrowed funds</w:t>
      </w:r>
      <w:r>
        <w:rPr>
          <w:sz w:val="20"/>
          <w:szCs w:val="20"/>
          <w:color w:val="auto"/>
        </w:rPr>
        <w:tab/>
      </w:r>
      <w:r>
        <w:rPr>
          <w:rFonts w:ascii="Arial" w:cs="Arial" w:eastAsia="Arial" w:hAnsi="Arial"/>
          <w:sz w:val="18"/>
          <w:szCs w:val="18"/>
          <w:color w:val="auto"/>
        </w:rPr>
        <w:t>account to be paid to stockholders is reduced by (i) any taxes paid or payable and (ii) in the event of our liquidation for failure to complete our initial business combination within the allotted time, up to $ 100,000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414" w:lineRule="exact"/>
        <w:rPr>
          <w:sz w:val="20"/>
          <w:szCs w:val="20"/>
          <w:color w:val="auto"/>
        </w:rPr>
      </w:pPr>
    </w:p>
    <w:p>
      <w:pPr>
        <w:sectPr>
          <w:pgSz w:w="11900" w:h="16838" w:orient="portrait"/>
          <w:cols w:equalWidth="0" w:num="2">
            <w:col w:w="5340" w:space="140"/>
            <w:col w:w="3539"/>
          </w:cols>
          <w:pgMar w:left="1440" w:top="302" w:right="1440" w:bottom="1440" w:gutter="0" w:footer="0" w:header="0"/>
          <w:type w:val="continuous"/>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85" w:name="page86"/>
    <w:bookmarkEnd w:id="85"/>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hanging="179"/>
        <w:spacing w:after="0" w:line="275"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right="300" w:hanging="179"/>
        <w:spacing w:after="0" w:line="271" w:lineRule="auto"/>
        <w:rPr>
          <w:sz w:val="20"/>
          <w:szCs w:val="20"/>
          <w:color w:val="auto"/>
        </w:rPr>
      </w:pPr>
      <w:r>
        <w:rPr>
          <w:rFonts w:ascii="Arial" w:cs="Arial" w:eastAsia="Arial" w:hAnsi="Arial"/>
          <w:sz w:val="18"/>
          <w:szCs w:val="18"/>
          <w:b w:val="1"/>
          <w:bCs w:val="1"/>
          <w:color w:val="auto"/>
        </w:rPr>
        <w:t>Trading of shares issued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must complete one or more business combinations having an aggregate fair market value of at least 80% of our assets held in the trust account (excluding the deferred underwriting commissions and taxes payable on the income earned on the trust account) at the time of the agreement to enter into the initial business combination.</w:t>
      </w:r>
    </w:p>
    <w:p>
      <w:pPr>
        <w:spacing w:after="0" w:line="19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shares of Class A common stock are expected to begin trading on or promptly after the date of this prospectus.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499"/>
        <w:spacing w:after="0"/>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99"/>
        <w:spacing w:after="0" w:line="237" w:lineRule="auto"/>
        <w:rPr>
          <w:sz w:val="20"/>
          <w:szCs w:val="20"/>
          <w:color w:val="auto"/>
        </w:rPr>
      </w:pPr>
      <w:r>
        <w:rPr>
          <w:rFonts w:ascii="Arial" w:cs="Arial" w:eastAsia="Arial" w:hAnsi="Arial"/>
          <w:sz w:val="18"/>
          <w:szCs w:val="18"/>
          <w:color w:val="auto"/>
        </w:rPr>
        <w:t>No trading of the shares of Class A common stock would be permitted until the completion of a business combination. During this period, the shares of Class A common stock would be held in the escrow or trust account.</w:t>
      </w:r>
    </w:p>
    <w:p>
      <w:pPr>
        <w:spacing w:after="0" w:line="167" w:lineRule="exact"/>
        <w:rPr>
          <w:sz w:val="20"/>
          <w:szCs w:val="20"/>
          <w:color w:val="auto"/>
        </w:rPr>
      </w:pPr>
    </w:p>
    <w:p>
      <w:pPr>
        <w:sectPr>
          <w:pgSz w:w="11900" w:h="16838" w:orient="portrait"/>
          <w:cols w:equalWidth="0" w:num="3">
            <w:col w:w="2260" w:space="180"/>
            <w:col w:w="2920" w:space="120"/>
            <w:col w:w="3539"/>
          </w:cols>
          <w:pgMar w:left="1440" w:top="302" w:right="1440" w:bottom="1440" w:gutter="0" w:footer="0" w:header="0"/>
          <w:type w:val="continuous"/>
        </w:sectPr>
      </w:pPr>
    </w:p>
    <w:p>
      <w:pPr>
        <w:ind w:left="460"/>
        <w:spacing w:after="0"/>
        <w:tabs>
          <w:tab w:leader="none" w:pos="2420" w:val="left"/>
        </w:tabs>
        <w:rPr>
          <w:sz w:val="20"/>
          <w:szCs w:val="20"/>
          <w:color w:val="auto"/>
        </w:rPr>
      </w:pPr>
      <w:r>
        <w:rPr>
          <w:rFonts w:ascii="Arial" w:cs="Arial" w:eastAsia="Arial" w:hAnsi="Arial"/>
          <w:sz w:val="18"/>
          <w:szCs w:val="18"/>
          <w:b w:val="1"/>
          <w:bCs w:val="1"/>
          <w:color w:val="auto"/>
        </w:rPr>
        <w:t>Election to remain an</w:t>
      </w:r>
      <w:r>
        <w:rPr>
          <w:sz w:val="20"/>
          <w:szCs w:val="20"/>
          <w:color w:val="auto"/>
        </w:rPr>
        <w:tab/>
      </w:r>
      <w:r>
        <w:rPr>
          <w:rFonts w:ascii="Arial" w:cs="Arial" w:eastAsia="Arial" w:hAnsi="Arial"/>
          <w:sz w:val="17"/>
          <w:szCs w:val="17"/>
          <w:color w:val="auto"/>
        </w:rPr>
        <w:t>We will provide our public</w:t>
      </w:r>
    </w:p>
    <w:p>
      <w:pPr>
        <w:spacing w:after="0" w:line="13" w:lineRule="exact"/>
        <w:rPr>
          <w:sz w:val="20"/>
          <w:szCs w:val="20"/>
          <w:color w:val="auto"/>
        </w:rPr>
      </w:pPr>
    </w:p>
    <w:p>
      <w:pPr>
        <w:ind w:left="640"/>
        <w:spacing w:after="0"/>
        <w:tabs>
          <w:tab w:leader="none" w:pos="2420" w:val="left"/>
        </w:tabs>
        <w:rPr>
          <w:sz w:val="20"/>
          <w:szCs w:val="20"/>
          <w:color w:val="auto"/>
        </w:rPr>
      </w:pPr>
      <w:r>
        <w:rPr>
          <w:rFonts w:ascii="Arial" w:cs="Arial" w:eastAsia="Arial" w:hAnsi="Arial"/>
          <w:sz w:val="18"/>
          <w:szCs w:val="18"/>
          <w:b w:val="1"/>
          <w:bCs w:val="1"/>
          <w:color w:val="auto"/>
        </w:rPr>
        <w:t>investor</w:t>
      </w:r>
      <w:r>
        <w:rPr>
          <w:sz w:val="20"/>
          <w:szCs w:val="20"/>
          <w:color w:val="auto"/>
        </w:rPr>
        <w:tab/>
      </w:r>
      <w:r>
        <w:rPr>
          <w:rFonts w:ascii="Arial" w:cs="Arial" w:eastAsia="Arial" w:hAnsi="Arial"/>
          <w:sz w:val="18"/>
          <w:szCs w:val="18"/>
          <w:color w:val="auto"/>
        </w:rPr>
        <w:t>stockholders with the opportunity to</w:t>
      </w:r>
    </w:p>
    <w:p>
      <w:pPr>
        <w:ind w:left="2440"/>
        <w:spacing w:after="0" w:line="234" w:lineRule="auto"/>
        <w:rPr>
          <w:sz w:val="20"/>
          <w:szCs w:val="20"/>
          <w:color w:val="auto"/>
        </w:rPr>
      </w:pPr>
      <w:r>
        <w:rPr>
          <w:rFonts w:ascii="Arial" w:cs="Arial" w:eastAsia="Arial" w:hAnsi="Arial"/>
          <w:sz w:val="18"/>
          <w:szCs w:val="18"/>
          <w:color w:val="auto"/>
        </w:rPr>
        <w:t>redeem their public shares for cash</w:t>
      </w:r>
    </w:p>
    <w:p>
      <w:pPr>
        <w:ind w:left="2440"/>
        <w:spacing w:after="0" w:line="235" w:lineRule="auto"/>
        <w:rPr>
          <w:sz w:val="20"/>
          <w:szCs w:val="20"/>
          <w:color w:val="auto"/>
        </w:rPr>
      </w:pPr>
      <w:r>
        <w:rPr>
          <w:rFonts w:ascii="Arial" w:cs="Arial" w:eastAsia="Arial" w:hAnsi="Arial"/>
          <w:sz w:val="18"/>
          <w:szCs w:val="18"/>
          <w:color w:val="auto"/>
        </w:rPr>
        <w:t>at a per share price equal to the</w:t>
      </w:r>
    </w:p>
    <w:p>
      <w:pPr>
        <w:ind w:left="2440"/>
        <w:spacing w:after="0" w:line="235" w:lineRule="auto"/>
        <w:rPr>
          <w:sz w:val="20"/>
          <w:szCs w:val="20"/>
          <w:color w:val="auto"/>
        </w:rPr>
      </w:pPr>
      <w:r>
        <w:rPr>
          <w:rFonts w:ascii="Arial" w:cs="Arial" w:eastAsia="Arial" w:hAnsi="Arial"/>
          <w:sz w:val="18"/>
          <w:szCs w:val="18"/>
          <w:color w:val="auto"/>
        </w:rPr>
        <w:t>aggregate amount then on deposit in</w:t>
      </w:r>
    </w:p>
    <w:p>
      <w:pPr>
        <w:ind w:left="2440"/>
        <w:spacing w:after="0" w:line="235" w:lineRule="auto"/>
        <w:rPr>
          <w:sz w:val="20"/>
          <w:szCs w:val="20"/>
          <w:color w:val="auto"/>
        </w:rPr>
      </w:pPr>
      <w:r>
        <w:rPr>
          <w:rFonts w:ascii="Arial" w:cs="Arial" w:eastAsia="Arial" w:hAnsi="Arial"/>
          <w:sz w:val="18"/>
          <w:szCs w:val="18"/>
          <w:color w:val="auto"/>
        </w:rPr>
        <w:t>the trust account calculated as of</w:t>
      </w:r>
    </w:p>
    <w:p>
      <w:pPr>
        <w:ind w:left="2440"/>
        <w:spacing w:after="0" w:line="235" w:lineRule="auto"/>
        <w:rPr>
          <w:sz w:val="20"/>
          <w:szCs w:val="20"/>
          <w:color w:val="auto"/>
        </w:rPr>
      </w:pPr>
      <w:r>
        <w:rPr>
          <w:rFonts w:ascii="Arial" w:cs="Arial" w:eastAsia="Arial" w:hAnsi="Arial"/>
          <w:sz w:val="18"/>
          <w:szCs w:val="18"/>
          <w:color w:val="auto"/>
        </w:rPr>
        <w:t>two business days prior to the</w:t>
      </w:r>
    </w:p>
    <w:p>
      <w:pPr>
        <w:ind w:left="2440"/>
        <w:spacing w:after="0" w:line="234" w:lineRule="auto"/>
        <w:rPr>
          <w:sz w:val="20"/>
          <w:szCs w:val="20"/>
          <w:color w:val="auto"/>
        </w:rPr>
      </w:pPr>
      <w:r>
        <w:rPr>
          <w:rFonts w:ascii="Arial" w:cs="Arial" w:eastAsia="Arial" w:hAnsi="Arial"/>
          <w:sz w:val="18"/>
          <w:szCs w:val="18"/>
          <w:color w:val="auto"/>
        </w:rPr>
        <w:t>consummation of our initial business</w:t>
      </w:r>
    </w:p>
    <w:p>
      <w:pPr>
        <w:ind w:left="2440"/>
        <w:spacing w:after="0" w:line="235" w:lineRule="auto"/>
        <w:rPr>
          <w:sz w:val="20"/>
          <w:szCs w:val="20"/>
          <w:color w:val="auto"/>
        </w:rPr>
      </w:pPr>
      <w:r>
        <w:rPr>
          <w:rFonts w:ascii="Arial" w:cs="Arial" w:eastAsia="Arial" w:hAnsi="Arial"/>
          <w:sz w:val="18"/>
          <w:szCs w:val="18"/>
          <w:color w:val="auto"/>
        </w:rPr>
        <w:t>combination, including interest</w:t>
      </w:r>
    </w:p>
    <w:p>
      <w:pPr>
        <w:ind w:left="2440"/>
        <w:spacing w:after="0" w:line="235" w:lineRule="auto"/>
        <w:rPr>
          <w:sz w:val="20"/>
          <w:szCs w:val="20"/>
          <w:color w:val="auto"/>
        </w:rPr>
      </w:pPr>
      <w:r>
        <w:rPr>
          <w:rFonts w:ascii="Arial" w:cs="Arial" w:eastAsia="Arial" w:hAnsi="Arial"/>
          <w:sz w:val="18"/>
          <w:szCs w:val="18"/>
          <w:color w:val="auto"/>
        </w:rPr>
        <w:t>earned on the funds held in the trust</w:t>
      </w:r>
    </w:p>
    <w:p>
      <w:pPr>
        <w:ind w:left="2440"/>
        <w:spacing w:after="0" w:line="235" w:lineRule="auto"/>
        <w:rPr>
          <w:sz w:val="20"/>
          <w:szCs w:val="20"/>
          <w:color w:val="auto"/>
        </w:rPr>
      </w:pPr>
      <w:r>
        <w:rPr>
          <w:rFonts w:ascii="Arial" w:cs="Arial" w:eastAsia="Arial" w:hAnsi="Arial"/>
          <w:sz w:val="18"/>
          <w:szCs w:val="18"/>
          <w:color w:val="auto"/>
        </w:rPr>
        <w:t>account and not previously released</w:t>
      </w:r>
    </w:p>
    <w:p>
      <w:pPr>
        <w:ind w:left="2440"/>
        <w:spacing w:after="0" w:line="235" w:lineRule="auto"/>
        <w:rPr>
          <w:sz w:val="20"/>
          <w:szCs w:val="20"/>
          <w:color w:val="auto"/>
        </w:rPr>
      </w:pPr>
      <w:r>
        <w:rPr>
          <w:rFonts w:ascii="Arial" w:cs="Arial" w:eastAsia="Arial" w:hAnsi="Arial"/>
          <w:sz w:val="18"/>
          <w:szCs w:val="18"/>
          <w:color w:val="auto"/>
        </w:rPr>
        <w:t>to us to pay our taxes, divided by the</w:t>
      </w:r>
    </w:p>
    <w:p>
      <w:pPr>
        <w:ind w:left="2440"/>
        <w:spacing w:after="0" w:line="234" w:lineRule="auto"/>
        <w:rPr>
          <w:sz w:val="20"/>
          <w:szCs w:val="20"/>
          <w:color w:val="auto"/>
        </w:rPr>
      </w:pPr>
      <w:r>
        <w:rPr>
          <w:rFonts w:ascii="Arial" w:cs="Arial" w:eastAsia="Arial" w:hAnsi="Arial"/>
          <w:sz w:val="18"/>
          <w:szCs w:val="18"/>
          <w:color w:val="auto"/>
        </w:rPr>
        <w:t>number of then outstanding public</w:t>
      </w:r>
    </w:p>
    <w:p>
      <w:pPr>
        <w:ind w:left="2440"/>
        <w:spacing w:after="0" w:line="235" w:lineRule="auto"/>
        <w:rPr>
          <w:sz w:val="20"/>
          <w:szCs w:val="20"/>
          <w:color w:val="auto"/>
        </w:rPr>
      </w:pPr>
      <w:r>
        <w:rPr>
          <w:rFonts w:ascii="Arial" w:cs="Arial" w:eastAsia="Arial" w:hAnsi="Arial"/>
          <w:sz w:val="18"/>
          <w:szCs w:val="18"/>
          <w:color w:val="auto"/>
        </w:rPr>
        <w:t>shares, upon the completion of our</w:t>
      </w:r>
    </w:p>
    <w:p>
      <w:pPr>
        <w:ind w:left="2440"/>
        <w:spacing w:after="0" w:line="235" w:lineRule="auto"/>
        <w:rPr>
          <w:sz w:val="20"/>
          <w:szCs w:val="20"/>
          <w:color w:val="auto"/>
        </w:rPr>
      </w:pPr>
      <w:r>
        <w:rPr>
          <w:rFonts w:ascii="Arial" w:cs="Arial" w:eastAsia="Arial" w:hAnsi="Arial"/>
          <w:sz w:val="18"/>
          <w:szCs w:val="18"/>
          <w:color w:val="auto"/>
        </w:rPr>
        <w:t>initial business combination, subject</w:t>
      </w:r>
    </w:p>
    <w:p>
      <w:pPr>
        <w:ind w:left="2440"/>
        <w:spacing w:after="0" w:line="235" w:lineRule="auto"/>
        <w:rPr>
          <w:sz w:val="20"/>
          <w:szCs w:val="20"/>
          <w:color w:val="auto"/>
        </w:rPr>
      </w:pPr>
      <w:r>
        <w:rPr>
          <w:rFonts w:ascii="Arial" w:cs="Arial" w:eastAsia="Arial" w:hAnsi="Arial"/>
          <w:sz w:val="18"/>
          <w:szCs w:val="18"/>
          <w:color w:val="auto"/>
        </w:rPr>
        <w:t>to the limitations described herein.</w:t>
      </w:r>
    </w:p>
    <w:p>
      <w:pPr>
        <w:ind w:left="2440"/>
        <w:spacing w:after="0" w:line="235" w:lineRule="auto"/>
        <w:rPr>
          <w:sz w:val="20"/>
          <w:szCs w:val="20"/>
          <w:color w:val="auto"/>
        </w:rPr>
      </w:pPr>
      <w:r>
        <w:rPr>
          <w:rFonts w:ascii="Arial" w:cs="Arial" w:eastAsia="Arial" w:hAnsi="Arial"/>
          <w:sz w:val="18"/>
          <w:szCs w:val="18"/>
          <w:color w:val="auto"/>
        </w:rPr>
        <w:t>We may not be required by law to</w:t>
      </w:r>
    </w:p>
    <w:p>
      <w:pPr>
        <w:ind w:left="2440"/>
        <w:spacing w:after="0"/>
        <w:rPr>
          <w:sz w:val="20"/>
          <w:szCs w:val="20"/>
          <w:color w:val="auto"/>
        </w:rPr>
      </w:pPr>
      <w:r>
        <w:rPr>
          <w:rFonts w:ascii="Arial" w:cs="Arial" w:eastAsia="Arial" w:hAnsi="Arial"/>
          <w:sz w:val="17"/>
          <w:szCs w:val="17"/>
          <w:color w:val="auto"/>
        </w:rPr>
        <w:t>hold a stockholder vote. If we are not</w:t>
      </w:r>
    </w:p>
    <w:p>
      <w:pPr>
        <w:spacing w:after="0" w:line="7"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required by law and do not otherwise</w:t>
      </w:r>
    </w:p>
    <w:p>
      <w:pPr>
        <w:spacing w:after="0" w:line="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decide to hold a stockholder vote,</w:t>
      </w:r>
    </w:p>
    <w:p>
      <w:pPr>
        <w:ind w:left="2440"/>
        <w:spacing w:after="0" w:line="234" w:lineRule="auto"/>
        <w:rPr>
          <w:sz w:val="20"/>
          <w:szCs w:val="20"/>
          <w:color w:val="auto"/>
        </w:rPr>
      </w:pPr>
      <w:r>
        <w:rPr>
          <w:rFonts w:ascii="Arial" w:cs="Arial" w:eastAsia="Arial" w:hAnsi="Arial"/>
          <w:sz w:val="18"/>
          <w:szCs w:val="18"/>
          <w:color w:val="auto"/>
        </w:rPr>
        <w:t>we will, pursuant to our amended</w:t>
      </w:r>
    </w:p>
    <w:p>
      <w:pPr>
        <w:ind w:left="2440"/>
        <w:spacing w:after="0" w:line="235" w:lineRule="auto"/>
        <w:rPr>
          <w:sz w:val="20"/>
          <w:szCs w:val="20"/>
          <w:color w:val="auto"/>
        </w:rPr>
      </w:pPr>
      <w:r>
        <w:rPr>
          <w:rFonts w:ascii="Arial" w:cs="Arial" w:eastAsia="Arial" w:hAnsi="Arial"/>
          <w:sz w:val="18"/>
          <w:szCs w:val="18"/>
          <w:color w:val="auto"/>
        </w:rPr>
        <w:t>and restated certificate of</w:t>
      </w:r>
    </w:p>
    <w:p>
      <w:pPr>
        <w:ind w:left="2440"/>
        <w:spacing w:after="0" w:line="235" w:lineRule="auto"/>
        <w:rPr>
          <w:sz w:val="20"/>
          <w:szCs w:val="20"/>
          <w:color w:val="auto"/>
        </w:rPr>
      </w:pPr>
      <w:r>
        <w:rPr>
          <w:rFonts w:ascii="Arial" w:cs="Arial" w:eastAsia="Arial" w:hAnsi="Arial"/>
          <w:sz w:val="18"/>
          <w:szCs w:val="18"/>
          <w:color w:val="auto"/>
        </w:rPr>
        <w:t>incorporation, conduct the</w:t>
      </w:r>
    </w:p>
    <w:p>
      <w:pPr>
        <w:ind w:left="2440"/>
        <w:spacing w:after="0" w:line="235" w:lineRule="auto"/>
        <w:rPr>
          <w:sz w:val="20"/>
          <w:szCs w:val="20"/>
          <w:color w:val="auto"/>
        </w:rPr>
      </w:pPr>
      <w:r>
        <w:rPr>
          <w:rFonts w:ascii="Arial" w:cs="Arial" w:eastAsia="Arial" w:hAnsi="Arial"/>
          <w:sz w:val="18"/>
          <w:szCs w:val="18"/>
          <w:color w:val="auto"/>
        </w:rPr>
        <w:t>redemptions pursuant to the tender</w:t>
      </w:r>
    </w:p>
    <w:p>
      <w:pPr>
        <w:ind w:left="2440"/>
        <w:spacing w:after="0" w:line="235" w:lineRule="auto"/>
        <w:rPr>
          <w:sz w:val="20"/>
          <w:szCs w:val="20"/>
          <w:color w:val="auto"/>
        </w:rPr>
      </w:pPr>
      <w:r>
        <w:rPr>
          <w:rFonts w:ascii="Arial" w:cs="Arial" w:eastAsia="Arial" w:hAnsi="Arial"/>
          <w:sz w:val="18"/>
          <w:szCs w:val="18"/>
          <w:color w:val="auto"/>
        </w:rPr>
        <w:t>offer rules of the SEC and file tender</w:t>
      </w:r>
    </w:p>
    <w:p>
      <w:pPr>
        <w:ind w:left="2440"/>
        <w:spacing w:after="0" w:line="234" w:lineRule="auto"/>
        <w:rPr>
          <w:sz w:val="20"/>
          <w:szCs w:val="20"/>
          <w:color w:val="auto"/>
        </w:rPr>
      </w:pPr>
      <w:r>
        <w:rPr>
          <w:rFonts w:ascii="Arial" w:cs="Arial" w:eastAsia="Arial" w:hAnsi="Arial"/>
          <w:sz w:val="18"/>
          <w:szCs w:val="18"/>
          <w:color w:val="auto"/>
        </w:rPr>
        <w:t>offer documents with the SEC which</w:t>
      </w:r>
    </w:p>
    <w:p>
      <w:pPr>
        <w:ind w:left="2440"/>
        <w:spacing w:after="0" w:line="235" w:lineRule="auto"/>
        <w:rPr>
          <w:sz w:val="20"/>
          <w:szCs w:val="20"/>
          <w:color w:val="auto"/>
        </w:rPr>
      </w:pPr>
      <w:r>
        <w:rPr>
          <w:rFonts w:ascii="Arial" w:cs="Arial" w:eastAsia="Arial" w:hAnsi="Arial"/>
          <w:sz w:val="18"/>
          <w:szCs w:val="18"/>
          <w:color w:val="auto"/>
        </w:rPr>
        <w:t>will contain substantially the same</w:t>
      </w:r>
    </w:p>
    <w:p>
      <w:pPr>
        <w:ind w:left="2440"/>
        <w:spacing w:after="0" w:line="235" w:lineRule="auto"/>
        <w:rPr>
          <w:sz w:val="20"/>
          <w:szCs w:val="20"/>
          <w:color w:val="auto"/>
        </w:rPr>
      </w:pPr>
      <w:r>
        <w:rPr>
          <w:rFonts w:ascii="Arial" w:cs="Arial" w:eastAsia="Arial" w:hAnsi="Arial"/>
          <w:sz w:val="18"/>
          <w:szCs w:val="18"/>
          <w:color w:val="auto"/>
        </w:rPr>
        <w:t>financial and other information about</w:t>
      </w:r>
    </w:p>
    <w:p>
      <w:pPr>
        <w:ind w:left="2440"/>
        <w:spacing w:after="0" w:line="235" w:lineRule="auto"/>
        <w:rPr>
          <w:sz w:val="20"/>
          <w:szCs w:val="20"/>
          <w:color w:val="auto"/>
        </w:rPr>
      </w:pPr>
      <w:r>
        <w:rPr>
          <w:rFonts w:ascii="Arial" w:cs="Arial" w:eastAsia="Arial" w:hAnsi="Arial"/>
          <w:sz w:val="18"/>
          <w:szCs w:val="18"/>
          <w:color w:val="auto"/>
        </w:rPr>
        <w:t>the initial business combination and</w:t>
      </w:r>
    </w:p>
    <w:p>
      <w:pPr>
        <w:ind w:left="2440"/>
        <w:spacing w:after="0" w:line="235" w:lineRule="auto"/>
        <w:rPr>
          <w:sz w:val="20"/>
          <w:szCs w:val="20"/>
          <w:color w:val="auto"/>
        </w:rPr>
      </w:pPr>
      <w:r>
        <w:rPr>
          <w:rFonts w:ascii="Arial" w:cs="Arial" w:eastAsia="Arial" w:hAnsi="Arial"/>
          <w:sz w:val="18"/>
          <w:szCs w:val="18"/>
          <w:color w:val="auto"/>
        </w:rPr>
        <w:t>the redemption rights as is required</w:t>
      </w:r>
    </w:p>
    <w:p>
      <w:pPr>
        <w:ind w:left="2440"/>
        <w:spacing w:after="0" w:line="234" w:lineRule="auto"/>
        <w:rPr>
          <w:sz w:val="20"/>
          <w:szCs w:val="20"/>
          <w:color w:val="auto"/>
        </w:rPr>
      </w:pPr>
      <w:r>
        <w:rPr>
          <w:rFonts w:ascii="Arial" w:cs="Arial" w:eastAsia="Arial" w:hAnsi="Arial"/>
          <w:sz w:val="18"/>
          <w:szCs w:val="18"/>
          <w:color w:val="auto"/>
        </w:rPr>
        <w:t>under the SEC’s proxy rules. If,</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however, we hold a stockholder vote,</w:t>
      </w:r>
    </w:p>
    <w:p>
      <w:pPr>
        <w:spacing w:after="0" w:line="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we will, like many blank check</w:t>
      </w:r>
    </w:p>
    <w:p>
      <w:pPr>
        <w:ind w:left="2440"/>
        <w:spacing w:after="0" w:line="234" w:lineRule="auto"/>
        <w:rPr>
          <w:sz w:val="20"/>
          <w:szCs w:val="20"/>
          <w:color w:val="auto"/>
        </w:rPr>
      </w:pPr>
      <w:r>
        <w:rPr>
          <w:rFonts w:ascii="Arial" w:cs="Arial" w:eastAsia="Arial" w:hAnsi="Arial"/>
          <w:sz w:val="18"/>
          <w:szCs w:val="18"/>
          <w:color w:val="auto"/>
        </w:rPr>
        <w:t>companies, offer to redeem shares</w:t>
      </w:r>
    </w:p>
    <w:p>
      <w:pPr>
        <w:ind w:left="2440"/>
        <w:spacing w:after="0" w:line="235" w:lineRule="auto"/>
        <w:rPr>
          <w:sz w:val="20"/>
          <w:szCs w:val="20"/>
          <w:color w:val="auto"/>
        </w:rPr>
      </w:pPr>
      <w:r>
        <w:rPr>
          <w:rFonts w:ascii="Arial" w:cs="Arial" w:eastAsia="Arial" w:hAnsi="Arial"/>
          <w:sz w:val="18"/>
          <w:szCs w:val="18"/>
          <w:color w:val="auto"/>
        </w:rPr>
        <w:t>in conjunction with a proxy</w:t>
      </w:r>
    </w:p>
    <w:p>
      <w:pPr>
        <w:ind w:left="2440"/>
        <w:spacing w:after="0" w:line="235" w:lineRule="auto"/>
        <w:rPr>
          <w:sz w:val="20"/>
          <w:szCs w:val="20"/>
          <w:color w:val="auto"/>
        </w:rPr>
      </w:pPr>
      <w:r>
        <w:rPr>
          <w:rFonts w:ascii="Arial" w:cs="Arial" w:eastAsia="Arial" w:hAnsi="Arial"/>
          <w:sz w:val="18"/>
          <w:szCs w:val="18"/>
          <w:color w:val="auto"/>
        </w:rPr>
        <w:t>solicitation pursuant to the proxy</w:t>
      </w:r>
    </w:p>
    <w:p>
      <w:pPr>
        <w:ind w:left="2440"/>
        <w:spacing w:after="0" w:line="235" w:lineRule="auto"/>
        <w:rPr>
          <w:sz w:val="20"/>
          <w:szCs w:val="20"/>
          <w:color w:val="auto"/>
        </w:rPr>
      </w:pPr>
      <w:r>
        <w:rPr>
          <w:rFonts w:ascii="Arial" w:cs="Arial" w:eastAsia="Arial" w:hAnsi="Arial"/>
          <w:sz w:val="18"/>
          <w:szCs w:val="18"/>
          <w:color w:val="auto"/>
        </w:rPr>
        <w:t>rules and not pursuant to the tender</w:t>
      </w:r>
    </w:p>
    <w:p>
      <w:pPr>
        <w:ind w:left="2440"/>
        <w:spacing w:after="0" w:line="235" w:lineRule="auto"/>
        <w:rPr>
          <w:sz w:val="20"/>
          <w:szCs w:val="20"/>
          <w:color w:val="auto"/>
        </w:rPr>
      </w:pPr>
      <w:r>
        <w:rPr>
          <w:rFonts w:ascii="Arial" w:cs="Arial" w:eastAsia="Arial" w:hAnsi="Arial"/>
          <w:sz w:val="18"/>
          <w:szCs w:val="18"/>
          <w:color w:val="auto"/>
        </w:rPr>
        <w:t>offer rules. If we seek stockholder</w:t>
      </w:r>
    </w:p>
    <w:p>
      <w:pPr>
        <w:ind w:left="2440"/>
        <w:spacing w:after="0" w:line="234" w:lineRule="auto"/>
        <w:rPr>
          <w:sz w:val="20"/>
          <w:szCs w:val="20"/>
          <w:color w:val="auto"/>
        </w:rPr>
      </w:pPr>
      <w:r>
        <w:rPr>
          <w:rFonts w:ascii="Arial" w:cs="Arial" w:eastAsia="Arial" w:hAnsi="Arial"/>
          <w:sz w:val="18"/>
          <w:szCs w:val="18"/>
          <w:color w:val="auto"/>
        </w:rPr>
        <w:t>approval, we will complete our initial</w:t>
      </w:r>
    </w:p>
    <w:p>
      <w:pPr>
        <w:ind w:left="2440"/>
        <w:spacing w:after="0" w:line="235" w:lineRule="auto"/>
        <w:rPr>
          <w:sz w:val="20"/>
          <w:szCs w:val="20"/>
          <w:color w:val="auto"/>
        </w:rPr>
      </w:pPr>
      <w:r>
        <w:rPr>
          <w:rFonts w:ascii="Arial" w:cs="Arial" w:eastAsia="Arial" w:hAnsi="Arial"/>
          <w:sz w:val="18"/>
          <w:szCs w:val="18"/>
          <w:color w:val="auto"/>
        </w:rPr>
        <w:t>business combination only if a</w:t>
      </w:r>
    </w:p>
    <w:p>
      <w:pPr>
        <w:ind w:left="2440"/>
        <w:spacing w:after="0" w:line="235" w:lineRule="auto"/>
        <w:rPr>
          <w:sz w:val="20"/>
          <w:szCs w:val="20"/>
          <w:color w:val="auto"/>
        </w:rPr>
      </w:pPr>
      <w:r>
        <w:rPr>
          <w:rFonts w:ascii="Arial" w:cs="Arial" w:eastAsia="Arial" w:hAnsi="Arial"/>
          <w:sz w:val="18"/>
          <w:szCs w:val="18"/>
          <w:color w:val="auto"/>
        </w:rPr>
        <w:t>majority of the shares of common</w:t>
      </w:r>
    </w:p>
    <w:p>
      <w:pPr>
        <w:ind w:left="2440"/>
        <w:spacing w:after="0" w:line="235" w:lineRule="auto"/>
        <w:rPr>
          <w:sz w:val="20"/>
          <w:szCs w:val="20"/>
          <w:color w:val="auto"/>
        </w:rPr>
      </w:pPr>
      <w:r>
        <w:rPr>
          <w:rFonts w:ascii="Arial" w:cs="Arial" w:eastAsia="Arial" w:hAnsi="Arial"/>
          <w:sz w:val="18"/>
          <w:szCs w:val="18"/>
          <w:color w:val="auto"/>
        </w:rPr>
        <w:t>stock voted are voted in favor of the</w:t>
      </w:r>
    </w:p>
    <w:p>
      <w:pPr>
        <w:ind w:left="2440"/>
        <w:spacing w:after="0" w:line="235" w:lineRule="auto"/>
        <w:rPr>
          <w:sz w:val="20"/>
          <w:szCs w:val="20"/>
          <w:color w:val="auto"/>
        </w:rPr>
      </w:pPr>
      <w:r>
        <w:rPr>
          <w:rFonts w:ascii="Arial" w:cs="Arial" w:eastAsia="Arial" w:hAnsi="Arial"/>
          <w:sz w:val="18"/>
          <w:szCs w:val="18"/>
          <w:color w:val="auto"/>
        </w:rPr>
        <w:t>business combination. Additionally,</w:t>
      </w:r>
    </w:p>
    <w:p>
      <w:pPr>
        <w:ind w:left="2440"/>
        <w:spacing w:after="0" w:line="234" w:lineRule="auto"/>
        <w:rPr>
          <w:sz w:val="20"/>
          <w:szCs w:val="20"/>
          <w:color w:val="auto"/>
        </w:rPr>
      </w:pPr>
      <w:r>
        <w:rPr>
          <w:rFonts w:ascii="Arial" w:cs="Arial" w:eastAsia="Arial" w:hAnsi="Arial"/>
          <w:sz w:val="18"/>
          <w:szCs w:val="18"/>
          <w:color w:val="auto"/>
        </w:rPr>
        <w:t>each public stockholder may elect to</w:t>
      </w:r>
    </w:p>
    <w:p>
      <w:pPr>
        <w:ind w:left="2440"/>
        <w:spacing w:after="0" w:line="235" w:lineRule="auto"/>
        <w:rPr>
          <w:sz w:val="20"/>
          <w:szCs w:val="20"/>
          <w:color w:val="auto"/>
        </w:rPr>
      </w:pPr>
      <w:r>
        <w:rPr>
          <w:rFonts w:ascii="Arial" w:cs="Arial" w:eastAsia="Arial" w:hAnsi="Arial"/>
          <w:sz w:val="18"/>
          <w:szCs w:val="18"/>
          <w:color w:val="auto"/>
        </w:rPr>
        <w:t>redeem their public shares</w:t>
      </w:r>
    </w:p>
    <w:p>
      <w:pPr>
        <w:ind w:left="2440"/>
        <w:spacing w:after="0" w:line="235" w:lineRule="auto"/>
        <w:rPr>
          <w:sz w:val="20"/>
          <w:szCs w:val="20"/>
          <w:color w:val="auto"/>
        </w:rPr>
      </w:pPr>
      <w:r>
        <w:rPr>
          <w:rFonts w:ascii="Arial" w:cs="Arial" w:eastAsia="Arial" w:hAnsi="Arial"/>
          <w:sz w:val="18"/>
          <w:szCs w:val="18"/>
          <w:color w:val="auto"/>
        </w:rPr>
        <w:t>irrespective of whether they vote for</w:t>
      </w:r>
    </w:p>
    <w:p>
      <w:pPr>
        <w:ind w:left="2440"/>
        <w:spacing w:after="0"/>
        <w:rPr>
          <w:sz w:val="20"/>
          <w:szCs w:val="20"/>
          <w:color w:val="auto"/>
        </w:rPr>
      </w:pPr>
      <w:r>
        <w:rPr>
          <w:rFonts w:ascii="Arial" w:cs="Arial" w:eastAsia="Arial" w:hAnsi="Arial"/>
          <w:sz w:val="18"/>
          <w:szCs w:val="18"/>
          <w:color w:val="auto"/>
        </w:rPr>
        <w:t>or against the proposed transaction.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79"/>
        <w:spacing w:after="0" w:line="234" w:lineRule="auto"/>
        <w:rPr>
          <w:sz w:val="20"/>
          <w:szCs w:val="20"/>
          <w:color w:val="auto"/>
        </w:rPr>
      </w:pPr>
      <w:r>
        <w:rPr>
          <w:rFonts w:ascii="Arial" w:cs="Arial" w:eastAsia="Arial" w:hAnsi="Arial"/>
          <w:sz w:val="18"/>
          <w:szCs w:val="18"/>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4452" w:lineRule="exact"/>
        <w:rPr>
          <w:sz w:val="20"/>
          <w:szCs w:val="20"/>
          <w:color w:val="auto"/>
        </w:rPr>
      </w:pPr>
    </w:p>
    <w:p>
      <w:pPr>
        <w:sectPr>
          <w:pgSz w:w="11900" w:h="16838" w:orient="portrait"/>
          <w:cols w:equalWidth="0" w:num="2">
            <w:col w:w="5380" w:space="100"/>
            <w:col w:w="3539"/>
          </w:cols>
          <w:pgMar w:left="1440" w:top="302" w:right="1440"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86" w:name="page87"/>
    <w:bookmarkEnd w:id="86"/>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right="200" w:hanging="179"/>
        <w:spacing w:after="0" w:line="275" w:lineRule="auto"/>
        <w:rPr>
          <w:sz w:val="20"/>
          <w:szCs w:val="20"/>
          <w:color w:val="auto"/>
        </w:rPr>
      </w:pPr>
      <w:r>
        <w:rPr>
          <w:rFonts w:ascii="Arial" w:cs="Arial" w:eastAsia="Arial" w:hAnsi="Arial"/>
          <w:sz w:val="17"/>
          <w:szCs w:val="17"/>
          <w:b w:val="1"/>
          <w:bCs w:val="1"/>
          <w:color w:val="auto"/>
        </w:rPr>
        <w:t>Business combination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Release of funds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we are unable to complete an initial business combination within 24 months from the closing of this offering, we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Except for the withdrawal of interest to pay our taxes, none of the funds held in trust will be released from the trust account until the earliest of (i) the completion of our initial business combination, (ii) the redemption of our public shares if we are unable to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99"/>
        <w:spacing w:after="0" w:line="237"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The proceeds held in the escrow account are not released until the earlier of the completion of a business combination or the failure to effect a business combination within the allotted time.</w:t>
      </w:r>
    </w:p>
    <w:p>
      <w:pPr>
        <w:spacing w:after="0" w:line="4243" w:lineRule="exact"/>
        <w:rPr>
          <w:sz w:val="20"/>
          <w:szCs w:val="20"/>
          <w:color w:val="auto"/>
        </w:rPr>
      </w:pPr>
    </w:p>
    <w:p>
      <w:pPr>
        <w:sectPr>
          <w:pgSz w:w="11900" w:h="16838" w:orient="portrait"/>
          <w:cols w:equalWidth="0" w:num="3">
            <w:col w:w="1900" w:space="540"/>
            <w:col w:w="2940" w:space="100"/>
            <w:col w:w="3539"/>
          </w:cols>
          <w:pgMar w:left="1440" w:top="302" w:right="1440"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87" w:name="page88"/>
    <w:bookmarkEnd w:id="87"/>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hanging="179"/>
        <w:spacing w:after="0" w:line="244" w:lineRule="auto"/>
        <w:rPr>
          <w:sz w:val="20"/>
          <w:szCs w:val="20"/>
          <w:color w:val="auto"/>
        </w:rPr>
      </w:pPr>
      <w:r>
        <w:rPr>
          <w:rFonts w:ascii="Arial" w:cs="Arial" w:eastAsia="Arial" w:hAnsi="Arial"/>
          <w:sz w:val="18"/>
          <w:szCs w:val="18"/>
          <w:b w:val="1"/>
          <w:bCs w:val="1"/>
          <w:color w:val="auto"/>
        </w:rPr>
        <w:t>Delivering stock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39"/>
        <w:spacing w:after="0" w:line="251" w:lineRule="auto"/>
        <w:rPr>
          <w:sz w:val="20"/>
          <w:szCs w:val="20"/>
          <w:color w:val="auto"/>
        </w:rPr>
      </w:pPr>
      <w:r>
        <w:rPr>
          <w:rFonts w:ascii="Arial" w:cs="Arial" w:eastAsia="Arial" w:hAnsi="Arial"/>
          <w:sz w:val="17"/>
          <w:szCs w:val="17"/>
          <w:color w:val="auto"/>
        </w:rPr>
        <w:t>Many blank check companies provide that a stockholder can vote against a proposed business combination and check a box on the proxy card indicating that such stockholder is seeking to exercise its redemption rights. After the business combination is approved, the company would contact such stockholder to arrange for delivery of its share certificates to verify ownership.</w:t>
      </w:r>
    </w:p>
    <w:p>
      <w:pPr>
        <w:spacing w:after="0" w:line="7476" w:lineRule="exact"/>
        <w:rPr>
          <w:sz w:val="20"/>
          <w:szCs w:val="20"/>
          <w:color w:val="auto"/>
        </w:rPr>
      </w:pPr>
    </w:p>
    <w:p>
      <w:pPr>
        <w:sectPr>
          <w:pgSz w:w="11900" w:h="16838" w:orient="portrait"/>
          <w:cols w:equalWidth="0" w:num="3">
            <w:col w:w="2320" w:space="120"/>
            <w:col w:w="2940" w:space="100"/>
            <w:col w:w="3539"/>
          </w:cols>
          <w:pgMar w:left="1440" w:top="302" w:right="1440" w:bottom="1440" w:gutter="0" w:footer="0" w:header="0"/>
          <w:type w:val="continuous"/>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88" w:name="page89"/>
    <w:bookmarkEnd w:id="88"/>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2" w:right="1440" w:bottom="1440" w:gutter="0" w:footer="0" w:header="0"/>
        </w:sectPr>
      </w:pPr>
    </w:p>
    <w:p>
      <w:pPr>
        <w:spacing w:after="0" w:line="113" w:lineRule="exact"/>
        <w:rPr>
          <w:sz w:val="20"/>
          <w:szCs w:val="20"/>
          <w:color w:val="auto"/>
        </w:rPr>
      </w:pPr>
    </w:p>
    <w:p>
      <w:pPr>
        <w:ind w:left="640" w:hanging="179"/>
        <w:spacing w:after="0"/>
        <w:rPr>
          <w:sz w:val="20"/>
          <w:szCs w:val="20"/>
          <w:color w:val="auto"/>
        </w:rPr>
      </w:pPr>
      <w:r>
        <w:rPr>
          <w:rFonts w:ascii="Arial" w:cs="Arial" w:eastAsia="Arial" w:hAnsi="Arial"/>
          <w:sz w:val="18"/>
          <w:szCs w:val="18"/>
          <w:b w:val="1"/>
          <w:bCs w:val="1"/>
          <w:color w:val="auto"/>
        </w:rPr>
        <w:t>Limitation on redemption rights of stockholders holding more than 20% of the shares sold in this offering if we hold a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However, we would not restrict our stockholders’ ability to vote all of their shares (including Excess Shares)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-2617470</wp:posOffset>
            </wp:positionV>
            <wp:extent cx="18770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19"/>
        <w:spacing w:after="0" w:line="237" w:lineRule="auto"/>
        <w:rPr>
          <w:sz w:val="20"/>
          <w:szCs w:val="20"/>
          <w:color w:val="auto"/>
        </w:rPr>
      </w:pPr>
      <w:r>
        <w:rPr>
          <w:rFonts w:ascii="Arial" w:cs="Arial" w:eastAsia="Arial" w:hAnsi="Arial"/>
          <w:sz w:val="18"/>
          <w:szCs w:val="18"/>
          <w:color w:val="auto"/>
        </w:rPr>
        <w:t>Many blank check companies provide no restrictions on the ability of stockholders to redeem shares based on the number of shares held by such stockholders in connection with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-820420</wp:posOffset>
            </wp:positionV>
            <wp:extent cx="19456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93" w:lineRule="exact"/>
        <w:rPr>
          <w:sz w:val="20"/>
          <w:szCs w:val="20"/>
          <w:color w:val="auto"/>
        </w:rPr>
      </w:pPr>
    </w:p>
    <w:p>
      <w:pPr>
        <w:sectPr>
          <w:pgSz w:w="11900" w:h="16838" w:orient="portrait"/>
          <w:cols w:equalWidth="0" w:num="3">
            <w:col w:w="2300" w:space="140"/>
            <w:col w:w="2900" w:space="140"/>
            <w:col w:w="3539"/>
          </w:cols>
          <w:pgMar w:left="1440" w:top="302" w:right="1440" w:bottom="1440" w:gutter="0" w:footer="0" w:header="0"/>
          <w:type w:val="continuous"/>
        </w:sectPr>
      </w:pPr>
    </w:p>
    <w:p>
      <w:pPr>
        <w:ind w:left="460" w:right="479"/>
        <w:spacing w:after="0" w:line="236"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properly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 in successfully negotiating an initial business combination.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We currently utilize office space at 600 Montgomery Street, Suite 4500, San Francisco, California 94111 from our sponsor and the members of our management team. We consider our current office space adequate for our current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currently have three executive officers: Jim Tananbaum, Dennis Ryan and Michael Rome.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We have registered our shares of Class A common stock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9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the proxy solicitation materials or tender offer documents sent to stockholders to assist them in assessing the target business. In all likelihood, these financial statements will need to be prepared in accordance with, or reconciled</w:t>
      </w:r>
    </w:p>
    <w:p>
      <w:pPr>
        <w:sectPr>
          <w:pgSz w:w="11900" w:h="16838" w:orient="portrait"/>
          <w:cols w:equalWidth="0" w:num="1">
            <w:col w:w="9019"/>
          </w:cols>
          <w:pgMar w:left="1440" w:top="302" w:right="1440"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89" w:name="page90"/>
    <w:bookmarkEnd w:id="89"/>
    <w:p>
      <w:pPr>
        <w:ind w:left="460" w:right="479"/>
        <w:spacing w:after="0" w:line="236" w:lineRule="auto"/>
        <w:rPr>
          <w:sz w:val="20"/>
          <w:szCs w:val="20"/>
          <w:color w:val="auto"/>
        </w:rPr>
      </w:pPr>
      <w:r>
        <w:rPr>
          <w:rFonts w:ascii="Arial" w:cs="Arial" w:eastAsia="Arial" w:hAnsi="Arial"/>
          <w:sz w:val="18"/>
          <w:szCs w:val="18"/>
          <w:color w:val="auto"/>
        </w:rPr>
        <w:t>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3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27"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Prior to the date of this prospectus, we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35"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21" w:lineRule="exact"/>
        <w:rPr>
          <w:sz w:val="20"/>
          <w:szCs w:val="20"/>
          <w:color w:val="auto"/>
        </w:rPr>
      </w:pPr>
    </w:p>
    <w:p>
      <w:pPr>
        <w:ind w:left="460" w:right="599"/>
        <w:spacing w:after="0" w:line="233"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135" w:lineRule="exact"/>
        <w:rPr>
          <w:sz w:val="20"/>
          <w:szCs w:val="20"/>
          <w:color w:val="auto"/>
        </w:rPr>
      </w:pPr>
    </w:p>
    <w:p>
      <w:pPr>
        <w:ind w:left="460" w:right="459"/>
        <w:spacing w:after="0" w:line="233"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6"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90" w:name="page91"/>
    <w:bookmarkEnd w:id="90"/>
    <w:p>
      <w:pPr>
        <w:ind w:left="3840"/>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Pr>
          <w:p>
            <w:pPr>
              <w:spacing w:after="0"/>
              <w:rPr>
                <w:sz w:val="16"/>
                <w:szCs w:val="16"/>
                <w:color w:val="auto"/>
              </w:rPr>
            </w:pPr>
          </w:p>
        </w:tc>
        <w:tc>
          <w:tcPr>
            <w:tcW w:w="3900" w:type="dxa"/>
            <w:vAlign w:val="bottom"/>
          </w:tcPr>
          <w:p>
            <w:pPr>
              <w:ind w:left="166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37"/>
        </w:trPr>
        <w:tc>
          <w:tcPr>
            <w:tcW w:w="3000" w:type="dxa"/>
            <w:vAlign w:val="bottom"/>
            <w:gridSpan w:val="2"/>
          </w:tcPr>
          <w:p>
            <w:pPr>
              <w:spacing w:after="0"/>
              <w:rPr>
                <w:sz w:val="20"/>
                <w:szCs w:val="20"/>
                <w:color w:val="auto"/>
              </w:rPr>
            </w:pPr>
            <w:r>
              <w:rPr>
                <w:rFonts w:ascii="Arial" w:cs="Arial" w:eastAsia="Arial" w:hAnsi="Arial"/>
                <w:sz w:val="18"/>
                <w:szCs w:val="18"/>
                <w:color w:val="auto"/>
              </w:rPr>
              <w:t>Jim Tananbaum</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Michael Rome</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Vice President and Director</w:t>
            </w:r>
          </w:p>
        </w:tc>
      </w:tr>
      <w:tr>
        <w:trPr>
          <w:trHeight w:val="284"/>
        </w:trPr>
        <w:tc>
          <w:tcPr>
            <w:tcW w:w="3000" w:type="dxa"/>
            <w:vAlign w:val="bottom"/>
            <w:gridSpan w:val="2"/>
          </w:tcPr>
          <w:p>
            <w:pPr>
              <w:spacing w:after="0"/>
              <w:rPr>
                <w:sz w:val="20"/>
                <w:szCs w:val="20"/>
                <w:color w:val="auto"/>
              </w:rPr>
            </w:pPr>
            <w:r>
              <w:rPr>
                <w:rFonts w:ascii="Arial" w:cs="Arial" w:eastAsia="Arial" w:hAnsi="Arial"/>
                <w:sz w:val="18"/>
                <w:szCs w:val="18"/>
                <w:color w:val="auto"/>
              </w:rPr>
              <w:t>Vikram Bajaj</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Robert Carey</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Daniel Dubin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Deepa Pakianathan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180"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b w:val="1"/>
          <w:bCs w:val="1"/>
          <w:i w:val="1"/>
          <w:iCs w:val="1"/>
          <w:color w:val="auto"/>
        </w:rPr>
        <w:t xml:space="preserve">Jim Tananbaum </w:t>
      </w:r>
      <w:r>
        <w:rPr>
          <w:rFonts w:ascii="Arial" w:cs="Arial" w:eastAsia="Arial" w:hAnsi="Arial"/>
          <w:sz w:val="17"/>
          <w:szCs w:val="17"/>
          <w:color w:val="auto"/>
        </w:rPr>
        <w:t>has been our President, Chief Executive Officer and a director since June 2020.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02" w:lineRule="exact"/>
        <w:rPr>
          <w:sz w:val="20"/>
          <w:szCs w:val="20"/>
          <w:color w:val="auto"/>
        </w:rPr>
      </w:pPr>
    </w:p>
    <w:p>
      <w:pPr>
        <w:ind w:left="460" w:right="539"/>
        <w:spacing w:after="0" w:line="242" w:lineRule="auto"/>
        <w:rPr>
          <w:sz w:val="20"/>
          <w:szCs w:val="20"/>
          <w:color w:val="auto"/>
        </w:rPr>
      </w:pPr>
      <w:r>
        <w:rPr>
          <w:rFonts w:ascii="Arial" w:cs="Arial" w:eastAsia="Arial" w:hAnsi="Arial"/>
          <w:sz w:val="18"/>
          <w:szCs w:val="18"/>
          <w:b w:val="1"/>
          <w:bCs w:val="1"/>
          <w:i w:val="1"/>
          <w:iCs w:val="1"/>
          <w:color w:val="auto"/>
        </w:rPr>
        <w:t xml:space="preserve">Dennis Ryan </w:t>
      </w:r>
      <w:r>
        <w:rPr>
          <w:rFonts w:ascii="Arial" w:cs="Arial" w:eastAsia="Arial" w:hAnsi="Arial"/>
          <w:sz w:val="18"/>
          <w:szCs w:val="18"/>
          <w:color w:val="auto"/>
        </w:rPr>
        <w:t>has been our Chief Financial Officer since June 2020. Since 2011, Mr. Ryan has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led the Operations Group at Foresite Capital as Chief Financial Officer and Managing Director. Mr. Ryan currently serves as Board President of Whistlestop, a non-profit providing transportation and nutrition services to seniors. He received a B.A. from University of California, Berkeley in Economics, and an M.B.A from the University of Santa Clara. Mr. Ryan is a licensed certified public accountant in California.</w:t>
      </w:r>
    </w:p>
    <w:p>
      <w:pPr>
        <w:spacing w:after="0" w:line="111"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b w:val="1"/>
          <w:bCs w:val="1"/>
          <w:i w:val="1"/>
          <w:iCs w:val="1"/>
          <w:color w:val="auto"/>
        </w:rPr>
        <w:t xml:space="preserve">Michael Rome </w:t>
      </w:r>
      <w:r>
        <w:rPr>
          <w:rFonts w:ascii="Arial" w:cs="Arial" w:eastAsia="Arial" w:hAnsi="Arial"/>
          <w:sz w:val="18"/>
          <w:szCs w:val="18"/>
          <w:color w:val="auto"/>
        </w:rPr>
        <w:t>has been our Vice President and Director since June 2020. Dr. Rome also serves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at Foresite Capital, where he has held various roles since 2016. From September 2015 to July 2016, he was an Analyst at DAFNA Capital Management, a healthcare hedge fund, where he covered and formulated investment ideas for small/mid-cap biotech companies. Prior to joining DAFNA Capital Management, Dr. Rome worked in early-stage drug development as a Senior Scientist for Vault Pharma, an academic start-up out of the California NanoSystems Institute at UCLA from April 2014 to September 2015. In the past five years, Dr. Rome held a board observer role at Turning Point Therapeutics, Inc., a clinical-stage precision oncology company. Dr. Rome received a B.S. from UCLA in Molecular, Cell and Developmental Biology and a Ph.D. in Biochemistry from Caltech. Dr. Rome’s qualifications to serve on our board of directors include his substantial experience as a research scientist and depth of knowledge of the biotechnology and pharmaceuticals research and development process, as well as his experience investing across diverse therapeutic areas.</w:t>
      </w:r>
    </w:p>
    <w:p>
      <w:pPr>
        <w:spacing w:after="0" w:line="9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i w:val="1"/>
          <w:iCs w:val="1"/>
          <w:color w:val="auto"/>
        </w:rPr>
        <w:t xml:space="preserve">Vikram Bajaj </w:t>
      </w:r>
      <w:r>
        <w:rPr>
          <w:rFonts w:ascii="Arial" w:cs="Arial" w:eastAsia="Arial" w:hAnsi="Arial"/>
          <w:sz w:val="18"/>
          <w:szCs w:val="18"/>
          <w:color w:val="auto"/>
        </w:rPr>
        <w:t>has been a director on our board of directors since June 2020. Dr. Bajaj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serves as a Managing Director at Foresite Capital, since September 2017 and Chief Executive Officer of Foresite Labs, a healthcare and data science incubator, since October 2019. He is also an Associate Professor of Radiology (Consulting) at the Stanford University School of Medicine, since 2014, and an Affiliate Scientist of the Lawrence Berkeley National Laboratory, since 2011. Prior to joining Foresite Capital, Dr. Bajaj was the Chief Scientific Officer of GRAIL, Inc., a life sciences company developing a multi-cancer early detection test, from September 2016 to September 2017. From April 2013 to September 2016, Dr. Bajaj was the Co-Founder and Chief Scientific Officer of Verily (formerly Google Life Sciences), a research organization devoted to the study of life sciences, and served as Chair of its Scientific Advisory Board from September 2016 to September 2017. He is currently on the advisory board of UC Berkeley, College of Chemistry. Dr. Bajaj holds a B.A./M.S. from University of Pennsylvania in Biochemistry and a</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91" w:name="page92"/>
    <w:bookmarkEnd w:id="91"/>
    <w:p>
      <w:pPr>
        <w:ind w:left="460" w:right="559"/>
        <w:spacing w:after="0"/>
        <w:rPr>
          <w:sz w:val="20"/>
          <w:szCs w:val="20"/>
          <w:color w:val="auto"/>
        </w:rPr>
      </w:pPr>
      <w:r>
        <w:rPr>
          <w:rFonts w:ascii="Arial" w:cs="Arial" w:eastAsia="Arial" w:hAnsi="Arial"/>
          <w:sz w:val="18"/>
          <w:szCs w:val="18"/>
          <w:color w:val="auto"/>
        </w:rPr>
        <w:t>Ph.D. from the Massachusetts Institute of Technology in Physical Chemistry. Dr. Bajaj’s qualifications to serve on our board of directors include his breadth of scientific and engineering expertise and his network of contacts in the life sciences sector.</w:t>
      </w:r>
    </w:p>
    <w:p>
      <w:pPr>
        <w:spacing w:after="0" w:line="100"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i w:val="1"/>
          <w:iCs w:val="1"/>
          <w:color w:val="auto"/>
        </w:rPr>
        <w:t xml:space="preserve">Robert Carey </w:t>
      </w:r>
      <w:r>
        <w:rPr>
          <w:rFonts w:ascii="Arial" w:cs="Arial" w:eastAsia="Arial" w:hAnsi="Arial"/>
          <w:sz w:val="18"/>
          <w:szCs w:val="18"/>
          <w:color w:val="auto"/>
        </w:rPr>
        <w:t>will serve on our board of directors following the completion of this offering. Mr. Carey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Executive Vice President and Chief Business Officer for Horizon Therapeutics plc, a biopharmaceutical company, from March 2014 to October 2019. Prior to joining Horizon Therapeutics, he served as Managing Director and Head of the Healthcare Investment Banking Group at JMP Securities LLC, a full-service investment bank, from March 2003 to March 2014. Mr. Carey currently serves on the board of directors of Beyond Air, Inc. (formerly AIT Therapeutics, Inc.) and Sangamo Therapeutics, Inc. Mr. Carey holds a B.S. from the University of Notre Dame in Accounting. Mr. Carey’s qualifications to serve on our board of directors include his experience and knowledge in the healthcare investment banking industry, particularly with financings, global expansion and other strategic transactions by life-science companies, as well as his role in business development for a public biopharmaceutical company.</w:t>
      </w:r>
    </w:p>
    <w:p>
      <w:pPr>
        <w:spacing w:after="0" w:line="118" w:lineRule="exact"/>
        <w:rPr>
          <w:sz w:val="20"/>
          <w:szCs w:val="20"/>
          <w:color w:val="auto"/>
        </w:rPr>
      </w:pPr>
    </w:p>
    <w:p>
      <w:pPr>
        <w:ind w:left="460" w:right="499"/>
        <w:spacing w:after="0" w:line="239" w:lineRule="auto"/>
        <w:rPr>
          <w:sz w:val="20"/>
          <w:szCs w:val="20"/>
          <w:color w:val="auto"/>
        </w:rPr>
      </w:pPr>
      <w:r>
        <w:rPr>
          <w:rFonts w:ascii="Arial" w:cs="Arial" w:eastAsia="Arial" w:hAnsi="Arial"/>
          <w:sz w:val="18"/>
          <w:szCs w:val="18"/>
          <w:b w:val="1"/>
          <w:bCs w:val="1"/>
          <w:i w:val="1"/>
          <w:iCs w:val="1"/>
          <w:color w:val="auto"/>
        </w:rPr>
        <w:t xml:space="preserve">Dan Dubin </w:t>
      </w:r>
      <w:r>
        <w:rPr>
          <w:rFonts w:ascii="Arial" w:cs="Arial" w:eastAsia="Arial" w:hAnsi="Arial"/>
          <w:sz w:val="18"/>
          <w:szCs w:val="18"/>
          <w:color w:val="auto"/>
        </w:rPr>
        <w:t>will serve on our board of directors following the completion of this offering. Dr. Dubin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the Vice Chairman and Head of Biopharma Investment Banking at SVB Leerink, an investment bank specializing in healthcare and life sciences, a role he has held since January 2006. He also sits on the SVB Leerink’s executive committee. Prior to joining SVB Leerink in 1999, Dr. Dubin co-founded MEDACorp, Inc., a provider of insights on the commercial potential of biotherapeutics and medical devices to healthcare companies and investors. Dr. Dubin holds a B.A. from Dartmouth College in Chemistry and an M.D. from Harvard Medical School. Dr. Dubin’s qualifications to serve on our board of directors include his extensive leadership experience as an advisor to life sciences companies and his experience and expertise in the execution of financing, partnership and M&amp;A transactions in the life sciences sector, as well as his medical training.</w:t>
      </w:r>
    </w:p>
    <w:p>
      <w:pPr>
        <w:spacing w:after="0" w:line="112"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i w:val="1"/>
          <w:iCs w:val="1"/>
          <w:color w:val="auto"/>
        </w:rPr>
        <w:t xml:space="preserve">Deepa Pakianathan </w:t>
      </w:r>
      <w:r>
        <w:rPr>
          <w:rFonts w:ascii="Arial" w:cs="Arial" w:eastAsia="Arial" w:hAnsi="Arial"/>
          <w:sz w:val="18"/>
          <w:szCs w:val="18"/>
          <w:color w:val="auto"/>
        </w:rPr>
        <w:t>will serve on our board of directors following the completion of this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2001, Dr. Pakianathan has served as a Managing Member at Delphi Ventures, a venture capital firm. She is also the Chief Executive Officer of Redd Pharmaceuticals, Inc., a pharmaceuticals company, since September 2019. She currently serves on the boards of directors of Calithera Biosciences, Inc., Karyopharm Therapeutics, Inc., Mereo Biopharma Group plc (formerly OncoMed Pharmaceuticals, Inc.) and Theravance Biopharma, Inc., and serves as the Executive Vice Chair and Treasurer on the Board of Trustees of the San Francisco Conservatory of Music. In the past five years, she also served on the board of directors of Alder Biopharmaceuticals, Inc. and Alexza Pharmaceuticals, Inc. Dr. Pakianathan holds a B.Sc. from the University of Bombay, India, an M.Sc. from The Cancer Research Institute at the University of Bombay, India and an M.S. and a Ph.D. from Wake Forest University. Dr. Pakianathan’s qualifications to serve on our board of directors include her depth of experience leading a biotechnology investment practice focused on drug discovery and development platform technologies and serving as a director for multiple biotechnology companies.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39"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board of directors consists of six members is divided into three classes with only one class of directors being elected in each year, and with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 directors, consisting of Dr. Bajaj and Dr. Dubin, will expire at our first annual meeting of stockholders. The term of office of the second class of directors, consisting of Dr. Rome and Mr. Carey, will expire at the second annual meeting of stockholders. The term of office of the third class of directors, consisting of Dr. Tananbaum and Dr. Pakianathan, will expire at the third annual meeting of stockholders.</w:t>
      </w:r>
    </w:p>
    <w:p>
      <w:pPr>
        <w:spacing w:after="0" w:line="125" w:lineRule="exact"/>
        <w:rPr>
          <w:sz w:val="20"/>
          <w:szCs w:val="20"/>
          <w:color w:val="auto"/>
        </w:rPr>
      </w:pPr>
    </w:p>
    <w:p>
      <w:pPr>
        <w:ind w:left="460" w:right="779"/>
        <w:spacing w:after="0" w:line="261"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certificate of incorporation.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39"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Nasdaq listing standards require that a majority of our board of directors be independent within one year of our initial public offering. Our board of directors has determined that Mr. Carey, Dr. Dubin and Dr. Pakianathan are “independent directors” as defined in Nasdaq listing standards and applicable SEC rules and Dr. Bajaj is an “independent director” as defined in Nasdaq listing standards. Our independent directors will have regularly scheduled meetings at which only independent directors are present.</w:t>
      </w:r>
    </w:p>
    <w:p>
      <w:pPr>
        <w:sectPr>
          <w:pgSz w:w="11900" w:h="16838" w:orient="portrait"/>
          <w:cols w:equalWidth="0" w:num="1">
            <w:col w:w="9019"/>
          </w:cols>
          <w:pgMar w:left="1440" w:top="287"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92" w:name="page93"/>
    <w:bookmarkEnd w:id="92"/>
    <w:p>
      <w:pPr>
        <w:ind w:left="4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39"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In July 2020, our sponsor transferred 30,000 founder shares to each of Mr. Carey, Dr. Dubin and Dr. Pakianathan. None of our executive officers or directors have received any cash compensation for services rendered to us. Commencing on the date that our securities are first listed on Nasdaq through the earlier of consummation of our initial business combination and our liquidation, we will pay our sponsor $10,000 per month for office space, secretarial and administrative services provided to members of our management team.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33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23"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5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3"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We have established an audit committee of the board of directors. Mr. Carey, Dr. Dubin and Dr. Pakianathan will serve as members of our audit committee, and Mr. Carey will chair the audit committee. All members of our audit committee are independent of and unaffiliated with our sponsor and our underwriters.</w:t>
      </w:r>
    </w:p>
    <w:p>
      <w:pPr>
        <w:spacing w:after="0" w:line="110" w:lineRule="exact"/>
        <w:rPr>
          <w:sz w:val="20"/>
          <w:szCs w:val="20"/>
          <w:color w:val="auto"/>
        </w:rPr>
      </w:pPr>
    </w:p>
    <w:p>
      <w:pPr>
        <w:ind w:left="460" w:right="619"/>
        <w:spacing w:after="0"/>
        <w:rPr>
          <w:sz w:val="20"/>
          <w:szCs w:val="20"/>
          <w:color w:val="auto"/>
        </w:rPr>
      </w:pPr>
      <w:r>
        <w:rPr>
          <w:rFonts w:ascii="Arial" w:cs="Arial" w:eastAsia="Arial" w:hAnsi="Arial"/>
          <w:sz w:val="18"/>
          <w:szCs w:val="18"/>
          <w:color w:val="auto"/>
        </w:rPr>
        <w:t>Each member of the audit committee is financially literate and our board of directors has determined that Dr. Dubin qualifies as an “audit committee financial expert” as defined in applicable SEC rules and has accounting or related financial management expertise.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460" w:right="1119"/>
        <w:spacing w:after="0" w:line="246" w:lineRule="auto"/>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21" w:lineRule="exact"/>
        <w:rPr>
          <w:sz w:val="20"/>
          <w:szCs w:val="20"/>
          <w:color w:val="auto"/>
        </w:rPr>
      </w:pPr>
    </w:p>
    <w:p>
      <w:pPr>
        <w:ind w:left="1100" w:right="479" w:hanging="322"/>
        <w:spacing w:after="0" w:line="237" w:lineRule="auto"/>
        <w:tabs>
          <w:tab w:leader="none" w:pos="10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29" w:lineRule="exact"/>
        <w:rPr>
          <w:rFonts w:ascii="Arial" w:cs="Arial" w:eastAsia="Arial" w:hAnsi="Arial"/>
          <w:sz w:val="18"/>
          <w:szCs w:val="18"/>
          <w:color w:val="auto"/>
        </w:rPr>
      </w:pPr>
    </w:p>
    <w:p>
      <w:pPr>
        <w:ind w:left="1100" w:right="719" w:hanging="322"/>
        <w:spacing w:after="0" w:line="238" w:lineRule="auto"/>
        <w:tabs>
          <w:tab w:leader="none" w:pos="10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auditors have with us in order to evaluate their continued independence;</w:t>
      </w:r>
    </w:p>
    <w:p>
      <w:pPr>
        <w:spacing w:after="0" w:line="13" w:lineRule="exact"/>
        <w:rPr>
          <w:rFonts w:ascii="Arial" w:cs="Arial" w:eastAsia="Arial" w:hAnsi="Arial"/>
          <w:sz w:val="18"/>
          <w:szCs w:val="18"/>
          <w:color w:val="auto"/>
        </w:rPr>
      </w:pPr>
    </w:p>
    <w:p>
      <w:pPr>
        <w:ind w:left="1100" w:right="479" w:hanging="322"/>
        <w:spacing w:after="0" w:line="236" w:lineRule="auto"/>
        <w:tabs>
          <w:tab w:leader="none" w:pos="10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independent registered public accounting firm, or by any inquiry or investigation by governmental or professional authorities, within the preceding five years respecting one or more independent audits carried out by the firm and any steps taken to deal with such issues;</w:t>
      </w:r>
    </w:p>
    <w:p>
      <w:pPr>
        <w:spacing w:after="0" w:line="32" w:lineRule="exact"/>
        <w:rPr>
          <w:rFonts w:ascii="Arial" w:cs="Arial" w:eastAsia="Arial" w:hAnsi="Arial"/>
          <w:sz w:val="18"/>
          <w:szCs w:val="18"/>
          <w:color w:val="auto"/>
        </w:rPr>
      </w:pPr>
    </w:p>
    <w:p>
      <w:pPr>
        <w:ind w:left="1100" w:right="499" w:hanging="322"/>
        <w:spacing w:after="0" w:line="237" w:lineRule="auto"/>
        <w:tabs>
          <w:tab w:leader="none" w:pos="10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registered public accounting firm,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29" w:lineRule="exact"/>
        <w:rPr>
          <w:rFonts w:ascii="Arial" w:cs="Arial" w:eastAsia="Arial" w:hAnsi="Arial"/>
          <w:sz w:val="18"/>
          <w:szCs w:val="18"/>
          <w:color w:val="auto"/>
        </w:rPr>
      </w:pPr>
    </w:p>
    <w:p>
      <w:pPr>
        <w:ind w:left="1100" w:right="599" w:hanging="322"/>
        <w:spacing w:after="0" w:line="237" w:lineRule="auto"/>
        <w:tabs>
          <w:tab w:leader="none" w:pos="10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with management, the independent,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3" w:lineRule="exact"/>
        <w:rPr>
          <w:sz w:val="20"/>
          <w:szCs w:val="20"/>
          <w:color w:val="auto"/>
        </w:rPr>
      </w:pPr>
    </w:p>
    <w:p>
      <w:pPr>
        <w:ind w:left="460" w:right="679"/>
        <w:spacing w:after="0"/>
        <w:rPr>
          <w:sz w:val="20"/>
          <w:szCs w:val="20"/>
          <w:color w:val="auto"/>
        </w:rPr>
      </w:pPr>
      <w:r>
        <w:rPr>
          <w:rFonts w:ascii="Arial" w:cs="Arial" w:eastAsia="Arial" w:hAnsi="Arial"/>
          <w:sz w:val="18"/>
          <w:szCs w:val="18"/>
          <w:color w:val="auto"/>
        </w:rPr>
        <w:t>We have established a compensation committee of the board of directors. Mr. Carey, Dr. Dubin and Dr. Pakianathan will serve as members of our compensation committee. Dr. Dubin will chair the compensation committee.</w:t>
      </w:r>
    </w:p>
    <w:p>
      <w:pPr>
        <w:spacing w:after="0" w:line="108" w:lineRule="exact"/>
        <w:rPr>
          <w:sz w:val="20"/>
          <w:szCs w:val="20"/>
          <w:color w:val="auto"/>
        </w:rPr>
      </w:pPr>
    </w:p>
    <w:p>
      <w:pPr>
        <w:ind w:left="460" w:right="939"/>
        <w:spacing w:after="0" w:line="246" w:lineRule="auto"/>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21" w:lineRule="exact"/>
        <w:rPr>
          <w:sz w:val="20"/>
          <w:szCs w:val="20"/>
          <w:color w:val="auto"/>
        </w:rPr>
      </w:pPr>
    </w:p>
    <w:p>
      <w:pPr>
        <w:ind w:left="1100" w:right="479" w:hanging="322"/>
        <w:spacing w:after="0" w:line="238"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 based on such evaluation;</w:t>
      </w:r>
    </w:p>
    <w:p>
      <w:pPr>
        <w:spacing w:after="0" w:line="15" w:lineRule="exact"/>
        <w:rPr>
          <w:rFonts w:ascii="Arial" w:cs="Arial" w:eastAsia="Arial" w:hAnsi="Arial"/>
          <w:sz w:val="18"/>
          <w:szCs w:val="18"/>
          <w:color w:val="auto"/>
        </w:rPr>
      </w:pPr>
    </w:p>
    <w:p>
      <w:pPr>
        <w:ind w:left="1100" w:right="739" w:hanging="322"/>
        <w:spacing w:after="0"/>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27" w:lineRule="exact"/>
        <w:rPr>
          <w:rFonts w:ascii="Arial" w:cs="Arial" w:eastAsia="Arial" w:hAnsi="Arial"/>
          <w:sz w:val="18"/>
          <w:szCs w:val="18"/>
          <w:color w:val="auto"/>
        </w:rPr>
      </w:pPr>
    </w:p>
    <w:p>
      <w:pPr>
        <w:ind w:left="1040" w:hanging="262"/>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34" w:lineRule="exact"/>
        <w:rPr>
          <w:rFonts w:ascii="Arial" w:cs="Arial" w:eastAsia="Arial" w:hAnsi="Arial"/>
          <w:sz w:val="17"/>
          <w:szCs w:val="17"/>
          <w:color w:val="auto"/>
        </w:rPr>
      </w:pPr>
    </w:p>
    <w:p>
      <w:pPr>
        <w:ind w:left="1100" w:right="799" w:hanging="322"/>
        <w:spacing w:after="0" w:line="246"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1" w:lineRule="exact"/>
        <w:rPr>
          <w:rFonts w:ascii="Arial" w:cs="Arial" w:eastAsia="Arial" w:hAnsi="Arial"/>
          <w:sz w:val="18"/>
          <w:szCs w:val="18"/>
          <w:color w:val="auto"/>
        </w:rPr>
      </w:pPr>
    </w:p>
    <w:p>
      <w:pPr>
        <w:ind w:left="1100" w:right="559" w:hanging="322"/>
        <w:spacing w:after="0" w:line="246"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21" w:lineRule="exact"/>
        <w:rPr>
          <w:rFonts w:ascii="Arial" w:cs="Arial" w:eastAsia="Arial" w:hAnsi="Arial"/>
          <w:sz w:val="18"/>
          <w:szCs w:val="18"/>
          <w:color w:val="auto"/>
        </w:rPr>
      </w:pPr>
    </w:p>
    <w:p>
      <w:pPr>
        <w:ind w:left="1100" w:right="639" w:hanging="322"/>
        <w:spacing w:after="0" w:line="246"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7"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2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Notwithstanding the foregoing, as indicated above, other than the payment to our sponsor of $10,000 per month, for up to 24 months, for office space, utilities and secretarial and administrative support and reimbursement of expenses, no compensation of any kind, including finders, consulting or other similar fees, will be paid to any of our existing stockholders, officers, directors or any of their respective affiliates, prior to, or for any services they render</w:t>
      </w:r>
    </w:p>
    <w:p>
      <w:pPr>
        <w:sectPr>
          <w:pgSz w:w="11900" w:h="16838" w:orient="portrait"/>
          <w:cols w:equalWidth="0" w:num="1">
            <w:col w:w="9019"/>
          </w:cols>
          <w:pgMar w:left="1440" w:top="26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94" w:name="page95"/>
    <w:bookmarkEnd w:id="94"/>
    <w:p>
      <w:pPr>
        <w:ind w:left="460" w:right="519"/>
        <w:spacing w:after="0" w:line="238" w:lineRule="auto"/>
        <w:rPr>
          <w:sz w:val="20"/>
          <w:szCs w:val="20"/>
          <w:color w:val="auto"/>
        </w:rPr>
      </w:pPr>
      <w:r>
        <w:rPr>
          <w:rFonts w:ascii="Arial" w:cs="Arial" w:eastAsia="Arial" w:hAnsi="Arial"/>
          <w:sz w:val="18"/>
          <w:szCs w:val="18"/>
          <w:color w:val="auto"/>
        </w:rPr>
        <w:t>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10"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6" w:lineRule="exact"/>
        <w:rPr>
          <w:sz w:val="20"/>
          <w:szCs w:val="20"/>
          <w:color w:val="auto"/>
        </w:rPr>
      </w:pPr>
    </w:p>
    <w:p>
      <w:pPr>
        <w:ind w:left="460" w:right="779"/>
        <w:spacing w:after="0" w:line="238" w:lineRule="auto"/>
        <w:rPr>
          <w:sz w:val="20"/>
          <w:szCs w:val="20"/>
          <w:color w:val="auto"/>
        </w:rPr>
      </w:pPr>
      <w:r>
        <w:rPr>
          <w:rFonts w:ascii="Arial" w:cs="Arial" w:eastAsia="Arial" w:hAnsi="Arial"/>
          <w:sz w:val="18"/>
          <w:szCs w:val="18"/>
          <w:color w:val="auto"/>
        </w:rPr>
        <w:t>We have established a nominating and corporate governance committee of the board of directors. The initial members of our nominating and corporate governance committee will be Mr. Carey, Dr. Dubin and Dr. Pakianathan. Dr. Pakianathan will serve as chair of the nominating and corporate governance committee.</w:t>
      </w:r>
    </w:p>
    <w:p>
      <w:pPr>
        <w:spacing w:after="0" w:line="110" w:lineRule="exact"/>
        <w:rPr>
          <w:sz w:val="20"/>
          <w:szCs w:val="20"/>
          <w:color w:val="auto"/>
        </w:rPr>
      </w:pPr>
    </w:p>
    <w:p>
      <w:pPr>
        <w:jc w:val="both"/>
        <w:ind w:left="460" w:right="1019"/>
        <w:spacing w:after="0" w:line="273" w:lineRule="auto"/>
        <w:rPr>
          <w:sz w:val="20"/>
          <w:szCs w:val="20"/>
          <w:color w:val="auto"/>
        </w:rPr>
      </w:pPr>
      <w:r>
        <w:rPr>
          <w:rFonts w:ascii="Arial" w:cs="Arial" w:eastAsia="Arial" w:hAnsi="Arial"/>
          <w:sz w:val="17"/>
          <w:szCs w:val="17"/>
          <w:color w:val="auto"/>
        </w:rPr>
        <w:t>We have adopted a nominating and corporate governance committee charter, which details the purpose and responsibilities of the nominating and corporate governance committee, including:</w:t>
      </w:r>
    </w:p>
    <w:p>
      <w:pPr>
        <w:spacing w:after="0" w:line="1" w:lineRule="exact"/>
        <w:rPr>
          <w:sz w:val="20"/>
          <w:szCs w:val="20"/>
          <w:color w:val="auto"/>
        </w:rPr>
      </w:pPr>
    </w:p>
    <w:p>
      <w:pPr>
        <w:ind w:left="1100" w:right="519" w:hanging="322"/>
        <w:spacing w:after="0" w:line="238"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29" w:lineRule="exact"/>
        <w:rPr>
          <w:rFonts w:ascii="Arial" w:cs="Arial" w:eastAsia="Arial" w:hAnsi="Arial"/>
          <w:sz w:val="18"/>
          <w:szCs w:val="18"/>
          <w:color w:val="auto"/>
        </w:rPr>
      </w:pPr>
    </w:p>
    <w:p>
      <w:pPr>
        <w:ind w:left="1100" w:right="49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7" w:lineRule="exact"/>
        <w:rPr>
          <w:rFonts w:ascii="Arial" w:cs="Arial" w:eastAsia="Arial" w:hAnsi="Arial"/>
          <w:sz w:val="18"/>
          <w:szCs w:val="18"/>
          <w:color w:val="auto"/>
        </w:rPr>
      </w:pPr>
    </w:p>
    <w:p>
      <w:pPr>
        <w:ind w:left="1100" w:right="799" w:hanging="322"/>
        <w:spacing w:after="0" w:line="273" w:lineRule="auto"/>
        <w:tabs>
          <w:tab w:leader="none" w:pos="1039"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of directors, its committees, individual directors and management in the governance of the company; and</w:t>
      </w:r>
    </w:p>
    <w:p>
      <w:pPr>
        <w:ind w:left="1100" w:right="145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2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2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39"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 xml:space="preserve">We have adopted a Code of Business Conduct and Ethics applicable to our directors, officers and employees. We have filed a copy of our form of the Code of Business Conduct and Ethics and our audit committee and compensation committee charters as exhibits to the registration statement of which this prospectus is a part. You will be able to review this document by accessing our public filings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a copy of the Code of Business Conduct and Ethics and the charters of the committees will be provided without charge upon request from us. See the section of this prospectus entitled “Where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in a Current Report on Form 8-K.</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95" w:name="page96"/>
    <w:bookmarkEnd w:id="95"/>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officers and directors of a corporation incorporated under the laws of the State of</w:t>
      </w:r>
    </w:p>
    <w:p>
      <w:pPr>
        <w:ind w:left="460"/>
        <w:spacing w:after="0"/>
        <w:rPr>
          <w:sz w:val="20"/>
          <w:szCs w:val="20"/>
          <w:color w:val="auto"/>
        </w:rPr>
      </w:pPr>
      <w:r>
        <w:rPr>
          <w:rFonts w:ascii="Arial" w:cs="Arial" w:eastAsia="Arial" w:hAnsi="Arial"/>
          <w:sz w:val="18"/>
          <w:szCs w:val="18"/>
          <w:color w:val="auto"/>
        </w:rPr>
        <w:t>Delaware are required to present business opportunities to a corporation if:</w:t>
      </w:r>
    </w:p>
    <w:p>
      <w:pPr>
        <w:spacing w:after="0" w:line="36" w:lineRule="exact"/>
        <w:rPr>
          <w:sz w:val="20"/>
          <w:szCs w:val="20"/>
          <w:color w:val="auto"/>
        </w:rPr>
      </w:pPr>
    </w:p>
    <w:p>
      <w:pPr>
        <w:ind w:left="1040" w:hanging="262"/>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36" w:lineRule="exact"/>
        <w:rPr>
          <w:rFonts w:ascii="Arial" w:cs="Arial" w:eastAsia="Arial" w:hAnsi="Arial"/>
          <w:sz w:val="18"/>
          <w:szCs w:val="18"/>
          <w:color w:val="auto"/>
        </w:rPr>
      </w:pPr>
    </w:p>
    <w:p>
      <w:pPr>
        <w:ind w:left="1100" w:right="479" w:hanging="322"/>
        <w:spacing w:after="0" w:line="246" w:lineRule="auto"/>
        <w:tabs>
          <w:tab w:leader="none" w:pos="10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2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Our amended and restated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33" w:lineRule="exact"/>
        <w:rPr>
          <w:sz w:val="20"/>
          <w:szCs w:val="20"/>
          <w:color w:val="auto"/>
        </w:rPr>
      </w:pPr>
    </w:p>
    <w:p>
      <w:pPr>
        <w:jc w:val="both"/>
        <w:ind w:left="460" w:right="579"/>
        <w:spacing w:after="0"/>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contractual obligations (excluding non-profit and educational organizations with no connection to the biotechnology sector):</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1960" w:type="dxa"/>
            <w:vAlign w:val="bottom"/>
            <w:gridSpan w:val="2"/>
          </w:tcPr>
          <w:p>
            <w:pPr>
              <w:ind w:left="740"/>
              <w:spacing w:after="0"/>
              <w:rPr>
                <w:sz w:val="20"/>
                <w:szCs w:val="20"/>
                <w:color w:val="auto"/>
              </w:rPr>
            </w:pPr>
            <w:r>
              <w:rPr>
                <w:rFonts w:ascii="Arial" w:cs="Arial" w:eastAsia="Arial" w:hAnsi="Arial"/>
                <w:sz w:val="14"/>
                <w:szCs w:val="14"/>
                <w:b w:val="1"/>
                <w:bCs w:val="1"/>
                <w:color w:val="auto"/>
              </w:rPr>
              <w:t>Entity</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Pr>
          <w:p>
            <w:pPr>
              <w:spacing w:after="0"/>
              <w:rPr>
                <w:sz w:val="16"/>
                <w:szCs w:val="16"/>
                <w:color w:val="auto"/>
              </w:rPr>
            </w:pPr>
          </w:p>
        </w:tc>
        <w:tc>
          <w:tcPr>
            <w:tcW w:w="2560" w:type="dxa"/>
            <w:vAlign w:val="bottom"/>
          </w:tcPr>
          <w:p>
            <w:pPr>
              <w:ind w:left="940"/>
              <w:spacing w:after="0"/>
              <w:rPr>
                <w:sz w:val="20"/>
                <w:szCs w:val="20"/>
                <w:color w:val="auto"/>
              </w:rPr>
            </w:pPr>
            <w:r>
              <w:rPr>
                <w:rFonts w:ascii="Arial" w:cs="Arial" w:eastAsia="Arial" w:hAnsi="Arial"/>
                <w:sz w:val="14"/>
                <w:szCs w:val="14"/>
                <w:b w:val="1"/>
                <w:bCs w:val="1"/>
                <w:color w:val="auto"/>
              </w:rPr>
              <w:t>Affiliation</w:t>
            </w:r>
          </w:p>
        </w:tc>
      </w:tr>
      <w:tr>
        <w:trPr>
          <w:trHeight w:val="26"/>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r>
      <w:tr>
        <w:trPr>
          <w:trHeight w:val="195"/>
        </w:trPr>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Jim Tananbaum</w:t>
            </w:r>
          </w:p>
        </w:tc>
        <w:tc>
          <w:tcPr>
            <w:tcW w:w="10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Foresite Capital</w:t>
            </w:r>
          </w:p>
        </w:tc>
        <w:tc>
          <w:tcPr>
            <w:tcW w:w="80" w:type="dxa"/>
            <w:vAlign w:val="bottom"/>
          </w:tcPr>
          <w:p>
            <w:pPr>
              <w:spacing w:after="0"/>
              <w:rPr>
                <w:sz w:val="16"/>
                <w:szCs w:val="16"/>
                <w:color w:val="auto"/>
              </w:rPr>
            </w:pPr>
          </w:p>
        </w:tc>
        <w:tc>
          <w:tcPr>
            <w:tcW w:w="1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Venture capital/private</w:t>
            </w:r>
          </w:p>
        </w:tc>
        <w:tc>
          <w:tcPr>
            <w:tcW w:w="100" w:type="dxa"/>
            <w:vAlign w:val="bottom"/>
          </w:tcPr>
          <w:p>
            <w:pPr>
              <w:spacing w:after="0"/>
              <w:rPr>
                <w:sz w:val="16"/>
                <w:szCs w:val="16"/>
                <w:color w:val="auto"/>
              </w:rPr>
            </w:pPr>
          </w:p>
        </w:tc>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Member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Management V, LLC</w:t>
            </w: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DNA Nexus, Inc.</w:t>
            </w:r>
          </w:p>
        </w:tc>
        <w:tc>
          <w:tcPr>
            <w:tcW w:w="1780" w:type="dxa"/>
            <w:vAlign w:val="bottom"/>
          </w:tcPr>
          <w:p>
            <w:pPr>
              <w:spacing w:after="0"/>
              <w:rPr>
                <w:sz w:val="20"/>
                <w:szCs w:val="20"/>
                <w:color w:val="auto"/>
              </w:rPr>
            </w:pPr>
            <w:r>
              <w:rPr>
                <w:rFonts w:ascii="Arial" w:cs="Arial" w:eastAsia="Arial" w:hAnsi="Arial"/>
                <w:sz w:val="18"/>
                <w:szCs w:val="18"/>
                <w:color w:val="auto"/>
              </w:rPr>
              <w:t>Data science cloud</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platform</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Eikon Therapeutics,</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Element Biosciences,</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Evonetix, Ltd.</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F-Metabolic,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Fabric Genomics,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Genomics PLC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9"/>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Healthverity, Inc.</w:t>
            </w:r>
          </w:p>
        </w:tc>
        <w:tc>
          <w:tcPr>
            <w:tcW w:w="1780" w:type="dxa"/>
            <w:vAlign w:val="bottom"/>
          </w:tcPr>
          <w:p>
            <w:pPr>
              <w:spacing w:after="0"/>
              <w:rPr>
                <w:sz w:val="20"/>
                <w:szCs w:val="20"/>
                <w:color w:val="auto"/>
              </w:rPr>
            </w:pPr>
            <w:r>
              <w:rPr>
                <w:rFonts w:ascii="Arial" w:cs="Arial" w:eastAsia="Arial" w:hAnsi="Arial"/>
                <w:sz w:val="18"/>
                <w:szCs w:val="18"/>
                <w:color w:val="auto"/>
              </w:rPr>
              <w:t>Healthcare data</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technology platform</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Homodeus,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9"/>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Kinnate Biopharma,</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Mindstrong, Inc.</w:t>
            </w:r>
          </w:p>
        </w:tc>
        <w:tc>
          <w:tcPr>
            <w:tcW w:w="1780" w:type="dxa"/>
            <w:vAlign w:val="bottom"/>
          </w:tcPr>
          <w:p>
            <w:pPr>
              <w:spacing w:after="0"/>
              <w:rPr>
                <w:sz w:val="20"/>
                <w:szCs w:val="20"/>
                <w:color w:val="auto"/>
              </w:rPr>
            </w:pPr>
            <w:r>
              <w:rPr>
                <w:rFonts w:ascii="Arial" w:cs="Arial" w:eastAsia="Arial" w:hAnsi="Arial"/>
                <w:sz w:val="18"/>
                <w:szCs w:val="18"/>
                <w:color w:val="auto"/>
              </w:rPr>
              <w:t>Neuropsychiatric</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healthcare software</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Sestina, LLC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incubator</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Director</w:t>
            </w: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color w:val="auto"/>
              </w:rPr>
              <w:t>Michael Rome</w:t>
            </w: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Kinnate Biopharma,</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Pharvaris BV</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9019"/>
          </w:cols>
          <w:pgMar w:left="1440" w:top="292" w:right="1440"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96" w:name="page97"/>
    <w:bookmarkEnd w:id="96"/>
    <w:tbl>
      <w:tblPr>
        <w:tblLayout w:type="fixed"/>
        <w:tblInd w:w="460" w:type="dxa"/>
        <w:tblCellMar>
          <w:top w:w="0" w:type="dxa"/>
          <w:left w:w="0" w:type="dxa"/>
          <w:bottom w:w="0" w:type="dxa"/>
          <w:right w:w="0" w:type="dxa"/>
        </w:tblCellMar>
      </w:tblPr>
      <w:tr>
        <w:trPr>
          <w:trHeight w:val="190"/>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1960" w:type="dxa"/>
            <w:vAlign w:val="bottom"/>
            <w:gridSpan w:val="2"/>
          </w:tcPr>
          <w:p>
            <w:pPr>
              <w:ind w:left="740"/>
              <w:spacing w:after="0"/>
              <w:rPr>
                <w:sz w:val="20"/>
                <w:szCs w:val="20"/>
                <w:color w:val="auto"/>
              </w:rPr>
            </w:pPr>
            <w:r>
              <w:rPr>
                <w:rFonts w:ascii="Arial" w:cs="Arial" w:eastAsia="Arial" w:hAnsi="Arial"/>
                <w:sz w:val="14"/>
                <w:szCs w:val="14"/>
                <w:b w:val="1"/>
                <w:bCs w:val="1"/>
                <w:color w:val="auto"/>
              </w:rPr>
              <w:t>Entity</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Pr>
          <w:p>
            <w:pPr>
              <w:spacing w:after="0"/>
              <w:rPr>
                <w:sz w:val="16"/>
                <w:szCs w:val="16"/>
                <w:color w:val="auto"/>
              </w:rPr>
            </w:pPr>
          </w:p>
        </w:tc>
        <w:tc>
          <w:tcPr>
            <w:tcW w:w="2560" w:type="dxa"/>
            <w:vAlign w:val="bottom"/>
          </w:tcPr>
          <w:p>
            <w:pPr>
              <w:ind w:left="940"/>
              <w:spacing w:after="0"/>
              <w:rPr>
                <w:sz w:val="20"/>
                <w:szCs w:val="20"/>
                <w:color w:val="auto"/>
              </w:rPr>
            </w:pPr>
            <w:r>
              <w:rPr>
                <w:rFonts w:ascii="Arial" w:cs="Arial" w:eastAsia="Arial" w:hAnsi="Arial"/>
                <w:sz w:val="14"/>
                <w:szCs w:val="14"/>
                <w:b w:val="1"/>
                <w:bCs w:val="1"/>
                <w:color w:val="auto"/>
              </w:rPr>
              <w:t>Affiliation</w:t>
            </w:r>
          </w:p>
        </w:tc>
      </w:tr>
      <w:tr>
        <w:trPr>
          <w:trHeight w:val="26"/>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r>
      <w:tr>
        <w:trPr>
          <w:trHeight w:val="195"/>
        </w:trPr>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Vikram Bajaj</w:t>
            </w:r>
          </w:p>
        </w:tc>
        <w:tc>
          <w:tcPr>
            <w:tcW w:w="10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Foresite Capital</w:t>
            </w:r>
          </w:p>
        </w:tc>
        <w:tc>
          <w:tcPr>
            <w:tcW w:w="80" w:type="dxa"/>
            <w:vAlign w:val="bottom"/>
          </w:tcPr>
          <w:p>
            <w:pPr>
              <w:spacing w:after="0"/>
              <w:rPr>
                <w:sz w:val="16"/>
                <w:szCs w:val="16"/>
                <w:color w:val="auto"/>
              </w:rPr>
            </w:pPr>
          </w:p>
        </w:tc>
        <w:tc>
          <w:tcPr>
            <w:tcW w:w="1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Venture capital/private</w:t>
            </w:r>
          </w:p>
        </w:tc>
        <w:tc>
          <w:tcPr>
            <w:tcW w:w="100" w:type="dxa"/>
            <w:vAlign w:val="bottom"/>
          </w:tcPr>
          <w:p>
            <w:pPr>
              <w:spacing w:after="0"/>
              <w:rPr>
                <w:sz w:val="16"/>
                <w:szCs w:val="16"/>
                <w:color w:val="auto"/>
              </w:rPr>
            </w:pPr>
          </w:p>
        </w:tc>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Managing 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Labs</w:t>
            </w:r>
          </w:p>
        </w:tc>
        <w:tc>
          <w:tcPr>
            <w:tcW w:w="1780" w:type="dxa"/>
            <w:vAlign w:val="bottom"/>
          </w:tcPr>
          <w:p>
            <w:pPr>
              <w:spacing w:after="0"/>
              <w:rPr>
                <w:sz w:val="20"/>
                <w:szCs w:val="20"/>
                <w:color w:val="auto"/>
              </w:rPr>
            </w:pPr>
            <w:r>
              <w:rPr>
                <w:rFonts w:ascii="Arial" w:cs="Arial" w:eastAsia="Arial" w:hAnsi="Arial"/>
                <w:sz w:val="18"/>
                <w:szCs w:val="18"/>
                <w:color w:val="auto"/>
              </w:rPr>
              <w:t>Healthcare and data</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science incubator</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Stanford University</w:t>
            </w:r>
          </w:p>
        </w:tc>
        <w:tc>
          <w:tcPr>
            <w:tcW w:w="1780" w:type="dxa"/>
            <w:vAlign w:val="bottom"/>
          </w:tcPr>
          <w:p>
            <w:pPr>
              <w:spacing w:after="0"/>
              <w:rPr>
                <w:sz w:val="20"/>
                <w:szCs w:val="20"/>
                <w:color w:val="auto"/>
              </w:rPr>
            </w:pPr>
            <w:r>
              <w:rPr>
                <w:rFonts w:ascii="Arial" w:cs="Arial" w:eastAsia="Arial" w:hAnsi="Arial"/>
                <w:sz w:val="18"/>
                <w:szCs w:val="18"/>
                <w:color w:val="auto"/>
              </w:rPr>
              <w:t>Medical school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Associate Professor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School of Medicine</w:t>
            </w:r>
          </w:p>
        </w:tc>
        <w:tc>
          <w:tcPr>
            <w:tcW w:w="1780" w:type="dxa"/>
            <w:vAlign w:val="bottom"/>
          </w:tcPr>
          <w:p>
            <w:pPr>
              <w:spacing w:after="0"/>
              <w:rPr>
                <w:sz w:val="18"/>
                <w:szCs w:val="18"/>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(Consulting)</w:t>
            </w: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Lawrence Berkeley</w:t>
            </w:r>
          </w:p>
        </w:tc>
        <w:tc>
          <w:tcPr>
            <w:tcW w:w="1780" w:type="dxa"/>
            <w:vAlign w:val="bottom"/>
          </w:tcPr>
          <w:p>
            <w:pPr>
              <w:spacing w:after="0"/>
              <w:rPr>
                <w:sz w:val="20"/>
                <w:szCs w:val="20"/>
                <w:color w:val="auto"/>
              </w:rPr>
            </w:pPr>
            <w:r>
              <w:rPr>
                <w:rFonts w:ascii="Arial" w:cs="Arial" w:eastAsia="Arial" w:hAnsi="Arial"/>
                <w:sz w:val="18"/>
                <w:szCs w:val="18"/>
                <w:color w:val="auto"/>
              </w:rPr>
              <w:t>Scientific research</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Affiliate Scientist</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National Laboratory</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color w:val="auto"/>
              </w:rPr>
              <w:t>Robert Carey</w:t>
            </w:r>
          </w:p>
        </w:tc>
        <w:tc>
          <w:tcPr>
            <w:tcW w:w="1960" w:type="dxa"/>
            <w:vAlign w:val="bottom"/>
            <w:gridSpan w:val="2"/>
          </w:tcPr>
          <w:p>
            <w:pPr>
              <w:spacing w:after="0"/>
              <w:rPr>
                <w:sz w:val="20"/>
                <w:szCs w:val="20"/>
                <w:color w:val="auto"/>
              </w:rPr>
            </w:pPr>
            <w:r>
              <w:rPr>
                <w:rFonts w:ascii="Arial" w:cs="Arial" w:eastAsia="Arial" w:hAnsi="Arial"/>
                <w:sz w:val="18"/>
                <w:szCs w:val="18"/>
                <w:color w:val="auto"/>
              </w:rPr>
              <w:t>Sangamo</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Therapeutics, 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Beyond Air,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9"/>
        </w:trPr>
        <w:tc>
          <w:tcPr>
            <w:tcW w:w="1700" w:type="dxa"/>
            <w:vAlign w:val="bottom"/>
            <w:gridSpan w:val="2"/>
          </w:tcPr>
          <w:p>
            <w:pPr>
              <w:spacing w:after="0"/>
              <w:rPr>
                <w:sz w:val="20"/>
                <w:szCs w:val="20"/>
                <w:color w:val="auto"/>
              </w:rPr>
            </w:pPr>
            <w:r>
              <w:rPr>
                <w:rFonts w:ascii="Arial" w:cs="Arial" w:eastAsia="Arial" w:hAnsi="Arial"/>
                <w:sz w:val="18"/>
                <w:szCs w:val="18"/>
                <w:color w:val="auto"/>
              </w:rPr>
              <w:t>Daniel Dubin</w:t>
            </w:r>
          </w:p>
        </w:tc>
        <w:tc>
          <w:tcPr>
            <w:tcW w:w="1960" w:type="dxa"/>
            <w:vAlign w:val="bottom"/>
            <w:gridSpan w:val="2"/>
          </w:tcPr>
          <w:p>
            <w:pPr>
              <w:spacing w:after="0"/>
              <w:rPr>
                <w:sz w:val="20"/>
                <w:szCs w:val="20"/>
                <w:color w:val="auto"/>
              </w:rPr>
            </w:pPr>
            <w:r>
              <w:rPr>
                <w:rFonts w:ascii="Arial" w:cs="Arial" w:eastAsia="Arial" w:hAnsi="Arial"/>
                <w:sz w:val="18"/>
                <w:szCs w:val="18"/>
                <w:color w:val="auto"/>
              </w:rPr>
              <w:t>SVB Leerink</w:t>
            </w:r>
          </w:p>
        </w:tc>
        <w:tc>
          <w:tcPr>
            <w:tcW w:w="1780" w:type="dxa"/>
            <w:vAlign w:val="bottom"/>
          </w:tcPr>
          <w:p>
            <w:pPr>
              <w:spacing w:after="0"/>
              <w:rPr>
                <w:sz w:val="20"/>
                <w:szCs w:val="20"/>
                <w:color w:val="auto"/>
              </w:rPr>
            </w:pPr>
            <w:r>
              <w:rPr>
                <w:rFonts w:ascii="Arial" w:cs="Arial" w:eastAsia="Arial" w:hAnsi="Arial"/>
                <w:sz w:val="18"/>
                <w:szCs w:val="18"/>
                <w:color w:val="auto"/>
              </w:rPr>
              <w:t>Investment bank</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Vice Chairman and Head of</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Biopharma Investment Banking</w:t>
            </w: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Olivo Laboratories LLC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1700" w:type="dxa"/>
            <w:vAlign w:val="bottom"/>
            <w:gridSpan w:val="2"/>
          </w:tcPr>
          <w:p>
            <w:pPr>
              <w:spacing w:after="0"/>
              <w:rPr>
                <w:sz w:val="20"/>
                <w:szCs w:val="20"/>
                <w:color w:val="auto"/>
              </w:rPr>
            </w:pPr>
            <w:r>
              <w:rPr>
                <w:rFonts w:ascii="Arial" w:cs="Arial" w:eastAsia="Arial" w:hAnsi="Arial"/>
                <w:sz w:val="18"/>
                <w:szCs w:val="18"/>
                <w:color w:val="auto"/>
              </w:rPr>
              <w:t>Deepa Pakianathan</w:t>
            </w:r>
          </w:p>
        </w:tc>
        <w:tc>
          <w:tcPr>
            <w:tcW w:w="1960" w:type="dxa"/>
            <w:vAlign w:val="bottom"/>
            <w:gridSpan w:val="2"/>
          </w:tcPr>
          <w:p>
            <w:pPr>
              <w:spacing w:after="0"/>
              <w:rPr>
                <w:sz w:val="20"/>
                <w:szCs w:val="20"/>
                <w:color w:val="auto"/>
              </w:rPr>
            </w:pPr>
            <w:r>
              <w:rPr>
                <w:rFonts w:ascii="Arial" w:cs="Arial" w:eastAsia="Arial" w:hAnsi="Arial"/>
                <w:sz w:val="18"/>
                <w:szCs w:val="18"/>
                <w:color w:val="auto"/>
              </w:rPr>
              <w:t>Delphi Ventures</w:t>
            </w:r>
          </w:p>
        </w:tc>
        <w:tc>
          <w:tcPr>
            <w:tcW w:w="1780" w:type="dxa"/>
            <w:vAlign w:val="bottom"/>
          </w:tcPr>
          <w:p>
            <w:pPr>
              <w:spacing w:after="0"/>
              <w:rPr>
                <w:sz w:val="20"/>
                <w:szCs w:val="20"/>
                <w:color w:val="auto"/>
              </w:rPr>
            </w:pPr>
            <w:r>
              <w:rPr>
                <w:rFonts w:ascii="Arial" w:cs="Arial" w:eastAsia="Arial" w:hAnsi="Arial"/>
                <w:sz w:val="18"/>
                <w:szCs w:val="18"/>
                <w:color w:val="auto"/>
              </w:rPr>
              <w:t>Venture capital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Member</w:t>
            </w:r>
          </w:p>
        </w:tc>
      </w:tr>
      <w:tr>
        <w:trPr>
          <w:trHeight w:val="269"/>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Redd Pharmaceuticals,</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Calithera Biosciences,</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Karyopharm</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Therapeutics, 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Mereo Biopharma</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Group plc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Theravance</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Biopharma, 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23" w:lineRule="exact"/>
        <w:rPr>
          <w:sz w:val="20"/>
          <w:szCs w:val="20"/>
          <w:color w:val="auto"/>
        </w:rPr>
      </w:pPr>
    </w:p>
    <w:p>
      <w:pPr>
        <w:ind w:left="1100" w:right="559" w:hanging="322"/>
        <w:spacing w:after="0" w:line="237" w:lineRule="auto"/>
        <w:tabs>
          <w:tab w:leader="none" w:pos="10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27" w:lineRule="exact"/>
        <w:rPr>
          <w:rFonts w:ascii="Arial" w:cs="Arial" w:eastAsia="Arial" w:hAnsi="Arial"/>
          <w:sz w:val="18"/>
          <w:szCs w:val="18"/>
          <w:color w:val="auto"/>
        </w:rPr>
      </w:pPr>
    </w:p>
    <w:p>
      <w:pPr>
        <w:ind w:left="1100" w:right="539" w:hanging="322"/>
        <w:spacing w:after="0" w:line="234" w:lineRule="auto"/>
        <w:tabs>
          <w:tab w:leader="none" w:pos="10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initial stockholders purchased founder shares prior to the date of this prospectus and will purchase private placement shares in a transaction that will close simultaneously with the closing of this offering. Our initial stockholders have entered into agreements with us, pursuant to which they have agreed to waive their redemption rights with respect to their founder shares, private placement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or after this offering. Additionally, our initial stockholders have agreed to waive their rights to liquidating distributions from the trust account with respect to their founder shares and private placement shares if we fail to complete our initial business combination within the prescribed time frame or during any Extension Period. Furthermore, our initial stockholders have agreed not to transfer, assign or sell any of their founder shares or private placement shares until the earlier to occur of:</w:t>
      </w:r>
    </w:p>
    <w:p>
      <w:pPr>
        <w:spacing w:after="0" w:line="8" w:lineRule="exact"/>
        <w:rPr>
          <w:rFonts w:ascii="Arial" w:cs="Arial" w:eastAsia="Arial" w:hAnsi="Arial"/>
          <w:sz w:val="18"/>
          <w:szCs w:val="18"/>
          <w:color w:val="auto"/>
        </w:rPr>
      </w:pPr>
    </w:p>
    <w:p>
      <w:pPr>
        <w:ind w:left="1100" w:right="579"/>
        <w:spacing w:after="0" w:line="236" w:lineRule="auto"/>
        <w:rPr>
          <w:rFonts w:ascii="Arial" w:cs="Arial" w:eastAsia="Arial" w:hAnsi="Arial"/>
          <w:sz w:val="18"/>
          <w:szCs w:val="18"/>
          <w:color w:val="auto"/>
        </w:rPr>
      </w:pPr>
      <w:r>
        <w:rPr>
          <w:rFonts w:ascii="Arial" w:cs="Arial" w:eastAsia="Arial" w:hAnsi="Arial"/>
          <w:sz w:val="18"/>
          <w:szCs w:val="18"/>
          <w:color w:val="auto"/>
        </w:rPr>
        <w:t>(i)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the lockup. Because each of our executive officers and director nominees will own common stock directly or indirectly, they may have a conflict of interest in determining whether a particular target business is an appropriate business with which to effectuate our initial business combination.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sectPr>
      </w:pPr>
    </w:p>
    <w:bookmarkStart w:id="97" w:name="page98"/>
    <w:bookmarkEnd w:id="97"/>
    <w:p>
      <w:pPr>
        <w:ind w:left="1100" w:right="519" w:hanging="322"/>
        <w:spacing w:after="0" w:line="238" w:lineRule="auto"/>
        <w:tabs>
          <w:tab w:leader="none" w:pos="10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4"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our sponsor $10,000 per month for office space, secretarial and administrative services provided to members of our management team.</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44"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53" w:lineRule="exact"/>
        <w:rPr>
          <w:sz w:val="20"/>
          <w:szCs w:val="20"/>
          <w:color w:val="auto"/>
        </w:rPr>
      </w:pPr>
    </w:p>
    <w:p>
      <w:pPr>
        <w:ind w:left="460" w:right="639"/>
        <w:spacing w:after="0" w:line="236" w:lineRule="auto"/>
        <w:rPr>
          <w:sz w:val="20"/>
          <w:szCs w:val="20"/>
          <w:color w:val="auto"/>
        </w:rPr>
      </w:pPr>
      <w:r>
        <w:rPr>
          <w:rFonts w:ascii="Arial" w:cs="Arial" w:eastAsia="Arial" w:hAnsi="Arial"/>
          <w:sz w:val="18"/>
          <w:szCs w:val="18"/>
          <w:color w:val="auto"/>
        </w:rPr>
        <w:t>Our amended and restated certificate of incorporation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40"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have entered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24" w:lineRule="exact"/>
        <w:rPr>
          <w:sz w:val="20"/>
          <w:szCs w:val="20"/>
          <w:color w:val="auto"/>
        </w:rPr>
      </w:pPr>
    </w:p>
    <w:p>
      <w:pPr>
        <w:jc w:val="both"/>
        <w:ind w:left="460" w:right="939"/>
        <w:spacing w:after="0" w:line="274" w:lineRule="auto"/>
        <w:rPr>
          <w:sz w:val="20"/>
          <w:szCs w:val="20"/>
          <w:color w:val="auto"/>
        </w:rPr>
      </w:pPr>
      <w:r>
        <w:rPr>
          <w:rFonts w:ascii="Arial" w:cs="Arial" w:eastAsia="Arial" w:hAnsi="Arial"/>
          <w:sz w:val="17"/>
          <w:szCs w:val="17"/>
          <w:color w:val="auto"/>
        </w:rPr>
        <w:t>We believe that these provisions, the directors’ and officers’ liability insurance and the indemnity agreements are necessary to attract and retain talented and experienced officers and directors.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26"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the date of this prospectus, and as adjusted to reflect the sale of our Class A common stock offered by this prospectus, and assuming no purchase of Class A common stock in this offering, by:</w:t>
      </w:r>
    </w:p>
    <w:p>
      <w:pPr>
        <w:spacing w:after="0" w:line="27" w:lineRule="exact"/>
        <w:rPr>
          <w:sz w:val="20"/>
          <w:szCs w:val="20"/>
          <w:color w:val="auto"/>
        </w:rPr>
      </w:pPr>
    </w:p>
    <w:p>
      <w:pPr>
        <w:ind w:left="1100" w:right="1039" w:hanging="322"/>
        <w:spacing w:after="0" w:line="246" w:lineRule="auto"/>
        <w:tabs>
          <w:tab w:leader="none" w:pos="10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04" w:lineRule="exact"/>
        <w:rPr>
          <w:sz w:val="20"/>
          <w:szCs w:val="20"/>
          <w:color w:val="auto"/>
        </w:rPr>
      </w:pPr>
    </w:p>
    <w:p>
      <w:pPr>
        <w:ind w:left="460" w:right="979"/>
        <w:spacing w:after="0" w:line="246"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common stock beneficially owned by them.</w:t>
      </w:r>
    </w:p>
    <w:p>
      <w:pPr>
        <w:spacing w:after="0" w:line="89"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In July 2020, our sponsor transferred 30,000 founder shares to each of Mr. Carey, Dr. Dubin and Dr. Pakianathan. On August 11, 2020, we effected a 1:1.05 stock split of our Class B common stock, resulting in our sponsor holding 2,928,750 founder shares and there being an aggregate of 3,018,750 founder shares outstanding. Prior to the initial investment in the company of $ 25,000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12,075,000 shares if the underwriters’ over-allotment option is exercised in full, and therefore that such founder shares would represent 20% of the issued and outstanding shares of common stock (excluding the private placement shares) after this offering. Up to 393,750 of the founder shares will be forfeited by our sponsor depending on the extent to which the underwriters’ over-allotment is exercised. The post-offering percentages in the following table assume that the underwriters do not exercise their over-allotment option, that our sponsor has forfeited 393,750 founder shares, and that there are 13,535,000 shares of common stock issued and outstanding after this offering.</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4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Approximate Percentage of</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Outstanding Common Stock</w:t>
            </w:r>
          </w:p>
        </w:tc>
        <w:tc>
          <w:tcPr>
            <w:tcW w:w="0" w:type="dxa"/>
            <w:vAlign w:val="bottom"/>
          </w:tcPr>
          <w:p>
            <w:pPr>
              <w:spacing w:after="0"/>
              <w:rPr>
                <w:sz w:val="1"/>
                <w:szCs w:val="1"/>
                <w:color w:val="auto"/>
              </w:rPr>
            </w:pPr>
          </w:p>
        </w:tc>
      </w:tr>
      <w:tr>
        <w:trPr>
          <w:trHeight w:val="67"/>
        </w:trPr>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Beneficially</w:t>
            </w: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6"/>
                <w:szCs w:val="16"/>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w w:val="93"/>
                <w:vertAlign w:val="subscript"/>
              </w:rPr>
              <w:t>Owned</w:t>
            </w:r>
            <w:r>
              <w:rPr>
                <w:rFonts w:ascii="Arial" w:cs="Arial" w:eastAsia="Arial" w:hAnsi="Arial"/>
                <w:sz w:val="8"/>
                <w:szCs w:val="8"/>
                <w:b w:val="1"/>
                <w:bCs w:val="1"/>
                <w:color w:val="auto"/>
                <w:w w:val="93"/>
              </w:rPr>
              <w:t>(2)(4)</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Before Offering</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263"/>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FS Development Holdings, LLC (our sponsor)</w:t>
            </w:r>
            <w:r>
              <w:rPr>
                <w:rFonts w:ascii="Arial" w:cs="Arial" w:eastAsia="Arial" w:hAnsi="Arial"/>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84"/>
        </w:trPr>
        <w:tc>
          <w:tcPr>
            <w:tcW w:w="4460" w:type="dxa"/>
            <w:vAlign w:val="bottom"/>
            <w:gridSpan w:val="2"/>
          </w:tcPr>
          <w:p>
            <w:pPr>
              <w:spacing w:after="0"/>
              <w:rPr>
                <w:sz w:val="20"/>
                <w:szCs w:val="20"/>
                <w:color w:val="auto"/>
              </w:rPr>
            </w:pPr>
            <w:r>
              <w:rPr>
                <w:rFonts w:ascii="Arial" w:cs="Arial" w:eastAsia="Arial" w:hAnsi="Arial"/>
                <w:sz w:val="18"/>
                <w:szCs w:val="18"/>
                <w:color w:val="auto"/>
              </w:rPr>
              <w:t>Jim Tananbaum</w:t>
            </w:r>
            <w:r>
              <w:rPr>
                <w:rFonts w:ascii="Arial" w:cs="Arial" w:eastAsia="Arial" w:hAnsi="Arial"/>
                <w:sz w:val="20"/>
                <w:szCs w:val="20"/>
                <w:color w:val="auto"/>
                <w:vertAlign w:val="superscript"/>
              </w:rPr>
              <w:t>(3)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2,945,000</w:t>
            </w:r>
          </w:p>
        </w:tc>
        <w:tc>
          <w:tcPr>
            <w:tcW w:w="1120" w:type="dxa"/>
            <w:vAlign w:val="bottom"/>
          </w:tcPr>
          <w:p>
            <w:pPr>
              <w:jc w:val="right"/>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63"/>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Rome</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Vikram Bajaj</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gridSpan w:val="2"/>
          </w:tcPr>
          <w:p>
            <w:pPr>
              <w:spacing w:after="0"/>
              <w:rPr>
                <w:sz w:val="20"/>
                <w:szCs w:val="20"/>
                <w:color w:val="auto"/>
              </w:rPr>
            </w:pPr>
            <w:r>
              <w:rPr>
                <w:rFonts w:ascii="Arial" w:cs="Arial" w:eastAsia="Arial" w:hAnsi="Arial"/>
                <w:sz w:val="18"/>
                <w:szCs w:val="18"/>
                <w:color w:val="auto"/>
              </w:rPr>
              <w:t>Robert Carey</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Dubin</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gridSpan w:val="2"/>
          </w:tcPr>
          <w:p>
            <w:pPr>
              <w:spacing w:after="0"/>
              <w:rPr>
                <w:sz w:val="20"/>
                <w:szCs w:val="20"/>
                <w:color w:val="auto"/>
              </w:rPr>
            </w:pPr>
            <w:r>
              <w:rPr>
                <w:rFonts w:ascii="Arial" w:cs="Arial" w:eastAsia="Arial" w:hAnsi="Arial"/>
                <w:sz w:val="18"/>
                <w:szCs w:val="18"/>
                <w:color w:val="auto"/>
              </w:rPr>
              <w:t>Deepa Pakianathan</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executive officers, directors and director nominees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a group (7 individuals)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639" w:hanging="426"/>
        <w:spacing w:after="0" w:line="216" w:lineRule="auto"/>
        <w:tabs>
          <w:tab w:leader="none" w:pos="847" w:val="left"/>
        </w:tabs>
        <w:numPr>
          <w:ilvl w:val="0"/>
          <w:numId w:val="54"/>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is 600 Montgomery Street, Suite 4500, San Francisco, California 94111.</w:t>
      </w:r>
    </w:p>
    <w:p>
      <w:pPr>
        <w:ind w:left="880" w:right="639" w:hanging="426"/>
        <w:spacing w:after="0" w:line="216" w:lineRule="auto"/>
        <w:tabs>
          <w:tab w:leader="none" w:pos="847"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Interests shown consist of founder shares, classified as Class B common stock, and 410,000 private placement shares to be sold in the private placement that will close simultaneously with the closing of this offering. Such shares will automatically convert into Class A common stock concurrently with or immediately following the consummation of our initial business combination on a one-for-one basis, subject to adjustment, as described in the section entitled “Description of Shares.”</w:t>
      </w:r>
    </w:p>
    <w:p>
      <w:pPr>
        <w:spacing w:after="0" w:line="1" w:lineRule="exact"/>
        <w:rPr>
          <w:rFonts w:ascii="Arial" w:cs="Arial" w:eastAsia="Arial" w:hAnsi="Arial"/>
          <w:sz w:val="13"/>
          <w:szCs w:val="13"/>
          <w:color w:val="auto"/>
        </w:rPr>
      </w:pPr>
    </w:p>
    <w:p>
      <w:pPr>
        <w:ind w:left="880" w:right="499" w:hanging="426"/>
        <w:spacing w:after="0" w:line="234" w:lineRule="auto"/>
        <w:tabs>
          <w:tab w:leader="none" w:pos="8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FS Development Holdings, LLC is the record holder of the shares reported herein. Foresite Capital Management V, LLC (“FCM V”), as the general partner of Foresite Capital Fund V, L.P., the sole member of FS Development Holdings, LLC, has voting and investment discretion with respect to the common stock held of record by FS Development Holdings, LLC. Dr. Tananbaum, in his capacity as managing member of FCM V, may be deemed to have sole voting and investment discretion over these shares. Each of FCM V, its members and Dr. Tananbaum disclaim beneficial ownership of these shares except to the extent of any pecuniary interest therein.</w:t>
      </w:r>
    </w:p>
    <w:p>
      <w:pPr>
        <w:spacing w:after="0" w:line="2" w:lineRule="exact"/>
        <w:rPr>
          <w:rFonts w:ascii="Arial" w:cs="Arial" w:eastAsia="Arial" w:hAnsi="Arial"/>
          <w:sz w:val="12"/>
          <w:szCs w:val="12"/>
          <w:color w:val="auto"/>
        </w:rPr>
      </w:pPr>
    </w:p>
    <w:p>
      <w:pPr>
        <w:ind w:left="880" w:right="819" w:hanging="426"/>
        <w:spacing w:after="0" w:line="230" w:lineRule="auto"/>
        <w:tabs>
          <w:tab w:leader="none" w:pos="847" w:val="left"/>
        </w:tabs>
        <w:numPr>
          <w:ilvl w:val="0"/>
          <w:numId w:val="54"/>
        </w:numPr>
        <w:rPr>
          <w:rFonts w:ascii="Arial" w:cs="Arial" w:eastAsia="Arial" w:hAnsi="Arial"/>
          <w:sz w:val="13"/>
          <w:szCs w:val="13"/>
          <w:color w:val="auto"/>
        </w:rPr>
      </w:pPr>
      <w:r>
        <w:rPr>
          <w:rFonts w:ascii="Arial" w:cs="Arial" w:eastAsia="Arial" w:hAnsi="Arial"/>
          <w:sz w:val="13"/>
          <w:szCs w:val="13"/>
          <w:color w:val="auto"/>
        </w:rPr>
        <w:t>Excludes up to 393,750 founder shares that will be forfeited by our sponsor depending on the extent to which the underwriters’ over-allotment option is exercised.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9" w:name="page100"/>
    <w:bookmarkEnd w:id="99"/>
    <w:p>
      <w:pPr>
        <w:ind w:left="460" w:right="519"/>
        <w:spacing w:after="0" w:line="237" w:lineRule="auto"/>
        <w:rPr>
          <w:sz w:val="20"/>
          <w:szCs w:val="20"/>
          <w:color w:val="auto"/>
        </w:rPr>
      </w:pPr>
      <w:r>
        <w:rPr>
          <w:rFonts w:ascii="Arial" w:cs="Arial" w:eastAsia="Arial" w:hAnsi="Arial"/>
          <w:sz w:val="18"/>
          <w:szCs w:val="18"/>
          <w:color w:val="auto"/>
        </w:rPr>
        <w:t>Immediately after this offering, our initial stockholders will beneficially own 20.0% of the then issued and outstanding common stock (assuming they do not purchase any Class A common stock in this offering). Because of this ownership block, our initial stockholders may be able to effectively influence the outcome of all other matters requiring approval by our stockholders, including amendments to our amended and restated certificate of incorporation and approval of significant corporate transactions including our initial business combination.</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sponsor has committed, pursuant to a written agreement, to purchase an aggregate of 410,000 private placement shares (or 441,500 private placement shares if the underwriters’ over-allotment option is exercised in full), at a price of $10.00 per private placement share, or $4,100,000 in the aggregate (or $4,415,000 if the underwriters’ over-allotment option is exercised in full), in a private placement that will occur simultaneously with the closing of this offering. A portion of the purchase price of the private placement shares will be added to the proceeds from this offering to be held in the trust account such that at the time of closing of this offering $105.00 million (or $120.75 million if the underwriters exercise their over-allotment option in full) will be held in the trust account. Our sponsor has entered into an agreement with us, pursuant to which it has agreed to waive its redemption rights with respect to the private placement shares. Otherwise, the private placement shares have terms and provisions that are identical to those of the shares being sold in this offering.</w:t>
      </w:r>
    </w:p>
    <w:p>
      <w:pPr>
        <w:spacing w:after="0" w:line="124" w:lineRule="exact"/>
        <w:rPr>
          <w:sz w:val="20"/>
          <w:szCs w:val="20"/>
          <w:color w:val="auto"/>
        </w:rPr>
      </w:pPr>
    </w:p>
    <w:p>
      <w:pPr>
        <w:ind w:left="460" w:right="1119"/>
        <w:spacing w:after="0" w:line="246" w:lineRule="auto"/>
        <w:rPr>
          <w:sz w:val="20"/>
          <w:szCs w:val="20"/>
          <w:color w:val="auto"/>
        </w:rPr>
      </w:pPr>
      <w:r>
        <w:rPr>
          <w:rFonts w:ascii="Arial" w:cs="Arial" w:eastAsia="Arial" w:hAnsi="Arial"/>
          <w:sz w:val="18"/>
          <w:szCs w:val="18"/>
          <w:color w:val="auto"/>
        </w:rPr>
        <w:t>FS Development Holdings, LLC, our sponsor and our executive officers are deemed to be our “promoters” as such term is defined under the federal securities laws.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Transfers of Founder Shares and Private Placement Shares</w:t>
      </w:r>
    </w:p>
    <w:p>
      <w:pPr>
        <w:spacing w:after="0" w:line="166"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The founder shares and private placement shares each subject to transfer restrictions pursuant to lock-up provisions in the agreements entered into by our initial stockholders and management team. Those lock-up provisions provide that such securities are not transferable or salable until the earlier of</w:t>
      </w:r>
    </w:p>
    <w:p>
      <w:pPr>
        <w:spacing w:after="0" w:line="2" w:lineRule="exact"/>
        <w:rPr>
          <w:sz w:val="20"/>
          <w:szCs w:val="20"/>
          <w:color w:val="auto"/>
        </w:rPr>
      </w:pPr>
    </w:p>
    <w:p>
      <w:pPr>
        <w:ind w:left="460" w:right="499" w:hanging="6"/>
        <w:spacing w:after="0" w:line="236" w:lineRule="auto"/>
        <w:tabs>
          <w:tab w:leader="none" w:pos="7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6"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shares, which will be issued in a private placement simultaneously with the closing of this offering and (iii) private placement shares that may be issued upon conversion of working capital loans will have registration rights to require us to register a sale of any of our securities held by them pursuant to a registration rights agreement. Pursuant to the registration rights agreement and assuming the underwriters exercise their over-allotment option in full and $1.5 million of working capital loans are converted into private placement shares, we will be obligated to register up to 3,610,250 shares of Class A common stock. The number of shares of Class A common stock includes (i) 3,018,750 shares of Class A common stock to be issued upon conversion of the founder shares, (ii) 441,500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In July 2020, our sponsor transferred 30,000 founder shares to each of Mr. Carey, Dr. Dubin and Dr. Pakianathan. On August 11, 2020, we effected a 1:1.05 stock split of our Class B common stock, resulting in our sponsor holding 2,928,750 founder shares and there being an aggregate of 3,018,750 founder shares outstanding. The number of founder shares outstanding was determined based on the expectation that the total size of this offering would be a maximum of 12,075,000 Class A shares if the underwriters’ over-allotment option is exercised in full, and therefore that such founder shares would represent 20% of the issued and outstanding shares of common stock (excluding the private placement shares) after this offering. Up to 393,750 of the founder shares will be forfeited by our sponsor depending on the extent to which the underwriters’ over-allotment is exercised.</w:t>
      </w:r>
    </w:p>
    <w:p>
      <w:pPr>
        <w:spacing w:after="0" w:line="124" w:lineRule="exact"/>
        <w:rPr>
          <w:sz w:val="20"/>
          <w:szCs w:val="20"/>
          <w:color w:val="auto"/>
        </w:rPr>
      </w:pPr>
    </w:p>
    <w:p>
      <w:pPr>
        <w:ind w:left="460" w:right="659"/>
        <w:spacing w:after="0" w:line="237" w:lineRule="auto"/>
        <w:rPr>
          <w:sz w:val="20"/>
          <w:szCs w:val="20"/>
          <w:color w:val="auto"/>
        </w:rPr>
      </w:pPr>
      <w:r>
        <w:rPr>
          <w:rFonts w:ascii="Arial" w:cs="Arial" w:eastAsia="Arial" w:hAnsi="Arial"/>
          <w:sz w:val="18"/>
          <w:szCs w:val="18"/>
          <w:color w:val="auto"/>
        </w:rPr>
        <w:t>Our sponsor has committed, pursuant to a written agreement, to purchase an aggregate of 410,000 private placement shares (or 441,500 private placement shares if the underwriters’ over-allotment option is exercised in full), at a price of $10.00 per share, or $4,100,000 in the aggregate (or $4,415,000 if the underwriters’ over-allotment option is exercised in full), in a private placement that will close simultaneously with the closing of this offering. The private placement shares may not, subject to certain limited exceptions, be transferred, assigned or sold until 30 days after the completion of our initial business combination.</w:t>
      </w:r>
    </w:p>
    <w:p>
      <w:pPr>
        <w:spacing w:after="0" w:line="13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We currently utilize office space at 600 Montgomery Street, Suite 4500, San Francisco, California 94111 from our sponsor. Subsequent to the closing of this offering, we will pay our sponsor $10,000 per month for office space, secretarial and administrative services provided to members of our management team. Upon completion of our initial business combination or our liquidation, we will cease paying these monthly fees.</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No compensation of any kind, including finder’s and consulting fees, will be paid by the company to our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22" w:lineRule="exact"/>
        <w:rPr>
          <w:sz w:val="20"/>
          <w:szCs w:val="20"/>
          <w:color w:val="auto"/>
        </w:rPr>
      </w:pPr>
    </w:p>
    <w:p>
      <w:pPr>
        <w:jc w:val="both"/>
        <w:ind w:left="460" w:right="839"/>
        <w:spacing w:after="0"/>
        <w:rPr>
          <w:sz w:val="20"/>
          <w:szCs w:val="20"/>
          <w:color w:val="auto"/>
        </w:rPr>
      </w:pPr>
      <w:r>
        <w:rPr>
          <w:rFonts w:ascii="Arial" w:cs="Arial" w:eastAsia="Arial" w:hAnsi="Arial"/>
          <w:sz w:val="18"/>
          <w:szCs w:val="18"/>
          <w:color w:val="auto"/>
        </w:rPr>
        <w:t>Our sponsor has loaned us funds to be used for a portion of the expenses of this offering. These loans are non-interest bearing, unsecured and are due at the earlier of December 31, 2020 or the closing of this offering.</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shares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5"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proxy solicitation or tender offer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1" w:name="page102"/>
    <w:bookmarkEnd w:id="101"/>
    <w:p>
      <w:pPr>
        <w:ind w:left="460" w:right="499"/>
        <w:spacing w:after="0" w:line="236" w:lineRule="auto"/>
        <w:rPr>
          <w:sz w:val="20"/>
          <w:szCs w:val="20"/>
          <w:color w:val="auto"/>
        </w:rPr>
      </w:pPr>
      <w:r>
        <w:rPr>
          <w:rFonts w:ascii="Arial" w:cs="Arial" w:eastAsia="Arial" w:hAnsi="Arial"/>
          <w:sz w:val="18"/>
          <w:szCs w:val="18"/>
          <w:color w:val="auto"/>
        </w:rPr>
        <w:t>Our sponsor has indicated an interest to purchase an aggregate of $25,000,000 of shares of our Class A common stock in a private placement that would occur concurrently with the consummation of our initial business combination. The funds from such private placement would be used as part of the consideration to the sellers in our initial business combination, and any excess funds from such private placement would be used for working capital in the post-transaction company.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Such investment would be made on terms and conditions determined at the time of the business combination.</w:t>
      </w:r>
    </w:p>
    <w:p>
      <w:pPr>
        <w:spacing w:after="0" w:line="125"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We have entered into a registration rights agreement with respect to the founder shares and private placement shares, which is described under the heading “Principal Stockholders — Registration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66" w:lineRule="exact"/>
        <w:rPr>
          <w:sz w:val="20"/>
          <w:szCs w:val="20"/>
          <w:color w:val="auto"/>
        </w:rPr>
      </w:pPr>
    </w:p>
    <w:p>
      <w:pPr>
        <w:ind w:left="460" w:right="499"/>
        <w:spacing w:after="0" w:line="234" w:lineRule="auto"/>
        <w:rPr>
          <w:sz w:val="20"/>
          <w:szCs w:val="20"/>
          <w:color w:val="auto"/>
        </w:rPr>
      </w:pPr>
      <w:r>
        <w:rPr>
          <w:rFonts w:ascii="Arial" w:cs="Arial" w:eastAsia="Arial" w:hAnsi="Arial"/>
          <w:sz w:val="18"/>
          <w:szCs w:val="18"/>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8" w:lineRule="exact"/>
        <w:rPr>
          <w:sz w:val="20"/>
          <w:szCs w:val="20"/>
          <w:color w:val="auto"/>
        </w:rPr>
      </w:pPr>
    </w:p>
    <w:p>
      <w:pPr>
        <w:ind w:left="460" w:right="519" w:hanging="6"/>
        <w:spacing w:after="0" w:line="251" w:lineRule="auto"/>
        <w:tabs>
          <w:tab w:leader="none" w:pos="67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DESCRIPTION OF SHARES</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are a Delaware corporation and our affairs are governed by our amended and restated certificate of incorporation and the DGCL. Pursuant to our amended and restated certificate of incorporation, we are authorized to issue 110,000,000 shares of common stock, $0.0001 par value each, including 100,000,000 shares of Class A common stock and 10,000,000 shares of Class B common stock, as well as 1,000,000 shares of preferred stock, $ 0.0001 par value each. The following description summarizes certain terms of our capital stock as set out more particularly in our amended and restated certificate of incorporation. Because it is only a summary, it may not contain all the information that is important to you.</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Prior to the date of this prospectus, there were 3,018,750 shares of Class B common stock outstanding, all of which were held of record by our initial stockholders, so that our initial stockholders will own 20% of our issued and outstanding shares of common stock after this offering (excluding the private placement shares and assuming our initial stockholders do not purchase any shares of Class A common stock in this offering). Up to 393,750 of the founder shares will be forfeited by our sponsor depending on the extent to which the underwriters’ over-allotment is exercised. Upon the closing of this offering, 13,535,000 of our shares of common stock will be outstanding (assuming no exercise of the underwriters’ over-allotment option and the corresponding forfeiture of 393,750 founder shares by our sponsor) including:</w:t>
      </w:r>
    </w:p>
    <w:p>
      <w:pPr>
        <w:spacing w:after="0" w:line="31" w:lineRule="exact"/>
        <w:rPr>
          <w:sz w:val="20"/>
          <w:szCs w:val="20"/>
          <w:color w:val="auto"/>
        </w:rPr>
      </w:pPr>
    </w:p>
    <w:p>
      <w:pPr>
        <w:ind w:left="1040" w:hanging="262"/>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10,500,000 shares of Class A common stock issued as part of this offering;</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410,000 shares of Class A common stock issued as private placement shares;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2,625,000 shares of Class B common stock held by our initial stockholders.</w:t>
      </w:r>
    </w:p>
    <w:p>
      <w:pPr>
        <w:spacing w:after="0" w:line="14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 Unless specified in our amended and restated certificate of incorporation,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3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Because our amended and restated certificate of incorporation authorizes the issuance of up to 100,000,000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initial business combination. Our board of directors is divided into three classes with only one class of directors being elected in each year and each class (except for those directors appointed prior to our first annual meeting of stockholders) serving a three-year term.</w:t>
      </w:r>
    </w:p>
    <w:p>
      <w:pPr>
        <w:spacing w:after="0" w:line="12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38"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3" w:name="page104"/>
    <w:bookmarkEnd w:id="103"/>
    <w:p>
      <w:pPr>
        <w:ind w:left="460" w:right="479"/>
        <w:spacing w:after="0" w:line="235" w:lineRule="auto"/>
        <w:rPr>
          <w:sz w:val="20"/>
          <w:szCs w:val="20"/>
          <w:color w:val="auto"/>
        </w:rPr>
      </w:pPr>
      <w:r>
        <w:rPr>
          <w:rFonts w:ascii="Arial" w:cs="Arial" w:eastAsia="Arial" w:hAnsi="Arial"/>
          <w:sz w:val="18"/>
          <w:szCs w:val="18"/>
          <w:color w:val="auto"/>
        </w:rPr>
        <w:t>released to us to pay our taxes,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hold in connection with the completion of our initial business combination. Unlike many special purpose acquisition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our initial business combination and the redemption rights as is required under the SEC’s proxy rules. If, however, a stockholder approval of the transaction is required by law, or we decide to obtain stockholder approval for business or other legal reasons, we will, like many special purpose acquisition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our initial business combination. However, the participation of our sponsor, officers, directors, advisors or their respective affiliates in privately-negotiated transactions (as described in this prospectus), if any, could result in the approval of our initial business combination even if a majority of our public stockholders vote, or indicate their intention to vote, against such initial business combination. For purposes of seeking approval of the majority of our issued and outstanding shares of common stock, non-votes will have no effect on the approval of our initial business combination once a quorum is obtained.</w:t>
      </w:r>
    </w:p>
    <w:p>
      <w:pPr>
        <w:spacing w:after="0" w:line="11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Excess Shares, without our prior consent.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our initial business combination. And, as a result, such stockholders will continue to hold that number of shares exceeding 20% and, in order to dispose such shares would be required to sell their shares in open market transactions, potentially at a loss.</w:t>
      </w:r>
    </w:p>
    <w:p>
      <w:pPr>
        <w:spacing w:after="0" w:line="119"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If we seek stockholder approval in connection with our initial business combination, our initial stockholders, sponsor, officers and directors have agreed to vote any founder shares they hold and any public shares purchased during or after this offering in favor of our initial business combination. As a result, in addition to our initial stockholders’ founder shares and private placement shares, we would need 3,732,501, or 35.55%, of the 10,500,000 public shares sold in this offering to be voted in favor of an initial business combination in order to have our initial business combination approved (assuming all issued and outstanding shares of common stock are voted, the private placement shares to be issued to our sponsor are voted in favor of the transaction and the over-allotment option is not exercised). Additionally, each public stockholder may elect to redeem their public shares irrespective of whether they vote for or against the proposed transaction.</w:t>
      </w:r>
    </w:p>
    <w:p>
      <w:pPr>
        <w:spacing w:after="0" w:line="125"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w:t>
      </w:r>
    </w:p>
    <w:p>
      <w:pPr>
        <w:sectPr>
          <w:pgSz w:w="11900" w:h="16838" w:orient="portrait"/>
          <w:cols w:equalWidth="0" w:num="1">
            <w:col w:w="9019"/>
          </w:cols>
          <w:pgMar w:left="1440" w:top="287"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04" w:name="page105"/>
    <w:bookmarkEnd w:id="104"/>
    <w:p>
      <w:pPr>
        <w:ind w:left="460" w:right="499"/>
        <w:spacing w:after="0" w:line="251" w:lineRule="auto"/>
        <w:rPr>
          <w:sz w:val="20"/>
          <w:szCs w:val="20"/>
          <w:color w:val="auto"/>
        </w:rPr>
      </w:pPr>
      <w:r>
        <w:rPr>
          <w:rFonts w:ascii="Arial" w:cs="Arial" w:eastAsia="Arial" w:hAnsi="Arial"/>
          <w:sz w:val="17"/>
          <w:szCs w:val="17"/>
          <w:color w:val="auto"/>
        </w:rPr>
        <w:t>redemption, subject to the approval of our remaining stockholders and our board of directors, liquidate and dissolve, subject in each case to our obligations under Delaware law to provide for claims of creditors and the requirements of other applicable law. Our initial stockholders have entered into agreements with us, pursuant to which they have agreed to waive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3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shares, if any, having preference over the common stock. Our stockholders have no preemptive or other subscription rights. There are no sinking fund provisions applicable to the common stock, except that we will provide our public stockholders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described herein.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 and Private Placement Shares</w:t>
      </w:r>
    </w:p>
    <w:p>
      <w:pPr>
        <w:spacing w:after="0" w:line="139" w:lineRule="exact"/>
        <w:rPr>
          <w:sz w:val="20"/>
          <w:szCs w:val="20"/>
          <w:color w:val="auto"/>
        </w:rPr>
      </w:pPr>
    </w:p>
    <w:p>
      <w:pPr>
        <w:ind w:left="460" w:right="719"/>
        <w:spacing w:after="0" w:line="248" w:lineRule="auto"/>
        <w:rPr>
          <w:sz w:val="20"/>
          <w:szCs w:val="20"/>
          <w:color w:val="auto"/>
        </w:rPr>
      </w:pPr>
      <w:r>
        <w:rPr>
          <w:rFonts w:ascii="Arial" w:cs="Arial" w:eastAsia="Arial" w:hAnsi="Arial"/>
          <w:sz w:val="17"/>
          <w:szCs w:val="17"/>
          <w:color w:val="auto"/>
        </w:rPr>
        <w:t>The founder shares are designated as Class B common stock and, except as described below, are identical to the shares of Class A common stock being sold in this offering, and holders of founder shares and private placement have the same stockholder rights as public stockholders, except that</w:t>
      </w:r>
    </w:p>
    <w:p>
      <w:pPr>
        <w:spacing w:after="0" w:line="2" w:lineRule="exact"/>
        <w:rPr>
          <w:sz w:val="20"/>
          <w:szCs w:val="20"/>
          <w:color w:val="auto"/>
        </w:rPr>
      </w:pPr>
    </w:p>
    <w:p>
      <w:pPr>
        <w:ind w:left="460" w:right="479" w:hanging="6"/>
        <w:spacing w:after="0" w:line="249" w:lineRule="auto"/>
        <w:tabs>
          <w:tab w:leader="none" w:pos="67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founder shares and private placement shares are subject to certain transfer restrictions, as described in more detail below, (ii) our initial stockholders, sponsor, officers and directors have entered into a letter agreement with us, pursuant to which they have agreed (A) to waive their redemption rights with respect to any founder shares, private placement shares and public shares they hold in connection with the completion of our initial business combination, (B) to waive their redemption rights with respect to any founder shares, private placement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(C) to waive their rights to liquidating distributions from the trust account with respect to any founder shares and private placement shares they hold if we fail to complete our initial business combination within 24 months from the closing of this offering or during any Extension Period, although they will be entitled to liquidating distributions from the trust account with respect to any public shares and private placement shares they hold if we fail to complete our initial business combination within such time period, and</w:t>
      </w:r>
    </w:p>
    <w:p>
      <w:pPr>
        <w:spacing w:after="0" w:line="197" w:lineRule="exact"/>
        <w:rPr>
          <w:rFonts w:ascii="Arial" w:cs="Arial" w:eastAsia="Arial" w:hAnsi="Arial"/>
          <w:sz w:val="17"/>
          <w:szCs w:val="17"/>
          <w:color w:val="auto"/>
        </w:rPr>
      </w:pPr>
    </w:p>
    <w:p>
      <w:pPr>
        <w:ind w:left="460" w:right="479" w:hanging="6"/>
        <w:spacing w:after="0" w:line="237" w:lineRule="auto"/>
        <w:tabs>
          <w:tab w:leader="none" w:pos="7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Class A common stock concurrently with or immediately following the consummation of our initial business combination on a one-for-one basis, subject to adjustment as described herein and in our amended and restated certificate of incorporation. If we submit our initial business combination to our public stockholders for a vote, our initial stockholders have agreed to vote their founder shares, private placement shares and any public shares purchased during or after this offering in favor of our initial business combination.</w:t>
      </w:r>
    </w:p>
    <w:p>
      <w:pPr>
        <w:spacing w:after="0" w:line="124"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founder shares and private placement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05" w:name="page106"/>
    <w:bookmarkEnd w:id="105"/>
    <w:p>
      <w:pPr>
        <w:ind w:left="460" w:right="499"/>
        <w:spacing w:after="0" w:line="237" w:lineRule="auto"/>
        <w:rPr>
          <w:sz w:val="20"/>
          <w:szCs w:val="20"/>
          <w:color w:val="auto"/>
        </w:rPr>
      </w:pPr>
      <w:r>
        <w:rPr>
          <w:rFonts w:ascii="Arial" w:cs="Arial" w:eastAsia="Arial" w:hAnsi="Arial"/>
          <w:sz w:val="18"/>
          <w:szCs w:val="18"/>
          <w:color w:val="auto"/>
        </w:rPr>
        <w:t>and any private placement shares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pacing w:after="0" w:line="124"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With certain limited exceptions, the founder shares and private placement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Up to 393,750 founder shares will be forfeited by our sponsor depending on the exercise of the over-allotment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39"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amended and restated certificate of incorporation authorizes 1,000,000 shares of preferred stock and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of us or the removal of existing management. We have no preferred shares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incur any indebtedness, our ability to declare dividends may be limited by restrictive covenants we may agree to in connection therewith.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w:t>
      </w:r>
    </w:p>
    <w:p>
      <w:pPr>
        <w:spacing w:after="0" w:line="139"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transfer agent for our common stock is Continental Stock Transfer &amp; Trust Company. We have agreed to indemnify Continental Stock Transfer &amp; Trust Company in its role as transfer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06" w:name="page107"/>
    <w:bookmarkEnd w:id="106"/>
    <w:p>
      <w:pPr>
        <w:ind w:left="4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5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amended and restated certificate of incorporation contains certain requirements and restrictions relating to this offering that will apply to us until the completion of our initial business combination. These provisions cannot be amended without the approval of the holders of at least 65% of all then issued and outstanding shares of common stock. Our initial stockholders, who will collectively beneficially own 20% of our common stock upon the closing of this offering (excluding the private placement shares and assuming they do not purchase any shares in this offering), may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8" w:lineRule="exact"/>
        <w:rPr>
          <w:sz w:val="20"/>
          <w:szCs w:val="20"/>
          <w:color w:val="auto"/>
        </w:rPr>
      </w:pPr>
    </w:p>
    <w:p>
      <w:pPr>
        <w:ind w:left="1100" w:right="699" w:hanging="322"/>
        <w:spacing w:after="0" w:line="248" w:lineRule="auto"/>
        <w:tabs>
          <w:tab w:leader="none" w:pos="1039"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w:t>
      </w:r>
    </w:p>
    <w:p>
      <w:pPr>
        <w:spacing w:after="0" w:line="1" w:lineRule="exact"/>
        <w:rPr>
          <w:rFonts w:ascii="Arial" w:cs="Arial" w:eastAsia="Arial" w:hAnsi="Arial"/>
          <w:sz w:val="17"/>
          <w:szCs w:val="17"/>
          <w:color w:val="auto"/>
        </w:rPr>
      </w:pPr>
    </w:p>
    <w:p>
      <w:pPr>
        <w:ind w:left="1100" w:right="479" w:firstLine="2"/>
        <w:spacing w:after="0" w:line="236" w:lineRule="auto"/>
        <w:tabs>
          <w:tab w:leader="none" w:pos="135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29" w:lineRule="exact"/>
        <w:rPr>
          <w:rFonts w:ascii="Arial" w:cs="Arial" w:eastAsia="Arial" w:hAnsi="Arial"/>
          <w:sz w:val="18"/>
          <w:szCs w:val="18"/>
          <w:color w:val="auto"/>
        </w:rPr>
      </w:pPr>
    </w:p>
    <w:p>
      <w:pPr>
        <w:ind w:left="1100" w:right="499" w:hanging="322"/>
        <w:spacing w:after="0" w:line="248" w:lineRule="auto"/>
        <w:tabs>
          <w:tab w:leader="none" w:pos="1039"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securities that would entitle the holders thereof to (i) receive funds from the trust account or (ii) vote as a class with our public shares (a) on our initial business combination or (b) to approve an amendment to our amended and restated certificate of incorporation to (x) extend the time we have to consummate a business combination beyond 24 months from the closing of this offering or</w:t>
      </w:r>
    </w:p>
    <w:p>
      <w:pPr>
        <w:spacing w:after="0" w:line="2" w:lineRule="exact"/>
        <w:rPr>
          <w:rFonts w:ascii="Arial" w:cs="Arial" w:eastAsia="Arial" w:hAnsi="Arial"/>
          <w:sz w:val="17"/>
          <w:szCs w:val="17"/>
          <w:color w:val="auto"/>
        </w:rPr>
      </w:pPr>
    </w:p>
    <w:p>
      <w:pPr>
        <w:ind w:left="1360" w:hanging="258"/>
        <w:spacing w:after="0"/>
        <w:tabs>
          <w:tab w:leader="none" w:pos="13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amend the foregoing provisions;</w:t>
      </w:r>
    </w:p>
    <w:p>
      <w:pPr>
        <w:spacing w:after="0" w:line="36" w:lineRule="exact"/>
        <w:rPr>
          <w:rFonts w:ascii="Arial" w:cs="Arial" w:eastAsia="Arial" w:hAnsi="Arial"/>
          <w:sz w:val="18"/>
          <w:szCs w:val="18"/>
          <w:color w:val="auto"/>
        </w:rPr>
      </w:pPr>
    </w:p>
    <w:p>
      <w:pPr>
        <w:ind w:left="1100" w:right="599" w:hanging="322"/>
        <w:spacing w:after="0" w:line="237" w:lineRule="auto"/>
        <w:tabs>
          <w:tab w:leader="none" w:pos="10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w:t>
      </w:r>
    </w:p>
    <w:p>
      <w:pPr>
        <w:spacing w:after="0" w:line="15" w:lineRule="exact"/>
        <w:rPr>
          <w:rFonts w:ascii="Arial" w:cs="Arial" w:eastAsia="Arial" w:hAnsi="Arial"/>
          <w:sz w:val="18"/>
          <w:szCs w:val="18"/>
          <w:color w:val="auto"/>
        </w:rPr>
      </w:pPr>
    </w:p>
    <w:p>
      <w:pPr>
        <w:ind w:left="1100" w:right="499" w:hanging="322"/>
        <w:spacing w:after="0" w:line="236" w:lineRule="auto"/>
        <w:tabs>
          <w:tab w:leader="none" w:pos="10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31" w:lineRule="exact"/>
        <w:rPr>
          <w:rFonts w:ascii="Arial" w:cs="Arial" w:eastAsia="Arial" w:hAnsi="Arial"/>
          <w:sz w:val="18"/>
          <w:szCs w:val="18"/>
          <w:color w:val="auto"/>
        </w:rPr>
      </w:pPr>
    </w:p>
    <w:p>
      <w:pPr>
        <w:ind w:left="1100" w:right="499" w:hanging="322"/>
        <w:spacing w:after="0" w:line="237" w:lineRule="auto"/>
        <w:tabs>
          <w:tab w:leader="none" w:pos="10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29" w:lineRule="exact"/>
        <w:rPr>
          <w:rFonts w:ascii="Arial" w:cs="Arial" w:eastAsia="Arial" w:hAnsi="Arial"/>
          <w:sz w:val="18"/>
          <w:szCs w:val="18"/>
          <w:color w:val="auto"/>
        </w:rPr>
      </w:pPr>
    </w:p>
    <w:p>
      <w:pPr>
        <w:ind w:left="1100" w:right="739" w:hanging="322"/>
        <w:spacing w:after="0" w:line="236" w:lineRule="auto"/>
        <w:tabs>
          <w:tab w:leader="none" w:pos="10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we will provide our public stockholders with the opportunity to redeem all or a portion of their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described herein; and</w:t>
      </w:r>
    </w:p>
    <w:p>
      <w:pPr>
        <w:spacing w:after="0" w:line="16" w:lineRule="exact"/>
        <w:rPr>
          <w:rFonts w:ascii="Arial" w:cs="Arial" w:eastAsia="Arial" w:hAnsi="Arial"/>
          <w:sz w:val="18"/>
          <w:szCs w:val="18"/>
          <w:color w:val="auto"/>
        </w:rPr>
      </w:pPr>
    </w:p>
    <w:p>
      <w:pPr>
        <w:ind w:left="1100" w:right="559" w:hanging="322"/>
        <w:spacing w:after="0" w:line="246" w:lineRule="auto"/>
        <w:tabs>
          <w:tab w:leader="none" w:pos="10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ectPr>
          <w:pgSz w:w="11900" w:h="16838" w:orient="portrait"/>
          <w:cols w:equalWidth="0" w:num="1">
            <w:col w:w="9019"/>
          </w:cols>
          <w:pgMar w:left="1440" w:top="292"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07" w:name="page108"/>
    <w:bookmarkEnd w:id="107"/>
    <w:p>
      <w:pPr>
        <w:ind w:left="460" w:right="979"/>
        <w:spacing w:after="0"/>
        <w:rPr>
          <w:sz w:val="20"/>
          <w:szCs w:val="20"/>
          <w:color w:val="auto"/>
        </w:rPr>
      </w:pPr>
      <w:r>
        <w:rPr>
          <w:rFonts w:ascii="Arial" w:cs="Arial" w:eastAsia="Arial" w:hAnsi="Arial"/>
          <w:sz w:val="18"/>
          <w:szCs w:val="18"/>
          <w:color w:val="auto"/>
        </w:rPr>
        <w:t>In addition, our amended and restated certificate of incorporation provides that under no circumstances will we redeem our public shares in an amount that would cause our net tangible assets to be less than $5,000,001.</w:t>
      </w:r>
    </w:p>
    <w:p>
      <w:pPr>
        <w:spacing w:after="0" w:line="181" w:lineRule="exact"/>
        <w:rPr>
          <w:sz w:val="20"/>
          <w:szCs w:val="20"/>
          <w:color w:val="auto"/>
        </w:rPr>
      </w:pPr>
    </w:p>
    <w:p>
      <w:pPr>
        <w:ind w:left="460" w:right="599"/>
        <w:spacing w:after="0" w:line="271"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95"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27" w:lineRule="exact"/>
        <w:rPr>
          <w:sz w:val="20"/>
          <w:szCs w:val="20"/>
          <w:color w:val="auto"/>
        </w:rPr>
      </w:pPr>
    </w:p>
    <w:p>
      <w:pPr>
        <w:ind w:left="1100" w:right="539" w:hanging="322"/>
        <w:spacing w:after="0" w:line="246" w:lineRule="auto"/>
        <w:tabs>
          <w:tab w:leader="none" w:pos="10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2" w:lineRule="exact"/>
        <w:rPr>
          <w:rFonts w:ascii="Arial" w:cs="Arial" w:eastAsia="Arial" w:hAnsi="Arial"/>
          <w:sz w:val="18"/>
          <w:szCs w:val="18"/>
          <w:color w:val="auto"/>
        </w:rPr>
      </w:pPr>
    </w:p>
    <w:p>
      <w:pPr>
        <w:ind w:left="1100" w:right="1359" w:hanging="322"/>
        <w:spacing w:after="0" w:line="246" w:lineRule="auto"/>
        <w:tabs>
          <w:tab w:leader="none" w:pos="10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29" w:lineRule="exact"/>
        <w:rPr>
          <w:sz w:val="20"/>
          <w:szCs w:val="20"/>
          <w:color w:val="auto"/>
        </w:rPr>
      </w:pPr>
    </w:p>
    <w:p>
      <w:pPr>
        <w:ind w:left="460" w:right="779"/>
        <w:spacing w:after="0" w:line="246"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21" w:lineRule="exact"/>
        <w:rPr>
          <w:sz w:val="20"/>
          <w:szCs w:val="20"/>
          <w:color w:val="auto"/>
        </w:rPr>
      </w:pPr>
    </w:p>
    <w:p>
      <w:pPr>
        <w:ind w:left="1100" w:right="979" w:hanging="322"/>
        <w:spacing w:after="0" w:line="246" w:lineRule="auto"/>
        <w:tabs>
          <w:tab w:leader="none" w:pos="10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7" w:lineRule="exact"/>
        <w:rPr>
          <w:rFonts w:ascii="Arial" w:cs="Arial" w:eastAsia="Arial" w:hAnsi="Arial"/>
          <w:sz w:val="18"/>
          <w:szCs w:val="18"/>
          <w:color w:val="auto"/>
        </w:rPr>
      </w:pPr>
    </w:p>
    <w:p>
      <w:pPr>
        <w:ind w:left="1100" w:right="539" w:hanging="322"/>
        <w:spacing w:after="0"/>
        <w:tabs>
          <w:tab w:leader="none" w:pos="10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27" w:lineRule="exact"/>
        <w:rPr>
          <w:rFonts w:ascii="Arial" w:cs="Arial" w:eastAsia="Arial" w:hAnsi="Arial"/>
          <w:sz w:val="18"/>
          <w:szCs w:val="18"/>
          <w:color w:val="auto"/>
        </w:rPr>
      </w:pPr>
    </w:p>
    <w:p>
      <w:pPr>
        <w:ind w:left="1100" w:right="599" w:hanging="322"/>
        <w:spacing w:after="0" w:line="238" w:lineRule="auto"/>
        <w:tabs>
          <w:tab w:leader="none" w:pos="10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37"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Our amended and restated certificate of incorporation provides that our board of directors will be classified into three classes of directors. As a result, in most circumstances, a person can gain control of our board only by successfully engaging in a proxy contest at two or more annual meetings.</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66" w:lineRule="exact"/>
        <w:rPr>
          <w:sz w:val="20"/>
          <w:szCs w:val="20"/>
          <w:color w:val="auto"/>
        </w:rPr>
      </w:pPr>
    </w:p>
    <w:p>
      <w:pPr>
        <w:jc w:val="both"/>
        <w:ind w:left="460" w:right="759"/>
        <w:spacing w:after="0" w:line="248" w:lineRule="auto"/>
        <w:rPr>
          <w:sz w:val="20"/>
          <w:szCs w:val="20"/>
          <w:color w:val="auto"/>
        </w:rPr>
      </w:pPr>
      <w:r>
        <w:rPr>
          <w:rFonts w:ascii="Arial" w:cs="Arial" w:eastAsia="Arial" w:hAnsi="Arial"/>
          <w:sz w:val="17"/>
          <w:szCs w:val="17"/>
          <w:color w:val="auto"/>
        </w:rPr>
        <w:t>Our amended and restated certificate of incorporation requires, unless we consent in writing to the selection of an alternative forum, that (i) any derivative action or proceeding brought on our behalf,</w:t>
      </w:r>
    </w:p>
    <w:p>
      <w:pPr>
        <w:spacing w:after="0" w:line="1" w:lineRule="exact"/>
        <w:rPr>
          <w:sz w:val="20"/>
          <w:szCs w:val="20"/>
          <w:color w:val="auto"/>
        </w:rPr>
      </w:pPr>
    </w:p>
    <w:p>
      <w:pPr>
        <w:ind w:left="460" w:right="479" w:hanging="6"/>
        <w:spacing w:after="0" w:line="235" w:lineRule="auto"/>
        <w:tabs>
          <w:tab w:leader="none" w:pos="7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8" w:name="page109"/>
    <w:bookmarkEnd w:id="108"/>
    <w:p>
      <w:pPr>
        <w:ind w:left="460" w:right="479"/>
        <w:spacing w:after="0" w:line="236" w:lineRule="auto"/>
        <w:rPr>
          <w:sz w:val="20"/>
          <w:szCs w:val="20"/>
          <w:color w:val="auto"/>
        </w:rPr>
      </w:pPr>
      <w:r>
        <w:rPr>
          <w:rFonts w:ascii="Arial" w:cs="Arial" w:eastAsia="Arial" w:hAnsi="Arial"/>
          <w:sz w:val="18"/>
          <w:szCs w:val="18"/>
          <w:color w:val="auto"/>
        </w:rPr>
        <w:t>Notwithstanding the foregoing, our amended and restated certificate of incorporation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and consented to these provisions.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53"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66" w:lineRule="exact"/>
        <w:rPr>
          <w:sz w:val="20"/>
          <w:szCs w:val="20"/>
          <w:color w:val="auto"/>
        </w:rPr>
      </w:pPr>
    </w:p>
    <w:p>
      <w:pPr>
        <w:ind w:left="460" w:right="499"/>
        <w:spacing w:after="0" w:line="233"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66"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board of directors is divided into three classes, Class I, Class II and Class III, with members of each class serving staggered three-year terms. Our amended and restated certificate of incorporation provides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issued and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9" w:name="page110"/>
    <w:bookmarkEnd w:id="109"/>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Immediately after this offering we will have 13,535,000 (or 15,535,250 if the underwriters’ over-allotment option is exercised in full) shares of common stock outstanding. Of these shares, the shares of Class A common stock sold in this offering (10,500,000 Class A common stock if the underwriters’ over-allotment option is not exercised and 12,075,000 shares if the underwriters’ over-allotment option is exercised in full) will be freely tradable without restriction or further registration under the Securities Act, except for any Class A common stock purchased by one of our affiliates within the meaning of Rule 144 under the Securities Act. All of the outstanding founder shares (2,625,000 founder shares if the underwriters’ over-allotment option is not exercised and 3,018,750 founder shares if the underwriters’ over-allotment option is exercised in full) and all of the outstanding private placement shares (410,000 shares if the underwriters’ over-allotment option is not exercised and 441,500 shares if the underwriters’ over-allotment option is exercised in full) will be restricted securities under Rule 144, in that they were issued in private transactions not involving a public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Rule 144</w:t>
      </w:r>
    </w:p>
    <w:p>
      <w:pPr>
        <w:spacing w:after="0" w:line="153"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Pursuant to Rule 144, a person who has beneficially owned restricted shares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37"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29" w:lineRule="exact"/>
        <w:rPr>
          <w:sz w:val="20"/>
          <w:szCs w:val="20"/>
          <w:color w:val="auto"/>
        </w:rPr>
      </w:pPr>
    </w:p>
    <w:p>
      <w:pPr>
        <w:jc w:val="both"/>
        <w:ind w:left="1100" w:right="479" w:hanging="322"/>
        <w:spacing w:after="0"/>
        <w:tabs>
          <w:tab w:leader="none" w:pos="10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1% of the total number of shares of common stock then outstanding, which will equal 135,350 shares immediately after this offering (or 155,352 if the underwriters exercise in full their over-allotment option); or</w:t>
      </w:r>
    </w:p>
    <w:p>
      <w:pPr>
        <w:spacing w:after="0" w:line="13" w:lineRule="exact"/>
        <w:rPr>
          <w:rFonts w:ascii="Arial" w:cs="Arial" w:eastAsia="Arial" w:hAnsi="Arial"/>
          <w:sz w:val="18"/>
          <w:szCs w:val="18"/>
          <w:color w:val="auto"/>
        </w:rPr>
      </w:pPr>
    </w:p>
    <w:p>
      <w:pPr>
        <w:ind w:left="1100" w:right="899" w:hanging="322"/>
        <w:spacing w:after="0" w:line="274" w:lineRule="auto"/>
        <w:tabs>
          <w:tab w:leader="none" w:pos="1039"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average weekly reported trading volume of the Class A common stock during the four calendar weeks preceding the filing of a notice on Form 144 with respect to the sale.</w:t>
      </w:r>
    </w:p>
    <w:p>
      <w:pPr>
        <w:spacing w:after="0" w:line="107" w:lineRule="exact"/>
        <w:rPr>
          <w:sz w:val="20"/>
          <w:szCs w:val="20"/>
          <w:color w:val="auto"/>
        </w:rPr>
      </w:pPr>
    </w:p>
    <w:p>
      <w:pPr>
        <w:ind w:left="460" w:right="1099"/>
        <w:spacing w:after="0" w:line="246"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66" w:lineRule="exact"/>
        <w:rPr>
          <w:sz w:val="20"/>
          <w:szCs w:val="20"/>
          <w:color w:val="auto"/>
        </w:rPr>
      </w:pPr>
    </w:p>
    <w:p>
      <w:pPr>
        <w:ind w:left="460" w:right="819"/>
        <w:spacing w:after="0" w:line="238"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6" w:lineRule="exact"/>
        <w:rPr>
          <w:sz w:val="20"/>
          <w:szCs w:val="20"/>
          <w:color w:val="auto"/>
        </w:rPr>
      </w:pPr>
    </w:p>
    <w:p>
      <w:pPr>
        <w:ind w:left="1100" w:right="1119" w:hanging="322"/>
        <w:spacing w:after="0" w:line="246" w:lineRule="auto"/>
        <w:tabs>
          <w:tab w:leader="none" w:pos="10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1" w:lineRule="exact"/>
        <w:rPr>
          <w:rFonts w:ascii="Arial" w:cs="Arial" w:eastAsia="Arial" w:hAnsi="Arial"/>
          <w:sz w:val="18"/>
          <w:szCs w:val="18"/>
          <w:color w:val="auto"/>
        </w:rPr>
      </w:pPr>
    </w:p>
    <w:p>
      <w:pPr>
        <w:ind w:left="1100" w:right="739" w:hanging="322"/>
        <w:spacing w:after="0" w:line="246" w:lineRule="auto"/>
        <w:tabs>
          <w:tab w:leader="none" w:pos="10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1" w:lineRule="exact"/>
        <w:rPr>
          <w:rFonts w:ascii="Arial" w:cs="Arial" w:eastAsia="Arial" w:hAnsi="Arial"/>
          <w:sz w:val="18"/>
          <w:szCs w:val="18"/>
          <w:color w:val="auto"/>
        </w:rPr>
      </w:pPr>
    </w:p>
    <w:p>
      <w:pPr>
        <w:ind w:left="1100" w:right="539" w:hanging="322"/>
        <w:spacing w:after="0"/>
        <w:tabs>
          <w:tab w:leader="none" w:pos="10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3" w:lineRule="exact"/>
        <w:rPr>
          <w:rFonts w:ascii="Arial" w:cs="Arial" w:eastAsia="Arial" w:hAnsi="Arial"/>
          <w:sz w:val="18"/>
          <w:szCs w:val="18"/>
          <w:color w:val="auto"/>
        </w:rPr>
      </w:pPr>
    </w:p>
    <w:p>
      <w:pPr>
        <w:jc w:val="both"/>
        <w:ind w:left="1100" w:right="1219" w:hanging="322"/>
        <w:spacing w:after="0" w:line="274" w:lineRule="auto"/>
        <w:tabs>
          <w:tab w:leader="none" w:pos="1039" w:val="left"/>
        </w:tabs>
        <w:numPr>
          <w:ilvl w:val="0"/>
          <w:numId w:val="66"/>
        </w:numPr>
        <w:rPr>
          <w:rFonts w:ascii="Arial" w:cs="Arial" w:eastAsia="Arial" w:hAnsi="Arial"/>
          <w:sz w:val="17"/>
          <w:szCs w:val="17"/>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107"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As a result, our initial stockholders will be able to sell their founder shares and private placement shares, as applicable, pursuant to Rule 144 without registration one year after we have completed our initial business combination.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6"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shares, which will be issued in a private placement simultaneously with the closing of this offering and (iii) private placement shares that may be issued upon conversion of working capital loans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shares, we will be obligated to register up to 3,610,250 shares of Class A common stock. The number of shares of Class A common stock includes (i) 3,018,750 shares of Class A common stock to be issued upon conversion of the founder shares, (ii) 441,500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53" w:lineRule="exact"/>
        <w:rPr>
          <w:sz w:val="20"/>
          <w:szCs w:val="20"/>
          <w:color w:val="auto"/>
        </w:rPr>
      </w:pPr>
    </w:p>
    <w:p>
      <w:pPr>
        <w:ind w:left="460" w:right="779"/>
        <w:spacing w:after="0" w:line="246" w:lineRule="auto"/>
        <w:rPr>
          <w:sz w:val="20"/>
          <w:szCs w:val="20"/>
          <w:color w:val="auto"/>
        </w:rPr>
      </w:pPr>
      <w:r>
        <w:rPr>
          <w:rFonts w:ascii="Arial" w:cs="Arial" w:eastAsia="Arial" w:hAnsi="Arial"/>
          <w:sz w:val="18"/>
          <w:szCs w:val="18"/>
          <w:color w:val="auto"/>
        </w:rPr>
        <w:t>We have been approved to have our shares of Class A common stock listed on Nasdaq under the symbol “FSDC.”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66" w:lineRule="exact"/>
        <w:rPr>
          <w:sz w:val="20"/>
          <w:szCs w:val="20"/>
          <w:color w:val="auto"/>
        </w:rPr>
      </w:pPr>
    </w:p>
    <w:p>
      <w:pPr>
        <w:ind w:left="460" w:right="679"/>
        <w:spacing w:after="0"/>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shares of Class A common stock, which we refer to as our securities.</w:t>
      </w:r>
    </w:p>
    <w:p>
      <w:pPr>
        <w:spacing w:after="0" w:line="122" w:lineRule="exact"/>
        <w:rPr>
          <w:sz w:val="20"/>
          <w:szCs w:val="20"/>
          <w:color w:val="auto"/>
        </w:rPr>
      </w:pPr>
    </w:p>
    <w:p>
      <w:pPr>
        <w:jc w:val="both"/>
        <w:ind w:left="460" w:right="519"/>
        <w:spacing w:after="0" w:line="248"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securities who are initial purchasers of shares of Class A common stock pursuant to this offering and hold the Class A common stock as a capital asset within the meaning of Section 1221 of the U.S.</w:t>
      </w:r>
    </w:p>
    <w:p>
      <w:pPr>
        <w:spacing w:after="0" w:line="2" w:lineRule="exact"/>
        <w:rPr>
          <w:sz w:val="20"/>
          <w:szCs w:val="20"/>
          <w:color w:val="auto"/>
        </w:rPr>
      </w:pPr>
    </w:p>
    <w:p>
      <w:pPr>
        <w:ind w:left="460" w:right="839"/>
        <w:spacing w:after="0" w:line="238" w:lineRule="auto"/>
        <w:rPr>
          <w:sz w:val="20"/>
          <w:szCs w:val="20"/>
          <w:color w:val="auto"/>
        </w:rPr>
      </w:pPr>
      <w:r>
        <w:rPr>
          <w:rFonts w:ascii="Arial" w:cs="Arial" w:eastAsia="Arial" w:hAnsi="Arial"/>
          <w:sz w:val="18"/>
          <w:szCs w:val="18"/>
          <w:color w:val="auto"/>
        </w:rPr>
        <w:t>Internal Revenue Code of 1986, as amended (the “Code”). This discussion assumes that any distributions made (or deemed made) by us on our Class A common stock and any consideration received (or deemed received) by a holder in consideration for the sale or other disposition of our securities will be in U.S. dollars.</w:t>
      </w:r>
    </w:p>
    <w:p>
      <w:pPr>
        <w:spacing w:after="0" w:line="137"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summary is based upon U.S. federal income tax law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29" w:lineRule="exact"/>
        <w:rPr>
          <w:sz w:val="20"/>
          <w:szCs w:val="20"/>
          <w:color w:val="auto"/>
        </w:rPr>
      </w:pPr>
    </w:p>
    <w:p>
      <w:pPr>
        <w:ind w:left="1040" w:hanging="26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expatriates or former long-term residents of the U.S.;</w:t>
      </w:r>
    </w:p>
    <w:p>
      <w:pPr>
        <w:spacing w:after="0" w:line="36" w:lineRule="exact"/>
        <w:rPr>
          <w:rFonts w:ascii="Arial" w:cs="Arial" w:eastAsia="Arial" w:hAnsi="Arial"/>
          <w:sz w:val="18"/>
          <w:szCs w:val="18"/>
          <w:color w:val="auto"/>
        </w:rPr>
      </w:pPr>
    </w:p>
    <w:p>
      <w:pPr>
        <w:ind w:left="1100" w:right="999" w:hanging="322"/>
        <w:spacing w:after="0" w:line="246" w:lineRule="auto"/>
        <w:tabs>
          <w:tab w:leader="none" w:pos="1039"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(by vote or value) of our shares;</w:t>
      </w:r>
    </w:p>
    <w:p>
      <w:pPr>
        <w:spacing w:after="0" w:line="7" w:lineRule="exact"/>
        <w:rPr>
          <w:rFonts w:ascii="Arial" w:cs="Arial" w:eastAsia="Arial" w:hAnsi="Arial"/>
          <w:sz w:val="18"/>
          <w:szCs w:val="18"/>
          <w:color w:val="auto"/>
        </w:rPr>
      </w:pPr>
    </w:p>
    <w:p>
      <w:pPr>
        <w:ind w:left="1100" w:right="799" w:hanging="322"/>
        <w:spacing w:after="0" w:line="246" w:lineRule="auto"/>
        <w:tabs>
          <w:tab w:leader="none" w:pos="1039"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36" w:lineRule="exact"/>
        <w:rPr>
          <w:rFonts w:ascii="Arial" w:cs="Arial" w:eastAsia="Arial" w:hAnsi="Arial"/>
          <w:sz w:val="18"/>
          <w:szCs w:val="18"/>
          <w:color w:val="auto"/>
        </w:rPr>
      </w:pPr>
    </w:p>
    <w:p>
      <w:pPr>
        <w:ind w:left="1100" w:right="1039" w:hanging="322"/>
        <w:spacing w:after="0" w:line="246" w:lineRule="auto"/>
        <w:tabs>
          <w:tab w:leader="none" w:pos="1039"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7" w:lineRule="exact"/>
        <w:rPr>
          <w:rFonts w:ascii="Arial" w:cs="Arial" w:eastAsia="Arial" w:hAnsi="Arial"/>
          <w:sz w:val="18"/>
          <w:szCs w:val="18"/>
          <w:color w:val="auto"/>
        </w:rPr>
      </w:pPr>
    </w:p>
    <w:p>
      <w:pPr>
        <w:ind w:left="1100" w:right="619" w:hanging="322"/>
        <w:spacing w:after="0" w:line="246" w:lineRule="auto"/>
        <w:tabs>
          <w:tab w:leader="none" w:pos="1039"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constructive sale, hedge, conversion or other integrated transaction or similar transaction;</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36" w:lineRule="exact"/>
        <w:rPr>
          <w:rFonts w:ascii="Arial" w:cs="Arial" w:eastAsia="Arial" w:hAnsi="Arial"/>
          <w:sz w:val="18"/>
          <w:szCs w:val="18"/>
          <w:color w:val="auto"/>
        </w:rPr>
      </w:pPr>
    </w:p>
    <w:p>
      <w:pPr>
        <w:jc w:val="both"/>
        <w:ind w:left="1100" w:right="879" w:hanging="322"/>
        <w:spacing w:after="0" w:line="246" w:lineRule="auto"/>
        <w:tabs>
          <w:tab w:leader="none" w:pos="1039"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partnerships or other pass-through entities for U.S. federal income tax purposes) and any beneficial owners of such entities;</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44" w:lineRule="exact"/>
        <w:rPr>
          <w:sz w:val="20"/>
          <w:szCs w:val="20"/>
          <w:color w:val="auto"/>
        </w:rPr>
      </w:pPr>
    </w:p>
    <w:p>
      <w:pPr>
        <w:ind w:left="460" w:right="519"/>
        <w:spacing w:after="0" w:line="253" w:lineRule="auto"/>
        <w:rPr>
          <w:sz w:val="20"/>
          <w:szCs w:val="20"/>
          <w:color w:val="auto"/>
        </w:rPr>
      </w:pPr>
      <w:r>
        <w:rPr>
          <w:rFonts w:ascii="Arial" w:cs="Arial" w:eastAsia="Arial" w:hAnsi="Arial"/>
          <w:sz w:val="17"/>
          <w:szCs w:val="17"/>
          <w:color w:val="auto"/>
        </w:rPr>
        <w:t>If a partnership (including an entity or arrangement treated as a partnership or other pass-through entity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acquisition, ownership and disposition of our securities.</w:t>
      </w:r>
    </w:p>
    <w:p>
      <w:pPr>
        <w:spacing w:after="0" w:line="12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2" w:name="page113"/>
    <w:bookmarkEnd w:id="112"/>
    <w:p>
      <w:pPr>
        <w:ind w:left="460" w:right="579"/>
        <w:spacing w:after="0" w:line="237" w:lineRule="auto"/>
        <w:rPr>
          <w:sz w:val="20"/>
          <w:szCs w:val="20"/>
          <w:color w:val="auto"/>
        </w:rPr>
      </w:pPr>
      <w:r>
        <w:rPr>
          <w:rFonts w:ascii="Arial" w:cs="Arial" w:eastAsia="Arial" w:hAnsi="Arial"/>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could be subject to a second level of U.S. federal income tax on a portion of our income if we are determined to be a personal holding company, or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At least 60% of our adjusted ordinary gross income may consist of PHC income, depending on the date and size of our initial business combination. In addition, depending on the concentration of our stock in the hands of individuals, including the members of our sponsor and certain tax-exempt organizations, pension funds and charitable trusts,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imposed at a rate of 20%, on our undistributed PHC income, which generally includes our taxable income, subject to certain adjustments.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53" w:lineRule="exact"/>
        <w:rPr>
          <w:sz w:val="20"/>
          <w:szCs w:val="20"/>
          <w:color w:val="auto"/>
        </w:rPr>
      </w:pPr>
    </w:p>
    <w:p>
      <w:pPr>
        <w:ind w:left="460" w:right="499"/>
        <w:spacing w:after="0" w:line="246" w:lineRule="auto"/>
        <w:rPr>
          <w:sz w:val="20"/>
          <w:szCs w:val="20"/>
          <w:color w:val="auto"/>
        </w:rPr>
      </w:pPr>
      <w:r>
        <w:rPr>
          <w:rFonts w:ascii="Arial" w:cs="Arial" w:eastAsia="Arial" w:hAnsi="Arial"/>
          <w:sz w:val="18"/>
          <w:szCs w:val="18"/>
          <w:color w:val="auto"/>
        </w:rPr>
        <w:t>This section applies to you if you are a “U.S. holder.” A U.S. holder is a beneficial owner of our shares of Class A common stock who or that is, for U.S. federal income tax purposes:</w:t>
      </w:r>
    </w:p>
    <w:p>
      <w:pPr>
        <w:spacing w:after="0" w:line="21" w:lineRule="exact"/>
        <w:rPr>
          <w:sz w:val="20"/>
          <w:szCs w:val="20"/>
          <w:color w:val="auto"/>
        </w:rPr>
      </w:pPr>
    </w:p>
    <w:p>
      <w:pPr>
        <w:ind w:left="1040" w:hanging="262"/>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36" w:lineRule="exact"/>
        <w:rPr>
          <w:rFonts w:ascii="Arial" w:cs="Arial" w:eastAsia="Arial" w:hAnsi="Arial"/>
          <w:sz w:val="18"/>
          <w:szCs w:val="18"/>
          <w:color w:val="auto"/>
        </w:rPr>
      </w:pPr>
    </w:p>
    <w:p>
      <w:pPr>
        <w:ind w:left="1100" w:right="719" w:hanging="322"/>
        <w:spacing w:after="0" w:line="246" w:lineRule="auto"/>
        <w:tabs>
          <w:tab w:leader="none" w:pos="10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7" w:lineRule="exact"/>
        <w:rPr>
          <w:rFonts w:ascii="Arial" w:cs="Arial" w:eastAsia="Arial" w:hAnsi="Arial"/>
          <w:sz w:val="18"/>
          <w:szCs w:val="18"/>
          <w:color w:val="auto"/>
        </w:rPr>
      </w:pPr>
    </w:p>
    <w:p>
      <w:pPr>
        <w:ind w:left="1100" w:right="1119" w:hanging="322"/>
        <w:spacing w:after="0" w:line="246" w:lineRule="auto"/>
        <w:tabs>
          <w:tab w:leader="none" w:pos="10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1" w:lineRule="exact"/>
        <w:rPr>
          <w:rFonts w:ascii="Arial" w:cs="Arial" w:eastAsia="Arial" w:hAnsi="Arial"/>
          <w:sz w:val="18"/>
          <w:szCs w:val="18"/>
          <w:color w:val="auto"/>
        </w:rPr>
      </w:pPr>
    </w:p>
    <w:p>
      <w:pPr>
        <w:jc w:val="both"/>
        <w:ind w:left="1100" w:right="739" w:hanging="322"/>
        <w:spacing w:after="0" w:line="238" w:lineRule="auto"/>
        <w:tabs>
          <w:tab w:leader="none" w:pos="10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U.S. person.</w:t>
      </w:r>
    </w:p>
    <w:p>
      <w:pPr>
        <w:spacing w:after="0" w:line="119" w:lineRule="exact"/>
        <w:rPr>
          <w:sz w:val="20"/>
          <w:szCs w:val="20"/>
          <w:color w:val="auto"/>
        </w:rPr>
      </w:pPr>
    </w:p>
    <w:p>
      <w:pPr>
        <w:ind w:left="460" w:right="519"/>
        <w:spacing w:after="0" w:line="256" w:lineRule="auto"/>
        <w:rPr>
          <w:sz w:val="20"/>
          <w:szCs w:val="20"/>
          <w:color w:val="auto"/>
        </w:rPr>
      </w:pPr>
      <w:r>
        <w:rPr>
          <w:rFonts w:ascii="Arial" w:cs="Arial" w:eastAsia="Arial" w:hAnsi="Arial"/>
          <w:sz w:val="17"/>
          <w:szCs w:val="17"/>
          <w:i w:val="1"/>
          <w:iCs w:val="1"/>
          <w:color w:val="auto"/>
        </w:rPr>
        <w:t xml:space="preserve">Taxation of Distributions. </w:t>
      </w:r>
      <w:r>
        <w:rPr>
          <w:rFonts w:ascii="Arial" w:cs="Arial" w:eastAsia="Arial" w:hAnsi="Arial"/>
          <w:sz w:val="17"/>
          <w:szCs w:val="17"/>
          <w:color w:val="auto"/>
        </w:rPr>
        <w:t>If we pay distributions in cash or other property (other than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3" w:name="page114"/>
    <w:bookmarkEnd w:id="113"/>
    <w:p>
      <w:pPr>
        <w:ind w:left="460" w:right="619"/>
        <w:spacing w:after="0"/>
        <w:rPr>
          <w:sz w:val="20"/>
          <w:szCs w:val="20"/>
          <w:color w:val="auto"/>
        </w:rPr>
      </w:pPr>
      <w:r>
        <w:rPr>
          <w:rFonts w:ascii="Arial" w:cs="Arial" w:eastAsia="Arial" w:hAnsi="Arial"/>
          <w:sz w:val="18"/>
          <w:szCs w:val="18"/>
          <w:color w:val="auto"/>
        </w:rPr>
        <w:t>will be treated as gain realized on the sale or other disposition of the Class A common stock and will be treated as described under “U.S. Holders — Gain or Loss on Sale, Taxable Exchange or Other Taxable Disposition of Class A Common Stock” below.</w:t>
      </w:r>
    </w:p>
    <w:p>
      <w:pPr>
        <w:spacing w:after="0" w:line="122"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11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i w:val="1"/>
          <w:iCs w:val="1"/>
          <w:color w:val="auto"/>
        </w:rPr>
        <w:t xml:space="preserve">Gain or Loss on Sale, Taxable Exchange or Other Taxable Disposition of Class A Common Stock. </w:t>
      </w:r>
      <w:r>
        <w:rPr>
          <w:rFonts w:ascii="Arial" w:cs="Arial" w:eastAsia="Arial" w:hAnsi="Arial"/>
          <w:sz w:val="18"/>
          <w:szCs w:val="18"/>
          <w:color w:val="auto"/>
        </w:rPr>
        <w:t>Upon a sale or other taxable disposition of our Class A common stock (which, in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would include a redemption of Class A common stock that is treated as a sale of such securities as described below,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It is unclear, however, whether the redemption rights with respect to the Class A common stock described in this prospectus may suspend the running of the applicable holding period for this purpose. If the running of the holding period for the Class A common stock is suspended, then non-corporate U.S. holders may not be able to satisfy the one-year holding period requirement for long-term capital gain treatment, in which case any gain on a sale or taxable disposition of the shares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34"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Class A common stock so disposed of. A U.S. holder’s adjusted tax basis in its Class A common stock generally will equal the U.S. holder’s acquisition cost less any prior distributions treated as a return of capital.</w:t>
      </w:r>
    </w:p>
    <w:p>
      <w:pPr>
        <w:spacing w:after="0" w:line="10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i w:val="1"/>
          <w:iCs w:val="1"/>
          <w:color w:val="auto"/>
        </w:rPr>
        <w:t xml:space="preserve">Redemption of Class A Common Stock. </w:t>
      </w:r>
      <w:r>
        <w:rPr>
          <w:rFonts w:ascii="Arial" w:cs="Arial" w:eastAsia="Arial" w:hAnsi="Arial"/>
          <w:sz w:val="18"/>
          <w:szCs w:val="18"/>
          <w:color w:val="auto"/>
        </w:rPr>
        <w:t>In the event that a U.S. holder’s Class A common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pursuant to the redemption provisions described in this prospectus under the section of this prospectus entitled “Description of Shares — Common Stock” or if we purchase a U.S. holder’s Class A common stock in an open market transaction (such open market purchase of Class A common stock by us is referred to as a “redemption” for the remainder of this discussion), the treatment of the transaction for U.S. federal income tax purposes will depend on whether the redemption qualifies as a sale of Class A common stock under Section 302 of the Code. If the redemption qualifies as a sale of Class A common stock, the U.S. holder will be treated as described under “U.S. Holders — Gain or Loss on Sale, Taxable Exchange or Other Taxable Disposition of Class A Common Stock” above. If the redemption does not qualify as a sale of Class A common stock, the U.S. holder will be treated as receiving a corporate distribution with the tax consequences described above under “U.S. Holders — Taxation of Distributions.” Whether a redemption qualifies for sale treatment will depend largely on the total number of shares of our stock treated as held by the U.S. holder (including any stock constructively owned by the U.S. holder) relative to all of our shares outstanding both before and after the redemption. The redemption of Class A common stock generally will be treated as a sale of the Class A common stock (rather than as a corporate distribution) if the redemption (i) is “substantially disproportionate” with respect to the U.S. holder,</w:t>
      </w:r>
    </w:p>
    <w:p>
      <w:pPr>
        <w:ind w:left="460" w:right="619" w:hanging="6"/>
        <w:spacing w:after="0" w:line="274" w:lineRule="auto"/>
        <w:tabs>
          <w:tab w:leader="none" w:pos="71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results in a “complete termination” of the U.S. holder’s interest in us or (iii) is “not essentially equivalent to a dividend” with respect to the U.S. holder. These tests are explained more fully below.</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4" w:name="page115"/>
    <w:bookmarkEnd w:id="114"/>
    <w:p>
      <w:pPr>
        <w:ind w:left="460" w:right="519"/>
        <w:spacing w:after="0" w:line="235" w:lineRule="auto"/>
        <w:rPr>
          <w:sz w:val="20"/>
          <w:szCs w:val="20"/>
          <w:color w:val="auto"/>
        </w:rPr>
      </w:pPr>
      <w:r>
        <w:rPr>
          <w:rFonts w:ascii="Arial" w:cs="Arial" w:eastAsia="Arial" w:hAnsi="Arial"/>
          <w:sz w:val="18"/>
          <w:szCs w:val="18"/>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In order to meet the substantially disproportionate test, the percentage of our outstanding voting stock actually and constructively owned by the U.S. holder immediately following the redemption of Class A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The redemption of the Class A common stock will not be essentially equivalent to a dividend if a U.S. holder’s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31"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If none of the foregoing tests is satisfied, then the redemption of any Class A common stock will be treated as a corporate distribution and the tax effects will be as described under “U.S. Holders — Taxation of Distributions,” above. After the application of those rules, any remaining tax basis of the U.S. holder in the redeemed Class A common stock will be added to the U.S. holder’s adjusted tax basis in its remaining stock, or, if it has none, possibly to the U.S. holder’s adjusted tax basis in other stock constructively owned by it.</w:t>
      </w:r>
    </w:p>
    <w:p>
      <w:pPr>
        <w:spacing w:after="0" w:line="119" w:lineRule="exact"/>
        <w:rPr>
          <w:sz w:val="20"/>
          <w:szCs w:val="20"/>
          <w:color w:val="auto"/>
        </w:rPr>
      </w:pPr>
    </w:p>
    <w:p>
      <w:pPr>
        <w:ind w:left="460" w:right="559"/>
        <w:spacing w:after="0" w:line="241"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 general, information reporting requirements may</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34"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53"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Class A common stock who or that is for U.S. federal income tax purposes:</w:t>
      </w:r>
    </w:p>
    <w:p>
      <w:pPr>
        <w:spacing w:after="0" w:line="27" w:lineRule="exact"/>
        <w:rPr>
          <w:sz w:val="20"/>
          <w:szCs w:val="20"/>
          <w:color w:val="auto"/>
        </w:rPr>
      </w:pPr>
    </w:p>
    <w:p>
      <w:pPr>
        <w:ind w:left="1100" w:right="839" w:hanging="322"/>
        <w:spacing w:after="0" w:line="246" w:lineRule="auto"/>
        <w:tabs>
          <w:tab w:leader="none" w:pos="10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44" w:lineRule="exact"/>
        <w:rPr>
          <w:sz w:val="20"/>
          <w:szCs w:val="20"/>
          <w:color w:val="auto"/>
        </w:rPr>
      </w:pPr>
    </w:p>
    <w:p>
      <w:pPr>
        <w:ind w:left="460" w:right="799"/>
        <w:spacing w:after="0" w:line="238" w:lineRule="auto"/>
        <w:rPr>
          <w:sz w:val="20"/>
          <w:szCs w:val="20"/>
          <w:color w:val="auto"/>
        </w:rPr>
      </w:pPr>
      <w:r>
        <w:rPr>
          <w:rFonts w:ascii="Arial" w:cs="Arial" w:eastAsia="Arial" w:hAnsi="Arial"/>
          <w:sz w:val="18"/>
          <w:szCs w:val="18"/>
          <w:color w:val="auto"/>
        </w:rPr>
        <w:t>but generally does not include an individual who is present in the U.S. for 183 days or more in the taxable year of the disposition of Class A common stock. If you are such an individual, you should consult your tax advisor regarding the U.S. federal income tax consequences of the acquisition, ownership or sale or other disposition of our securities.</w:t>
      </w:r>
    </w:p>
    <w:p>
      <w:pPr>
        <w:spacing w:after="0" w:line="119"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In general, any distributions we make to a Non-U.S. holder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w:t>
      </w:r>
    </w:p>
    <w:p>
      <w:pPr>
        <w:sectPr>
          <w:pgSz w:w="11900" w:h="16838" w:orient="portrait"/>
          <w:cols w:equalWidth="0" w:num="1">
            <w:col w:w="9019"/>
          </w:cols>
          <w:pgMar w:left="1440" w:top="28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5" w:name="page116"/>
    <w:bookmarkEnd w:id="115"/>
    <w:p>
      <w:pPr>
        <w:ind w:left="460" w:right="519"/>
        <w:spacing w:after="0" w:line="248" w:lineRule="auto"/>
        <w:rPr>
          <w:sz w:val="20"/>
          <w:szCs w:val="20"/>
          <w:color w:val="auto"/>
        </w:rPr>
      </w:pPr>
      <w:r>
        <w:rPr>
          <w:rFonts w:ascii="Arial" w:cs="Arial" w:eastAsia="Arial" w:hAnsi="Arial"/>
          <w:sz w:val="17"/>
          <w:szCs w:val="17"/>
          <w:color w:val="auto"/>
        </w:rPr>
        <w:t>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w:t>
      </w:r>
    </w:p>
    <w:p>
      <w:pPr>
        <w:spacing w:after="0" w:line="2"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 Gain on Sale, Taxable Exchange or Other Taxable Disposition of Class A Common Stock” below. In addition, if we determine that we are likely to be classified as a “United States real property holding corporation” (see “Non-U.S. Holders — Gain on Sale, Taxable Exchange or Other Taxable Disposition of Class A Common Stock” below), we will withhold 15% of any distribution that exceeds our current and accumulated earnings and profits.</w:t>
      </w:r>
    </w:p>
    <w:p>
      <w:pPr>
        <w:spacing w:after="0" w:line="121"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corporate Non-U.S. holder receiving effectively connected dividends may also be subject to an additional “branch profits tax” imposed at a rate of 30% (or a lower treaty rate).</w:t>
      </w:r>
    </w:p>
    <w:p>
      <w:pPr>
        <w:spacing w:after="0" w:line="117" w:lineRule="exact"/>
        <w:rPr>
          <w:sz w:val="20"/>
          <w:szCs w:val="20"/>
          <w:color w:val="auto"/>
        </w:rPr>
      </w:pPr>
    </w:p>
    <w:p>
      <w:pPr>
        <w:ind w:left="460" w:right="639"/>
        <w:spacing w:after="0" w:line="242" w:lineRule="auto"/>
        <w:rPr>
          <w:sz w:val="20"/>
          <w:szCs w:val="20"/>
          <w:color w:val="auto"/>
        </w:rPr>
      </w:pPr>
      <w:r>
        <w:rPr>
          <w:rFonts w:ascii="Arial" w:cs="Arial" w:eastAsia="Arial" w:hAnsi="Arial"/>
          <w:sz w:val="18"/>
          <w:szCs w:val="18"/>
          <w:i w:val="1"/>
          <w:iCs w:val="1"/>
          <w:color w:val="auto"/>
        </w:rPr>
        <w:t xml:space="preserve">Gain on Sale, Taxable Exchange or Other Taxable Disposition of Class A Common Stock. </w:t>
      </w:r>
      <w:r>
        <w:rPr>
          <w:rFonts w:ascii="Arial" w:cs="Arial" w:eastAsia="Arial" w:hAnsi="Arial"/>
          <w:sz w:val="18"/>
          <w:szCs w:val="18"/>
          <w:color w:val="auto"/>
        </w:rPr>
        <w:t>A Non-U.S. holder generally will not be subject to U.S. federal income or withholding tax in respect of gain recognized on a sale, taxable exchange or other taxable disposition of our Class A common stock, which would include a dissolution and liquidation in the event we do not complete an initial business combination within 24 months from the closing of this offering, unless:</w:t>
      </w:r>
    </w:p>
    <w:p>
      <w:pPr>
        <w:spacing w:after="0" w:line="27" w:lineRule="exact"/>
        <w:rPr>
          <w:sz w:val="20"/>
          <w:szCs w:val="20"/>
          <w:color w:val="auto"/>
        </w:rPr>
      </w:pPr>
    </w:p>
    <w:p>
      <w:pPr>
        <w:ind w:left="1100" w:right="559" w:hanging="322"/>
        <w:spacing w:after="0" w:line="259" w:lineRule="auto"/>
        <w:tabs>
          <w:tab w:leader="none" w:pos="1039"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 w:lineRule="exact"/>
        <w:rPr>
          <w:rFonts w:ascii="Arial" w:cs="Arial" w:eastAsia="Arial" w:hAnsi="Arial"/>
          <w:sz w:val="17"/>
          <w:szCs w:val="17"/>
          <w:color w:val="auto"/>
        </w:rPr>
      </w:pPr>
    </w:p>
    <w:p>
      <w:pPr>
        <w:ind w:left="1100" w:right="499" w:hanging="322"/>
        <w:spacing w:after="0" w:line="236" w:lineRule="auto"/>
        <w:tabs>
          <w:tab w:leader="none" w:pos="10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3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Class A common stock will be subject to tax at generally applicable U.S. federal income tax rates. In addition, a buyer of our Class A common stock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07"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i w:val="1"/>
          <w:iCs w:val="1"/>
          <w:color w:val="auto"/>
        </w:rPr>
        <w:t xml:space="preserve">Redemption of Class A Common Stock. </w:t>
      </w:r>
      <w:r>
        <w:rPr>
          <w:rFonts w:ascii="Arial" w:cs="Arial" w:eastAsia="Arial" w:hAnsi="Arial"/>
          <w:sz w:val="17"/>
          <w:szCs w:val="17"/>
          <w:color w:val="auto"/>
        </w:rPr>
        <w:t>The characterization for U.S. federal income tax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redemption of a Non-U.S. holder’s Class A common stock pursuant to the redemption provisions described in the section of this prospectus entitled “Description of Shares — Common Stock” generally will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w:t>
      </w:r>
    </w:p>
    <w:p>
      <w:pPr>
        <w:spacing w:after="0" w:line="4" w:lineRule="exact"/>
        <w:rPr>
          <w:sz w:val="20"/>
          <w:szCs w:val="20"/>
          <w:color w:val="auto"/>
        </w:rPr>
      </w:pPr>
    </w:p>
    <w:p>
      <w:pPr>
        <w:ind w:left="460" w:right="719"/>
        <w:spacing w:after="0" w:line="255" w:lineRule="auto"/>
        <w:rPr>
          <w:sz w:val="20"/>
          <w:szCs w:val="20"/>
          <w:color w:val="auto"/>
        </w:rPr>
      </w:pPr>
      <w:r>
        <w:rPr>
          <w:rFonts w:ascii="Arial" w:cs="Arial" w:eastAsia="Arial" w:hAnsi="Arial"/>
          <w:sz w:val="17"/>
          <w:szCs w:val="17"/>
          <w:color w:val="auto"/>
        </w:rPr>
        <w:t>— Gain on Sale, Taxable Exchange or Other Taxable Disposition of Class A Common Stock,” as applicable. 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 applicable withholding agent may not be able to determine whether (or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6" w:name="page117"/>
    <w:bookmarkEnd w:id="116"/>
    <w:p>
      <w:pPr>
        <w:ind w:left="460" w:right="499"/>
        <w:spacing w:after="0" w:line="236" w:lineRule="auto"/>
        <w:rPr>
          <w:sz w:val="20"/>
          <w:szCs w:val="20"/>
          <w:color w:val="auto"/>
        </w:rPr>
      </w:pPr>
      <w:r>
        <w:rPr>
          <w:rFonts w:ascii="Arial" w:cs="Arial" w:eastAsia="Arial" w:hAnsi="Arial"/>
          <w:sz w:val="18"/>
          <w:szCs w:val="18"/>
          <w:color w:val="auto"/>
        </w:rPr>
        <w:t>what extent) a Non-U.S. holder is treated as receiving a dividend for U.S. federal income tax purposes. Therefore, we or the applicable withholding agent may withhold tax at a rate of 30% on the gross amount of any consideration paid to a Non-U.S. holder in redemption of such Non-U.S. holder’s Class A common stock unless special procedures are available to Non-U.S. holders to certify that they are entitled to exemptions from, or reductions in, such withholding tax. However, there can be no assurance that such special certification procedures will be available. A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w:t>
      </w:r>
    </w:p>
    <w:p>
      <w:pPr>
        <w:spacing w:after="0" w:line="108"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Information returns will be filed with the IRS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payments of dividends and the proceeds from a sale or other disposition of our shares of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21" w:lineRule="exact"/>
        <w:rPr>
          <w:sz w:val="20"/>
          <w:szCs w:val="20"/>
          <w:color w:val="auto"/>
        </w:rPr>
      </w:pPr>
    </w:p>
    <w:p>
      <w:pPr>
        <w:ind w:left="460" w:right="499"/>
        <w:spacing w:after="0" w:line="251" w:lineRule="auto"/>
        <w:rPr>
          <w:sz w:val="20"/>
          <w:szCs w:val="20"/>
          <w:color w:val="auto"/>
        </w:rPr>
      </w:pPr>
      <w:r>
        <w:rPr>
          <w:rFonts w:ascii="Arial" w:cs="Arial" w:eastAsia="Arial" w:hAnsi="Arial"/>
          <w:sz w:val="17"/>
          <w:szCs w:val="17"/>
          <w:i w:val="1"/>
          <w:iCs w:val="1"/>
          <w:color w:val="auto"/>
        </w:rPr>
        <w:t xml:space="preserve">FATCA Withholding Taxes. </w:t>
      </w:r>
      <w:r>
        <w:rPr>
          <w:rFonts w:ascii="Arial" w:cs="Arial" w:eastAsia="Arial" w:hAnsi="Arial"/>
          <w:sz w:val="17"/>
          <w:szCs w:val="17"/>
          <w:color w:val="auto"/>
        </w:rPr>
        <w:t>Provisions commonly referred to as “FATCA” impose withholding of 30%</w:t>
      </w:r>
      <w:r>
        <w:rPr>
          <w:rFonts w:ascii="Arial" w:cs="Arial" w:eastAsia="Arial" w:hAnsi="Arial"/>
          <w:sz w:val="17"/>
          <w:szCs w:val="17"/>
          <w:i w:val="1"/>
          <w:iCs w:val="1"/>
          <w:color w:val="auto"/>
        </w:rPr>
        <w:t xml:space="preserve"> </w:t>
      </w:r>
      <w:r>
        <w:rPr>
          <w:rFonts w:ascii="Arial" w:cs="Arial" w:eastAsia="Arial" w:hAnsi="Arial"/>
          <w:sz w:val="17"/>
          <w:szCs w:val="17"/>
          <w:color w:val="auto"/>
        </w:rPr>
        <w:t>on payments of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securities.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Subject to the terms and conditions set forth in the underwriting agreement, dated August 11, 2020, between us and Jefferies LLC, as the representatives of the underwriters named below and the book running manager of this offering, we have agreed to sell to the underwriters, and each of the underwriters has agreed, severally and not jointly, to purchase from us, the respective number of shares of Class A common stock shown opposite its name below:</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 of Class</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w:t>
            </w:r>
          </w:p>
        </w:tc>
      </w:tr>
      <w:tr>
        <w:trPr>
          <w:trHeight w:val="190"/>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Common Stock</w:t>
            </w:r>
          </w:p>
        </w:tc>
      </w:tr>
      <w:tr>
        <w:trPr>
          <w:trHeight w:val="26"/>
        </w:trPr>
        <w:tc>
          <w:tcPr>
            <w:tcW w:w="6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10,500,000</w:t>
            </w:r>
          </w:p>
        </w:tc>
      </w:tr>
      <w:tr>
        <w:trPr>
          <w:trHeight w:val="250"/>
        </w:trPr>
        <w:tc>
          <w:tcPr>
            <w:tcW w:w="6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10,500,000</w:t>
            </w:r>
          </w:p>
        </w:tc>
      </w:tr>
      <w:tr>
        <w:trPr>
          <w:trHeight w:val="20"/>
        </w:trPr>
        <w:tc>
          <w:tcPr>
            <w:tcW w:w="6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shares, that you will be able to sell any of the shares held by you at a particular time or that the prices that you receive when you sell will be favorable.</w:t>
      </w:r>
    </w:p>
    <w:p>
      <w:pPr>
        <w:spacing w:after="0" w:line="137"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color w:val="auto"/>
        </w:rPr>
        <w:t>The underwriters are offering the shares subject to their acceptance of the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 and Expenses</w:t>
      </w:r>
    </w:p>
    <w:p>
      <w:pPr>
        <w:spacing w:after="0" w:line="166"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The underwriters have advised us that they propose to offer the shares to the public at the initial public offering price set forth on the cover page of this prospectus and to certain dealers, which may include the underwriters, at that price less a concession not in excess of $0.55 per share. The underwriters may allow, and certain dealers may reallow, a discount from the concession not in excess of $0.12 per share to certain brokers and dealers. After 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127"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4"/>
                <w:szCs w:val="14"/>
                <w:b w:val="1"/>
                <w:bCs w:val="1"/>
                <w:color w:val="auto"/>
              </w:rPr>
              <w:t>PAID BY FS DEVELOPMENT CORP.</w:t>
            </w:r>
          </w:p>
        </w:tc>
      </w:tr>
      <w:tr>
        <w:trPr>
          <w:trHeight w:val="25"/>
        </w:trPr>
        <w:tc>
          <w:tcPr>
            <w:tcW w:w="3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2"/>
        </w:trPr>
        <w:tc>
          <w:tcPr>
            <w:tcW w:w="32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No Exercise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16"/>
              <w:spacing w:after="0"/>
              <w:rPr>
                <w:sz w:val="20"/>
                <w:szCs w:val="20"/>
                <w:color w:val="auto"/>
              </w:rPr>
            </w:pPr>
            <w:r>
              <w:rPr>
                <w:rFonts w:ascii="Arial" w:cs="Arial" w:eastAsia="Arial" w:hAnsi="Arial"/>
                <w:sz w:val="14"/>
                <w:szCs w:val="14"/>
                <w:b w:val="1"/>
                <w:bCs w:val="1"/>
                <w:color w:val="auto"/>
              </w:rPr>
              <w:t>Full Exercise</w:t>
            </w:r>
          </w:p>
        </w:tc>
      </w:tr>
      <w:tr>
        <w:trPr>
          <w:trHeight w:val="25"/>
        </w:trPr>
        <w:tc>
          <w:tcPr>
            <w:tcW w:w="32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r>
              <w:rPr>
                <w:rFonts w:ascii="Arial" w:cs="Arial" w:eastAsia="Arial" w:hAnsi="Arial"/>
                <w:sz w:val="20"/>
                <w:szCs w:val="20"/>
                <w:color w:val="auto"/>
                <w:vertAlign w:val="superscript"/>
              </w:rPr>
              <w:t>(1)</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07"/>
        </w:trPr>
        <w:tc>
          <w:tcPr>
            <w:tcW w:w="322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0"/>
                <w:szCs w:val="20"/>
                <w:color w:val="auto"/>
                <w:vertAlign w:val="superscript"/>
              </w:rPr>
              <w:t>(1)</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5,775,000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6,641,250</w:t>
            </w:r>
          </w:p>
        </w:tc>
      </w:tr>
    </w:tbl>
    <w:p>
      <w:pPr>
        <w:spacing w:after="0" w:line="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880" w:right="519" w:hanging="426"/>
        <w:spacing w:after="0" w:line="222" w:lineRule="auto"/>
        <w:tabs>
          <w:tab w:leader="none" w:pos="847" w:val="left"/>
        </w:tabs>
        <w:numPr>
          <w:ilvl w:val="0"/>
          <w:numId w:val="74"/>
        </w:numPr>
        <w:rPr>
          <w:rFonts w:ascii="Arial" w:cs="Arial" w:eastAsia="Arial" w:hAnsi="Arial"/>
          <w:sz w:val="13"/>
          <w:szCs w:val="13"/>
          <w:color w:val="auto"/>
        </w:rPr>
      </w:pPr>
      <w:r>
        <w:rPr>
          <w:rFonts w:ascii="Arial" w:cs="Arial" w:eastAsia="Arial" w:hAnsi="Arial"/>
          <w:sz w:val="13"/>
          <w:szCs w:val="13"/>
          <w:color w:val="auto"/>
        </w:rPr>
        <w:t>$0.20 per share, or $2,100,000 in the aggregate (or $2,415,000 if the underwriters’ over-allotment option is exercised in full), is payable upon the closing of this offering. Includes $0.35 per share, or $3,675,000 in the aggregate (or $4,226,250 in the aggregate if the over-allotment option is exercised in full) payable to the underwriters for deferred underwriting commissions will be placed in a trust account located in the United States as described herein. The deferred commissions will be released to the underwriters only on and concurrently with completion of an initial business combination.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8" w:name="page119"/>
    <w:bookmarkEnd w:id="118"/>
    <w:p>
      <w:pPr>
        <w:ind w:left="460" w:right="499"/>
        <w:spacing w:after="0" w:line="237" w:lineRule="auto"/>
        <w:rPr>
          <w:sz w:val="20"/>
          <w:szCs w:val="20"/>
          <w:color w:val="auto"/>
        </w:rPr>
      </w:pPr>
      <w:r>
        <w:rPr>
          <w:rFonts w:ascii="Arial" w:cs="Arial" w:eastAsia="Arial" w:hAnsi="Arial"/>
          <w:sz w:val="18"/>
          <w:szCs w:val="18"/>
          <w:color w:val="auto"/>
        </w:rPr>
        <w:t>If we do not complete our initial business combination within the time period required by our amended and restated certificate of incorporation, the underwriters have agreed that (i) they will forfeit any rights or claims to their deferred 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shareholders.</w:t>
      </w:r>
    </w:p>
    <w:p>
      <w:pPr>
        <w:spacing w:after="0" w:line="124" w:lineRule="exact"/>
        <w:rPr>
          <w:sz w:val="20"/>
          <w:szCs w:val="20"/>
          <w:color w:val="auto"/>
        </w:rPr>
      </w:pPr>
    </w:p>
    <w:p>
      <w:pPr>
        <w:ind w:left="460" w:right="599"/>
        <w:spacing w:after="0" w:line="261"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FINRA-related fees and expenses of the underwriters’ legal counsel, not to exceed $25,000.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66"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Prior to this offering, there has not been a public market for our securities. Consequently, the initial public offering price for our shares was determined by negotiations between us and the representative. Among the factors considered in these negotiations were the history and prospects of companies whose principal business is the acquisition of other companies, prior offerings of those companies, our management team, our capital structure, and currently prevailing general conditions in equity securities markets, including current market valuations of publicly traded companies considered comparable to our company.</w:t>
      </w:r>
    </w:p>
    <w:p>
      <w:pPr>
        <w:spacing w:after="0" w:line="135" w:lineRule="exact"/>
        <w:rPr>
          <w:sz w:val="20"/>
          <w:szCs w:val="20"/>
          <w:color w:val="auto"/>
        </w:rPr>
      </w:pPr>
    </w:p>
    <w:p>
      <w:pPr>
        <w:jc w:val="both"/>
        <w:ind w:left="460" w:right="739"/>
        <w:spacing w:after="0"/>
        <w:rPr>
          <w:sz w:val="20"/>
          <w:szCs w:val="20"/>
          <w:color w:val="auto"/>
        </w:rPr>
      </w:pPr>
      <w:r>
        <w:rPr>
          <w:rFonts w:ascii="Arial" w:cs="Arial" w:eastAsia="Arial" w:hAnsi="Arial"/>
          <w:sz w:val="18"/>
          <w:szCs w:val="18"/>
          <w:color w:val="auto"/>
        </w:rPr>
        <w:t>We offer no assurances that the initial public offering price will correspond to the price at which the shares will trade in the public market subsequent to the offering or that an active trading market for the shares will develop and continue after the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been approved to have our shares listed on Nasdaq under the symbol “FSDC.”</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66" w:lineRule="exact"/>
        <w:rPr>
          <w:sz w:val="20"/>
          <w:szCs w:val="20"/>
          <w:color w:val="auto"/>
        </w:rPr>
      </w:pPr>
    </w:p>
    <w:p>
      <w:pPr>
        <w:ind w:left="460" w:right="679"/>
        <w:spacing w:after="0" w:line="236" w:lineRule="auto"/>
        <w:rPr>
          <w:sz w:val="20"/>
          <w:szCs w:val="20"/>
          <w:color w:val="auto"/>
        </w:rPr>
      </w:pPr>
      <w:r>
        <w:rPr>
          <w:rFonts w:ascii="Arial" w:cs="Arial" w:eastAsia="Arial" w:hAnsi="Arial"/>
          <w:sz w:val="18"/>
          <w:szCs w:val="18"/>
          <w:color w:val="auto"/>
        </w:rPr>
        <w:t>We have granted to the underwriters an option, exercisable for 45 days from the date of this prospectus, to purchase, from time to time, in whole or in part, up to an aggregate of 1,575,000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Letter Agreements</w:t>
      </w:r>
    </w:p>
    <w:p>
      <w:pPr>
        <w:spacing w:after="0" w:line="166" w:lineRule="exact"/>
        <w:rPr>
          <w:sz w:val="20"/>
          <w:szCs w:val="20"/>
          <w:color w:val="auto"/>
        </w:rPr>
      </w:pPr>
    </w:p>
    <w:p>
      <w:pPr>
        <w:ind w:left="460" w:right="639"/>
        <w:spacing w:after="0" w:line="234"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Jefferies LLC, offer, sell, contract to sell, pledge or otherwise dispose of, directly or indirectly, any shares of Class A common stock or any other securities convertible into, or exercisable, or exchangeable for, Class A common stock; provided, however, that we may (1) issue and sell the private placement shares,</w:t>
      </w:r>
    </w:p>
    <w:p>
      <w:pPr>
        <w:ind w:left="720" w:hanging="266"/>
        <w:spacing w:after="0" w:line="238"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issue and sell the additional shares to cover our underwriters’ over-allotment option (if any), (3)</w:t>
      </w:r>
    </w:p>
    <w:p>
      <w:pPr>
        <w:ind w:left="460" w:right="479"/>
        <w:spacing w:after="0" w:line="238" w:lineRule="auto"/>
        <w:rPr>
          <w:rFonts w:ascii="Arial" w:cs="Arial" w:eastAsia="Arial" w:hAnsi="Arial"/>
          <w:sz w:val="18"/>
          <w:szCs w:val="18"/>
          <w:color w:val="auto"/>
        </w:rPr>
      </w:pPr>
      <w:r>
        <w:rPr>
          <w:rFonts w:ascii="Arial" w:cs="Arial" w:eastAsia="Arial" w:hAnsi="Arial"/>
          <w:sz w:val="18"/>
          <w:szCs w:val="18"/>
          <w:color w:val="auto"/>
        </w:rPr>
        <w:t>register with the SEC pursuant to an agreement to be entered into concurrently with the issuance and sale of the securities in this offering, the resale of the founder shares and the private placement shares, and (4) issue securities in connection with an initial business combination. Jefferies LLC, in its sole discretion, may release any of the securities subject to these lock-up agreements at any time without notice.</w:t>
      </w:r>
    </w:p>
    <w:p>
      <w:pPr>
        <w:spacing w:after="0" w:line="12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initial shareholders have agreed not to transfer, assign or sell any of their founder shares or private placement shares until the earlier to occur of: (A) one year after the completion of our initial business combination and (B) subsequent to our initial business combination, (x)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 (y) the date on which we complete a liquidation, merger, capital stock exchange, or other similar transaction that results in all of our public shareholders having the right to exchange their common stock for cash, securities or other property (except as described herein under “Principal Shareholders — Transfers of Founder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9" w:name="page120"/>
    <w:bookmarkEnd w:id="119"/>
    <w:p>
      <w:pPr>
        <w:ind w:left="460" w:right="819"/>
        <w:spacing w:after="0" w:line="238" w:lineRule="auto"/>
        <w:rPr>
          <w:sz w:val="20"/>
          <w:szCs w:val="20"/>
          <w:color w:val="auto"/>
        </w:rPr>
      </w:pPr>
      <w:r>
        <w:rPr>
          <w:rFonts w:ascii="Arial" w:cs="Arial" w:eastAsia="Arial" w:hAnsi="Arial"/>
          <w:sz w:val="18"/>
          <w:szCs w:val="18"/>
          <w:color w:val="auto"/>
        </w:rPr>
        <w:t>Shares and Private Placement Shares”). Any permitted transferees will be subject to the same restrictions and other agreements of our sponsor and our management team with respect to any founder shares and shares of Class A common stock issued upon conversion thereof. We refer to such transfer restrictions throughout this prospectus as the lock-up.</w:t>
      </w:r>
    </w:p>
    <w:p>
      <w:pPr>
        <w:spacing w:after="0" w:line="124"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private placement shares will not be transferable, assignable or salable until 30 days after the completion of our initial business combination (except with respect to permitted transferees as described herein under the section of this prospectus entitled “Principal Shareholders — Transfers of Founder Shares and Private Placement Shares”).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w:t>
      </w:r>
    </w:p>
    <w:p>
      <w:pPr>
        <w:spacing w:after="0" w:line="166"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shares at a level above that which might otherwise prevail in the open market. Establishing short sales positions may involve either “covered” short sales or “naked” short sales.</w:t>
      </w:r>
    </w:p>
    <w:p>
      <w:pPr>
        <w:spacing w:after="0" w:line="13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shares in this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22"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“Naked” short sales are sales in excess of the option to purchase additional shares. The underwriters must close out any naked short position by purchasing shares in the open market. A naked short position is more likely to be created if the underwriters are concerned that there may be downward pressure on the price of our shares in the open market after pricing that could adversely affect investors who purchase in this offering.</w:t>
      </w:r>
    </w:p>
    <w:p>
      <w:pPr>
        <w:spacing w:after="0" w:line="135"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A stabilizing bid is a bid for the purchase of shares on behalf of the underwriters for the purpose of fixing or maintaining the price of the shares. A syndicate covering transaction is the bid for or the purchase of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shares or preventing or retarding a decline in the market price of our shares. As a result, the price of our shares may be higher than the price that might otherwise exist in the open market. A penalty bid is an arrangement permitting the underwriters to reclaim the selling concession otherwise accruing to a syndicate member in connection with the offering if the shares originally sold by such syndicate member are purchased in a syndicate covering transaction and therefore have not been effectively placed by such syndicate member.</w:t>
      </w:r>
    </w:p>
    <w:p>
      <w:pPr>
        <w:spacing w:after="0" w:line="137" w:lineRule="exact"/>
        <w:rPr>
          <w:sz w:val="20"/>
          <w:szCs w:val="20"/>
          <w:color w:val="auto"/>
        </w:rPr>
      </w:pPr>
    </w:p>
    <w:p>
      <w:pPr>
        <w:ind w:left="460" w:right="679"/>
        <w:spacing w:after="0" w:line="23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shares. The underwriters are not obligated to engage in these activities and, if commenced, any of the activities may be discontinued at any time.</w:t>
      </w:r>
    </w:p>
    <w:p>
      <w:pPr>
        <w:spacing w:after="0" w:line="12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underwriters may also engage in passive market making transactions in our shares on Nasdaq in accordance with Rule 103 of Regulation M during a period before the commencement of offers or sales of our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0" w:name="page121"/>
    <w:bookmarkEnd w:id="120"/>
    <w:p>
      <w:pPr>
        <w:ind w:left="460" w:right="659"/>
        <w:spacing w:after="0"/>
        <w:rPr>
          <w:sz w:val="20"/>
          <w:szCs w:val="20"/>
          <w:color w:val="auto"/>
        </w:rPr>
      </w:pPr>
      <w:r>
        <w:rPr>
          <w:rFonts w:ascii="Arial" w:cs="Arial" w:eastAsia="Arial" w:hAnsi="Arial"/>
          <w:sz w:val="18"/>
          <w:szCs w:val="18"/>
          <w:color w:val="auto"/>
        </w:rPr>
        <w:t>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Activities and Relationships</w:t>
      </w:r>
    </w:p>
    <w:p>
      <w:pPr>
        <w:spacing w:after="0" w:line="15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granted Jefferies LLC a right of first refusal to provide certain advisory services and participate in certain future financings for a period of not more than three years from the date of commencement of sales of this offering. Such right of first refusal is deemed to be underwriting compensation in connection with this offering. Otherwise, 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46" w:lineRule="exact"/>
        <w:rPr>
          <w:sz w:val="20"/>
          <w:szCs w:val="20"/>
          <w:color w:val="auto"/>
        </w:rPr>
      </w:pPr>
    </w:p>
    <w:p>
      <w:pPr>
        <w:ind w:left="460" w:right="459"/>
        <w:spacing w:after="0" w:line="253"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7"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Resale Restrictions</w:t>
      </w:r>
    </w:p>
    <w:p>
      <w:pPr>
        <w:spacing w:after="0" w:line="144"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Representations of Canadian Purchasers</w:t>
      </w:r>
    </w:p>
    <w:p>
      <w:pPr>
        <w:spacing w:after="0" w:line="131" w:lineRule="exact"/>
        <w:rPr>
          <w:sz w:val="20"/>
          <w:szCs w:val="20"/>
          <w:color w:val="auto"/>
        </w:rPr>
      </w:pPr>
    </w:p>
    <w:p>
      <w:pPr>
        <w:ind w:left="460" w:right="519"/>
        <w:spacing w:after="0" w:line="273"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1" w:lineRule="exact"/>
        <w:rPr>
          <w:sz w:val="20"/>
          <w:szCs w:val="20"/>
          <w:color w:val="auto"/>
        </w:rPr>
      </w:pPr>
    </w:p>
    <w:p>
      <w:pPr>
        <w:jc w:val="both"/>
        <w:ind w:left="1100" w:right="479" w:hanging="322"/>
        <w:spacing w:after="0"/>
        <w:tabs>
          <w:tab w:leader="none" w:pos="1096"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8"/>
          <w:szCs w:val="18"/>
          <w:i w:val="1"/>
          <w:iCs w:val="1"/>
          <w:color w:val="auto"/>
        </w:rPr>
        <w:t>Prospectus Exemptions</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1" w:name="page122"/>
    <w:bookmarkEnd w:id="121"/>
    <w:p>
      <w:pPr>
        <w:ind w:left="1100" w:right="579" w:hanging="322"/>
        <w:spacing w:after="0" w:line="260" w:lineRule="auto"/>
        <w:tabs>
          <w:tab w:leader="none" w:pos="1096"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Exemptions and Ongoing Registrant Obligations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080" w:hanging="30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Conflicts of Interest</w:t>
      </w:r>
    </w:p>
    <w:p>
      <w:pPr>
        <w:spacing w:after="0" w:line="144"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document.</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Statutory Rights of Action</w:t>
      </w:r>
    </w:p>
    <w:p>
      <w:pPr>
        <w:spacing w:after="0" w:line="131"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Enforcement of Legal Rights</w:t>
      </w:r>
    </w:p>
    <w:p>
      <w:pPr>
        <w:spacing w:after="0" w:line="144"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Taxation and Eligibility for Investment</w:t>
      </w:r>
    </w:p>
    <w:p>
      <w:pPr>
        <w:spacing w:after="0" w:line="144" w:lineRule="exact"/>
        <w:rPr>
          <w:sz w:val="20"/>
          <w:szCs w:val="20"/>
          <w:color w:val="auto"/>
        </w:rPr>
      </w:pPr>
    </w:p>
    <w:p>
      <w:pPr>
        <w:ind w:left="460" w:right="559"/>
        <w:spacing w:after="0" w:line="261"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53" w:lineRule="exact"/>
        <w:rPr>
          <w:sz w:val="20"/>
          <w:szCs w:val="20"/>
          <w:color w:val="auto"/>
        </w:rPr>
      </w:pPr>
    </w:p>
    <w:p>
      <w:pPr>
        <w:ind w:left="460" w:right="699"/>
        <w:spacing w:after="0" w:line="23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confirm and warrant that you are either:</w:t>
      </w:r>
    </w:p>
    <w:p>
      <w:pPr>
        <w:spacing w:after="0" w:line="36" w:lineRule="exact"/>
        <w:rPr>
          <w:sz w:val="20"/>
          <w:szCs w:val="20"/>
          <w:color w:val="auto"/>
        </w:rPr>
      </w:pPr>
    </w:p>
    <w:p>
      <w:pPr>
        <w:ind w:left="1100" w:hanging="322"/>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22" w:lineRule="exact"/>
        <w:rPr>
          <w:rFonts w:ascii="Arial" w:cs="Arial" w:eastAsia="Arial" w:hAnsi="Arial"/>
          <w:sz w:val="18"/>
          <w:szCs w:val="18"/>
          <w:color w:val="auto"/>
        </w:rPr>
      </w:pPr>
    </w:p>
    <w:p>
      <w:pPr>
        <w:ind w:left="1100" w:right="599" w:hanging="322"/>
        <w:spacing w:after="0" w:line="238" w:lineRule="auto"/>
        <w:tabs>
          <w:tab w:leader="none" w:pos="10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9" w:lineRule="exact"/>
        <w:rPr>
          <w:rFonts w:ascii="Arial" w:cs="Arial" w:eastAsia="Arial" w:hAnsi="Arial"/>
          <w:sz w:val="18"/>
          <w:szCs w:val="18"/>
          <w:color w:val="auto"/>
        </w:rPr>
      </w:pPr>
    </w:p>
    <w:p>
      <w:pPr>
        <w:ind w:left="1080" w:hanging="30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16"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35"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61" w:right="1440"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66"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The shares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shares or otherwise making them available to retail investors in the EEA has been prepared. Offering or selling the shares or otherwise making them available to any retail investor in the EEA may be unlawful under the PRIIPS Regulation. This prospectus has been prepared on the basis that any offer of the shares in any member state of the EEA will be made pursuant to an exemption under the Prospectus Directive from a requirement to publish a prospectus for offers of shares. This prospectus is not a prospectus for the purpose of the Prospectus Directive.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53"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35"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66" w:lineRule="exact"/>
        <w:rPr>
          <w:sz w:val="20"/>
          <w:szCs w:val="20"/>
          <w:color w:val="auto"/>
        </w:rPr>
      </w:pPr>
    </w:p>
    <w:p>
      <w:pPr>
        <w:ind w:left="460" w:right="679"/>
        <w:spacing w:after="0" w:line="248"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w:t>
      </w:r>
    </w:p>
    <w:p>
      <w:pPr>
        <w:spacing w:after="0" w:line="2" w:lineRule="exact"/>
        <w:rPr>
          <w:sz w:val="20"/>
          <w:szCs w:val="20"/>
          <w:color w:val="auto"/>
        </w:rPr>
      </w:pPr>
    </w:p>
    <w:p>
      <w:pPr>
        <w:ind w:left="460" w:right="599" w:hanging="6"/>
        <w:spacing w:after="0" w:line="236" w:lineRule="auto"/>
        <w:tabs>
          <w:tab w:leader="none" w:pos="7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5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3" w:name="page124"/>
    <w:bookmarkEnd w:id="123"/>
    <w:p>
      <w:pPr>
        <w:ind w:left="460" w:right="479"/>
        <w:spacing w:after="0" w:line="238" w:lineRule="auto"/>
        <w:rPr>
          <w:sz w:val="20"/>
          <w:szCs w:val="20"/>
          <w:color w:val="auto"/>
        </w:rPr>
      </w:pPr>
      <w:r>
        <w:rPr>
          <w:rFonts w:ascii="Arial" w:cs="Arial" w:eastAsia="Arial" w:hAnsi="Arial"/>
          <w:sz w:val="18"/>
          <w:szCs w:val="18"/>
          <w:color w:val="auto"/>
        </w:rPr>
        <w:t>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53"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4" w:lineRule="exact"/>
        <w:rPr>
          <w:sz w:val="20"/>
          <w:szCs w:val="20"/>
          <w:color w:val="auto"/>
        </w:rPr>
      </w:pPr>
    </w:p>
    <w:p>
      <w:pPr>
        <w:ind w:left="460" w:right="579" w:hanging="6"/>
        <w:spacing w:after="0" w:line="246" w:lineRule="auto"/>
        <w:tabs>
          <w:tab w:leader="none" w:pos="7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29"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1" w:lineRule="exact"/>
        <w:rPr>
          <w:sz w:val="20"/>
          <w:szCs w:val="20"/>
          <w:color w:val="auto"/>
        </w:rPr>
      </w:pPr>
    </w:p>
    <w:p>
      <w:pPr>
        <w:jc w:val="both"/>
        <w:ind w:left="1100" w:right="639" w:hanging="322"/>
        <w:spacing w:after="0"/>
        <w:tabs>
          <w:tab w:leader="none" w:pos="10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 w:lineRule="exact"/>
        <w:rPr>
          <w:rFonts w:ascii="Arial" w:cs="Arial" w:eastAsia="Arial" w:hAnsi="Arial"/>
          <w:sz w:val="18"/>
          <w:szCs w:val="18"/>
          <w:color w:val="auto"/>
        </w:rPr>
      </w:pPr>
    </w:p>
    <w:p>
      <w:pPr>
        <w:ind w:left="1100" w:right="699" w:hanging="322"/>
        <w:spacing w:after="0" w:line="237" w:lineRule="auto"/>
        <w:tabs>
          <w:tab w:leader="none" w:pos="10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9" w:lineRule="exact"/>
        <w:rPr>
          <w:rFonts w:ascii="Arial" w:cs="Arial" w:eastAsia="Arial" w:hAnsi="Arial"/>
          <w:sz w:val="18"/>
          <w:szCs w:val="18"/>
          <w:color w:val="auto"/>
        </w:rPr>
      </w:pPr>
    </w:p>
    <w:p>
      <w:pPr>
        <w:jc w:val="both"/>
        <w:ind w:left="1420" w:right="579" w:hanging="318"/>
        <w:spacing w:after="0"/>
        <w:tabs>
          <w:tab w:leader="none" w:pos="1359"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7" w:lineRule="exact"/>
        <w:rPr>
          <w:rFonts w:ascii="Arial" w:cs="Arial" w:eastAsia="Arial" w:hAnsi="Arial"/>
          <w:sz w:val="18"/>
          <w:szCs w:val="18"/>
          <w:color w:val="auto"/>
        </w:rPr>
      </w:pPr>
    </w:p>
    <w:p>
      <w:pPr>
        <w:ind w:left="1360" w:hanging="258"/>
        <w:spacing w:after="0"/>
        <w:tabs>
          <w:tab w:leader="none" w:pos="13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 w:lineRule="exact"/>
        <w:rPr>
          <w:rFonts w:ascii="Arial" w:cs="Arial" w:eastAsia="Arial" w:hAnsi="Arial"/>
          <w:sz w:val="18"/>
          <w:szCs w:val="18"/>
          <w:color w:val="auto"/>
        </w:rPr>
      </w:pPr>
    </w:p>
    <w:p>
      <w:pPr>
        <w:ind w:left="1360" w:hanging="258"/>
        <w:spacing w:after="0"/>
        <w:tabs>
          <w:tab w:leader="none" w:pos="13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6" w:lineRule="exact"/>
        <w:rPr>
          <w:rFonts w:ascii="Arial" w:cs="Arial" w:eastAsia="Arial" w:hAnsi="Arial"/>
          <w:sz w:val="18"/>
          <w:szCs w:val="18"/>
          <w:color w:val="auto"/>
        </w:rPr>
      </w:pPr>
    </w:p>
    <w:p>
      <w:pPr>
        <w:ind w:left="1360" w:hanging="258"/>
        <w:spacing w:after="0"/>
        <w:tabs>
          <w:tab w:leader="none" w:pos="13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36" w:lineRule="exact"/>
        <w:rPr>
          <w:rFonts w:ascii="Arial" w:cs="Arial" w:eastAsia="Arial" w:hAnsi="Arial"/>
          <w:sz w:val="18"/>
          <w:szCs w:val="18"/>
          <w:color w:val="auto"/>
        </w:rPr>
      </w:pPr>
    </w:p>
    <w:p>
      <w:pPr>
        <w:ind w:left="1420" w:right="1119" w:hanging="318"/>
        <w:spacing w:after="0" w:line="246" w:lineRule="auto"/>
        <w:tabs>
          <w:tab w:leader="none" w:pos="1359" w:val="left"/>
        </w:tabs>
        <w:numPr>
          <w:ilvl w:val="1"/>
          <w:numId w:val="8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5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0" w:lineRule="exact"/>
        <w:rPr>
          <w:sz w:val="20"/>
          <w:szCs w:val="20"/>
          <w:color w:val="auto"/>
        </w:rPr>
      </w:pPr>
    </w:p>
    <w:p>
      <w:pPr>
        <w:ind w:left="460" w:right="639"/>
        <w:spacing w:after="0" w:line="237"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66"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24" w:lineRule="exact"/>
        <w:rPr>
          <w:sz w:val="20"/>
          <w:szCs w:val="20"/>
          <w:color w:val="auto"/>
        </w:rPr>
      </w:pPr>
    </w:p>
    <w:p>
      <w:pPr>
        <w:ind w:left="460" w:right="1279"/>
        <w:spacing w:after="0" w:line="234"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w:t>
      </w:r>
    </w:p>
    <w:p>
      <w:pPr>
        <w:spacing w:after="0" w:line="1"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United Kingdom. Any person in the United Kingdom that is not a relevant person should not act or rely on this document or any of its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6"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White &amp; Case LLP is acting as counsel in connection with the registration of our securities under the Securities Act, and as such, will pass upon the validity of the securities offered in this prospectus. Skadden, Arps, Slate, Meagher &amp; Flom LLP advised the underwriters in connection with the offering of the securities.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53"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financial statements of FS Development Corp. as of June 30, 2020, and for the period from June 25, 2020 (inception) through June 30,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filed with the SEC registration statements on Form S-1 under the Securities Act with respect to the securities we are offering by this prospectus. This prospectus does not contain all of the information included in the registration statements. For further information about us and our securities, you should refer to the registration statements and the exhibits and schedules filed with the registration statements.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statements for copies of the actual contract, agreement or other document.</w:t>
      </w:r>
    </w:p>
    <w:p>
      <w:pPr>
        <w:spacing w:after="0" w:line="13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statements, over the Internet at the SEC’s website at </w:t>
      </w:r>
      <w:r>
        <w:rPr>
          <w:rFonts w:ascii="Arial" w:cs="Arial" w:eastAsia="Arial" w:hAnsi="Arial"/>
          <w:sz w:val="18"/>
          <w:szCs w:val="18"/>
          <w:i w:val="1"/>
          <w:iCs w:val="1"/>
          <w:color w:val="auto"/>
        </w:rPr>
        <w:t>www.sec.gov.</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FS Development Corp.:</w:t>
            </w:r>
          </w:p>
        </w:tc>
        <w:tc>
          <w:tcPr>
            <w:tcW w:w="360" w:type="dxa"/>
            <w:vAlign w:val="bottom"/>
            <w:tcBorders>
              <w:bottom w:val="single" w:sz="8" w:color="CCEEFF"/>
            </w:tcBorders>
            <w:shd w:val="clear" w:color="auto" w:fill="CCEEFF"/>
          </w:tcPr>
          <w:p>
            <w:pPr>
              <w:spacing w:after="0"/>
              <w:rPr>
                <w:sz w:val="22"/>
                <w:szCs w:val="22"/>
                <w:color w:val="auto"/>
              </w:rPr>
            </w:pPr>
          </w:p>
        </w:tc>
      </w:tr>
      <w:tr>
        <w:trPr>
          <w:trHeight w:val="257"/>
        </w:trPr>
        <w:tc>
          <w:tcPr>
            <w:tcW w:w="8160" w:type="dxa"/>
            <w:vAlign w:val="bottom"/>
            <w:gridSpan w:val="5"/>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Report of Independent Registered Public Accounting Firm</w:t>
              </w:r>
            </w:hyperlink>
          </w:p>
        </w:tc>
        <w:tc>
          <w:tcPr>
            <w:tcW w:w="360" w:type="dxa"/>
            <w:vAlign w:val="bottom"/>
          </w:tcPr>
          <w:p>
            <w:pPr>
              <w:jc w:val="center"/>
              <w:spacing w:after="0"/>
              <w:rPr>
                <w:sz w:val="20"/>
                <w:szCs w:val="20"/>
                <w:color w:val="auto"/>
              </w:rPr>
            </w:pPr>
            <w:r>
              <w:rPr>
                <w:rFonts w:ascii="Arial" w:cs="Arial" w:eastAsia="Arial" w:hAnsi="Arial"/>
                <w:sz w:val="18"/>
                <w:szCs w:val="18"/>
                <w:color w:val="auto"/>
              </w:rPr>
              <w:t>F-2</w:t>
            </w:r>
          </w:p>
        </w:tc>
      </w:tr>
      <w:tr>
        <w:trPr>
          <w:trHeight w:val="27"/>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63"/>
        </w:trPr>
        <w:tc>
          <w:tcPr>
            <w:tcW w:w="8160" w:type="dxa"/>
            <w:vAlign w:val="bottom"/>
            <w:tcBorders>
              <w:bottom w:val="single" w:sz="8" w:color="CCEEFF"/>
            </w:tcBorders>
            <w:gridSpan w:val="5"/>
            <w:shd w:val="clear" w:color="auto" w:fill="CCEEFF"/>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Balance Sheet as of June 30, 2020</w:t>
              </w:r>
            </w:hyperlink>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F-3</w:t>
            </w:r>
          </w:p>
        </w:tc>
      </w:tr>
      <w:tr>
        <w:trPr>
          <w:trHeight w:val="257"/>
        </w:trPr>
        <w:tc>
          <w:tcPr>
            <w:tcW w:w="8160" w:type="dxa"/>
            <w:vAlign w:val="bottom"/>
            <w:gridSpan w:val="5"/>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Statement of Operations for the period from June 25, 2020 (inception) through June 30, 2020</w:t>
              </w:r>
            </w:hyperlink>
          </w:p>
        </w:tc>
        <w:tc>
          <w:tcPr>
            <w:tcW w:w="360" w:type="dxa"/>
            <w:vAlign w:val="bottom"/>
          </w:tcPr>
          <w:p>
            <w:pPr>
              <w:jc w:val="center"/>
              <w:spacing w:after="0"/>
              <w:rPr>
                <w:sz w:val="20"/>
                <w:szCs w:val="20"/>
                <w:color w:val="auto"/>
              </w:rPr>
            </w:pPr>
            <w:r>
              <w:rPr>
                <w:rFonts w:ascii="Arial" w:cs="Arial" w:eastAsia="Arial" w:hAnsi="Arial"/>
                <w:sz w:val="18"/>
                <w:szCs w:val="18"/>
                <w:color w:val="auto"/>
              </w:rPr>
              <w:t>F-4</w:t>
            </w:r>
          </w:p>
        </w:tc>
      </w:tr>
      <w:tr>
        <w:trPr>
          <w:trHeight w:val="27"/>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76"/>
        </w:trPr>
        <w:tc>
          <w:tcPr>
            <w:tcW w:w="79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rPr>
            </w:pPr>
            <w:hyperlink w:anchor="page131">
              <w:r>
                <w:rPr>
                  <w:rFonts w:ascii="Arial" w:cs="Arial" w:eastAsia="Arial" w:hAnsi="Arial"/>
                  <w:sz w:val="18"/>
                  <w:szCs w:val="18"/>
                  <w:color w:val="0000EE"/>
                </w:rPr>
                <w:t>Statement of Changes in Stockholder’s Equity for the period from June 25, 2020 (inception) through</w:t>
              </w:r>
            </w:hyperlink>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0000EE"/>
            </w:tcBorders>
            <w:shd w:val="clear" w:color="auto" w:fill="CCEEFF"/>
          </w:tcPr>
          <w:p>
            <w:pPr>
              <w:spacing w:after="0" w:line="182" w:lineRule="exact"/>
              <w:rPr>
                <w:rFonts w:ascii="Arial" w:cs="Arial" w:eastAsia="Arial" w:hAnsi="Arial"/>
                <w:sz w:val="18"/>
                <w:szCs w:val="18"/>
                <w:color w:val="0000EE"/>
              </w:rPr>
            </w:pPr>
            <w:hyperlink w:anchor="page131">
              <w:r>
                <w:rPr>
                  <w:rFonts w:ascii="Arial" w:cs="Arial" w:eastAsia="Arial" w:hAnsi="Arial"/>
                  <w:sz w:val="18"/>
                  <w:szCs w:val="18"/>
                  <w:color w:val="0000EE"/>
                </w:rPr>
                <w:t>June 30, 2020</w:t>
              </w:r>
            </w:hyperlink>
          </w:p>
        </w:tc>
        <w:tc>
          <w:tcPr>
            <w:tcW w:w="6800" w:type="dxa"/>
            <w:vAlign w:val="bottom"/>
            <w:tcBorders>
              <w:bottom w:val="single" w:sz="8" w:color="CCEEFF"/>
            </w:tcBorders>
            <w:gridSpan w:val="3"/>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rPr>
              <w:t>F-5</w:t>
            </w:r>
          </w:p>
        </w:tc>
      </w:tr>
      <w:tr>
        <w:trPr>
          <w:trHeight w:val="257"/>
        </w:trPr>
        <w:tc>
          <w:tcPr>
            <w:tcW w:w="8160" w:type="dxa"/>
            <w:vAlign w:val="bottom"/>
            <w:gridSpan w:val="5"/>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Statement of Cash Flows for the period from June 25, 2020 (inception) through June 30, 2020</w:t>
              </w:r>
            </w:hyperlink>
          </w:p>
        </w:tc>
        <w:tc>
          <w:tcPr>
            <w:tcW w:w="360" w:type="dxa"/>
            <w:vAlign w:val="bottom"/>
          </w:tcPr>
          <w:p>
            <w:pPr>
              <w:jc w:val="center"/>
              <w:spacing w:after="0"/>
              <w:rPr>
                <w:sz w:val="20"/>
                <w:szCs w:val="20"/>
                <w:color w:val="auto"/>
              </w:rPr>
            </w:pPr>
            <w:r>
              <w:rPr>
                <w:rFonts w:ascii="Arial" w:cs="Arial" w:eastAsia="Arial" w:hAnsi="Arial"/>
                <w:sz w:val="18"/>
                <w:szCs w:val="18"/>
                <w:color w:val="auto"/>
              </w:rPr>
              <w:t>F-6</w:t>
            </w:r>
          </w:p>
        </w:tc>
      </w:tr>
      <w:tr>
        <w:trPr>
          <w:trHeight w:val="27"/>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63"/>
        </w:trPr>
        <w:tc>
          <w:tcPr>
            <w:tcW w:w="8160" w:type="dxa"/>
            <w:vAlign w:val="bottom"/>
            <w:tcBorders>
              <w:bottom w:val="single" w:sz="8" w:color="CCEEFF"/>
            </w:tcBorders>
            <w:gridSpan w:val="5"/>
            <w:shd w:val="clear" w:color="auto" w:fill="CCEEFF"/>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Notes to Financial Statements</w:t>
              </w:r>
            </w:hyperlink>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F-7</w:t>
            </w:r>
          </w:p>
        </w:tc>
      </w:tr>
      <w:tr>
        <w:trPr>
          <w:trHeight w:val="392"/>
        </w:trPr>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ind w:left="2540"/>
              <w:spacing w:after="0"/>
              <w:rPr>
                <w:sz w:val="20"/>
                <w:szCs w:val="20"/>
                <w:color w:val="auto"/>
              </w:rPr>
            </w:pPr>
            <w:r>
              <w:rPr>
                <w:rFonts w:ascii="Arial" w:cs="Arial" w:eastAsia="Arial" w:hAnsi="Arial"/>
                <w:sz w:val="18"/>
                <w:szCs w:val="18"/>
                <w:color w:val="auto"/>
              </w:rPr>
              <w:t>F-1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27" w:name="page128"/>
    <w:bookmarkEnd w:id="127"/>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ind w:left="460"/>
        <w:spacing w:after="0"/>
        <w:rPr>
          <w:sz w:val="20"/>
          <w:szCs w:val="20"/>
          <w:color w:val="auto"/>
        </w:rPr>
      </w:pPr>
      <w:r>
        <w:rPr>
          <w:rFonts w:ascii="Arial" w:cs="Arial" w:eastAsia="Arial" w:hAnsi="Arial"/>
          <w:sz w:val="18"/>
          <w:szCs w:val="18"/>
          <w:color w:val="auto"/>
        </w:rPr>
        <w:t>FS Development Corp.</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3"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color w:val="auto"/>
        </w:rPr>
        <w:t>We have audited the accompanying balance sheet of FS Development Corp. (the “Company”) as of June 30, 2020, the related statements of operations, changes in stockholder’s equity and cash flows for the period from June 25,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25, 2020 (inception) through June 30, 2020, in conformity with accounting principles generally accepted in the United States of America.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left="460" w:right="759"/>
        <w:spacing w:after="0" w:line="25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ind w:left="460"/>
        <w:spacing w:after="0"/>
        <w:rPr>
          <w:sz w:val="20"/>
          <w:szCs w:val="20"/>
          <w:color w:val="auto"/>
        </w:rPr>
      </w:pPr>
      <w:r>
        <w:rPr>
          <w:rFonts w:ascii="Arial" w:cs="Arial" w:eastAsia="Arial" w:hAnsi="Arial"/>
          <w:sz w:val="18"/>
          <w:szCs w:val="18"/>
          <w:color w:val="auto"/>
        </w:rPr>
        <w:t>August 11, 2020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Current assets: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associated with proposed public offering</w:t>
            </w:r>
          </w:p>
        </w:tc>
        <w:tc>
          <w:tcPr>
            <w:tcW w:w="3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120" w:type="dxa"/>
            <w:vAlign w:val="bottom"/>
            <w:shd w:val="clear" w:color="auto" w:fill="CCEEFF"/>
          </w:tcPr>
          <w:p>
            <w:pPr>
              <w:spacing w:after="0"/>
              <w:rPr>
                <w:sz w:val="24"/>
                <w:szCs w:val="24"/>
                <w:color w:val="auto"/>
              </w:rPr>
            </w:pPr>
          </w:p>
        </w:tc>
      </w:tr>
      <w:tr>
        <w:trPr>
          <w:trHeight w:val="290"/>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78,000</w:t>
            </w:r>
          </w:p>
        </w:tc>
      </w:tr>
      <w:tr>
        <w:trPr>
          <w:trHeight w:val="366"/>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120" w:type="dxa"/>
            <w:vAlign w:val="bottom"/>
            <w:shd w:val="clear" w:color="auto" w:fill="CCEEFF"/>
          </w:tcPr>
          <w:p>
            <w:pPr>
              <w:spacing w:after="0"/>
              <w:rPr>
                <w:sz w:val="24"/>
                <w:szCs w:val="24"/>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54,500</w:t>
            </w:r>
          </w:p>
        </w:tc>
      </w:tr>
      <w:tr>
        <w:trPr>
          <w:trHeight w:val="385"/>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378"/>
        </w:trPr>
        <w:tc>
          <w:tcPr>
            <w:tcW w:w="6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$0.0001 par value; 1,000,000 shares authorized; none issued and</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rPr>
              <w:t>Class A common stock, $0.0001 par value; 100,000,000 shares authorized; none</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6900" w:type="dxa"/>
            <w:vAlign w:val="bottom"/>
          </w:tcPr>
          <w:p>
            <w:pPr>
              <w:ind w:left="180"/>
              <w:spacing w:after="0"/>
              <w:rPr>
                <w:sz w:val="20"/>
                <w:szCs w:val="20"/>
                <w:color w:val="auto"/>
              </w:rPr>
            </w:pPr>
            <w:r>
              <w:rPr>
                <w:rFonts w:ascii="Arial" w:cs="Arial" w:eastAsia="Arial" w:hAnsi="Arial"/>
                <w:sz w:val="18"/>
                <w:szCs w:val="18"/>
                <w:color w:val="auto"/>
              </w:rPr>
              <w:t>issued and outstanding</w:t>
            </w:r>
          </w:p>
        </w:tc>
        <w:tc>
          <w:tcPr>
            <w:tcW w:w="3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 $0.0001 par value; 10,000,000 shares authorized; 3,018,750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4"/>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w:t>
            </w:r>
            <w:r>
              <w:rPr>
                <w:rFonts w:ascii="Arial" w:cs="Arial" w:eastAsia="Arial" w:hAnsi="Arial"/>
                <w:sz w:val="20"/>
                <w:szCs w:val="20"/>
                <w:color w:val="auto"/>
                <w:vertAlign w:val="superscript"/>
              </w:rPr>
              <w:t>(1)(2)</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24,698</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4"/>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r>
      <w:tr>
        <w:trPr>
          <w:trHeight w:val="257"/>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tcBorders>
              <w:bottom w:val="single" w:sz="8" w:color="CCEEFF"/>
            </w:tcBorders>
          </w:tcPr>
          <w:p>
            <w:pPr>
              <w:spacing w:after="0"/>
              <w:rPr>
                <w:sz w:val="22"/>
                <w:szCs w:val="22"/>
                <w:color w:val="auto"/>
              </w:rPr>
            </w:pPr>
          </w:p>
        </w:tc>
      </w:tr>
      <w:tr>
        <w:trPr>
          <w:trHeight w:val="257"/>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78,000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479" w:hanging="426"/>
        <w:spacing w:after="0" w:line="216" w:lineRule="auto"/>
        <w:tabs>
          <w:tab w:leader="none" w:pos="845"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This number includes up to 393,750 shares of Class B common stock subject to forfeiture by our sponsor if the over-allotment option is not exercised in full or in part by the underwriters.</w:t>
      </w:r>
    </w:p>
    <w:p>
      <w:pPr>
        <w:ind w:left="880" w:right="539" w:hanging="426"/>
        <w:spacing w:after="0" w:line="230" w:lineRule="auto"/>
        <w:tabs>
          <w:tab w:leader="none" w:pos="845"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shares and the associated amounts have been retroactively restated to reflect a 1:1.05 stock split of each outstanding share of Class B common stock in August 2020 (see Note 4).</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line="224" w:lineRule="exact"/>
              <w:rPr>
                <w:sz w:val="20"/>
                <w:szCs w:val="20"/>
                <w:color w:val="auto"/>
              </w:rPr>
            </w:pPr>
            <w:r>
              <w:rPr>
                <w:rFonts w:ascii="Arial" w:cs="Arial" w:eastAsia="Arial" w:hAnsi="Arial"/>
                <w:sz w:val="18"/>
                <w:szCs w:val="18"/>
                <w:b w:val="1"/>
                <w:bCs w:val="1"/>
                <w:color w:val="auto"/>
              </w:rPr>
              <w:t>Weighted average shares outstanding, basic and diluted</w:t>
            </w:r>
            <w:r>
              <w:rPr>
                <w:rFonts w:ascii="Arial" w:cs="Arial" w:eastAsia="Arial" w:hAnsi="Arial"/>
                <w:sz w:val="20"/>
                <w:szCs w:val="20"/>
                <w:b w:val="1"/>
                <w:bCs w:val="1"/>
                <w:color w:val="auto"/>
                <w:vertAlign w:val="superscript"/>
              </w:rPr>
              <w:t>(1)(2)</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9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739" w:hanging="426"/>
        <w:spacing w:after="0" w:line="216" w:lineRule="auto"/>
        <w:tabs>
          <w:tab w:leader="none" w:pos="845"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This number excludes an aggregate of up to 393,750 shares of Class B common stock subject to forfeiture by our sponsor if the over-allotment option is not exercised in full or in part by the underwriters.</w:t>
      </w:r>
    </w:p>
    <w:p>
      <w:pPr>
        <w:ind w:left="880" w:right="539" w:hanging="426"/>
        <w:spacing w:after="0" w:line="230" w:lineRule="auto"/>
        <w:tabs>
          <w:tab w:leader="none" w:pos="845"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shares and the associated amounts have been retroactively restated to reflect a 1:1.05 stock split of each outstanding share of Class B common stock in August 2020 (see Note 4).</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jc w:val="center"/>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000" w:type="dxa"/>
            <w:vAlign w:val="bottom"/>
            <w:gridSpan w:val="3"/>
          </w:tcPr>
          <w:p>
            <w:pPr>
              <w:ind w:left="440"/>
              <w:spacing w:after="0"/>
              <w:rPr>
                <w:sz w:val="20"/>
                <w:szCs w:val="20"/>
                <w:color w:val="auto"/>
              </w:rPr>
            </w:pPr>
            <w:r>
              <w:rPr>
                <w:rFonts w:ascii="Arial" w:cs="Arial" w:eastAsia="Arial" w:hAnsi="Arial"/>
                <w:sz w:val="14"/>
                <w:szCs w:val="14"/>
                <w:b w:val="1"/>
                <w:bCs w:val="1"/>
                <w:color w:val="auto"/>
              </w:rPr>
              <w:t>Class A</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Class B</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1500" w:type="dxa"/>
            <w:vAlign w:val="bottom"/>
            <w:gridSpan w:val="5"/>
          </w:tcPr>
          <w:p>
            <w:pPr>
              <w:ind w:left="100"/>
              <w:spacing w:after="0"/>
              <w:rPr>
                <w:sz w:val="20"/>
                <w:szCs w:val="20"/>
                <w:color w:val="auto"/>
              </w:rPr>
            </w:pPr>
            <w:r>
              <w:rPr>
                <w:rFonts w:ascii="Arial" w:cs="Arial" w:eastAsia="Arial" w:hAnsi="Arial"/>
                <w:sz w:val="14"/>
                <w:szCs w:val="14"/>
                <w:b w:val="1"/>
                <w:bCs w:val="1"/>
                <w:color w:val="auto"/>
              </w:rPr>
              <w:t>Shares   Amount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80" w:type="dxa"/>
            <w:vAlign w:val="bottom"/>
            <w:shd w:val="clear" w:color="auto" w:fill="CCEEFF"/>
          </w:tcPr>
          <w:p>
            <w:pPr>
              <w:spacing w:after="0" w:line="160" w:lineRule="exact"/>
              <w:rPr>
                <w:sz w:val="20"/>
                <w:szCs w:val="20"/>
                <w:color w:val="auto"/>
              </w:rPr>
            </w:pPr>
            <w:r>
              <w:rPr>
                <w:rFonts w:ascii="Arial" w:cs="Arial" w:eastAsia="Arial" w:hAnsi="Arial"/>
                <w:sz w:val="18"/>
                <w:szCs w:val="18"/>
                <w:b w:val="1"/>
                <w:bCs w:val="1"/>
                <w:color w:val="auto"/>
              </w:rPr>
              <w:t>Balance – June 25,</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 (inception)</w:t>
            </w:r>
          </w:p>
        </w:tc>
        <w:tc>
          <w:tcPr>
            <w:tcW w:w="10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4"/>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 $</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Issuance of Class B</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ind w:left="180"/>
              <w:spacing w:after="0" w:line="202" w:lineRule="exact"/>
              <w:rPr>
                <w:sz w:val="20"/>
                <w:szCs w:val="20"/>
                <w:color w:val="auto"/>
              </w:rPr>
            </w:pPr>
            <w:r>
              <w:rPr>
                <w:rFonts w:ascii="Arial" w:cs="Arial" w:eastAsia="Arial" w:hAnsi="Arial"/>
                <w:sz w:val="18"/>
                <w:szCs w:val="18"/>
                <w:color w:val="auto"/>
              </w:rPr>
              <w:t>common stock to</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80" w:type="dxa"/>
            <w:vAlign w:val="bottom"/>
          </w:tcPr>
          <w:p>
            <w:pPr>
              <w:ind w:left="180"/>
              <w:spacing w:after="0"/>
              <w:rPr>
                <w:sz w:val="20"/>
                <w:szCs w:val="20"/>
                <w:color w:val="auto"/>
              </w:rPr>
            </w:pPr>
            <w:r>
              <w:rPr>
                <w:rFonts w:ascii="Arial" w:cs="Arial" w:eastAsia="Arial" w:hAnsi="Arial"/>
                <w:sz w:val="18"/>
                <w:szCs w:val="18"/>
                <w:color w:val="auto"/>
              </w:rPr>
              <w:t xml:space="preserve">Sponsor </w:t>
            </w:r>
            <w:r>
              <w:rPr>
                <w:rFonts w:ascii="Arial" w:cs="Arial" w:eastAsia="Arial" w:hAnsi="Arial"/>
                <w:sz w:val="20"/>
                <w:szCs w:val="20"/>
                <w:color w:val="auto"/>
                <w:vertAlign w:val="superscript"/>
              </w:rPr>
              <w:t>(1)(2)</w:t>
            </w:r>
          </w:p>
        </w:tc>
        <w:tc>
          <w:tcPr>
            <w:tcW w:w="10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3,018,750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24,698</w:t>
            </w:r>
          </w:p>
        </w:tc>
        <w:tc>
          <w:tcPr>
            <w:tcW w:w="16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160"/>
        </w:trPr>
        <w:tc>
          <w:tcPr>
            <w:tcW w:w="2080" w:type="dxa"/>
            <w:vAlign w:val="bottom"/>
          </w:tcPr>
          <w:p>
            <w:pPr>
              <w:spacing w:after="0" w:line="160" w:lineRule="exact"/>
              <w:rPr>
                <w:sz w:val="20"/>
                <w:szCs w:val="20"/>
                <w:color w:val="auto"/>
              </w:rPr>
            </w:pPr>
            <w:r>
              <w:rPr>
                <w:rFonts w:ascii="Arial" w:cs="Arial" w:eastAsia="Arial" w:hAnsi="Arial"/>
                <w:sz w:val="18"/>
                <w:szCs w:val="18"/>
                <w:b w:val="1"/>
                <w:bCs w:val="1"/>
                <w:color w:val="auto"/>
              </w:rPr>
              <w:t>Balance – June 30,</w:t>
            </w: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8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1000" w:type="dxa"/>
            <w:vAlign w:val="bottom"/>
            <w:gridSpan w:val="3"/>
          </w:tcPr>
          <w:p>
            <w:pPr>
              <w:ind w:left="480"/>
              <w:spacing w:after="0"/>
              <w:rPr>
                <w:sz w:val="20"/>
                <w:szCs w:val="20"/>
                <w:color w:val="auto"/>
              </w:rPr>
            </w:pPr>
            <w:r>
              <w:rPr>
                <w:rFonts w:ascii="Arial" w:cs="Arial" w:eastAsia="Arial" w:hAnsi="Arial"/>
                <w:sz w:val="18"/>
                <w:szCs w:val="18"/>
                <w:b w:val="1"/>
                <w:bCs w:val="1"/>
                <w:color w:val="auto"/>
              </w:rPr>
              <w:t>— $</w:t>
            </w:r>
          </w:p>
        </w:tc>
        <w:tc>
          <w:tcPr>
            <w:tcW w:w="50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3,018,750</w:t>
            </w:r>
          </w:p>
        </w:tc>
        <w:tc>
          <w:tcPr>
            <w:tcW w:w="32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24,698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23,500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479" w:hanging="426"/>
        <w:spacing w:after="0" w:line="216" w:lineRule="auto"/>
        <w:tabs>
          <w:tab w:leader="none" w:pos="845"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This number includes up to 393,750 shares of Class B common stock subject to forfeiture by our sponsor if the over-allotment option is not exercised in full or in part by the underwriters.</w:t>
      </w:r>
    </w:p>
    <w:p>
      <w:pPr>
        <w:ind w:left="880" w:right="539" w:hanging="426"/>
        <w:spacing w:after="0" w:line="230" w:lineRule="auto"/>
        <w:tabs>
          <w:tab w:leader="none" w:pos="845"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shares and the associated amounts have been retroactively restated to reflect a 1:1.05 stock split of each outstanding share of Class B common stock in August 2020 (see Note 4).</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jc w:val="center"/>
        <w:ind w:right="19"/>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p>
      <w:pPr>
        <w:spacing w:after="0" w:line="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issuance of Class B common stock to Sponsor</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37465</wp:posOffset>
            </wp:positionV>
            <wp:extent cx="5143500" cy="265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265430"/>
                    </a:xfrm>
                    <a:prstGeom prst="rect">
                      <a:avLst/>
                    </a:prstGeom>
                    <a:noFill/>
                  </pic:spPr>
                </pic:pic>
              </a:graphicData>
            </a:graphic>
          </wp:anchor>
        </w:drawing>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increase in cash</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37465</wp:posOffset>
            </wp:positionV>
            <wp:extent cx="514350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end of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37465</wp:posOffset>
            </wp:positionV>
            <wp:extent cx="5143500"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769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57"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25,000</w:t>
      </w:r>
    </w:p>
    <w:p>
      <w:pPr>
        <w:spacing w:after="0" w:line="198"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25,000</w:t>
      </w:r>
    </w:p>
    <w:p>
      <w:pPr>
        <w:spacing w:after="0" w:line="212"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w:t>
      </w:r>
    </w:p>
    <w:p>
      <w:pPr>
        <w:spacing w:after="0" w:line="55" w:lineRule="exact"/>
        <w:rPr>
          <w:sz w:val="20"/>
          <w:szCs w:val="20"/>
          <w:color w:val="auto"/>
        </w:rPr>
      </w:pPr>
    </w:p>
    <w:p>
      <w:pPr>
        <w:ind w:left="520" w:hanging="514"/>
        <w:spacing w:after="0"/>
        <w:tabs>
          <w:tab w:leader="none" w:pos="5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6769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2">
            <w:col w:w="6640" w:space="720"/>
            <w:col w:w="1659"/>
          </w:cols>
          <w:pgMar w:left="1440" w:top="333" w:right="1440" w:bottom="1440" w:gutter="0" w:footer="0" w:header="0"/>
          <w:type w:val="continuous"/>
        </w:sectPr>
      </w:pPr>
    </w:p>
    <w:p>
      <w:pPr>
        <w:ind w:left="640"/>
        <w:spacing w:after="0"/>
        <w:tabs>
          <w:tab w:leader="none" w:pos="7340" w:val="left"/>
          <w:tab w:leader="none" w:pos="7860" w:val="left"/>
        </w:tabs>
        <w:rPr>
          <w:sz w:val="20"/>
          <w:szCs w:val="20"/>
          <w:color w:val="auto"/>
        </w:rPr>
      </w:pPr>
      <w:r>
        <w:rPr>
          <w:rFonts w:ascii="Arial" w:cs="Arial" w:eastAsia="Arial" w:hAnsi="Arial"/>
          <w:sz w:val="18"/>
          <w:szCs w:val="18"/>
          <w:color w:val="auto"/>
        </w:rPr>
        <w:t>Deferred offering costs included in accrued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Business Operations and Basis of Presentation</w:t>
      </w:r>
    </w:p>
    <w:p>
      <w:pPr>
        <w:spacing w:after="0" w:line="166" w:lineRule="exact"/>
        <w:rPr>
          <w:sz w:val="20"/>
          <w:szCs w:val="20"/>
          <w:color w:val="auto"/>
        </w:rPr>
      </w:pPr>
    </w:p>
    <w:p>
      <w:pPr>
        <w:ind w:left="460" w:right="519"/>
        <w:spacing w:after="0" w:line="255" w:lineRule="auto"/>
        <w:rPr>
          <w:sz w:val="20"/>
          <w:szCs w:val="20"/>
          <w:color w:val="auto"/>
        </w:rPr>
      </w:pPr>
      <w:r>
        <w:rPr>
          <w:rFonts w:ascii="Arial" w:cs="Arial" w:eastAsia="Arial" w:hAnsi="Arial"/>
          <w:sz w:val="17"/>
          <w:szCs w:val="17"/>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09"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As of June 30, 2020, the Company had not commenced any operations. All activity for the period from June 25, 2020 (inception) through June 30,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3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Company’s sponsor is FS Development Holdings, LLC, a Delaware limited liability company (the “Sponsor”). The Company’s ability to commence operations is contingent upon obtaining adequate financial resources through a proposed public offering (the “Proposed Public Offering”) of 10,500,000 shares of Class A common stock (each, a “Public Share” and collectively, the “Public Shares”) at $10.00 per share (or 12,075,000 shares if the underwriters’ over-allotment option is exercised in full), which is discussed in Note 3, and the sale of 410,000 shares of Class A common stock (or 441,500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38" w:lineRule="exact"/>
        <w:rPr>
          <w:sz w:val="20"/>
          <w:szCs w:val="20"/>
          <w:color w:val="auto"/>
        </w:rPr>
      </w:pPr>
    </w:p>
    <w:p>
      <w:pPr>
        <w:ind w:left="460" w:right="479"/>
        <w:spacing w:after="0" w:line="249"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share sold in the Proposed Public Offering, including the proceeds from the sale of the Private Placement Shares to the Sponsor, will be held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33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9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classified as temporary equity upon the completion of the Proposed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45"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35"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2" w:lineRule="exact"/>
        <w:rPr>
          <w:sz w:val="20"/>
          <w:szCs w:val="20"/>
          <w:color w:val="auto"/>
        </w:rPr>
      </w:pPr>
    </w:p>
    <w:p>
      <w:pPr>
        <w:ind w:left="460" w:right="539"/>
        <w:spacing w:after="0" w:line="251"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9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35" w:lineRule="exact"/>
        <w:rPr>
          <w:sz w:val="20"/>
          <w:szCs w:val="20"/>
          <w:color w:val="auto"/>
        </w:rPr>
      </w:pPr>
    </w:p>
    <w:p>
      <w:pPr>
        <w:ind w:left="460" w:right="639"/>
        <w:spacing w:after="0" w:line="253"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issuance of these financial statements.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53"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limit of $250,000. At June 30, 2020, the Company has not experienced losses on these accounts and management believes the Company is not exposed to significant risks on such accounts.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3" w:lineRule="exact"/>
        <w:rPr>
          <w:sz w:val="20"/>
          <w:szCs w:val="20"/>
          <w:color w:val="auto"/>
        </w:rPr>
      </w:pPr>
    </w:p>
    <w:p>
      <w:pPr>
        <w:jc w:val="both"/>
        <w:ind w:left="460" w:right="799"/>
        <w:spacing w:after="0"/>
        <w:rPr>
          <w:sz w:val="20"/>
          <w:szCs w:val="20"/>
          <w:color w:val="auto"/>
        </w:rPr>
      </w:pPr>
      <w:r>
        <w:rPr>
          <w:rFonts w:ascii="Arial" w:cs="Arial" w:eastAsia="Arial" w:hAnsi="Arial"/>
          <w:sz w:val="18"/>
          <w:szCs w:val="18"/>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 Associated with the Proposed Public Offering</w:t>
      </w:r>
    </w:p>
    <w:p>
      <w:pPr>
        <w:spacing w:after="0" w:line="166"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loss per share is computed by dividing net loss by the weighted average number of shares of common stock outstanding during the period, excluding common stock subject to forfeiture. Weighted average shares at June 30, 2020 were reduced for the effect of an aggregate of 393,750 shares of Class B common stock that are subject to forfeiture by our sponsor if the over-allotment option is not exercised in full or in part by the underwriters (see Note 6).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June 30, 2020.</w:t>
      </w:r>
    </w:p>
    <w:p>
      <w:pPr>
        <w:spacing w:after="0" w:line="13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 recognizes accrued interest and penalties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93"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related to unrecognized tax benefits as income tax expense. No amounts were accrued for the payment of interest and penalties as of June 30,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June 30, 2020.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6"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The Company’s management does not believe that any recently issued, but not yet effective, accounting standards if currently adopted would have a material effect on the accompanying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66"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Pursuant to the Proposed Public Offering, the Company intends to offer for sale 10,500,000 shares of Class A Common stock at a price of $10.00 per share.</w:t>
      </w:r>
    </w:p>
    <w:p>
      <w:pPr>
        <w:spacing w:after="0" w:line="11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Company will grant the underwriters a 45-day option from the date of the final prospectus relating to the Proposed Public Offering to purchase up to 1,575,000 additional shares to cover over-allotments, if any, at the Proposed Public Offering price, less underwriting discounts and commissions.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Related Party Transactions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has agreed to forfeit up to 393,750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of common stock after the Proposed Public Offering (excluding the Private Placement Shares).</w:t>
      </w:r>
    </w:p>
    <w:p>
      <w:pPr>
        <w:spacing w:after="0" w:line="10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Sponsor has agreed to purchase an aggregate of 410,000 Private Placement Shares (or 441,500 Private Placement Shares if the underwriters’ over-allotment option is exercised in full), at a price of $10.00 per Private Placement Share ($4,100,000 in the aggregate, or $ 4,415,000 if the underwriters’ over-allotment option is exercised in full) in a private placement that will occur simultaneously with the closing of the Proposed Public Offering.</w:t>
      </w:r>
    </w:p>
    <w:p>
      <w:pPr>
        <w:spacing w:after="0" w:line="10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Initial Stockholders has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our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Related Party Transactions </w:t>
      </w:r>
      <w:r>
        <w:rPr>
          <w:rFonts w:ascii="Arial" w:cs="Arial" w:eastAsia="Arial" w:hAnsi="Arial"/>
          <w:sz w:val="18"/>
          <w:szCs w:val="18"/>
          <w:color w:val="auto"/>
        </w:rPr>
        <w:t>(cont.)</w:t>
      </w:r>
    </w:p>
    <w:p>
      <w:pPr>
        <w:spacing w:after="0" w:line="193"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which results in the Company’s stockholders having the right to exchange their shares for cash, securities or other property, the Founder Shares and Private Placement Shares will be released from the lock-up.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6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On June 30, 2020, the Sponsor agreed to loan the Company an aggregate of up to $ 200,000 to cover expenses related to the Proposed Public Offering pursuant to a promissory note (the “Note”). This loan is non-interest bearing and payable on the earlier of December 31, 2020 or the completion of the Proposed Public Offering. As of June 30, 2020, the Company has not borrowed any amount under the Note. Subsequent to June 30, 2020, the Company received $200,000 in loan proceeds under the Note.</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of Common Stock in connection with initial Business Combination</w:t>
      </w:r>
    </w:p>
    <w:p>
      <w:pPr>
        <w:spacing w:after="0" w:line="153" w:lineRule="exact"/>
        <w:rPr>
          <w:sz w:val="20"/>
          <w:szCs w:val="20"/>
          <w:color w:val="auto"/>
        </w:rPr>
      </w:pPr>
    </w:p>
    <w:p>
      <w:pPr>
        <w:ind w:left="460" w:right="519"/>
        <w:spacing w:after="0" w:line="252" w:lineRule="auto"/>
        <w:rPr>
          <w:sz w:val="20"/>
          <w:szCs w:val="20"/>
          <w:color w:val="auto"/>
        </w:rPr>
      </w:pPr>
      <w:r>
        <w:rPr>
          <w:rFonts w:ascii="Arial" w:cs="Arial" w:eastAsia="Arial" w:hAnsi="Arial"/>
          <w:sz w:val="17"/>
          <w:szCs w:val="17"/>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66"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53"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The underwriters are entitled to an underwriting discount of $0.20 per share, or $2,100,000 in the aggregate (or $2,415,000 in the aggregate if the underwriters’ over-allotment option is exercised in full), payable upon the closing of the Proposed Public Offering. $0.35 per share, or $3,675,000 in the aggregate (or $4,226,250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6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Stockholder’s Equity</w:t>
      </w:r>
    </w:p>
    <w:p>
      <w:pPr>
        <w:spacing w:after="0" w:line="131" w:lineRule="exact"/>
        <w:rPr>
          <w:sz w:val="20"/>
          <w:szCs w:val="20"/>
          <w:color w:val="auto"/>
        </w:rPr>
      </w:pPr>
    </w:p>
    <w:p>
      <w:pPr>
        <w:ind w:left="460" w:right="699"/>
        <w:spacing w:after="0" w:line="253"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As of June 30, 2020, there were no shares of Class A common stock issued or outstanding.</w:t>
      </w:r>
    </w:p>
    <w:p>
      <w:pPr>
        <w:spacing w:after="0" w:line="101"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 shares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will collectively own 20% of the Company’s issued and outstanding common stock (excluding the Private Placement Shares) after the Proposed Public Offering (excluding the Private Placement Shares). All shares and the associated amounts have been retroactively restated to reflect the aforementioned stock split.</w:t>
      </w:r>
    </w:p>
    <w:p>
      <w:pPr>
        <w:spacing w:after="0" w:line="140"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22"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Stockholder’s Equity </w:t>
      </w:r>
      <w:r>
        <w:rPr>
          <w:rFonts w:ascii="Arial" w:cs="Arial" w:eastAsia="Arial" w:hAnsi="Arial"/>
          <w:sz w:val="18"/>
          <w:szCs w:val="18"/>
          <w:color w:val="auto"/>
        </w:rPr>
        <w:t>(cont.)</w:t>
      </w:r>
    </w:p>
    <w:p>
      <w:pPr>
        <w:spacing w:after="0" w:line="19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6" w:lineRule="exact"/>
        <w:rPr>
          <w:sz w:val="20"/>
          <w:szCs w:val="20"/>
          <w:color w:val="auto"/>
        </w:rPr>
      </w:pPr>
    </w:p>
    <w:p>
      <w:pPr>
        <w:ind w:left="460" w:right="599"/>
        <w:spacing w:after="0" w:line="24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$0.0001 per share, with such designations, voting and other rights and preferences as may be determined from time to time by the Company’s board of directors. As of June 30, 2020, there were no shares of preferred stock issued or outstanding.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Subsequent Events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to June 30, 2020, the Company received $200,000 in loan proceeds under the Note.</w:t>
      </w:r>
    </w:p>
    <w:p>
      <w:pPr>
        <w:spacing w:after="0" w:line="131"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On July 24, 2020, the Sponsor transferred 30,000 Founder Shares to each of its independent director nominees at their original per-share purchase price, for an aggregate of 90,000 Founder Shares transferred.</w:t>
      </w:r>
    </w:p>
    <w:p>
      <w:pPr>
        <w:spacing w:after="0" w:line="135" w:lineRule="exact"/>
        <w:rPr>
          <w:sz w:val="20"/>
          <w:szCs w:val="20"/>
          <w:color w:val="auto"/>
        </w:rPr>
      </w:pPr>
    </w:p>
    <w:p>
      <w:pPr>
        <w:ind w:left="460" w:right="759"/>
        <w:spacing w:after="0" w:line="238" w:lineRule="auto"/>
        <w:rPr>
          <w:sz w:val="20"/>
          <w:szCs w:val="20"/>
          <w:color w:val="auto"/>
        </w:rPr>
      </w:pPr>
      <w:r>
        <w:rPr>
          <w:rFonts w:ascii="Arial" w:cs="Arial" w:eastAsia="Arial" w:hAnsi="Arial"/>
          <w:sz w:val="18"/>
          <w:szCs w:val="18"/>
          <w:color w:val="auto"/>
        </w:rPr>
        <w:t>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w:t>
      </w:r>
    </w:p>
    <w:p>
      <w:pPr>
        <w:spacing w:after="0" w:line="137"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Company evaluated subsequent events and transactions that occurred after the balance through the date that the financial statements were available to be issued. Based on this review, except as noted above, the Company did not identify any subsequent events that would have required adjustment or disclosure in the financial statements.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1202690</wp:posOffset>
            </wp:positionH>
            <wp:positionV relativeFrom="page">
              <wp:posOffset>131445</wp:posOffset>
            </wp:positionV>
            <wp:extent cx="514350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25400"/>
                    </a:xfrm>
                    <a:prstGeom prst="rect">
                      <a:avLst/>
                    </a:prstGeom>
                    <a:noFill/>
                  </pic:spPr>
                </pic:pic>
              </a:graphicData>
            </a:graphic>
          </wp:anchor>
        </w:drawing>
        <w:t>10,500,000 Shares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FS Development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______________________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PROSPECTUS</w:t>
      </w:r>
    </w:p>
    <w:p>
      <w:pPr>
        <w:spacing w:after="0" w:line="1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Until September 5, 2020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02" w:lineRule="exact"/>
        <w:rPr>
          <w:sz w:val="20"/>
          <w:szCs w:val="20"/>
          <w:color w:val="auto"/>
        </w:rPr>
      </w:pPr>
    </w:p>
    <w:p>
      <w:pPr>
        <w:ind w:left="460" w:right="599"/>
        <w:spacing w:after="0" w:line="259" w:lineRule="auto"/>
        <w:rPr>
          <w:sz w:val="20"/>
          <w:szCs w:val="20"/>
          <w:color w:val="auto"/>
        </w:rPr>
      </w:pPr>
      <w:r>
        <w:rPr>
          <w:rFonts w:ascii="Arial" w:cs="Arial" w:eastAsia="Arial" w:hAnsi="Arial"/>
          <w:sz w:val="17"/>
          <w:szCs w:val="17"/>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98" w:lineRule="exact"/>
        <w:rPr>
          <w:sz w:val="20"/>
          <w:szCs w:val="20"/>
          <w:color w:val="auto"/>
        </w:rPr>
      </w:pPr>
    </w:p>
    <w:p>
      <w:pPr>
        <w:ind w:left="460" w:right="499"/>
        <w:spacing w:after="0"/>
        <w:rPr>
          <w:sz w:val="20"/>
          <w:szCs w:val="20"/>
          <w:color w:val="auto"/>
        </w:rPr>
      </w:pPr>
      <w:r>
        <w:rPr>
          <w:rFonts w:ascii="Arial" w:cs="Arial" w:eastAsia="Arial" w:hAnsi="Arial"/>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328930</wp:posOffset>
            </wp:positionV>
            <wp:extent cx="514350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371475</wp:posOffset>
            </wp:positionV>
            <wp:extent cx="514350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645795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7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1"/>
      <w:numFmt w:val="upperLetter"/>
      <w:start w:val="35"/>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1)"/>
      <w:numFmt w:val="decimal"/>
      <w:start w:val="2"/>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1)"/>
      <w:numFmt w:val="decimal"/>
      <w:start w:val="2"/>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lowerRoman"/>
      <w:start w:val="3"/>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1)"/>
      <w:numFmt w:val="lowerRoman"/>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lowerRoman"/>
      <w:start w:val="2"/>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1)"/>
      <w:numFmt w:val="lowerRoman"/>
      <w:start w:val="2"/>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decimal"/>
      <w:start w:val="4"/>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upperLetter"/>
      <w:start w:val="1"/>
    </w:lvl>
  </w:abstractNum>
  <w:abstractNum w:abstractNumId="55">
    <w:nsid w:val="98A3148"/>
    <w:multiLevelType w:val="hybridMultilevel"/>
    <w:lvl w:ilvl="0">
      <w:lvlJc w:val="left"/>
      <w:lvlText w:val="(%1)"/>
      <w:numFmt w:val="lowerRoman"/>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1)"/>
      <w:numFmt w:val="lowerRoman"/>
      <w:start w:val="1"/>
    </w:lvl>
  </w:abstractNum>
  <w:abstractNum w:abstractNumId="58">
    <w:nsid w:val="42C296BD"/>
    <w:multiLevelType w:val="hybridMultilevel"/>
    <w:lvl w:ilvl="0">
      <w:lvlJc w:val="left"/>
      <w:lvlText w:val="(%1)"/>
      <w:numFmt w:val="lowerRoman"/>
      <w:start w:val="3"/>
    </w:lvl>
  </w:abstractNum>
  <w:abstractNum w:abstractNumId="59">
    <w:nsid w:val="168E121F"/>
    <w:multiLevelType w:val="hybridMultilevel"/>
    <w:lvl w:ilvl="0">
      <w:lvlJc w:val="left"/>
      <w:lvlText w:val="•"/>
      <w:numFmt w:val="bullet"/>
      <w:start w:val="1"/>
    </w:lvl>
    <w:lvl w:ilvl="1">
      <w:lvlJc w:val="left"/>
      <w:lvlText w:val="(%2)"/>
      <w:numFmt w:val="lowerLetter"/>
      <w:start w:val="35"/>
    </w:lvl>
  </w:abstractNum>
  <w:abstractNum w:abstractNumId="60">
    <w:nsid w:val="1EBA5D23"/>
    <w:multiLevelType w:val="hybridMultilevel"/>
    <w:lvl w:ilvl="0">
      <w:lvlJc w:val="left"/>
      <w:lvlText w:val="•"/>
      <w:numFmt w:val="bullet"/>
      <w:start w:val="1"/>
    </w:lvl>
    <w:lvl w:ilvl="1">
      <w:lvlJc w:val="left"/>
      <w:lvlText w:val="(%2)"/>
      <w:numFmt w:val="lowerLetter"/>
      <w:start w:val="25"/>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lowerRoman"/>
      <w:start w:val="2"/>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1)"/>
      <w:numFmt w:val="lowerRoman"/>
      <w:start w:val="2"/>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emdash "/>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emdash "/>
      <w:numFmt w:val="bullet"/>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decimal"/>
      <w:start w:val="2"/>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lowerLetter"/>
      <w:start w:val="2"/>
    </w:lvl>
  </w:abstractNum>
  <w:abstractNum w:abstractNumId="77">
    <w:nsid w:val="6A5EE64"/>
    <w:multiLevelType w:val="hybridMultilevel"/>
    <w:lvl w:ilvl="0">
      <w:lvlJc w:val="left"/>
      <w:lvlText w:val="(%1)"/>
      <w:numFmt w:val="lowerLetter"/>
      <w:start w:val="1"/>
    </w:lvl>
  </w:abstractNum>
  <w:abstractNum w:abstractNumId="78">
    <w:nsid w:val="14330624"/>
    <w:multiLevelType w:val="hybridMultilevel"/>
    <w:lvl w:ilvl="0">
      <w:lvlJc w:val="left"/>
      <w:lvlText w:val="(%1)"/>
      <w:numFmt w:val="lowerRoman"/>
      <w:start w:val="2"/>
    </w:lvl>
  </w:abstractNum>
  <w:abstractNum w:abstractNumId="79">
    <w:nsid w:val="7FFFCA11"/>
    <w:multiLevelType w:val="hybridMultilevel"/>
    <w:lvl w:ilvl="0">
      <w:lvlJc w:val="left"/>
      <w:lvlText w:val="(%1)"/>
      <w:numFmt w:val="lowerRoman"/>
      <w:start w:val="3"/>
    </w:lvl>
  </w:abstractNum>
  <w:abstractNum w:abstractNumId="80">
    <w:nsid w:val="1A27709E"/>
    <w:multiLevelType w:val="hybridMultilevel"/>
    <w:lvl w:ilvl="0">
      <w:lvlJc w:val="left"/>
      <w:lvlText w:val="(%1)"/>
      <w:numFmt w:val="lowerLetter"/>
      <w:start w:val="1"/>
    </w:lvl>
    <w:lvl w:ilvl="1">
      <w:lvlJc w:val="left"/>
      <w:lvlText w:val="•"/>
      <w:numFmt w:val="bullet"/>
      <w:start w:val="1"/>
    </w:lvl>
  </w:abstractNum>
  <w:abstractNum w:abstractNumId="81">
    <w:nsid w:val="71EA1109"/>
    <w:multiLevelType w:val="hybridMultilevel"/>
    <w:lvl w:ilvl="0">
      <w:lvlJc w:val="left"/>
      <w:lvlText w:val="(%1)"/>
      <w:numFmt w:val="decimal"/>
      <w:start w:val="1"/>
    </w:lvl>
  </w:abstractNum>
  <w:abstractNum w:abstractNumId="82">
    <w:nsid w:val="100F59DC"/>
    <w:multiLevelType w:val="hybridMultilevel"/>
    <w:lvl w:ilvl="0">
      <w:lvlJc w:val="left"/>
      <w:lvlText w:val="(%1)"/>
      <w:numFmt w:val="decimal"/>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2020-08-13T15:44:59Z</dcterms:created>
  <dcterms:modified xsi:type="dcterms:W3CDTF">2020-08-13T15:44:59Z</dcterms:modified>
</cp:coreProperties>
</file>