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11,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b w:val="1"/>
                <w:bCs w:val="1"/>
                <w:color w:val="auto"/>
              </w:rPr>
              <w:t>001-39438</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right"/>
              <w:ind w:right="780"/>
              <w:spacing w:after="0" w:line="201" w:lineRule="exact"/>
              <w:rPr>
                <w:sz w:val="20"/>
                <w:szCs w:val="20"/>
                <w:color w:val="auto"/>
              </w:rPr>
            </w:pPr>
            <w:r>
              <w:rPr>
                <w:rFonts w:ascii="Arial" w:cs="Arial" w:eastAsia="Arial" w:hAnsi="Arial"/>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42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90"/>
              </w:rPr>
              <w:t>600 Montgomery Street, Suite 4500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55"/>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San Francisco, California</w:t>
            </w:r>
          </w:p>
        </w:tc>
        <w:tc>
          <w:tcPr>
            <w:tcW w:w="11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jc w:val="right"/>
              <w:ind w:right="2450"/>
              <w:spacing w:after="0"/>
              <w:rPr>
                <w:sz w:val="20"/>
                <w:szCs w:val="20"/>
                <w:color w:val="auto"/>
              </w:rPr>
            </w:pPr>
            <w:r>
              <w:rPr>
                <w:rFonts w:ascii="Arial" w:cs="Arial" w:eastAsia="Arial" w:hAnsi="Arial"/>
                <w:sz w:val="18"/>
                <w:szCs w:val="18"/>
                <w:b w:val="1"/>
                <w:bCs w:val="1"/>
                <w:color w:val="auto"/>
              </w:rPr>
              <w:t>94111</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877-4887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48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FSDC</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3"/>
              </w:rPr>
              <w:t>The Nasdaq Capital Market</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87"/>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line="277" w:lineRule="auto"/>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11, 2020, the Registration Statement on Form S-1 (File No. 333-240098) (the “</w:t>
      </w:r>
      <w:r>
        <w:rPr>
          <w:rFonts w:ascii="Arial" w:cs="Arial" w:eastAsia="Arial" w:hAnsi="Arial"/>
          <w:sz w:val="17"/>
          <w:szCs w:val="17"/>
          <w:i w:val="1"/>
          <w:iCs w:val="1"/>
          <w:color w:val="auto"/>
        </w:rPr>
        <w:t>Registration Statement</w:t>
      </w:r>
      <w:r>
        <w:rPr>
          <w:rFonts w:ascii="Arial" w:cs="Arial" w:eastAsia="Arial" w:hAnsi="Arial"/>
          <w:sz w:val="17"/>
          <w:szCs w:val="17"/>
          <w:color w:val="auto"/>
        </w:rPr>
        <w:t>”) relating to the initial public offering (the “</w:t>
      </w:r>
      <w:r>
        <w:rPr>
          <w:rFonts w:ascii="Arial" w:cs="Arial" w:eastAsia="Arial" w:hAnsi="Arial"/>
          <w:sz w:val="17"/>
          <w:szCs w:val="17"/>
          <w:i w:val="1"/>
          <w:iCs w:val="1"/>
          <w:color w:val="auto"/>
        </w:rPr>
        <w:t>IPO</w:t>
      </w:r>
      <w:r>
        <w:rPr>
          <w:rFonts w:ascii="Arial" w:cs="Arial" w:eastAsia="Arial" w:hAnsi="Arial"/>
          <w:sz w:val="17"/>
          <w:szCs w:val="17"/>
          <w:color w:val="auto"/>
        </w:rPr>
        <w:t>”) of FS Development Corp. (the “</w:t>
      </w:r>
      <w:r>
        <w:rPr>
          <w:rFonts w:ascii="Arial" w:cs="Arial" w:eastAsia="Arial" w:hAnsi="Arial"/>
          <w:sz w:val="17"/>
          <w:szCs w:val="17"/>
          <w:i w:val="1"/>
          <w:iCs w:val="1"/>
          <w:color w:val="auto"/>
        </w:rPr>
        <w:t>Company</w:t>
      </w:r>
      <w:r>
        <w:rPr>
          <w:rFonts w:ascii="Arial" w:cs="Arial" w:eastAsia="Arial" w:hAnsi="Arial"/>
          <w:sz w:val="17"/>
          <w:szCs w:val="17"/>
          <w:color w:val="auto"/>
        </w:rPr>
        <w:t>”) was declared effective by the U.S. Securities and Exchange Commission, and the Company subsequently filed, on August 11, 2020, a registration statement on Form S-1 (File No. 333-244534) pursuant to Rule 462(b) under the Securities Act of 1933, as amended, which was effective immediately upon filing in order to increase the size of the IPO.</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14, 2020, the Company consummated the IPO of 12,075,000 shares of Class A common stock, par value $0.0001 per share (“</w:t>
      </w:r>
      <w:r>
        <w:rPr>
          <w:rFonts w:ascii="Arial" w:cs="Arial" w:eastAsia="Arial" w:hAnsi="Arial"/>
          <w:sz w:val="16"/>
          <w:szCs w:val="16"/>
          <w:i w:val="1"/>
          <w:iCs w:val="1"/>
          <w:color w:val="auto"/>
        </w:rPr>
        <w:t>Class A</w:t>
      </w:r>
      <w:r>
        <w:rPr>
          <w:rFonts w:ascii="Arial" w:cs="Arial" w:eastAsia="Arial" w:hAnsi="Arial"/>
          <w:sz w:val="16"/>
          <w:szCs w:val="16"/>
          <w:color w:val="auto"/>
        </w:rPr>
        <w:t xml:space="preserve"> </w:t>
      </w:r>
      <w:r>
        <w:rPr>
          <w:rFonts w:ascii="Arial" w:cs="Arial" w:eastAsia="Arial" w:hAnsi="Arial"/>
          <w:sz w:val="16"/>
          <w:szCs w:val="16"/>
          <w:i w:val="1"/>
          <w:iCs w:val="1"/>
          <w:color w:val="auto"/>
        </w:rPr>
        <w:t>Common Stock</w:t>
      </w:r>
      <w:r>
        <w:rPr>
          <w:rFonts w:ascii="Arial" w:cs="Arial" w:eastAsia="Arial" w:hAnsi="Arial"/>
          <w:sz w:val="16"/>
          <w:szCs w:val="16"/>
          <w:color w:val="auto"/>
        </w:rPr>
        <w:t>”), including the issuance of 1,575,000 shares of Class A Common Stock as a result of the underwriter’s exercise in full of its over-allotment</w:t>
      </w:r>
      <w:r>
        <w:rPr>
          <w:rFonts w:ascii="Arial" w:cs="Arial" w:eastAsia="Arial" w:hAnsi="Arial"/>
          <w:sz w:val="16"/>
          <w:szCs w:val="16"/>
          <w:i w:val="1"/>
          <w:iCs w:val="1"/>
          <w:color w:val="auto"/>
        </w:rPr>
        <w:t xml:space="preserve"> </w:t>
      </w:r>
      <w:r>
        <w:rPr>
          <w:rFonts w:ascii="Arial" w:cs="Arial" w:eastAsia="Arial" w:hAnsi="Arial"/>
          <w:sz w:val="16"/>
          <w:szCs w:val="16"/>
          <w:color w:val="auto"/>
        </w:rPr>
        <w:t>option. The Class A Common Stock was sold at a price of $10.00 per share, generating gross proceeds to the Company of $120,750,000.</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the IPO, the Company entered into the following agreements previously filed as exhibits to the Company’s Registration Statement:</w:t>
      </w:r>
    </w:p>
    <w:p>
      <w:pPr>
        <w:spacing w:after="0" w:line="170" w:lineRule="exact"/>
        <w:rPr>
          <w:sz w:val="20"/>
          <w:szCs w:val="20"/>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Underwriting Agreement, dated August 11, 2020, between the Company and Jefferies LLC, as representative of the underwriters named therein, which contains customary representations and warranties and indemnification of the underwriter by the Company and is attached as Exhibit 1.1 hereto.</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Investment Management Trust Agreement, dated August 11, 2020, between the Company and Continental Stock Transfer &amp; Trust Company, a copy of which is attached as Exhibit 10.1 hereto and incorporated herein by reference.</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Registration Rights Agreement, dated August 11, 2020, among the Company, FS Development Holdings, LLC (the “</w:t>
      </w:r>
      <w:r>
        <w:rPr>
          <w:rFonts w:ascii="Arial" w:cs="Arial" w:eastAsia="Arial" w:hAnsi="Arial"/>
          <w:sz w:val="17"/>
          <w:szCs w:val="17"/>
          <w:i w:val="1"/>
          <w:iCs w:val="1"/>
          <w:color w:val="auto"/>
        </w:rPr>
        <w:t>Sponsor</w:t>
      </w:r>
      <w:r>
        <w:rPr>
          <w:rFonts w:ascii="Arial" w:cs="Arial" w:eastAsia="Arial" w:hAnsi="Arial"/>
          <w:sz w:val="17"/>
          <w:szCs w:val="17"/>
          <w:color w:val="auto"/>
        </w:rPr>
        <w:t>”) and certain other security holders named therein, a copy of which is attached as Exhibit 10.2 hereto and incorporated herein by reference.</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Private Placement Class A Common Stock Purchase Agreement, dated August 11, 2020 between the Company and the Sponsor, a copy of which is attached as Exhibit 10.3 hereto and incorporated herein by reference.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Letter Agreement, dated August 11, 2020, between the Company, each of its officers and directors and the Sponsor (the “</w:t>
      </w:r>
      <w:r>
        <w:rPr>
          <w:rFonts w:ascii="Arial" w:cs="Arial" w:eastAsia="Arial" w:hAnsi="Arial"/>
          <w:sz w:val="18"/>
          <w:szCs w:val="18"/>
          <w:i w:val="1"/>
          <w:iCs w:val="1"/>
          <w:color w:val="auto"/>
        </w:rPr>
        <w:t>Letter Agreement</w:t>
      </w:r>
      <w:r>
        <w:rPr>
          <w:rFonts w:ascii="Arial" w:cs="Arial" w:eastAsia="Arial" w:hAnsi="Arial"/>
          <w:sz w:val="18"/>
          <w:szCs w:val="18"/>
          <w:color w:val="auto"/>
        </w:rPr>
        <w:t>”), a copy of which is attached as Exhibit 10.4 hereto and incorporated herein by reference.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Administrative Services Agreement, dated August 11, 2020, by and between the Company and the Sponsor, a copy of which is attached as Exhibit 10.5 hereto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Substantially concurrently with the closing of the IPO, the Company completed the private sale of 441,500 shares of Class A Common Stock (the “</w:t>
      </w:r>
      <w:r>
        <w:rPr>
          <w:rFonts w:ascii="Arial" w:cs="Arial" w:eastAsia="Arial" w:hAnsi="Arial"/>
          <w:sz w:val="17"/>
          <w:szCs w:val="17"/>
          <w:i w:val="1"/>
          <w:iCs w:val="1"/>
          <w:color w:val="auto"/>
        </w:rPr>
        <w:t>Private Placement Shares</w:t>
      </w:r>
      <w:r>
        <w:rPr>
          <w:rFonts w:ascii="Arial" w:cs="Arial" w:eastAsia="Arial" w:hAnsi="Arial"/>
          <w:sz w:val="17"/>
          <w:szCs w:val="17"/>
          <w:color w:val="auto"/>
        </w:rPr>
        <w:t>”) at a purchase price of $10.00 per Private Placement Share, to the Sponsor, generating gross proceeds to the Company of $4,415,000. The Private Placement Shares are identical to the shares of Class A Common Stock sold in the IPO, except that, so long as they are held by the Sponsor and its permitted transferees: (i) they may not, subject to certain limited exceptions, be transferred, assigned or sold until 30 days after the completion of a business combination and (ii) they are entitled to registration rights.</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the Sponsor has agreed to waive its redemption rights with respect to the Private Placement Shares in connection with (i) the consummation of the Company’s initial business combination, or (ii) a stockholder vote to approve an amendment to the Company’s amended and restated certificate of incorporation to modify the substance or timing of the Company’s obligation to redeem 100% of the shares of Class A Common Stock sold in the IPO if the Company has not consummated a business combination within 24 months of the closing of the IPO or with respect to any other material provisions relating to stockholders’ rights or pre-initial business combination activity.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both"/>
        <w:ind w:left="130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12, 2020, in connection with the IPO, Mr. Robert Carey, Dr. Dan Dubin and Dr. Deepa Pakianathan (the “</w:t>
      </w:r>
      <w:r>
        <w:rPr>
          <w:rFonts w:ascii="Arial" w:cs="Arial" w:eastAsia="Arial" w:hAnsi="Arial"/>
          <w:sz w:val="18"/>
          <w:szCs w:val="18"/>
          <w:i w:val="1"/>
          <w:iCs w:val="1"/>
          <w:color w:val="auto"/>
        </w:rPr>
        <w:t>Directors</w:t>
      </w:r>
      <w:r>
        <w:rPr>
          <w:rFonts w:ascii="Arial" w:cs="Arial" w:eastAsia="Arial" w:hAnsi="Arial"/>
          <w:sz w:val="18"/>
          <w:szCs w:val="18"/>
          <w:color w:val="auto"/>
        </w:rPr>
        <w:t>”) were appointed to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The Directors are independent directors. Effective August 12, 2020, Mr. Carey, Dr. Dubin and Dr. Pakianathan were also appointed to the Board’s (i) Audit Committee, with Mr. Carey serving as chair of the Audit Committee, (ii) Compensation Committee, with Dr. Dubin serving as chair of the Compensation Committee and (iii) Nominating and Corporate Governance Committee, with Dr. Pakianathan serving as chair of the Nominating and Corporate Governance Committee.</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Following the appointment of the Directors, the Board is comprised of the following three classes: the term of office of the first class of directors, Class I, consists of Drs. Bajaj and Dubin and will expire at the Company’s first annual meeting of stockholders; the term of office of the second class of directors, Class II, consists of Dr. Rome and Mr. Carey and will expire at the Company’s second annual meeting of stockholders; and the term of office of the third class of directors, Class III, consists of Dr. Tananbaum and Dr. Pakianathan and will expire at the Company’s third annual meeting of stockholders.</w:t>
      </w:r>
    </w:p>
    <w:p>
      <w:pPr>
        <w:spacing w:after="0" w:line="15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their appointments to the Board, each Director entered into the Letter Agreement as well as an indemnity agreement with the Company in the form previously filed as Exhibit 10.5 to the Registration Statement. In addition, in July 2020, the Sponsor transferred 30,000 shares of Class B common stock, par value $0.0001 per share, of the Company to each of the Directors for the same per-share price initially paid by the Sponsor.</w:t>
      </w:r>
    </w:p>
    <w:p>
      <w:pPr>
        <w:spacing w:after="0" w:line="14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than the foregoing, none of the Directors are party to any arrangement or understanding with any person pursuant to which they were appointed as directors, nor are they party to any transactions required to be disclosed under Item 404(a) of Regulation S-K involving the Company.</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foregoing descriptions of the Letter Agreement and the form of indemnity agreement do not purport to be complete and are qualified in their entireties by reference to the Letter Agreement and form of indemnity agreement, copies of which are attached as Exhibit 10.1 hereto and Exhibit 10.5 to the Registration Statement, respectively, and are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Certificate of Incorporation or Bylaws.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11, 2020, in connection with the IPO, the Company adopted its Amended and Restated Certificate of Incorporation (the “</w:t>
      </w:r>
      <w:r>
        <w:rPr>
          <w:rFonts w:ascii="Arial" w:cs="Arial" w:eastAsia="Arial" w:hAnsi="Arial"/>
          <w:sz w:val="18"/>
          <w:szCs w:val="18"/>
          <w:i w:val="1"/>
          <w:iCs w:val="1"/>
          <w:color w:val="auto"/>
        </w:rPr>
        <w:t>Amended</w:t>
      </w:r>
      <w:r>
        <w:rPr>
          <w:rFonts w:ascii="Arial" w:cs="Arial" w:eastAsia="Arial" w:hAnsi="Arial"/>
          <w:sz w:val="18"/>
          <w:szCs w:val="18"/>
          <w:color w:val="auto"/>
        </w:rPr>
        <w:t xml:space="preserve"> </w:t>
      </w:r>
      <w:r>
        <w:rPr>
          <w:rFonts w:ascii="Arial" w:cs="Arial" w:eastAsia="Arial" w:hAnsi="Arial"/>
          <w:sz w:val="18"/>
          <w:szCs w:val="18"/>
          <w:i w:val="1"/>
          <w:iCs w:val="1"/>
          <w:color w:val="auto"/>
        </w:rPr>
        <w:t>Charter</w:t>
      </w:r>
      <w:r>
        <w:rPr>
          <w:rFonts w:ascii="Arial" w:cs="Arial" w:eastAsia="Arial" w:hAnsi="Arial"/>
          <w:sz w:val="18"/>
          <w:szCs w:val="18"/>
          <w:color w:val="auto"/>
        </w:rPr>
        <w:t>”), effective the same day. The terms of the Amended Charter are set forth in the Registration Statement and are incorporated herein by reference. A</w:t>
      </w:r>
      <w:r>
        <w:rPr>
          <w:rFonts w:ascii="Arial" w:cs="Arial" w:eastAsia="Arial" w:hAnsi="Arial"/>
          <w:sz w:val="18"/>
          <w:szCs w:val="18"/>
          <w:i w:val="1"/>
          <w:iCs w:val="1"/>
          <w:color w:val="auto"/>
        </w:rPr>
        <w:t xml:space="preserve"> </w:t>
      </w:r>
      <w:r>
        <w:rPr>
          <w:rFonts w:ascii="Arial" w:cs="Arial" w:eastAsia="Arial" w:hAnsi="Arial"/>
          <w:sz w:val="18"/>
          <w:szCs w:val="18"/>
          <w:color w:val="auto"/>
        </w:rPr>
        <w:t>copy of the Amended Charter is attached as Exhibit 3.1 hereto and incorporated herein by reference.</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total of $120,750,000 comprised of the proceeds from the IPO and the sale of the Private Placement Shares, were placed in a U.S.-based trust account at JP Morgan Chase Bank, N.A., maintained by Continental Stock Transfer &amp; Trust Company, acting as trustee. Except with respect to interest earned on the funds held in the trust account that may be released to the Company to pay its taxes, the proceeds from the IPO will not be released from the trust account until the earliest to occur of: (i) the completion of the Company’s initial business combination, (ii) the redemption of the Company’s public shares if the Company has not completed its initial business combination within 24 months from the closing of the IPO, subject to applicable law, and</w:t>
      </w:r>
    </w:p>
    <w:p>
      <w:pPr>
        <w:spacing w:after="0" w:line="2" w:lineRule="exact"/>
        <w:rPr>
          <w:sz w:val="20"/>
          <w:szCs w:val="20"/>
          <w:color w:val="auto"/>
        </w:rPr>
      </w:pPr>
    </w:p>
    <w:p>
      <w:pPr>
        <w:jc w:val="both"/>
        <w:ind w:firstLine="8"/>
        <w:spacing w:after="0" w:line="253"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redemption of the Company’s public shares properly tendered in connection with a stockholder vote to amend the Company’s amended and restated certificate of incorporation to modify the substance or timing of its obligation to redeem 100% of its public shares if the Company does not complete its initial business combination within 24 months from the closing of the IPO or with respect to any other provisions relating to stockholders’ rights or pre-initial business combination activity.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right="20" w:firstLine="648"/>
        <w:spacing w:after="0" w:line="277" w:lineRule="auto"/>
        <w:rPr>
          <w:sz w:val="20"/>
          <w:szCs w:val="20"/>
          <w:color w:val="auto"/>
        </w:rPr>
      </w:pPr>
      <w:r>
        <w:rPr>
          <w:rFonts w:ascii="Arial" w:cs="Arial" w:eastAsia="Arial" w:hAnsi="Arial"/>
          <w:sz w:val="18"/>
          <w:szCs w:val="18"/>
          <w:color w:val="auto"/>
        </w:rPr>
        <w:t>On August 12, 2020, the Company issued a press release, a copy of which is attached as Exhibit 99.1 to this Current Report on Form 8-K, announcing the pricing of the IPO.</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4780"/>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39370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4860" w:space="720"/>
            <w:col w:w="5660"/>
          </w:cols>
          <w:pgMar w:left="320" w:top="908" w:right="339" w:bottom="1440" w:gutter="0" w:footer="0" w:header="0"/>
          <w:type w:val="continuous"/>
        </w:sect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6">
        <w:r>
          <w:rPr>
            <w:rFonts w:ascii="Arial" w:cs="Arial" w:eastAsia="Arial" w:hAnsi="Arial"/>
            <w:sz w:val="16"/>
            <w:szCs w:val="16"/>
            <w:u w:val="single" w:color="auto"/>
            <w:color w:val="0000EE"/>
          </w:rPr>
          <w:t>Underwriting Agreement, dated August 11, 2020, by and between the Company and Jefferies LLC.</w:t>
        </w:r>
      </w:hyperlink>
    </w:p>
    <w:p>
      <w:pPr>
        <w:spacing w:after="0" w:line="23"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4">
        <w:r>
          <w:rPr>
            <w:rFonts w:ascii="Arial" w:cs="Arial" w:eastAsia="Arial" w:hAnsi="Arial"/>
            <w:sz w:val="16"/>
            <w:szCs w:val="16"/>
            <w:u w:val="single" w:color="auto"/>
            <w:color w:val="0000EE"/>
          </w:rPr>
          <w:t>Amended and Restated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right="2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57">
        <w:r>
          <w:rPr>
            <w:rFonts w:ascii="Arial" w:cs="Arial" w:eastAsia="Arial" w:hAnsi="Arial"/>
            <w:sz w:val="18"/>
            <w:szCs w:val="18"/>
            <w:u w:val="single" w:color="auto"/>
            <w:color w:val="0000EE"/>
          </w:rPr>
          <w:t>Investment Management Trust Agreement, dated August 11, 2020, by and between the Company and Continental Stock Transfer &amp; Trust</w:t>
        </w:r>
      </w:hyperlink>
      <w:r>
        <w:rPr>
          <w:rFonts w:ascii="Arial" w:cs="Arial" w:eastAsia="Arial" w:hAnsi="Arial"/>
          <w:sz w:val="18"/>
          <w:szCs w:val="18"/>
          <w:u w:val="single" w:color="auto"/>
          <w:color w:val="0000EE"/>
        </w:rPr>
        <w:t xml:space="preserve"> </w:t>
      </w:r>
      <w:hyperlink w:anchor="page57">
        <w:r>
          <w:rPr>
            <w:rFonts w:ascii="Arial" w:cs="Arial" w:eastAsia="Arial" w:hAnsi="Arial"/>
            <w:sz w:val="18"/>
            <w:szCs w:val="18"/>
            <w:u w:val="single" w:color="auto"/>
            <w:color w:val="0000EE"/>
          </w:rPr>
          <w:t>Company, as trustee.</w:t>
        </w:r>
      </w:hyperlink>
    </w:p>
    <w:p>
      <w:pPr>
        <w:spacing w:after="0" w:line="1" w:lineRule="exact"/>
        <w:rPr>
          <w:sz w:val="20"/>
          <w:szCs w:val="20"/>
          <w:color w:val="auto"/>
        </w:rPr>
      </w:pPr>
    </w:p>
    <w:p>
      <w:pPr>
        <w:ind w:left="80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70">
        <w:r>
          <w:rPr>
            <w:rFonts w:ascii="Arial" w:cs="Arial" w:eastAsia="Arial" w:hAnsi="Arial"/>
            <w:sz w:val="18"/>
            <w:szCs w:val="18"/>
            <w:u w:val="single" w:color="auto"/>
            <w:color w:val="0000EE"/>
          </w:rPr>
          <w:t>Registration Rights Agreement, dated August 11, 2020, by and among the Company, FS Development Holdings, LLC and the other holders</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800" w:hanging="795"/>
        <w:spacing w:after="0" w:line="250"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86">
        <w:r>
          <w:rPr>
            <w:rFonts w:ascii="Arial" w:cs="Arial" w:eastAsia="Arial" w:hAnsi="Arial"/>
            <w:sz w:val="18"/>
            <w:szCs w:val="18"/>
            <w:u w:val="single" w:color="auto"/>
            <w:color w:val="0000EE"/>
          </w:rPr>
          <w:t>Private Placement Class A Common Stock Purchase Agreement, dated August 11, 2020 by and among the Company and FS Development</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Holdings, LLC.</w:t>
        </w:r>
      </w:hyperlink>
    </w:p>
    <w:p>
      <w:pPr>
        <w:spacing w:after="0" w:line="1"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93">
        <w:r>
          <w:rPr>
            <w:rFonts w:ascii="Arial" w:cs="Arial" w:eastAsia="Arial" w:hAnsi="Arial"/>
            <w:sz w:val="16"/>
            <w:szCs w:val="16"/>
            <w:u w:val="single" w:color="auto"/>
            <w:color w:val="0000EE"/>
          </w:rPr>
          <w:t>Letter Agreement, dated August 11, 2020, by and among the Company, its officers, its directors and FS Development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100">
        <w:r>
          <w:rPr>
            <w:rFonts w:ascii="Arial" w:cs="Arial" w:eastAsia="Arial" w:hAnsi="Arial"/>
            <w:sz w:val="16"/>
            <w:szCs w:val="16"/>
            <w:u w:val="single" w:color="auto"/>
            <w:color w:val="0000EE"/>
          </w:rPr>
          <w:t>Administrative Services Agreement, dated August 11, 2020, by and between the Company and FS Development Holdings, LLC.</w:t>
        </w:r>
      </w:hyperlink>
    </w:p>
    <w:p>
      <w:pPr>
        <w:spacing w:after="0" w:line="9"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102">
        <w:r>
          <w:rPr>
            <w:rFonts w:ascii="Arial" w:cs="Arial" w:eastAsia="Arial" w:hAnsi="Arial"/>
            <w:sz w:val="15"/>
            <w:szCs w:val="15"/>
            <w:u w:val="single" w:color="auto"/>
            <w:color w:val="0000EE"/>
          </w:rPr>
          <w:t>Press Release, dated August 12, 2020.</w:t>
        </w:r>
      </w:hyperlink>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August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10,500,000 Class A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Introductory. </w:t>
      </w:r>
      <w:r>
        <w:rPr>
          <w:rFonts w:ascii="Arial" w:cs="Arial" w:eastAsia="Arial" w:hAnsi="Arial"/>
          <w:sz w:val="16"/>
          <w:szCs w:val="16"/>
          <w:color w:val="auto"/>
        </w:rPr>
        <w:t>FS Development Corp.,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upon the terms and subject to the conditions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to issue and sell to the underwriters named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(the “</w:t>
      </w:r>
      <w:r>
        <w:rPr>
          <w:rFonts w:ascii="Arial" w:cs="Arial" w:eastAsia="Arial" w:hAnsi="Arial"/>
          <w:sz w:val="16"/>
          <w:szCs w:val="16"/>
          <w:b w:val="1"/>
          <w:bCs w:val="1"/>
          <w:color w:val="auto"/>
        </w:rPr>
        <w:t>Underwriters</w:t>
      </w:r>
      <w:r>
        <w:rPr>
          <w:rFonts w:ascii="Arial" w:cs="Arial" w:eastAsia="Arial" w:hAnsi="Arial"/>
          <w:sz w:val="16"/>
          <w:szCs w:val="16"/>
          <w:color w:val="auto"/>
        </w:rPr>
        <w:t>”) an aggregate of 10,500,000 shares of Class A common stock, par value $0.0001 per share, of the Company (“</w:t>
      </w:r>
      <w:r>
        <w:rPr>
          <w:rFonts w:ascii="Arial" w:cs="Arial" w:eastAsia="Arial" w:hAnsi="Arial"/>
          <w:sz w:val="16"/>
          <w:szCs w:val="16"/>
          <w:b w:val="1"/>
          <w:bCs w:val="1"/>
          <w:color w:val="auto"/>
        </w:rPr>
        <w:t>Class A Common Stock</w:t>
      </w:r>
      <w:r>
        <w:rPr>
          <w:rFonts w:ascii="Arial" w:cs="Arial" w:eastAsia="Arial" w:hAnsi="Arial"/>
          <w:sz w:val="16"/>
          <w:szCs w:val="16"/>
          <w:color w:val="auto"/>
        </w:rPr>
        <w:t>”). The 10,500,000 shares of Class A Common Stock to be sold by the Company are called the “</w:t>
      </w:r>
      <w:r>
        <w:rPr>
          <w:rFonts w:ascii="Arial" w:cs="Arial" w:eastAsia="Arial" w:hAnsi="Arial"/>
          <w:sz w:val="16"/>
          <w:szCs w:val="16"/>
          <w:b w:val="1"/>
          <w:bCs w:val="1"/>
          <w:color w:val="auto"/>
        </w:rPr>
        <w:t>Firm Securities</w:t>
      </w:r>
      <w:r>
        <w:rPr>
          <w:rFonts w:ascii="Arial" w:cs="Arial" w:eastAsia="Arial" w:hAnsi="Arial"/>
          <w:sz w:val="16"/>
          <w:szCs w:val="16"/>
          <w:color w:val="auto"/>
        </w:rPr>
        <w:t>.” In addition, the Company has granted to the Underwriters an option to purchase up to an additional 1,575,000 shares of Class A Common Stock as provided in Section 2. The additional 1,575,000 shares of Class A Common Stock to be sold by the Company pursuant to such option are collectively called the “</w:t>
      </w:r>
      <w:r>
        <w:rPr>
          <w:rFonts w:ascii="Arial" w:cs="Arial" w:eastAsia="Arial" w:hAnsi="Arial"/>
          <w:sz w:val="16"/>
          <w:szCs w:val="16"/>
          <w:b w:val="1"/>
          <w:bCs w:val="1"/>
          <w:color w:val="auto"/>
        </w:rPr>
        <w:t>Optional Securities</w:t>
      </w:r>
      <w:r>
        <w:rPr>
          <w:rFonts w:ascii="Arial" w:cs="Arial" w:eastAsia="Arial" w:hAnsi="Arial"/>
          <w:sz w:val="16"/>
          <w:szCs w:val="16"/>
          <w:color w:val="auto"/>
        </w:rPr>
        <w:t>.” The Firm Securities and, if and to the extent such option is exercised, the Optional Securities are collectively called the “</w:t>
      </w:r>
      <w:r>
        <w:rPr>
          <w:rFonts w:ascii="Arial" w:cs="Arial" w:eastAsia="Arial" w:hAnsi="Arial"/>
          <w:sz w:val="16"/>
          <w:szCs w:val="16"/>
          <w:b w:val="1"/>
          <w:bCs w:val="1"/>
          <w:color w:val="auto"/>
        </w:rPr>
        <w:t>Offered Securities</w:t>
      </w:r>
      <w:r>
        <w:rPr>
          <w:rFonts w:ascii="Arial" w:cs="Arial" w:eastAsia="Arial" w:hAnsi="Arial"/>
          <w:sz w:val="16"/>
          <w:szCs w:val="16"/>
          <w:color w:val="auto"/>
        </w:rPr>
        <w:t>.” Jefferies LLC has agreed to act as Representative of the Underwriters (when acting in such capacity, the “</w:t>
      </w:r>
      <w:r>
        <w:rPr>
          <w:rFonts w:ascii="Arial" w:cs="Arial" w:eastAsia="Arial" w:hAnsi="Arial"/>
          <w:sz w:val="16"/>
          <w:szCs w:val="16"/>
          <w:b w:val="1"/>
          <w:bCs w:val="1"/>
          <w:color w:val="auto"/>
        </w:rPr>
        <w:t>Representative</w:t>
      </w:r>
      <w:r>
        <w:rPr>
          <w:rFonts w:ascii="Arial" w:cs="Arial" w:eastAsia="Arial" w:hAnsi="Arial"/>
          <w:sz w:val="16"/>
          <w:szCs w:val="16"/>
          <w:color w:val="auto"/>
        </w:rPr>
        <w:t>”) in connection with the offering of the Offered Securities for sale to the public as contemplated in the Prospectus (as defined below) (the “</w:t>
      </w:r>
      <w:r>
        <w:rPr>
          <w:rFonts w:ascii="Arial" w:cs="Arial" w:eastAsia="Arial" w:hAnsi="Arial"/>
          <w:sz w:val="16"/>
          <w:szCs w:val="16"/>
          <w:b w:val="1"/>
          <w:bCs w:val="1"/>
          <w:color w:val="auto"/>
        </w:rPr>
        <w:t>Offering</w:t>
      </w:r>
      <w:r>
        <w:rPr>
          <w:rFonts w:ascii="Arial" w:cs="Arial" w:eastAsia="Arial" w:hAnsi="Arial"/>
          <w:sz w:val="16"/>
          <w:szCs w:val="16"/>
          <w:color w:val="auto"/>
        </w:rPr>
        <w:t xml:space="preserve">”). To the extent there are no additional underwriters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the term “Representative” as used herein shall mean you, as Underwriter, and the term “Underwriter” shall mean either the singular or the plural, as the context requires. As used herein, the term “</w:t>
      </w:r>
      <w:r>
        <w:rPr>
          <w:rFonts w:ascii="Arial" w:cs="Arial" w:eastAsia="Arial" w:hAnsi="Arial"/>
          <w:sz w:val="16"/>
          <w:szCs w:val="16"/>
          <w:b w:val="1"/>
          <w:bCs w:val="1"/>
          <w:color w:val="auto"/>
        </w:rPr>
        <w:t>Business Combination</w:t>
      </w:r>
      <w:r>
        <w:rPr>
          <w:rFonts w:ascii="Arial" w:cs="Arial" w:eastAsia="Arial" w:hAnsi="Arial"/>
          <w:sz w:val="16"/>
          <w:szCs w:val="16"/>
          <w:color w:val="auto"/>
        </w:rPr>
        <w:t>” (as described more fully in the Registration Statement (as defined below)) shall mean a merger, capital stock exchange, asset acquisition, stock purchase, reorganization or similar business combination with one or more businesses.</w:t>
      </w:r>
    </w:p>
    <w:p>
      <w:pPr>
        <w:spacing w:after="0" w:line="1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Company has prepared and filed with the U.S.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333-240098 which contains a form of prospectus to be used in connection with the Offering and sale of the Offered Securities.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any information deemed to be a part thereof at the time of effectiveness pursuant to Rule 430A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Securities is called the “</w:t>
      </w:r>
      <w:r>
        <w:rPr>
          <w:rFonts w:ascii="Arial" w:cs="Arial" w:eastAsia="Arial" w:hAnsi="Arial"/>
          <w:sz w:val="16"/>
          <w:szCs w:val="16"/>
          <w:b w:val="1"/>
          <w:bCs w:val="1"/>
          <w:color w:val="auto"/>
        </w:rPr>
        <w:t>Rule</w:t>
      </w:r>
      <w:r>
        <w:rPr>
          <w:rFonts w:ascii="Arial" w:cs="Arial" w:eastAsia="Arial" w:hAnsi="Arial"/>
          <w:sz w:val="16"/>
          <w:szCs w:val="16"/>
          <w:color w:val="auto"/>
        </w:rPr>
        <w:t xml:space="preserve"> </w:t>
      </w:r>
      <w:r>
        <w:rPr>
          <w:rFonts w:ascii="Arial" w:cs="Arial" w:eastAsia="Arial" w:hAnsi="Arial"/>
          <w:sz w:val="16"/>
          <w:szCs w:val="16"/>
          <w:b w:val="1"/>
          <w:bCs w:val="1"/>
          <w:color w:val="auto"/>
        </w:rPr>
        <w:t>462(b) Registration Statement</w:t>
      </w:r>
      <w:r>
        <w:rPr>
          <w:rFonts w:ascii="Arial" w:cs="Arial" w:eastAsia="Arial" w:hAnsi="Arial"/>
          <w:sz w:val="16"/>
          <w:szCs w:val="16"/>
          <w:color w:val="auto"/>
        </w:rPr>
        <w:t>,” and from and after the date and time of filing of any such Rule 462(b) Registration Statement the term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shall include the Rule 462(b) Registration Statement. The prospectus, in the form first used by the Underwriters to confirm sales of the Offered Securities or in the form first made available to the Underwriters by the Company to meet requests of purchasers pursuant to Rule 173 under the Securities Act, is called the “</w:t>
      </w:r>
      <w:r>
        <w:rPr>
          <w:rFonts w:ascii="Arial" w:cs="Arial" w:eastAsia="Arial" w:hAnsi="Arial"/>
          <w:sz w:val="16"/>
          <w:szCs w:val="16"/>
          <w:b w:val="1"/>
          <w:bCs w:val="1"/>
          <w:color w:val="auto"/>
        </w:rPr>
        <w:t>Prospectus</w:t>
      </w:r>
      <w:r>
        <w:rPr>
          <w:rFonts w:ascii="Arial" w:cs="Arial" w:eastAsia="Arial" w:hAnsi="Arial"/>
          <w:sz w:val="16"/>
          <w:szCs w:val="16"/>
          <w:color w:val="auto"/>
        </w:rPr>
        <w:t>.” The preliminary prospectus dated August 7, 2020 describing the Offered Securities and the Offering thereof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in preliminary form that describes the Offered Securities and the Offering thereof and is used prior to the filing of the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10 p.m. (New York City time) on August 11, 2020. As used herein,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and time at which such registration statement, or the most recent post-effective amendment thereto, was declared effective by the Commission in accordance with the rules and regulations under the Securities Act.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together with the Time of Delivery Information, if any,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 defined in Rule 433 under the Securities Act) relating to the Offering contemplated hereby that is a “written communication” (as defined in Rule 405 under the Securities Act). As used herein, “</w:t>
      </w:r>
      <w:r>
        <w:rPr>
          <w:rFonts w:ascii="Arial" w:cs="Arial" w:eastAsia="Arial" w:hAnsi="Arial"/>
          <w:sz w:val="16"/>
          <w:szCs w:val="16"/>
          <w:b w:val="1"/>
          <w:bCs w:val="1"/>
          <w:color w:val="auto"/>
        </w:rPr>
        <w:t>Section 5(d) Written Communication</w:t>
      </w:r>
      <w:r>
        <w:rPr>
          <w:rFonts w:ascii="Arial" w:cs="Arial" w:eastAsia="Arial" w:hAnsi="Arial"/>
          <w:sz w:val="16"/>
          <w:szCs w:val="16"/>
          <w:color w:val="auto"/>
        </w:rPr>
        <w:t>” means each written communication (within the meaning of Rule 405 under the Securities Act) that is made in reliance on Section 5(d) of the Securities Act by the Company or any person authorized to act on behalf of the Company to one or more potential investors that are qualified institutional buyers (“</w:t>
      </w:r>
      <w:r>
        <w:rPr>
          <w:rFonts w:ascii="Arial" w:cs="Arial" w:eastAsia="Arial" w:hAnsi="Arial"/>
          <w:sz w:val="16"/>
          <w:szCs w:val="16"/>
          <w:b w:val="1"/>
          <w:bCs w:val="1"/>
          <w:color w:val="auto"/>
        </w:rPr>
        <w:t>QIBs</w:t>
      </w:r>
      <w:r>
        <w:rPr>
          <w:rFonts w:ascii="Arial" w:cs="Arial" w:eastAsia="Arial" w:hAnsi="Arial"/>
          <w:sz w:val="16"/>
          <w:szCs w:val="16"/>
          <w:color w:val="auto"/>
        </w:rPr>
        <w:t>”) and/or institutions that are accredited investors (“</w:t>
      </w:r>
      <w:r>
        <w:rPr>
          <w:rFonts w:ascii="Arial" w:cs="Arial" w:eastAsia="Arial" w:hAnsi="Arial"/>
          <w:sz w:val="16"/>
          <w:szCs w:val="16"/>
          <w:b w:val="1"/>
          <w:bCs w:val="1"/>
          <w:color w:val="auto"/>
        </w:rPr>
        <w:t>IAIs</w:t>
      </w:r>
      <w:r>
        <w:rPr>
          <w:rFonts w:ascii="Arial" w:cs="Arial" w:eastAsia="Arial" w:hAnsi="Arial"/>
          <w:sz w:val="16"/>
          <w:szCs w:val="16"/>
          <w:color w:val="auto"/>
        </w:rPr>
        <w:t>”), as such terms are respectively defined in Rule 144A and Rule 501(a) under the Securities Act, to determine whether such investors might have an interest in the Offering; “</w:t>
      </w:r>
      <w:r>
        <w:rPr>
          <w:rFonts w:ascii="Arial" w:cs="Arial" w:eastAsia="Arial" w:hAnsi="Arial"/>
          <w:sz w:val="16"/>
          <w:szCs w:val="16"/>
          <w:b w:val="1"/>
          <w:bCs w:val="1"/>
          <w:color w:val="auto"/>
        </w:rPr>
        <w:t>Section 5(d) Oral Communication</w:t>
      </w:r>
      <w:r>
        <w:rPr>
          <w:rFonts w:ascii="Arial" w:cs="Arial" w:eastAsia="Arial" w:hAnsi="Arial"/>
          <w:sz w:val="16"/>
          <w:szCs w:val="16"/>
          <w:color w:val="auto"/>
        </w:rPr>
        <w:t>” means each oral communication, if any, made in reliance on Section 5(d) of the Securities Act by the Company or any person authorized to act on behalf of the Company made to one or more QIBs and/or one or more IAIs to determine whether such investors might have an interest in the Offering; “</w:t>
      </w:r>
      <w:r>
        <w:rPr>
          <w:rFonts w:ascii="Arial" w:cs="Arial" w:eastAsia="Arial" w:hAnsi="Arial"/>
          <w:sz w:val="16"/>
          <w:szCs w:val="16"/>
          <w:b w:val="1"/>
          <w:bCs w:val="1"/>
          <w:color w:val="auto"/>
        </w:rPr>
        <w:t>Marketing Materials</w:t>
      </w:r>
      <w:r>
        <w:rPr>
          <w:rFonts w:ascii="Arial" w:cs="Arial" w:eastAsia="Arial" w:hAnsi="Arial"/>
          <w:sz w:val="16"/>
          <w:szCs w:val="16"/>
          <w:color w:val="auto"/>
        </w:rPr>
        <w:t>” means any materials or information provided to investors by, or with the approval of, the Company in connection with the marketing of the Offering, including any Road Show or investor presentations made to investors by the Company (whether in person or electronically); and “</w:t>
      </w:r>
      <w:r>
        <w:rPr>
          <w:rFonts w:ascii="Arial" w:cs="Arial" w:eastAsia="Arial" w:hAnsi="Arial"/>
          <w:sz w:val="16"/>
          <w:szCs w:val="16"/>
          <w:b w:val="1"/>
          <w:bCs w:val="1"/>
          <w:color w:val="auto"/>
        </w:rPr>
        <w:t>Permitted Section 5(d) Communication</w:t>
      </w:r>
      <w:r>
        <w:rPr>
          <w:rFonts w:ascii="Arial" w:cs="Arial" w:eastAsia="Arial" w:hAnsi="Arial"/>
          <w:sz w:val="16"/>
          <w:szCs w:val="16"/>
          <w:color w:val="auto"/>
        </w:rPr>
        <w:t xml:space="preserve">” means the Section 5(d) Written Communication(s) and Marketing Materials listed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both"/>
        <w:ind w:firstLine="648"/>
        <w:spacing w:after="0" w:line="263" w:lineRule="auto"/>
        <w:rPr>
          <w:sz w:val="20"/>
          <w:szCs w:val="20"/>
          <w:color w:val="auto"/>
        </w:rPr>
      </w:pPr>
      <w:r>
        <w:rPr>
          <w:rFonts w:ascii="Arial" w:cs="Arial" w:eastAsia="Arial" w:hAnsi="Arial"/>
          <w:sz w:val="18"/>
          <w:szCs w:val="18"/>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has entered into a Securities Subscription Agreement, dated as of June 30, 2020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with FS Development Holdings, LLC, a Delaware limited liability company (the “</w:t>
      </w:r>
      <w:r>
        <w:rPr>
          <w:rFonts w:ascii="Arial" w:cs="Arial" w:eastAsia="Arial" w:hAnsi="Arial"/>
          <w:sz w:val="18"/>
          <w:szCs w:val="18"/>
          <w:b w:val="1"/>
          <w:bCs w:val="1"/>
          <w:color w:val="auto"/>
        </w:rPr>
        <w:t>Sponsor</w:t>
      </w:r>
      <w:r>
        <w:rPr>
          <w:rFonts w:ascii="Arial" w:cs="Arial" w:eastAsia="Arial" w:hAnsi="Arial"/>
          <w:sz w:val="18"/>
          <w:szCs w:val="18"/>
          <w:color w:val="auto"/>
        </w:rPr>
        <w:t>”), in substantially the form filed as Exhibit 10.7 to the Registration Statement, pursuant to which the Sponsor purchased an aggregate of 2,875,000 shares of Class B common stock for an aggregate purchase price of $25,000, or approximately $0.009 per share. On August 11, 2020, the Company effected a stock conversion resulting in an aggregate of 3,018,750 shares of Class B common stock outstanding as of the date hereof (the “</w:t>
      </w:r>
      <w:r>
        <w:rPr>
          <w:rFonts w:ascii="Arial" w:cs="Arial" w:eastAsia="Arial" w:hAnsi="Arial"/>
          <w:sz w:val="18"/>
          <w:szCs w:val="18"/>
          <w:b w:val="1"/>
          <w:bCs w:val="1"/>
          <w:color w:val="auto"/>
        </w:rPr>
        <w:t>Founder Shares</w:t>
      </w:r>
      <w:r>
        <w:rPr>
          <w:rFonts w:ascii="Arial" w:cs="Arial" w:eastAsia="Arial" w:hAnsi="Arial"/>
          <w:sz w:val="18"/>
          <w:szCs w:val="18"/>
          <w:color w:val="auto"/>
        </w:rPr>
        <w:t>”). The Founder Shares are substantially similar to the Class A Common Stock except as described in the Prospectus.</w:t>
      </w:r>
    </w:p>
    <w:p>
      <w:pPr>
        <w:spacing w:after="0" w:line="19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First Closing Date (as defined below), the Sponsor will subscribe to purchase an aggregate of 410,000 shares of Class A Common Stock (or up to 441,500 shares of Class A Common Stock if the option to purchase additional shares of Class A Common Stock as provided in Section 2 is exercised in full) (the “</w:t>
      </w:r>
      <w:r>
        <w:rPr>
          <w:rFonts w:ascii="Arial" w:cs="Arial" w:eastAsia="Arial" w:hAnsi="Arial"/>
          <w:sz w:val="16"/>
          <w:szCs w:val="16"/>
          <w:b w:val="1"/>
          <w:bCs w:val="1"/>
          <w:color w:val="auto"/>
        </w:rPr>
        <w:t>Sponsor Shares</w:t>
      </w:r>
      <w:r>
        <w:rPr>
          <w:rFonts w:ascii="Arial" w:cs="Arial" w:eastAsia="Arial" w:hAnsi="Arial"/>
          <w:sz w:val="16"/>
          <w:szCs w:val="16"/>
          <w:color w:val="auto"/>
        </w:rPr>
        <w:t>”), and the Company will enter into a Private Placement Class A Common Stock Purchase Agreement with the Sponsor (the “</w:t>
      </w:r>
      <w:r>
        <w:rPr>
          <w:rFonts w:ascii="Arial" w:cs="Arial" w:eastAsia="Arial" w:hAnsi="Arial"/>
          <w:sz w:val="16"/>
          <w:szCs w:val="16"/>
          <w:b w:val="1"/>
          <w:bCs w:val="1"/>
          <w:color w:val="auto"/>
        </w:rPr>
        <w:t>Sponsor Shares Purchase Agreement</w:t>
      </w:r>
      <w:r>
        <w:rPr>
          <w:rFonts w:ascii="Arial" w:cs="Arial" w:eastAsia="Arial" w:hAnsi="Arial"/>
          <w:sz w:val="16"/>
          <w:szCs w:val="16"/>
          <w:color w:val="auto"/>
        </w:rPr>
        <w:t>”) in substantially the form filed as Exhibit 10.4 to the Registration Statement. Except as described in the Registration Statement, the Time of Sale Prospectus and the Prospectus, the Sponsor Shares have the same terms as the Firm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57" w:lineRule="auto"/>
        <w:rPr>
          <w:sz w:val="20"/>
          <w:szCs w:val="20"/>
          <w:color w:val="auto"/>
        </w:rPr>
      </w:pPr>
      <w:r>
        <w:rPr>
          <w:rFonts w:ascii="Arial" w:cs="Arial" w:eastAsia="Arial" w:hAnsi="Arial"/>
          <w:sz w:val="18"/>
          <w:szCs w:val="18"/>
          <w:color w:val="auto"/>
        </w:rPr>
        <w:t>The Company has entered into an Investment Management Trust Agreement, dated as of the date hereof, with Continental Stock Transfer &amp; Trust Company (“</w:t>
      </w:r>
      <w:r>
        <w:rPr>
          <w:rFonts w:ascii="Arial" w:cs="Arial" w:eastAsia="Arial" w:hAnsi="Arial"/>
          <w:sz w:val="18"/>
          <w:szCs w:val="18"/>
          <w:b w:val="1"/>
          <w:bCs w:val="1"/>
          <w:color w:val="auto"/>
        </w:rPr>
        <w:t>CST</w:t>
      </w:r>
      <w:r>
        <w:rPr>
          <w:rFonts w:ascii="Arial" w:cs="Arial" w:eastAsia="Arial" w:hAnsi="Arial"/>
          <w:sz w:val="18"/>
          <w:szCs w:val="18"/>
          <w:color w:val="auto"/>
        </w:rPr>
        <w:t>”), as trustee, in substantially the form filed as Exhibit 10.2 to the Registration Statement (the “</w:t>
      </w:r>
      <w:r>
        <w:rPr>
          <w:rFonts w:ascii="Arial" w:cs="Arial" w:eastAsia="Arial" w:hAnsi="Arial"/>
          <w:sz w:val="18"/>
          <w:szCs w:val="18"/>
          <w:b w:val="1"/>
          <w:bCs w:val="1"/>
          <w:color w:val="auto"/>
        </w:rPr>
        <w:t>Trust Agreement</w:t>
      </w:r>
      <w:r>
        <w:rPr>
          <w:rFonts w:ascii="Arial" w:cs="Arial" w:eastAsia="Arial" w:hAnsi="Arial"/>
          <w:sz w:val="18"/>
          <w:szCs w:val="18"/>
          <w:color w:val="auto"/>
        </w:rPr>
        <w:t>”), pursuant to which proceeds from the sale of the Sponsor Shares and proceeds from the Offering and sale of the Offered Securities will be deposited and held in a trust account (the “</w:t>
      </w:r>
      <w:r>
        <w:rPr>
          <w:rFonts w:ascii="Arial" w:cs="Arial" w:eastAsia="Arial" w:hAnsi="Arial"/>
          <w:sz w:val="18"/>
          <w:szCs w:val="18"/>
          <w:b w:val="1"/>
          <w:bCs w:val="1"/>
          <w:color w:val="auto"/>
        </w:rPr>
        <w:t>Trust Account</w:t>
      </w:r>
      <w:r>
        <w:rPr>
          <w:rFonts w:ascii="Arial" w:cs="Arial" w:eastAsia="Arial" w:hAnsi="Arial"/>
          <w:sz w:val="18"/>
          <w:szCs w:val="18"/>
          <w:color w:val="auto"/>
        </w:rPr>
        <w:t>”) for the benefit of the Company, the Underwriters and the holders of the Firm Securities and the Optional Securities, if and when issued.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entered into a Registration Rights Agreement, dated as of the date hereof, with the Sponsor and the other parties thereto, in substantially the form filed as Exhibit 10.3 to the Registration Statement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in respect of the Founder Shares, the Sponsor Shares and any shares of Class A Common Stock issued upon the conversion of working capital loans by the Sponsor, the Company’s officers and directors or their respective affiliates, to the Company (the “</w:t>
      </w:r>
      <w:r>
        <w:rPr>
          <w:rFonts w:ascii="Arial" w:cs="Arial" w:eastAsia="Arial" w:hAnsi="Arial"/>
          <w:sz w:val="18"/>
          <w:szCs w:val="18"/>
          <w:b w:val="1"/>
          <w:bCs w:val="1"/>
          <w:color w:val="auto"/>
        </w:rPr>
        <w:t>Working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entered into a letter agreement, dated as of the date hereof, with the Sponsor and the Company’s officers and directors, in substantially the form filed as Exhibit 10.1 to the Registration Statement (the “</w:t>
      </w:r>
      <w:r>
        <w:rPr>
          <w:rFonts w:ascii="Arial" w:cs="Arial" w:eastAsia="Arial" w:hAnsi="Arial"/>
          <w:sz w:val="18"/>
          <w:szCs w:val="18"/>
          <w:b w:val="1"/>
          <w:bCs w:val="1"/>
          <w:color w:val="auto"/>
        </w:rPr>
        <w:t>Insider Letter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entered into an Administrative Services Agreement, dated as of the date hereof, with the Sponsor, in substantially the form filed as Exhibit 10.8 to the Registration Statement (the “</w:t>
      </w:r>
      <w:r>
        <w:rPr>
          <w:rFonts w:ascii="Arial" w:cs="Arial" w:eastAsia="Arial" w:hAnsi="Arial"/>
          <w:sz w:val="18"/>
          <w:szCs w:val="18"/>
          <w:b w:val="1"/>
          <w:bCs w:val="1"/>
          <w:color w:val="auto"/>
        </w:rPr>
        <w:t>Administrative Services Agreement</w:t>
      </w:r>
      <w:r>
        <w:rPr>
          <w:rFonts w:ascii="Arial" w:cs="Arial" w:eastAsia="Arial" w:hAnsi="Arial"/>
          <w:sz w:val="18"/>
          <w:szCs w:val="18"/>
          <w:color w:val="auto"/>
        </w:rPr>
        <w:t>”), pursuant to which the Company will pay to Sponsor an aggregate monthly fee of $10,000 for office space, secretarial and administrative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1. Representations and Warranties of the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hereby represents, warrants and covenants to each Underwriter, as of the date of this Agreement, as of the First Closing Date (as hereinafter defined) and as of each Option Closing Date (as hereinafter defined), if any, as follows:</w:t>
      </w:r>
    </w:p>
    <w:p>
      <w:pPr>
        <w:spacing w:after="0" w:line="166" w:lineRule="exact"/>
        <w:rPr>
          <w:sz w:val="20"/>
          <w:szCs w:val="20"/>
          <w:color w:val="auto"/>
        </w:rPr>
      </w:pPr>
    </w:p>
    <w:p>
      <w:pPr>
        <w:jc w:val="both"/>
        <w:ind w:firstLine="656"/>
        <w:spacing w:after="0" w:line="261" w:lineRule="auto"/>
        <w:tabs>
          <w:tab w:leader="none" w:pos="91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Statement has become effective under the Securities Act. The Company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179" w:lineRule="exact"/>
        <w:rPr>
          <w:rFonts w:ascii="Arial" w:cs="Arial" w:eastAsia="Arial" w:hAnsi="Arial"/>
          <w:sz w:val="18"/>
          <w:szCs w:val="18"/>
          <w:b w:val="1"/>
          <w:bCs w:val="1"/>
          <w:color w:val="auto"/>
        </w:rPr>
      </w:pPr>
    </w:p>
    <w:p>
      <w:pPr>
        <w:jc w:val="both"/>
        <w:ind w:firstLine="656"/>
        <w:spacing w:after="0" w:line="268" w:lineRule="auto"/>
        <w:tabs>
          <w:tab w:leader="none" w:pos="913"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Securities Act and, if filed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transmission pursuant to EDGAR, was identical (except as may be permitted by Regulation S-T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firstLine="656"/>
        <w:spacing w:after="0" w:line="271" w:lineRule="auto"/>
        <w:tabs>
          <w:tab w:leader="none" w:pos="90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Free Writing Prospectuses; Road Show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of the determination date referenced in Rule 164(h) under the Securities Act and as of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 expressly for use therein, it being understood and agreed that the only such information consists of the information described in Section 8(b) below.</w:t>
      </w:r>
    </w:p>
    <w:p>
      <w:pPr>
        <w:spacing w:after="0" w:line="173" w:lineRule="exact"/>
        <w:rPr>
          <w:rFonts w:ascii="Arial" w:cs="Arial" w:eastAsia="Arial" w:hAnsi="Arial"/>
          <w:sz w:val="17"/>
          <w:szCs w:val="17"/>
          <w:b w:val="1"/>
          <w:bCs w:val="1"/>
          <w:color w:val="auto"/>
        </w:rPr>
      </w:pPr>
    </w:p>
    <w:p>
      <w:pPr>
        <w:jc w:val="both"/>
        <w:ind w:firstLine="656"/>
        <w:spacing w:after="0" w:line="303" w:lineRule="auto"/>
        <w:tabs>
          <w:tab w:leader="none" w:pos="91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Distribution of Offering Material By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later of (i) the expiration or termination of the option granted to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in Section 2, (ii) the completion of the several Underwriters’ distribution of the Offered Securities and (iii) the expiration of 25 days after the date of the Prospectus</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50" w:lineRule="exact"/>
        <w:rPr>
          <w:rFonts w:ascii="Arial" w:cs="Arial" w:eastAsia="Arial" w:hAnsi="Arial"/>
          <w:sz w:val="16"/>
          <w:szCs w:val="16"/>
          <w:b w:val="1"/>
          <w:bCs w:val="1"/>
          <w:color w:val="auto"/>
        </w:rPr>
      </w:pPr>
    </w:p>
    <w:p>
      <w:pPr>
        <w:jc w:val="both"/>
        <w:ind w:firstLine="656"/>
        <w:spacing w:after="0" w:line="261" w:lineRule="auto"/>
        <w:tabs>
          <w:tab w:leader="none" w:pos="89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and validly authorized, executed and delivered by the Company, and is a valid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303" w:lineRule="auto"/>
        <w:tabs>
          <w:tab w:leader="none" w:pos="873"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Filing of a Form 8-A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filed with the Commission a registration statement (the “</w:t>
      </w:r>
      <w:r>
        <w:rPr>
          <w:rFonts w:ascii="Arial" w:cs="Arial" w:eastAsia="Arial" w:hAnsi="Arial"/>
          <w:sz w:val="16"/>
          <w:szCs w:val="16"/>
          <w:b w:val="1"/>
          <w:bCs w:val="1"/>
          <w:color w:val="auto"/>
        </w:rPr>
        <w:t>Exchange Act Registration Statement</w:t>
      </w:r>
      <w:r>
        <w:rPr>
          <w:rFonts w:ascii="Arial" w:cs="Arial" w:eastAsia="Arial" w:hAnsi="Arial"/>
          <w:sz w:val="16"/>
          <w:szCs w:val="16"/>
          <w:color w:val="auto"/>
        </w:rPr>
        <w:t>”)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 8-A (file number 001-39438) providing for the registration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of the shares of Class A Common Stock, which registration is currently effective on the date hereof. The Exchange Act Registration Statement has become effective as provided in Section 12 of the Exchange Act.</w:t>
      </w:r>
    </w:p>
    <w:p>
      <w:pPr>
        <w:spacing w:after="0" w:line="150" w:lineRule="exact"/>
        <w:rPr>
          <w:rFonts w:ascii="Arial" w:cs="Arial" w:eastAsia="Arial" w:hAnsi="Arial"/>
          <w:sz w:val="16"/>
          <w:szCs w:val="16"/>
          <w:b w:val="1"/>
          <w:bCs w:val="1"/>
          <w:color w:val="auto"/>
        </w:rPr>
      </w:pPr>
    </w:p>
    <w:p>
      <w:pPr>
        <w:ind w:firstLine="656"/>
        <w:spacing w:after="0" w:line="282" w:lineRule="auto"/>
        <w:tabs>
          <w:tab w:leader="none" w:pos="90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Exchange 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of Class A Common Stock have been approved for listing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only to official notice of issuance.</w:t>
      </w:r>
    </w:p>
    <w:p>
      <w:pPr>
        <w:spacing w:after="0" w:line="161" w:lineRule="exact"/>
        <w:rPr>
          <w:rFonts w:ascii="Arial" w:cs="Arial" w:eastAsia="Arial" w:hAnsi="Arial"/>
          <w:sz w:val="18"/>
          <w:szCs w:val="18"/>
          <w:b w:val="1"/>
          <w:bCs w:val="1"/>
          <w:color w:val="auto"/>
        </w:rPr>
      </w:pPr>
    </w:p>
    <w:p>
      <w:pPr>
        <w:ind w:firstLine="656"/>
        <w:spacing w:after="0" w:line="312" w:lineRule="auto"/>
        <w:tabs>
          <w:tab w:leader="none" w:pos="92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Integration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any of its affiliates has, prior to the date hereof, made any offer or sale of any securities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to be “integrated” pursuant to the Securities Act with the offer and sale of the Offered Securities pursuant to the Registration Statement.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56"/>
        <w:spacing w:after="0" w:line="266" w:lineRule="auto"/>
        <w:tabs>
          <w:tab w:leader="none" w:pos="86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Sponsor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Shares have been duly authorized by the Company and, when issued and delivered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set forth in the Sponsor Shares Purchase Agreement against payment therefor, will be validly issued, fully paid and non-assessable and free of preemptive rights, rights of first refusal and similar rights.</w:t>
      </w:r>
    </w:p>
    <w:p>
      <w:pPr>
        <w:spacing w:after="0" w:line="175" w:lineRule="exact"/>
        <w:rPr>
          <w:rFonts w:ascii="Arial" w:cs="Arial" w:eastAsia="Arial" w:hAnsi="Arial"/>
          <w:sz w:val="18"/>
          <w:szCs w:val="18"/>
          <w:b w:val="1"/>
          <w:bCs w:val="1"/>
          <w:color w:val="auto"/>
        </w:rPr>
      </w:pPr>
    </w:p>
    <w:p>
      <w:pPr>
        <w:ind w:left="900" w:hanging="244"/>
        <w:spacing w:after="0"/>
        <w:tabs>
          <w:tab w:leader="none" w:pos="9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Authorization of the Founder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Founder Shares have been duly authorized, were validly issued and are fully paid and non-</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assessable.</w:t>
      </w:r>
    </w:p>
    <w:p>
      <w:pPr>
        <w:spacing w:after="0" w:line="206" w:lineRule="exact"/>
        <w:rPr>
          <w:rFonts w:ascii="Arial" w:cs="Arial" w:eastAsia="Arial" w:hAnsi="Arial"/>
          <w:sz w:val="17"/>
          <w:szCs w:val="17"/>
          <w:b w:val="1"/>
          <w:bCs w:val="1"/>
          <w:color w:val="auto"/>
        </w:rPr>
      </w:pPr>
    </w:p>
    <w:p>
      <w:pPr>
        <w:jc w:val="both"/>
        <w:ind w:firstLine="656"/>
        <w:spacing w:after="0" w:line="266" w:lineRule="auto"/>
        <w:tabs>
          <w:tab w:leader="none" w:pos="9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Authorization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Offered Securities have been duly authorized for issuance and sale pursuant to this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when issued and delivered by the Company against payment therefor pursuant to this Agreement, will be validly issued, fully paid and non-assessable and free of preemptive rights, rights of first refusal and similar rights.</w:t>
      </w:r>
    </w:p>
    <w:p>
      <w:pPr>
        <w:spacing w:after="0" w:line="175" w:lineRule="exact"/>
        <w:rPr>
          <w:rFonts w:ascii="Arial" w:cs="Arial" w:eastAsia="Arial" w:hAnsi="Arial"/>
          <w:sz w:val="18"/>
          <w:szCs w:val="18"/>
          <w:b w:val="1"/>
          <w:bCs w:val="1"/>
          <w:color w:val="auto"/>
        </w:rPr>
      </w:pPr>
    </w:p>
    <w:p>
      <w:pPr>
        <w:jc w:val="both"/>
        <w:ind w:firstLine="656"/>
        <w:spacing w:after="0" w:line="314" w:lineRule="auto"/>
        <w:tabs>
          <w:tab w:leader="none" w:pos="8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The Trust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 Agreement has been duly authorized, executed and delivered by the Company, and is a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1" w:lineRule="exact"/>
        <w:rPr>
          <w:rFonts w:ascii="Arial" w:cs="Arial" w:eastAsia="Arial" w:hAnsi="Arial"/>
          <w:sz w:val="16"/>
          <w:szCs w:val="16"/>
          <w:b w:val="1"/>
          <w:bCs w:val="1"/>
          <w:color w:val="auto"/>
        </w:rPr>
      </w:pPr>
    </w:p>
    <w:p>
      <w:pPr>
        <w:jc w:val="both"/>
        <w:ind w:firstLine="656"/>
        <w:spacing w:after="0" w:line="261" w:lineRule="auto"/>
        <w:tabs>
          <w:tab w:leader="none" w:pos="99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Subscription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Subscription Agreement has been duly authorized, executed and delivered by the Company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Sponsor Shares Purchase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Sponsor Shares Purchase Agreement has been duly authorized, executed and delivered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61" w:lineRule="auto"/>
        <w:tabs>
          <w:tab w:leader="none" w:pos="90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Registration Rights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Registration Rights Agreement has been duly authorized, executed and delivered by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9" w:lineRule="exact"/>
        <w:rPr>
          <w:rFonts w:ascii="Arial" w:cs="Arial" w:eastAsia="Arial" w:hAnsi="Arial"/>
          <w:sz w:val="18"/>
          <w:szCs w:val="18"/>
          <w:b w:val="1"/>
          <w:bCs w:val="1"/>
          <w:color w:val="auto"/>
        </w:rPr>
      </w:pPr>
    </w:p>
    <w:p>
      <w:pPr>
        <w:jc w:val="both"/>
        <w:ind w:firstLine="656"/>
        <w:spacing w:after="0" w:line="256" w:lineRule="auto"/>
        <w:tabs>
          <w:tab w:leader="none" w:pos="9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Insider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Insider Letter has been duly authorized, executed and delivered by the Company and the Sponsor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each 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b w:val="1"/>
          <w:bCs w:val="1"/>
          <w:color w:val="auto"/>
        </w:rPr>
      </w:pPr>
    </w:p>
    <w:p>
      <w:pPr>
        <w:jc w:val="both"/>
        <w:ind w:firstLine="656"/>
        <w:spacing w:after="0" w:line="281" w:lineRule="auto"/>
        <w:tabs>
          <w:tab w:leader="none" w:pos="926"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Administrative Services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Administrative Services Agreement has been duly authorized, executed and delivered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and, assuming the due authorization, execution and delivery thereof by Sponsor,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firstLine="656"/>
        <w:spacing w:after="0" w:line="282" w:lineRule="auto"/>
        <w:tabs>
          <w:tab w:leader="none" w:pos="90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Applicable Registration or Other Similar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persons with registration or other similar rights to have equity 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registered for sale under the Registration Statement or included in the offering contemplated by this Agreement.</w:t>
      </w:r>
    </w:p>
    <w:p>
      <w:pPr>
        <w:spacing w:after="0" w:line="161" w:lineRule="exact"/>
        <w:rPr>
          <w:rFonts w:ascii="Arial" w:cs="Arial" w:eastAsia="Arial" w:hAnsi="Arial"/>
          <w:sz w:val="18"/>
          <w:szCs w:val="18"/>
          <w:b w:val="1"/>
          <w:bCs w:val="1"/>
          <w:color w:val="auto"/>
        </w:rPr>
      </w:pPr>
    </w:p>
    <w:p>
      <w:pPr>
        <w:jc w:val="both"/>
        <w:ind w:firstLine="656"/>
        <w:spacing w:after="0" w:line="258" w:lineRule="auto"/>
        <w:tabs>
          <w:tab w:leader="none" w:pos="91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WithumSmith+Brown, PC (“</w:t>
      </w:r>
      <w:r>
        <w:rPr>
          <w:rFonts w:ascii="Arial" w:cs="Arial" w:eastAsia="Arial" w:hAnsi="Arial"/>
          <w:sz w:val="18"/>
          <w:szCs w:val="18"/>
          <w:b w:val="1"/>
          <w:bCs w:val="1"/>
          <w:color w:val="auto"/>
        </w:rPr>
        <w:t>Withum</w:t>
      </w:r>
      <w:r>
        <w:rPr>
          <w:rFonts w:ascii="Arial" w:cs="Arial" w:eastAsia="Arial" w:hAnsi="Arial"/>
          <w:sz w:val="18"/>
          <w:szCs w:val="18"/>
          <w:color w:val="auto"/>
        </w:rPr>
        <w:t>”), who have certified certain financial statements of the Company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183" w:lineRule="exact"/>
        <w:rPr>
          <w:rFonts w:ascii="Arial" w:cs="Arial" w:eastAsia="Arial" w:hAnsi="Arial"/>
          <w:sz w:val="18"/>
          <w:szCs w:val="18"/>
          <w:b w:val="1"/>
          <w:bCs w:val="1"/>
          <w:color w:val="auto"/>
        </w:rPr>
      </w:pPr>
    </w:p>
    <w:p>
      <w:pPr>
        <w:jc w:val="both"/>
        <w:ind w:firstLine="656"/>
        <w:spacing w:after="0" w:line="289" w:lineRule="auto"/>
        <w:tabs>
          <w:tab w:leader="none" w:pos="87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including the notes thereto and the supporting schedules, if any, filed with the Commission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 of the Registration Statement, the Time of Sale Prospectus and the Prospectus present fairly the financial position of the Company as of the dates indicated and the results of the Company’s operations, changes in stockholders’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60" w:lineRule="exact"/>
        <w:rPr>
          <w:rFonts w:ascii="Arial" w:cs="Arial" w:eastAsia="Arial" w:hAnsi="Arial"/>
          <w:sz w:val="16"/>
          <w:szCs w:val="16"/>
          <w:b w:val="1"/>
          <w:bCs w:val="1"/>
          <w:color w:val="auto"/>
        </w:rPr>
      </w:pPr>
    </w:p>
    <w:p>
      <w:pPr>
        <w:jc w:val="both"/>
        <w:ind w:firstLine="656"/>
        <w:spacing w:after="0" w:line="294" w:lineRule="auto"/>
        <w:tabs>
          <w:tab w:leader="none" w:pos="92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Company’s Accounting System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required by Rule 13a-15(e) under the Exchange Act, the Company will maintain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controls and procedures” (as defined under Rule 13a-15(e) under the Exchange Act) and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59" w:lineRule="exact"/>
        <w:rPr>
          <w:rFonts w:ascii="Arial" w:cs="Arial" w:eastAsia="Arial" w:hAnsi="Arial"/>
          <w:sz w:val="16"/>
          <w:szCs w:val="16"/>
          <w:b w:val="1"/>
          <w:bCs w:val="1"/>
          <w:color w:val="auto"/>
        </w:rPr>
      </w:pPr>
    </w:p>
    <w:p>
      <w:pPr>
        <w:ind w:firstLine="656"/>
        <w:spacing w:after="0" w:line="312" w:lineRule="auto"/>
        <w:tabs>
          <w:tab w:leader="none" w:pos="91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 Controls and Procedures; Deficiencies in or Changes to Internal Control Over Financial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“disclosure controls and procedures” as defined under Rule 13a-15(e) under the Exchange Act, to the extent required by such rule.</w:t>
      </w:r>
    </w:p>
    <w:p>
      <w:pPr>
        <w:spacing w:after="0" w:line="139" w:lineRule="exact"/>
        <w:rPr>
          <w:rFonts w:ascii="Arial" w:cs="Arial" w:eastAsia="Arial" w:hAnsi="Arial"/>
          <w:sz w:val="17"/>
          <w:szCs w:val="17"/>
          <w:b w:val="1"/>
          <w:bCs w:val="1"/>
          <w:color w:val="auto"/>
        </w:rPr>
      </w:pPr>
    </w:p>
    <w:p>
      <w:pPr>
        <w:jc w:val="both"/>
        <w:ind w:firstLine="656"/>
        <w:spacing w:after="0" w:line="258" w:lineRule="auto"/>
        <w:tabs>
          <w:tab w:leader="none" w:pos="9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Solely to the extent that the Sarbanes-Oxley Act of 2002, as amended, and the rules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promulgated by the Commission and Nasdaq thereunder (the “</w:t>
      </w:r>
      <w:r>
        <w:rPr>
          <w:rFonts w:ascii="Arial" w:cs="Arial" w:eastAsia="Arial" w:hAnsi="Arial"/>
          <w:sz w:val="18"/>
          <w:szCs w:val="18"/>
          <w:b w:val="1"/>
          <w:bCs w:val="1"/>
          <w:color w:val="auto"/>
        </w:rPr>
        <w:t>Sarbanes-Oxley Act</w:t>
      </w:r>
      <w:r>
        <w:rPr>
          <w:rFonts w:ascii="Arial" w:cs="Arial" w:eastAsia="Arial" w:hAnsi="Arial"/>
          <w:sz w:val="18"/>
          <w:szCs w:val="18"/>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56"/>
        <w:spacing w:after="0" w:line="274" w:lineRule="auto"/>
        <w:tabs>
          <w:tab w:leader="none" w:pos="903"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Nasdaq Rules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and has been no failure on the part of the Company or, to the knowledge of the Company, any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officers 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73" w:lineRule="exact"/>
        <w:rPr>
          <w:rFonts w:ascii="Arial" w:cs="Arial" w:eastAsia="Arial" w:hAnsi="Arial"/>
          <w:sz w:val="17"/>
          <w:szCs w:val="17"/>
          <w:b w:val="1"/>
          <w:bCs w:val="1"/>
          <w:color w:val="auto"/>
        </w:rPr>
      </w:pPr>
    </w:p>
    <w:p>
      <w:pPr>
        <w:jc w:val="both"/>
        <w:ind w:firstLine="656"/>
        <w:spacing w:after="0" w:line="261" w:lineRule="auto"/>
        <w:tabs>
          <w:tab w:leader="none" w:pos="91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Fees Related to this Agreement or the Offering of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transfer, stamp, issue, registration, documentary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79" w:lineRule="exact"/>
        <w:rPr>
          <w:rFonts w:ascii="Arial" w:cs="Arial" w:eastAsia="Arial" w:hAnsi="Arial"/>
          <w:sz w:val="18"/>
          <w:szCs w:val="18"/>
          <w:b w:val="1"/>
          <w:bCs w:val="1"/>
          <w:color w:val="auto"/>
        </w:rPr>
      </w:pPr>
    </w:p>
    <w:p>
      <w:pPr>
        <w:jc w:val="both"/>
        <w:ind w:firstLine="656"/>
        <w:spacing w:after="0" w:line="271" w:lineRule="auto"/>
        <w:tabs>
          <w:tab w:leader="none" w:pos="892"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Incorporation and Good Standing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been duly incorporated and is validly existing as a corporation in good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Subscription Agreement, the Sponsor Shares Purchase Agreement, the Registration Rights Agreement, the Insider Letter and the Administrative Services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Arial" w:cs="Arial" w:eastAsia="Arial" w:hAnsi="Arial"/>
          <w:sz w:val="17"/>
          <w:szCs w:val="17"/>
          <w:b w:val="1"/>
          <w:bCs w:val="1"/>
          <w:color w:val="auto"/>
        </w:rPr>
        <w:t>Material</w:t>
      </w:r>
      <w:r>
        <w:rPr>
          <w:rFonts w:ascii="Arial" w:cs="Arial" w:eastAsia="Arial" w:hAnsi="Arial"/>
          <w:sz w:val="17"/>
          <w:szCs w:val="17"/>
          <w:color w:val="auto"/>
        </w:rPr>
        <w:t xml:space="preserve"> </w:t>
      </w:r>
      <w:r>
        <w:rPr>
          <w:rFonts w:ascii="Arial" w:cs="Arial" w:eastAsia="Arial" w:hAnsi="Arial"/>
          <w:sz w:val="17"/>
          <w:szCs w:val="17"/>
          <w:b w:val="1"/>
          <w:bCs w:val="1"/>
          <w:color w:val="auto"/>
        </w:rPr>
        <w:t>Adverse Effect</w:t>
      </w:r>
      <w:r>
        <w:rPr>
          <w:rFonts w:ascii="Arial" w:cs="Arial" w:eastAsia="Arial" w:hAnsi="Arial"/>
          <w:sz w:val="17"/>
          <w:szCs w:val="17"/>
          <w:color w:val="auto"/>
        </w:rPr>
        <w:t>”) on the Company.</w:t>
      </w:r>
    </w:p>
    <w:p>
      <w:pPr>
        <w:spacing w:after="0" w:line="174" w:lineRule="exact"/>
        <w:rPr>
          <w:sz w:val="20"/>
          <w:szCs w:val="20"/>
          <w:color w:val="auto"/>
        </w:rPr>
      </w:pPr>
    </w:p>
    <w:p>
      <w:pPr>
        <w:ind w:firstLine="656"/>
        <w:spacing w:after="0" w:line="282" w:lineRule="auto"/>
        <w:tabs>
          <w:tab w:leader="none" w:pos="993"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Interests in Other Entities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own or control, directly or indirectly, an interest in any corporation, partnership,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liability company, joint venture, trust or other entity.</w:t>
      </w:r>
    </w:p>
    <w:p>
      <w:pPr>
        <w:spacing w:after="0" w:line="161" w:lineRule="exact"/>
        <w:rPr>
          <w:rFonts w:ascii="Arial" w:cs="Arial" w:eastAsia="Arial" w:hAnsi="Arial"/>
          <w:sz w:val="18"/>
          <w:szCs w:val="18"/>
          <w:b w:val="1"/>
          <w:bCs w:val="1"/>
          <w:color w:val="auto"/>
        </w:rPr>
      </w:pPr>
    </w:p>
    <w:p>
      <w:pPr>
        <w:jc w:val="both"/>
        <w:ind w:firstLine="656"/>
        <w:spacing w:after="0" w:line="289" w:lineRule="auto"/>
        <w:tabs>
          <w:tab w:leader="none" w:pos="101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authorized, issued and outstanding capital stock of the Company is as set forth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capital stock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other than those described in the Registration Statement, the Time of Sale Prospectus and the Prospectus.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656"/>
        <w:spacing w:after="0" w:line="289" w:lineRule="auto"/>
        <w:tabs>
          <w:tab w:leader="none" w:pos="972"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Sale of Securities of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 securities of the Company have been sold by the Company or by or on behalf of, or for the benefit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157" w:lineRule="exact"/>
        <w:rPr>
          <w:rFonts w:ascii="Arial" w:cs="Arial" w:eastAsia="Arial" w:hAnsi="Arial"/>
          <w:sz w:val="17"/>
          <w:szCs w:val="17"/>
          <w:b w:val="1"/>
          <w:bCs w:val="1"/>
          <w:color w:val="auto"/>
        </w:rPr>
      </w:pPr>
    </w:p>
    <w:p>
      <w:pPr>
        <w:jc w:val="both"/>
        <w:ind w:firstLine="656"/>
        <w:spacing w:after="0" w:line="266" w:lineRule="auto"/>
        <w:tabs>
          <w:tab w:leader="none" w:pos="101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“Penny Stock”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delivery and payment for the shares of Class A Common Stock on the First Closing Date and any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Dates, the Company will not be subject to Rule 419 under the Securities Act and none of the Company’s outstanding securities will be deemed to be a “penny stock” as defined in Rule 3a51-1 under the Exchange Act.</w:t>
      </w:r>
    </w:p>
    <w:p>
      <w:pPr>
        <w:spacing w:after="0" w:line="175" w:lineRule="exact"/>
        <w:rPr>
          <w:rFonts w:ascii="Arial" w:cs="Arial" w:eastAsia="Arial" w:hAnsi="Arial"/>
          <w:sz w:val="18"/>
          <w:szCs w:val="18"/>
          <w:b w:val="1"/>
          <w:bCs w:val="1"/>
          <w:color w:val="auto"/>
        </w:rPr>
      </w:pPr>
    </w:p>
    <w:p>
      <w:pPr>
        <w:jc w:val="both"/>
        <w:ind w:firstLine="656"/>
        <w:spacing w:after="0" w:line="285" w:lineRule="auto"/>
        <w:tabs>
          <w:tab w:leader="none" w:pos="98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Non-Contravention of Existing Instruments; No Further Authorizations or Approvals Required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 of incorporation and, as of the First Closing Date, will not be in violation of its amended and restated certificate of incorporation (as it may be amended from time to time, the “</w:t>
      </w:r>
      <w:r>
        <w:rPr>
          <w:rFonts w:ascii="Arial" w:cs="Arial" w:eastAsia="Arial" w:hAnsi="Arial"/>
          <w:sz w:val="16"/>
          <w:szCs w:val="16"/>
          <w:b w:val="1"/>
          <w:bCs w:val="1"/>
          <w:color w:val="auto"/>
        </w:rPr>
        <w:t>Amended and Restated Certificate of Incorporation</w:t>
      </w:r>
      <w:r>
        <w:rPr>
          <w:rFonts w:ascii="Arial" w:cs="Arial" w:eastAsia="Arial" w:hAnsi="Arial"/>
          <w:sz w:val="16"/>
          <w:szCs w:val="16"/>
          <w:color w:val="auto"/>
        </w:rPr>
        <w:t>”), and is not in default (or, with the giving of notice or lapse of time, would not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6"/>
          <w:szCs w:val="16"/>
          <w:b w:val="1"/>
          <w:bCs w:val="1"/>
          <w:color w:val="auto"/>
        </w:rPr>
        <w:t>Existing Instrument</w:t>
      </w:r>
      <w:r>
        <w:rPr>
          <w:rFonts w:ascii="Arial" w:cs="Arial" w:eastAsia="Arial" w:hAnsi="Arial"/>
          <w:sz w:val="16"/>
          <w:szCs w:val="16"/>
          <w:color w:val="auto"/>
        </w:rPr>
        <w:t>”), except for such Defaults as could not be reasonably expected, individually or in the aggregate, to have a Material Adverse Effect. The Company’s execution, delivery and performance of this Agreement, the Trust Agreement, the Subscription Agreement, the Sponsor Shares Purchase Agreement, the Registration Rights Agreement, the Insider Letter or the Administrative Services Agreement,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Certificate of Incorporation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Subscription Agreement, the Sponsor Shares Purchase Agreement, the Registration Rights Agreement, the Insider Letter or the Administrative Services Agreement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167" w:lineRule="exact"/>
        <w:rPr>
          <w:rFonts w:ascii="Arial" w:cs="Arial" w:eastAsia="Arial" w:hAnsi="Arial"/>
          <w:sz w:val="16"/>
          <w:szCs w:val="16"/>
          <w:b w:val="1"/>
          <w:bCs w:val="1"/>
          <w:color w:val="auto"/>
        </w:rPr>
      </w:pPr>
    </w:p>
    <w:p>
      <w:pPr>
        <w:ind w:firstLine="656"/>
        <w:spacing w:after="0" w:line="277" w:lineRule="auto"/>
        <w:tabs>
          <w:tab w:leader="none" w:pos="933"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 in compliance could not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jc w:val="both"/>
        <w:ind w:firstLine="656"/>
        <w:spacing w:after="0" w:line="298" w:lineRule="auto"/>
        <w:tabs>
          <w:tab w:leader="none" w:pos="1006"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Material Actions or Proceedings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no action, suit, proceeding, inquiry or investigation brought by or before any governmental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Subscription Agreement, the Sponsor Shares Purchase Agreement, the Registration Rights Agreement, the Insider Letter or the Administrative Services Agreement or the performance by the Company of its obligations hereunder and thereunder.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56"/>
        <w:spacing w:after="0" w:line="258" w:lineRule="auto"/>
        <w:tabs>
          <w:tab w:leader="none" w:pos="101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All Necessary Permits, etc</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possesses such valid and current licenses, certificates, authorizations or permits required by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or foreign 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83" w:lineRule="exact"/>
        <w:rPr>
          <w:rFonts w:ascii="Arial" w:cs="Arial" w:eastAsia="Arial" w:hAnsi="Arial"/>
          <w:sz w:val="18"/>
          <w:szCs w:val="18"/>
          <w:b w:val="1"/>
          <w:bCs w:val="1"/>
          <w:color w:val="auto"/>
        </w:rPr>
      </w:pPr>
    </w:p>
    <w:p>
      <w:pPr>
        <w:ind w:left="920" w:hanging="264"/>
        <w:spacing w:after="0"/>
        <w:tabs>
          <w:tab w:leader="none" w:pos="92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Title to Properties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or leases all such properties as are necessary to the conduct of its operations as presently conducted.</w:t>
      </w:r>
    </w:p>
    <w:p>
      <w:pPr>
        <w:spacing w:after="0" w:line="248" w:lineRule="exact"/>
        <w:rPr>
          <w:rFonts w:ascii="Arial" w:cs="Arial" w:eastAsia="Arial" w:hAnsi="Arial"/>
          <w:sz w:val="16"/>
          <w:szCs w:val="16"/>
          <w:b w:val="1"/>
          <w:bCs w:val="1"/>
          <w:color w:val="auto"/>
        </w:rPr>
      </w:pPr>
    </w:p>
    <w:p>
      <w:pPr>
        <w:jc w:val="both"/>
        <w:ind w:firstLine="656"/>
        <w:spacing w:after="0" w:line="277" w:lineRule="auto"/>
        <w:tabs>
          <w:tab w:leader="none" w:pos="9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Tax Law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filed all necessary federal, state and foreign income and franchise tax returns or has properly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requested extensions thereof (except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167" w:lineRule="exact"/>
        <w:rPr>
          <w:rFonts w:ascii="Arial" w:cs="Arial" w:eastAsia="Arial" w:hAnsi="Arial"/>
          <w:sz w:val="17"/>
          <w:szCs w:val="17"/>
          <w:b w:val="1"/>
          <w:bCs w:val="1"/>
          <w:color w:val="auto"/>
        </w:rPr>
      </w:pPr>
    </w:p>
    <w:p>
      <w:pPr>
        <w:ind w:right="20" w:firstLine="656"/>
        <w:spacing w:after="0" w:line="282" w:lineRule="auto"/>
        <w:tabs>
          <w:tab w:leader="none" w:pos="105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ERISA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not established or maintained any “employee benefit plan” (as defined under the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and thus is not subject to ERISA.</w:t>
      </w:r>
    </w:p>
    <w:p>
      <w:pPr>
        <w:spacing w:after="0" w:line="165" w:lineRule="exact"/>
        <w:rPr>
          <w:rFonts w:ascii="Arial" w:cs="Arial" w:eastAsia="Arial" w:hAnsi="Arial"/>
          <w:sz w:val="18"/>
          <w:szCs w:val="18"/>
          <w:b w:val="1"/>
          <w:bCs w:val="1"/>
          <w:color w:val="auto"/>
        </w:rPr>
      </w:pPr>
    </w:p>
    <w:p>
      <w:pPr>
        <w:jc w:val="both"/>
        <w:ind w:firstLine="656"/>
        <w:spacing w:after="0" w:line="311" w:lineRule="auto"/>
        <w:tabs>
          <w:tab w:leader="none" w:pos="91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Company Not an “Investment Company.” </w:t>
      </w:r>
      <w:r>
        <w:rPr>
          <w:rFonts w:ascii="Arial" w:cs="Arial" w:eastAsia="Arial" w:hAnsi="Arial"/>
          <w:sz w:val="16"/>
          <w:szCs w:val="16"/>
          <w:color w:val="auto"/>
        </w:rPr>
        <w:t>The Company is not, and will not be, either after receipt of payment for the Offered Securities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4" w:lineRule="exact"/>
        <w:rPr>
          <w:rFonts w:ascii="Arial" w:cs="Arial" w:eastAsia="Arial" w:hAnsi="Arial"/>
          <w:sz w:val="16"/>
          <w:szCs w:val="16"/>
          <w:b w:val="1"/>
          <w:bCs w:val="1"/>
          <w:color w:val="auto"/>
        </w:rPr>
      </w:pPr>
    </w:p>
    <w:p>
      <w:pPr>
        <w:jc w:val="both"/>
        <w:ind w:firstLine="656"/>
        <w:spacing w:after="0" w:line="289" w:lineRule="auto"/>
        <w:tabs>
          <w:tab w:leader="none" w:pos="1126"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Price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not taken, directly or indirectly, any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w:t>
      </w:r>
    </w:p>
    <w:p>
      <w:pPr>
        <w:spacing w:after="0" w:line="157" w:lineRule="exact"/>
        <w:rPr>
          <w:rFonts w:ascii="Arial" w:cs="Arial" w:eastAsia="Arial" w:hAnsi="Arial"/>
          <w:sz w:val="17"/>
          <w:szCs w:val="17"/>
          <w:b w:val="1"/>
          <w:bCs w:val="1"/>
          <w:color w:val="auto"/>
        </w:rPr>
      </w:pPr>
    </w:p>
    <w:p>
      <w:pPr>
        <w:ind w:firstLine="656"/>
        <w:spacing w:after="0" w:line="347" w:lineRule="auto"/>
        <w:tabs>
          <w:tab w:leader="none" w:pos="102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115" w:lineRule="exact"/>
        <w:rPr>
          <w:rFonts w:ascii="Arial" w:cs="Arial" w:eastAsia="Arial" w:hAnsi="Arial"/>
          <w:sz w:val="16"/>
          <w:szCs w:val="16"/>
          <w:b w:val="1"/>
          <w:bCs w:val="1"/>
          <w:color w:val="auto"/>
        </w:rPr>
      </w:pPr>
    </w:p>
    <w:p>
      <w:pPr>
        <w:jc w:val="both"/>
        <w:ind w:firstLine="656"/>
        <w:spacing w:after="0" w:line="303" w:lineRule="auto"/>
        <w:tabs>
          <w:tab w:leader="none" w:pos="99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of the information provided to the Underwriters or to counsel for the Underwriters by the Sponsor, the Company and,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knowledge of the 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56"/>
        <w:spacing w:after="0" w:line="258" w:lineRule="auto"/>
        <w:tabs>
          <w:tab w:leader="none" w:pos="101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Conflict of Interest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Company’s knowledge, after reasonable inquiry, there are no affiliations or associations between (i)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187" w:lineRule="exact"/>
        <w:rPr>
          <w:rFonts w:ascii="Arial" w:cs="Arial" w:eastAsia="Arial" w:hAnsi="Arial"/>
          <w:sz w:val="18"/>
          <w:szCs w:val="18"/>
          <w:b w:val="1"/>
          <w:bCs w:val="1"/>
          <w:color w:val="auto"/>
        </w:rPr>
      </w:pPr>
    </w:p>
    <w:p>
      <w:pPr>
        <w:jc w:val="both"/>
        <w:ind w:firstLine="656"/>
        <w:spacing w:after="0" w:line="259" w:lineRule="auto"/>
        <w:tabs>
          <w:tab w:leader="none" w:pos="10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Non-Compete/Non-Solicit</w:t>
      </w:r>
      <w:r>
        <w:rPr>
          <w:rFonts w:ascii="Arial" w:cs="Arial" w:eastAsia="Arial" w:hAnsi="Arial"/>
          <w:sz w:val="18"/>
          <w:szCs w:val="18"/>
          <w:color w:val="auto"/>
        </w:rPr>
        <w:t>. Except as described in the Registration Statement, the Time of Sale Prospectus and the Prospectus,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stockholder, officer or director of the Company, as applicable.</w:t>
      </w:r>
    </w:p>
    <w:p>
      <w:pPr>
        <w:spacing w:after="0" w:line="182" w:lineRule="exact"/>
        <w:rPr>
          <w:rFonts w:ascii="Arial" w:cs="Arial" w:eastAsia="Arial" w:hAnsi="Arial"/>
          <w:sz w:val="18"/>
          <w:szCs w:val="18"/>
          <w:b w:val="1"/>
          <w:bCs w:val="1"/>
          <w:color w:val="auto"/>
        </w:rPr>
      </w:pPr>
    </w:p>
    <w:p>
      <w:pPr>
        <w:jc w:val="both"/>
        <w:ind w:firstLine="656"/>
        <w:spacing w:after="0" w:line="289" w:lineRule="auto"/>
        <w:tabs>
          <w:tab w:leader="none" w:pos="97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Statistical and Market-Related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statistical, industry-related and market-related data included in the Registration Statement, the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Sale Prospectus or 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157" w:lineRule="exact"/>
        <w:rPr>
          <w:rFonts w:ascii="Arial" w:cs="Arial" w:eastAsia="Arial" w:hAnsi="Arial"/>
          <w:sz w:val="17"/>
          <w:szCs w:val="17"/>
          <w:b w:val="1"/>
          <w:bCs w:val="1"/>
          <w:color w:val="auto"/>
        </w:rPr>
      </w:pPr>
    </w:p>
    <w:p>
      <w:pPr>
        <w:jc w:val="both"/>
        <w:ind w:firstLine="656"/>
        <w:spacing w:after="0" w:line="289" w:lineRule="auto"/>
        <w:tabs>
          <w:tab w:leader="none" w:pos="966"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Unlawful Contributions or Other Payments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any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nominee, officer, agent, employee or affiliate of the Company, has made any contribution or other payment to any official of, or candidate for, any federal, state or foreign office in violation of the FCPA (as defined below).</w:t>
      </w:r>
    </w:p>
    <w:p>
      <w:pPr>
        <w:spacing w:after="0" w:line="157" w:lineRule="exact"/>
        <w:rPr>
          <w:rFonts w:ascii="Arial" w:cs="Arial" w:eastAsia="Arial" w:hAnsi="Arial"/>
          <w:sz w:val="17"/>
          <w:szCs w:val="17"/>
          <w:b w:val="1"/>
          <w:bCs w:val="1"/>
          <w:color w:val="auto"/>
        </w:rPr>
      </w:pPr>
    </w:p>
    <w:p>
      <w:pPr>
        <w:jc w:val="both"/>
        <w:ind w:firstLine="656"/>
        <w:spacing w:after="0" w:line="289" w:lineRule="auto"/>
        <w:tabs>
          <w:tab w:leader="none" w:pos="946"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Foreign Corrupt Practices Act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None of the Company, the Sponsor, or, to the knowledge of the Company, any director, director nominee,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agent, employee or 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160" w:lineRule="exact"/>
        <w:rPr>
          <w:rFonts w:ascii="Arial" w:cs="Arial" w:eastAsia="Arial" w:hAnsi="Arial"/>
          <w:sz w:val="16"/>
          <w:szCs w:val="16"/>
          <w:b w:val="1"/>
          <w:bCs w:val="1"/>
          <w:color w:val="auto"/>
        </w:rPr>
      </w:pPr>
    </w:p>
    <w:p>
      <w:pPr>
        <w:jc w:val="both"/>
        <w:ind w:firstLine="656"/>
        <w:spacing w:after="0" w:line="256" w:lineRule="auto"/>
        <w:tabs>
          <w:tab w:leader="none" w:pos="101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and the Sponsor have been conducted at all times, in compliance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56"/>
        <w:spacing w:after="0" w:line="272" w:lineRule="auto"/>
        <w:tabs>
          <w:tab w:leader="none" w:pos="993"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OFAC</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None of the Company, the Sponsor, or, to the knowledge of the Company, any director, director nominee, officer, agent, employee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 of the Company is currently subject to any U.S. sanctions administered by the Office of Foreign Assets Control of the U.S. Treasury Department (“</w:t>
      </w:r>
      <w:r>
        <w:rPr>
          <w:rFonts w:ascii="Arial" w:cs="Arial" w:eastAsia="Arial" w:hAnsi="Arial"/>
          <w:sz w:val="17"/>
          <w:szCs w:val="17"/>
          <w:b w:val="1"/>
          <w:bCs w:val="1"/>
          <w:color w:val="auto"/>
        </w:rPr>
        <w:t>OFAC</w:t>
      </w:r>
      <w:r>
        <w:rPr>
          <w:rFonts w:ascii="Arial" w:cs="Arial" w:eastAsia="Arial" w:hAnsi="Arial"/>
          <w:sz w:val="17"/>
          <w:szCs w:val="17"/>
          <w:color w:val="auto"/>
        </w:rPr>
        <w:t>”), the United Nations Security Council (“</w:t>
      </w:r>
      <w:r>
        <w:rPr>
          <w:rFonts w:ascii="Arial" w:cs="Arial" w:eastAsia="Arial" w:hAnsi="Arial"/>
          <w:sz w:val="17"/>
          <w:szCs w:val="17"/>
          <w:b w:val="1"/>
          <w:bCs w:val="1"/>
          <w:color w:val="auto"/>
        </w:rPr>
        <w:t>UNSC</w:t>
      </w:r>
      <w:r>
        <w:rPr>
          <w:rFonts w:ascii="Arial" w:cs="Arial" w:eastAsia="Arial" w:hAnsi="Arial"/>
          <w:sz w:val="17"/>
          <w:szCs w:val="17"/>
          <w:color w:val="auto"/>
        </w:rPr>
        <w:t>”), the European Union, Her Majesty’s Treasury (“</w:t>
      </w:r>
      <w:r>
        <w:rPr>
          <w:rFonts w:ascii="Arial" w:cs="Arial" w:eastAsia="Arial" w:hAnsi="Arial"/>
          <w:sz w:val="17"/>
          <w:szCs w:val="17"/>
          <w:b w:val="1"/>
          <w:bCs w:val="1"/>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b w:val="1"/>
          <w:bCs w:val="1"/>
          <w:color w:val="auto"/>
        </w:rPr>
        <w:t>Sanctions</w:t>
      </w:r>
      <w:r>
        <w:rPr>
          <w:rFonts w:ascii="Arial" w:cs="Arial" w:eastAsia="Arial" w:hAnsi="Arial"/>
          <w:sz w:val="17"/>
          <w:szCs w:val="17"/>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171" w:lineRule="exact"/>
        <w:rPr>
          <w:rFonts w:ascii="Arial" w:cs="Arial" w:eastAsia="Arial" w:hAnsi="Arial"/>
          <w:sz w:val="17"/>
          <w:szCs w:val="17"/>
          <w:b w:val="1"/>
          <w:bCs w:val="1"/>
          <w:color w:val="auto"/>
        </w:rPr>
      </w:pPr>
    </w:p>
    <w:p>
      <w:pPr>
        <w:jc w:val="both"/>
        <w:ind w:firstLine="656"/>
        <w:spacing w:after="0" w:line="266" w:lineRule="auto"/>
        <w:tabs>
          <w:tab w:leader="none" w:pos="108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Brokers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described in the Registration Statement, the Time of Sale Prospectus and the Prospectus, there is no broker, finder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party that is entitled to receive from the Company any brokerage or finder’s fee or other fee or commission as a result of any transactions contemplated by this Agreement.</w:t>
      </w:r>
    </w:p>
    <w:p>
      <w:pPr>
        <w:spacing w:after="0" w:line="179" w:lineRule="exact"/>
        <w:rPr>
          <w:rFonts w:ascii="Arial" w:cs="Arial" w:eastAsia="Arial" w:hAnsi="Arial"/>
          <w:sz w:val="18"/>
          <w:szCs w:val="18"/>
          <w:b w:val="1"/>
          <w:bCs w:val="1"/>
          <w:color w:val="auto"/>
        </w:rPr>
      </w:pPr>
    </w:p>
    <w:p>
      <w:pPr>
        <w:jc w:val="both"/>
        <w:ind w:firstLine="656"/>
        <w:spacing w:after="0" w:line="285" w:lineRule="auto"/>
        <w:tabs>
          <w:tab w:leader="none" w:pos="100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Cybersecurity. </w:t>
      </w:r>
      <w:r>
        <w:rPr>
          <w:rFonts w:ascii="Arial" w:cs="Arial" w:eastAsia="Arial" w:hAnsi="Arial"/>
          <w:sz w:val="16"/>
          <w:szCs w:val="16"/>
          <w:color w:val="auto"/>
        </w:rPr>
        <w:t>The Company’s information technology assets and equipment, computers, systems, networks, hardware, software, websites,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for, and operate and perform in all material respects as required in connection with the operation of the business of the Company as currently conducted, and is not known by the Company to contain any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Arial" w:cs="Arial" w:eastAsia="Arial" w:hAnsi="Arial"/>
          <w:sz w:val="16"/>
          <w:szCs w:val="16"/>
          <w:b w:val="1"/>
          <w:bCs w:val="1"/>
          <w:color w:val="auto"/>
        </w:rPr>
        <w:t>Personal Data</w:t>
      </w:r>
      <w:r>
        <w:rPr>
          <w:rFonts w:ascii="Arial" w:cs="Arial" w:eastAsia="Arial" w:hAnsi="Arial"/>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(EU 2016/679); and (iv) any other piece of information that allows the identification of such natural person, or his or her family, or permits the collection or analysis of any data related to an identified person’s health or sexual orientation. The Company is unaware of any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173" w:lineRule="exact"/>
        <w:rPr>
          <w:rFonts w:ascii="Arial" w:cs="Arial" w:eastAsia="Arial" w:hAnsi="Arial"/>
          <w:sz w:val="16"/>
          <w:szCs w:val="16"/>
          <w:b w:val="1"/>
          <w:bCs w:val="1"/>
          <w:color w:val="auto"/>
        </w:rPr>
      </w:pPr>
    </w:p>
    <w:p>
      <w:pPr>
        <w:jc w:val="both"/>
        <w:ind w:firstLine="656"/>
        <w:spacing w:after="0" w:line="259" w:lineRule="auto"/>
        <w:tabs>
          <w:tab w:leader="none" w:pos="100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From the time of the initial confidential submission of the Registration Statement to the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w:t>
      </w:r>
      <w:r>
        <w:rPr>
          <w:rFonts w:ascii="Arial" w:cs="Arial" w:eastAsia="Arial" w:hAnsi="Arial"/>
          <w:sz w:val="18"/>
          <w:szCs w:val="18"/>
          <w:color w:val="auto"/>
        </w:rPr>
        <w:t xml:space="preserv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56"/>
        <w:spacing w:after="0" w:line="266" w:lineRule="auto"/>
        <w:tabs>
          <w:tab w:leader="none" w:pos="97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Communications with Potential Business Combination Targets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date hereof, neither the Company nor anyone on its behalf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as of the First Closing Date, neither the Company nor anyone on its behalf will have selected any Business Combination target or initiated any substantive discussions, directly or indirectly, with any Business Combination target.</w:t>
      </w:r>
    </w:p>
    <w:p>
      <w:pPr>
        <w:spacing w:after="0" w:line="180" w:lineRule="exact"/>
        <w:rPr>
          <w:sz w:val="20"/>
          <w:szCs w:val="20"/>
          <w:color w:val="auto"/>
        </w:rPr>
      </w:pPr>
    </w:p>
    <w:p>
      <w:pPr>
        <w:jc w:val="both"/>
        <w:ind w:firstLine="656"/>
        <w:spacing w:after="0" w:line="269" w:lineRule="auto"/>
        <w:tabs>
          <w:tab w:leader="none" w:pos="1096"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Communications</w:t>
      </w:r>
      <w:r>
        <w:rPr>
          <w:rFonts w:ascii="Arial" w:cs="Arial" w:eastAsia="Arial" w:hAnsi="Arial"/>
          <w:sz w:val="17"/>
          <w:szCs w:val="17"/>
          <w:color w:val="auto"/>
        </w:rPr>
        <w:t>. The Company (i) has not alone engaged in communications with potential investors in reliance on Section 5(d)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Act other than Permitted Section 5(d) Communications with the consent of the Representative with entities that are QIBs or IAIs and (ii) has not authorized anyone other than the Representative to engage in such communications; the Company reconfirms that the Representative has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and delivered to the Representative, any Underwriters or to counsel for the Underwriters in connection with the Offering, or the purchase and sale, of the Offered Securities shall be deemed a representation and warranty by the Company to each Underwriter as to the matters covered thereby.</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a reasonable basis for making each of the representations set forth in this Section 1. For purposes of the representations set forth in this Section 1, “knowledge” refers to the knowledge of any officer of the Company, whether acquired in the course of such officer’s duties to the Company or otherwise.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2. Purchase, Sale and Delivery of the Offered Securities</w:t>
      </w:r>
      <w:r>
        <w:rPr>
          <w:rFonts w:ascii="Arial" w:cs="Arial" w:eastAsia="Arial" w:hAnsi="Arial"/>
          <w:sz w:val="18"/>
          <w:szCs w:val="18"/>
          <w:color w:val="auto"/>
        </w:rPr>
        <w:t>.</w:t>
      </w:r>
    </w:p>
    <w:p>
      <w:pPr>
        <w:spacing w:after="0" w:line="225" w:lineRule="exact"/>
        <w:rPr>
          <w:sz w:val="20"/>
          <w:szCs w:val="20"/>
          <w:color w:val="auto"/>
        </w:rPr>
      </w:pPr>
    </w:p>
    <w:p>
      <w:pPr>
        <w:ind w:left="920" w:hanging="264"/>
        <w:spacing w:after="0"/>
        <w:tabs>
          <w:tab w:leader="none" w:pos="92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Firm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Upon the terms herein set forth, the Company agrees to issue and sell to the several Underwriters an aggregate of</w:t>
      </w:r>
    </w:p>
    <w:p>
      <w:pPr>
        <w:spacing w:after="0" w:line="38" w:lineRule="exact"/>
        <w:rPr>
          <w:rFonts w:ascii="Arial" w:cs="Arial" w:eastAsia="Arial" w:hAnsi="Arial"/>
          <w:sz w:val="17"/>
          <w:szCs w:val="17"/>
          <w:b w:val="1"/>
          <w:bCs w:val="1"/>
          <w:color w:val="auto"/>
        </w:rPr>
      </w:pPr>
    </w:p>
    <w:p>
      <w:pPr>
        <w:jc w:val="both"/>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 xml:space="preserve">10,500,000 shares of Class A Common Stock.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The purchase price per share of Class A Common Stock to be paid by the several Underwriters to the Company shall be $9.80 per share of Class A Common Stock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8" w:lineRule="exact"/>
        <w:rPr>
          <w:rFonts w:ascii="Arial" w:cs="Arial" w:eastAsia="Arial" w:hAnsi="Arial"/>
          <w:sz w:val="17"/>
          <w:szCs w:val="17"/>
          <w:b w:val="1"/>
          <w:bCs w:val="1"/>
          <w:color w:val="auto"/>
        </w:rPr>
      </w:pPr>
    </w:p>
    <w:p>
      <w:pPr>
        <w:jc w:val="both"/>
        <w:ind w:firstLine="656"/>
        <w:spacing w:after="0" w:line="255" w:lineRule="auto"/>
        <w:tabs>
          <w:tab w:leader="none" w:pos="913"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the Firm Securities to be purchased by the Underwriters and payment therefor shall be made at 9:00 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City time, on August 14, 2020, or such other time and date not later than 1:30 p.m. New York City time on August 28, 2020 as the Representative shall designate by notice to the Company (the time and date of such closing are called the “</w:t>
      </w:r>
      <w:r>
        <w:rPr>
          <w:rFonts w:ascii="Arial" w:cs="Arial" w:eastAsia="Arial" w:hAnsi="Arial"/>
          <w:sz w:val="18"/>
          <w:szCs w:val="18"/>
          <w:b w:val="1"/>
          <w:bCs w:val="1"/>
          <w:color w:val="auto"/>
        </w:rPr>
        <w:t>First Closing Date</w:t>
      </w:r>
      <w:r>
        <w:rPr>
          <w:rFonts w:ascii="Arial" w:cs="Arial" w:eastAsia="Arial" w:hAnsi="Arial"/>
          <w:sz w:val="18"/>
          <w:szCs w:val="18"/>
          <w:color w:val="auto"/>
        </w:rPr>
        <w:t>”). The Company hereby acknowledges that circumstances under which the Representative may provide notice to postpone the First Closing Date as originally scheduled include, but are not limited to, any determination by the Company or the Representative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unless the Representative shall otherwise instruct.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56"/>
        <w:spacing w:after="0" w:line="268" w:lineRule="auto"/>
        <w:tabs>
          <w:tab w:leader="none" w:pos="892"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Optional Securities; Option Closing Date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on the basis of the representations, warranties and agreements herein contained,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upon the terms but subject to the conditions herein set forth, the Company hereby grants an option to the several Underwriters to purchase, severally and not jointly, up to an aggregate of 1,575,000 shares of Class A Common Stock from the Company at the purchase price per share of Class A Common Stock to be paid by the Underwriters for the Firm Securities. The option granted hereunder may be exercised at any time and from time to time in whole or in part upon notice by the Representative to the Company, which notice may be given at any time within 45 days from the date of this Agreement. Such notice shall set forth (i) the aggregate number of Optional Securities as to which the Underwriters are exercising the option and (ii) 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17"/>
          <w:szCs w:val="17"/>
          <w:b w:val="1"/>
          <w:bCs w:val="1"/>
          <w:color w:val="auto"/>
        </w:rPr>
        <w:t>First Closing Date</w:t>
      </w:r>
      <w:r>
        <w:rPr>
          <w:rFonts w:ascii="Arial" w:cs="Arial" w:eastAsia="Arial" w:hAnsi="Arial"/>
          <w:sz w:val="17"/>
          <w:szCs w:val="17"/>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17"/>
          <w:szCs w:val="17"/>
          <w:b w:val="1"/>
          <w:bCs w:val="1"/>
          <w:color w:val="auto"/>
        </w:rPr>
        <w:t>Option Closing</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shall be determined by the Representative and shall not be earlier than two or later than five full business days after delivery of such notice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exercise. If any Optional Securities are to be purchased, each Underwriter agrees, severally and not jointly, to purchase the number of Optional Securities (subject to such adjustments to eliminate fractional shares as the Representative may determine) that bears the same proportion to the total number of Optional Securities to be purchased as the number of Firm Securities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opposite the name of such Underwriter bears to the total number of Firm Securities. The Representative may cancel the option at any time prior to its expiration by giving written notice of such cancellation to the Company.</w:t>
      </w:r>
    </w:p>
    <w:p>
      <w:pPr>
        <w:spacing w:after="0" w:line="181" w:lineRule="exact"/>
        <w:rPr>
          <w:rFonts w:ascii="Arial" w:cs="Arial" w:eastAsia="Arial" w:hAnsi="Arial"/>
          <w:sz w:val="17"/>
          <w:szCs w:val="17"/>
          <w:b w:val="1"/>
          <w:bCs w:val="1"/>
          <w:color w:val="auto"/>
        </w:rPr>
      </w:pPr>
    </w:p>
    <w:p>
      <w:pPr>
        <w:jc w:val="both"/>
        <w:ind w:firstLine="656"/>
        <w:spacing w:after="0" w:line="261" w:lineRule="auto"/>
        <w:tabs>
          <w:tab w:leader="none" w:pos="913"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Public Offering of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Representative hereby advises the Company that the Underwriters intend to offer for sale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 in its sole judgment, has determined is advisable and practicable.</w:t>
      </w:r>
    </w:p>
    <w:p>
      <w:pPr>
        <w:spacing w:after="0" w:line="179" w:lineRule="exact"/>
        <w:rPr>
          <w:rFonts w:ascii="Arial" w:cs="Arial" w:eastAsia="Arial" w:hAnsi="Arial"/>
          <w:sz w:val="18"/>
          <w:szCs w:val="18"/>
          <w:b w:val="1"/>
          <w:bCs w:val="1"/>
          <w:color w:val="auto"/>
        </w:rPr>
      </w:pPr>
    </w:p>
    <w:p>
      <w:pPr>
        <w:jc w:val="both"/>
        <w:ind w:firstLine="656"/>
        <w:spacing w:after="0" w:line="255" w:lineRule="auto"/>
        <w:tabs>
          <w:tab w:leader="none" w:pos="906"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Delivery and Payment for the Offered Securities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 In addition to the discount from the public offering price represented by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set forth in the last sentence of Section 2(a) of this Agreement, the Company hereby agrees to pay to the Underwriters a deferred discount of $0.35 per share of Class A Common Stock (including both Firm Securities and Optional Securities) purchased hereunder (the “</w:t>
      </w:r>
      <w:r>
        <w:rPr>
          <w:rFonts w:ascii="Arial" w:cs="Arial" w:eastAsia="Arial" w:hAnsi="Arial"/>
          <w:sz w:val="18"/>
          <w:szCs w:val="18"/>
          <w:b w:val="1"/>
          <w:bCs w:val="1"/>
          <w:color w:val="auto"/>
        </w:rPr>
        <w:t>Deferred Discount</w:t>
      </w:r>
      <w:r>
        <w:rPr>
          <w:rFonts w:ascii="Arial" w:cs="Arial" w:eastAsia="Arial" w:hAnsi="Arial"/>
          <w:sz w:val="18"/>
          <w:szCs w:val="18"/>
          <w:color w:val="auto"/>
        </w:rPr>
        <w:t>”). The Underwriters hereby agree that if no Business Combination is consummated within the time period provided in the Trust Agreement and the funds held under the Trust Agreement are distributed to the holders of the Offered Securities sold pursuant to this Agreement (the “</w:t>
      </w:r>
      <w:r>
        <w:rPr>
          <w:rFonts w:ascii="Arial" w:cs="Arial" w:eastAsia="Arial" w:hAnsi="Arial"/>
          <w:sz w:val="18"/>
          <w:szCs w:val="18"/>
          <w:b w:val="1"/>
          <w:bCs w:val="1"/>
          <w:color w:val="auto"/>
        </w:rPr>
        <w:t>Public Stockholders</w:t>
      </w:r>
      <w:r>
        <w:rPr>
          <w:rFonts w:ascii="Arial" w:cs="Arial" w:eastAsia="Arial" w:hAnsi="Arial"/>
          <w:sz w:val="18"/>
          <w:szCs w:val="18"/>
          <w:color w:val="auto"/>
        </w:rPr>
        <w:t>”), (x) the Underwriters will forfeit any rights or claims to the Deferred Discount and (y) the trustee under the Trust Agreement is authorized to distribute the Deferred Discount to the Public Stockholders on a pro rata basis.</w:t>
      </w:r>
    </w:p>
    <w:p>
      <w:pPr>
        <w:spacing w:after="0" w:line="192" w:lineRule="exact"/>
        <w:rPr>
          <w:rFonts w:ascii="Arial" w:cs="Arial" w:eastAsia="Arial" w:hAnsi="Arial"/>
          <w:sz w:val="18"/>
          <w:szCs w:val="18"/>
          <w:b w:val="1"/>
          <w:bCs w:val="1"/>
          <w:color w:val="auto"/>
        </w:rPr>
      </w:pPr>
    </w:p>
    <w:p>
      <w:pPr>
        <w:jc w:val="both"/>
        <w:ind w:firstLine="1304"/>
        <w:spacing w:after="0" w:line="254" w:lineRule="auto"/>
        <w:tabs>
          <w:tab w:leader="none" w:pos="15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It is understood that the Representative has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The Representative, individually and not as the Representative of the Underwriters, may (but shall not be obligated to) make payment for any Offered Securities to be purchased by any Underwriter whose funds shall not have been received by the Representative by the First Closing Date or the applicable Option Closing Date, as the case may be, for the account of such Underwriter, but any such payment shall not relieve such Underwriter from any of its obligations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304"/>
        <w:spacing w:after="0" w:line="287" w:lineRule="auto"/>
        <w:tabs>
          <w:tab w:leader="none" w:pos="16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Sponsor Shares in order for the Trust Account to equal the product of the number of shares of Class A Common Stock sold and the public offering price per share of Class A Common Stock as set forth on the cover of the Prospectus upon delivery to the Representative of the Firm Securities through the facilities of DTC or, if the Representative has otherwise instructed, upon delivery to the Representative of certificates (in form and substance satisfactory to the Representative) representing the Firm Securities, in each case for the account of the Underwriters. The Firm Securities shall be registered in such name or names and in such authorized denominations as the Representative may request in writing at least one business day prior to the First Closing Date. If delivery is not made through the facilities of DTC, the Company will permit the Representative to examine and package the Firm Securities for delivery, at least one business day prior to the First Closing Date at a location in New York City as the Representative may designate. The Company shall not be obligated to sell or deliver the Firm Securities except upon tender of payment by the Representative for all the Firm Securities. At least one business day prior to the Firm Securities settlement date, the Company shall deposit the proceeds from the sale of the applicable Sponsor Shares into the Trust Account.</w:t>
      </w:r>
    </w:p>
    <w:p>
      <w:pPr>
        <w:spacing w:after="0" w:line="171" w:lineRule="exact"/>
        <w:rPr>
          <w:rFonts w:ascii="Arial" w:cs="Arial" w:eastAsia="Arial" w:hAnsi="Arial"/>
          <w:sz w:val="16"/>
          <w:szCs w:val="16"/>
          <w:color w:val="auto"/>
        </w:rPr>
      </w:pPr>
    </w:p>
    <w:p>
      <w:pPr>
        <w:jc w:val="both"/>
        <w:ind w:firstLine="1304"/>
        <w:spacing w:after="0" w:line="253" w:lineRule="auto"/>
        <w:tabs>
          <w:tab w:leader="none" w:pos="163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 of the Optional Securities through the facilities of DTC or, if the Representative has otherwise instructed, upon delivery to the Representative of certificates (in form and substance satisfactory to the Representative) representing the Optional Securities for the account of the Underwriters. The Optional Securities shall be registered in such name or names and in such authorized denominations as the Representative may request in writing at least two business days prior to the Option Closing Date. If delivery is not made through the facilities of DTC, the Company will permit the Representative to examine and package the Optional Securities for delivery, at least one business day prior to the Option Closing Date. The Company shall not be obligated to sell or deliver the Optional Securities except upon tender of payment by the Representative for all the Optional Securities. At least one business day prior to the Optional Securities settlement date, the Company shall deposit the proceeds from the sale of the applicable Sponsor Shares into the Trust Account.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3. Additional Covenants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jc w:val="both"/>
        <w:ind w:firstLine="656"/>
        <w:spacing w:after="0" w:line="275" w:lineRule="auto"/>
        <w:tabs>
          <w:tab w:leader="none" w:pos="903"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Delivery of Registration Statement, Time of Sale Prospectus and Prospectus. </w:t>
      </w:r>
      <w:r>
        <w:rPr>
          <w:rFonts w:ascii="Arial" w:cs="Arial" w:eastAsia="Arial" w:hAnsi="Arial"/>
          <w:sz w:val="17"/>
          <w:szCs w:val="17"/>
          <w:color w:val="auto"/>
        </w:rPr>
        <w:t>The Company shall furnish to you in New York City, without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70" w:lineRule="auto"/>
        <w:tabs>
          <w:tab w:leader="none" w:pos="913"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Representative’s Review of Proposed Amendments and Supplements. </w:t>
      </w:r>
      <w:r>
        <w:rPr>
          <w:rFonts w:ascii="Arial" w:cs="Arial" w:eastAsia="Arial" w:hAnsi="Arial"/>
          <w:sz w:val="17"/>
          <w:szCs w:val="17"/>
          <w:color w:val="auto"/>
        </w:rPr>
        <w:t>During the period when a prospectus relating to the Offered Securities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required by the Securities Act to be delivered (whether physically or through compliance with Rule 172 under the Securities Act or any similar rule), the Company (i) will furnish to the Representative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0" w:lineRule="exact"/>
        <w:rPr>
          <w:rFonts w:ascii="Arial" w:cs="Arial" w:eastAsia="Arial" w:hAnsi="Arial"/>
          <w:sz w:val="17"/>
          <w:szCs w:val="17"/>
          <w:b w:val="1"/>
          <w:bCs w:val="1"/>
          <w:color w:val="auto"/>
        </w:rPr>
      </w:pPr>
    </w:p>
    <w:p>
      <w:pPr>
        <w:jc w:val="both"/>
        <w:ind w:firstLine="656"/>
        <w:spacing w:after="0" w:line="263" w:lineRule="auto"/>
        <w:tabs>
          <w:tab w:leader="none" w:pos="89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Free Writing Prospectuses. </w:t>
      </w:r>
      <w:r>
        <w:rPr>
          <w:rFonts w:ascii="Arial" w:cs="Arial" w:eastAsia="Arial" w:hAnsi="Arial"/>
          <w:sz w:val="18"/>
          <w:szCs w:val="18"/>
          <w:color w:val="auto"/>
        </w:rPr>
        <w:t>The Company will not make any offer relating to the shares of Class A Common Stock that constitutes or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constitute a free writing prospectus or a portion thereof required to be filed by the Company with the Commission or retained by the Company under Rule 433 of the Securities Act.</w:t>
      </w:r>
    </w:p>
    <w:p>
      <w:pPr>
        <w:spacing w:after="0" w:line="183" w:lineRule="exact"/>
        <w:rPr>
          <w:rFonts w:ascii="Arial" w:cs="Arial" w:eastAsia="Arial" w:hAnsi="Arial"/>
          <w:sz w:val="18"/>
          <w:szCs w:val="18"/>
          <w:b w:val="1"/>
          <w:bCs w:val="1"/>
          <w:color w:val="auto"/>
        </w:rPr>
      </w:pPr>
    </w:p>
    <w:p>
      <w:pPr>
        <w:jc w:val="both"/>
        <w:ind w:firstLine="656"/>
        <w:spacing w:after="0" w:line="287" w:lineRule="auto"/>
        <w:tabs>
          <w:tab w:leader="none" w:pos="913"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163" w:lineRule="exact"/>
        <w:rPr>
          <w:rFonts w:ascii="Arial" w:cs="Arial" w:eastAsia="Arial" w:hAnsi="Arial"/>
          <w:sz w:val="16"/>
          <w:szCs w:val="16"/>
          <w:b w:val="1"/>
          <w:bCs w:val="1"/>
          <w:color w:val="auto"/>
        </w:rPr>
      </w:pPr>
    </w:p>
    <w:p>
      <w:pPr>
        <w:ind w:left="920" w:hanging="264"/>
        <w:spacing w:after="0"/>
        <w:tabs>
          <w:tab w:leader="none" w:pos="92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 in</w:t>
      </w:r>
    </w:p>
    <w:p>
      <w:pPr>
        <w:spacing w:after="0" w:line="50" w:lineRule="exact"/>
        <w:rPr>
          <w:rFonts w:ascii="Arial" w:cs="Arial" w:eastAsia="Arial" w:hAnsi="Arial"/>
          <w:sz w:val="16"/>
          <w:szCs w:val="16"/>
          <w:b w:val="1"/>
          <w:bCs w:val="1"/>
          <w:color w:val="auto"/>
        </w:rPr>
      </w:pPr>
    </w:p>
    <w:p>
      <w:pPr>
        <w:jc w:val="both"/>
        <w:spacing w:after="0" w:line="267" w:lineRule="auto"/>
        <w:rPr>
          <w:rFonts w:ascii="Arial" w:cs="Arial" w:eastAsia="Arial" w:hAnsi="Arial"/>
          <w:sz w:val="16"/>
          <w:szCs w:val="16"/>
          <w:b w:val="1"/>
          <w:bCs w:val="1"/>
          <w:color w:val="auto"/>
        </w:rPr>
      </w:pPr>
      <w:r>
        <w:rPr>
          <w:rFonts w:ascii="Arial" w:cs="Arial" w:eastAsia="Arial" w:hAnsi="Arial"/>
          <w:sz w:val="17"/>
          <w:szCs w:val="17"/>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shares of Class A Common Stock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56"/>
        <w:spacing w:after="0" w:line="287" w:lineRule="auto"/>
        <w:tabs>
          <w:tab w:leader="none" w:pos="873"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at any time when a prospectus relating to the Offered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is required 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163" w:lineRule="exact"/>
        <w:rPr>
          <w:rFonts w:ascii="Arial" w:cs="Arial" w:eastAsia="Arial" w:hAnsi="Arial"/>
          <w:sz w:val="16"/>
          <w:szCs w:val="16"/>
          <w:b w:val="1"/>
          <w:bCs w:val="1"/>
          <w:color w:val="auto"/>
        </w:rPr>
      </w:pPr>
    </w:p>
    <w:p>
      <w:pPr>
        <w:jc w:val="both"/>
        <w:ind w:firstLine="656"/>
        <w:spacing w:after="0" w:line="271" w:lineRule="auto"/>
        <w:tabs>
          <w:tab w:leader="none" w:pos="93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Blue Sky Compliance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cooperate with the Representative and counsel for the Underwriters to qualify or register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Offered Securities for sale under (or obtain exemptions from the application of) the state securities or blue sky laws or Canadian provincial securities laws of those jurisdictions designated by the Representative,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73" w:lineRule="exact"/>
        <w:rPr>
          <w:rFonts w:ascii="Arial" w:cs="Arial" w:eastAsia="Arial" w:hAnsi="Arial"/>
          <w:sz w:val="17"/>
          <w:szCs w:val="17"/>
          <w:b w:val="1"/>
          <w:bCs w:val="1"/>
          <w:color w:val="auto"/>
        </w:rPr>
      </w:pPr>
    </w:p>
    <w:p>
      <w:pPr>
        <w:jc w:val="both"/>
        <w:ind w:firstLine="656"/>
        <w:spacing w:after="0" w:line="266" w:lineRule="auto"/>
        <w:tabs>
          <w:tab w:leader="none" w:pos="92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Securities and the Sponsor Shares sold by it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manner consistent in all material respects with the applications described under the caption “Use of Proceeds” in the Registration Statement, the Time of Sale Prospectus and the Prospectus.</w:t>
      </w:r>
    </w:p>
    <w:p>
      <w:pPr>
        <w:spacing w:after="0" w:line="175" w:lineRule="exact"/>
        <w:rPr>
          <w:rFonts w:ascii="Arial" w:cs="Arial" w:eastAsia="Arial" w:hAnsi="Arial"/>
          <w:sz w:val="18"/>
          <w:szCs w:val="18"/>
          <w:b w:val="1"/>
          <w:bCs w:val="1"/>
          <w:color w:val="auto"/>
        </w:rPr>
      </w:pPr>
    </w:p>
    <w:p>
      <w:pPr>
        <w:jc w:val="both"/>
        <w:ind w:firstLine="656"/>
        <w:spacing w:after="0" w:line="277" w:lineRule="auto"/>
        <w:tabs>
          <w:tab w:leader="none" w:pos="87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Transfer Agent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period commencing on the Effective Date and ending at least five years from the date of the consummation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Combination or until such earlier time at which the distributions of the Trust Account to the Public Stockholders in connection with the redemption of the shares of Class A Common Stock held by the Public Stockholders pursuant to the terms of the Company’s Amended and Restated Certificate of Incorporation, if the Company fails to consummate a Business Combination (the “</w:t>
      </w:r>
      <w:r>
        <w:rPr>
          <w:rFonts w:ascii="Arial" w:cs="Arial" w:eastAsia="Arial" w:hAnsi="Arial"/>
          <w:sz w:val="17"/>
          <w:szCs w:val="17"/>
          <w:b w:val="1"/>
          <w:bCs w:val="1"/>
          <w:color w:val="auto"/>
        </w:rPr>
        <w:t>Liquidation</w:t>
      </w:r>
      <w:r>
        <w:rPr>
          <w:rFonts w:ascii="Arial" w:cs="Arial" w:eastAsia="Arial" w:hAnsi="Arial"/>
          <w:sz w:val="17"/>
          <w:szCs w:val="17"/>
          <w:color w:val="auto"/>
        </w:rPr>
        <w:t>”) occurs or the shares of Class A Common Stock cease to be registered under the Exchange Act, the Company shall retain a transfer agent.</w:t>
      </w:r>
    </w:p>
    <w:p>
      <w:pPr>
        <w:spacing w:after="0" w:line="167" w:lineRule="exact"/>
        <w:rPr>
          <w:rFonts w:ascii="Arial" w:cs="Arial" w:eastAsia="Arial" w:hAnsi="Arial"/>
          <w:sz w:val="17"/>
          <w:szCs w:val="17"/>
          <w:b w:val="1"/>
          <w:bCs w:val="1"/>
          <w:color w:val="auto"/>
        </w:rPr>
      </w:pPr>
    </w:p>
    <w:p>
      <w:pPr>
        <w:jc w:val="both"/>
        <w:ind w:firstLine="656"/>
        <w:spacing w:after="0" w:line="261" w:lineRule="auto"/>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to its stockholders and to the Representative as soon as practicable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56"/>
        <w:spacing w:after="0" w:line="294" w:lineRule="auto"/>
        <w:tabs>
          <w:tab w:leader="none" w:pos="92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Continued Compliance with Securities Laws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will comply with the Securities Act and the Exchange Act so as to permit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completion of the distribution of the Offered Securities as contemplated by this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163" w:lineRule="exact"/>
        <w:rPr>
          <w:rFonts w:ascii="Arial" w:cs="Arial" w:eastAsia="Arial" w:hAnsi="Arial"/>
          <w:sz w:val="16"/>
          <w:szCs w:val="16"/>
          <w:b w:val="1"/>
          <w:bCs w:val="1"/>
          <w:color w:val="auto"/>
        </w:rPr>
      </w:pPr>
    </w:p>
    <w:p>
      <w:pPr>
        <w:jc w:val="both"/>
        <w:ind w:firstLine="656"/>
        <w:spacing w:after="0" w:line="255" w:lineRule="auto"/>
        <w:tabs>
          <w:tab w:leader="none" w:pos="86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Continued Registration of the Securities of the Company</w:t>
      </w:r>
      <w:r>
        <w:rPr>
          <w:rFonts w:ascii="Arial" w:cs="Arial" w:eastAsia="Arial" w:hAnsi="Arial"/>
          <w:sz w:val="18"/>
          <w:szCs w:val="18"/>
          <w:color w:val="auto"/>
        </w:rPr>
        <w:t>. For a period commencing on the Effective Date and ending at least five years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the consummation of the Business Combination or until such earlier time at which the Liquidation occurs, the Company will use its best efforts to maintain the registration of the shares of Class A Common Stock under the provisions of the Exchange Act, except after giving effect to a going private transaction after the completion of a Business Combination. The Company will not deregister the shares of Class A Common Stock under the Exchange Act (except in connection with a going private transaction after the completion of a Business Combination) without the prior written consent of the Representative.</w:t>
      </w:r>
    </w:p>
    <w:p>
      <w:pPr>
        <w:spacing w:after="0" w:line="188" w:lineRule="exact"/>
        <w:rPr>
          <w:rFonts w:ascii="Arial" w:cs="Arial" w:eastAsia="Arial" w:hAnsi="Arial"/>
          <w:sz w:val="18"/>
          <w:szCs w:val="18"/>
          <w:b w:val="1"/>
          <w:bCs w:val="1"/>
          <w:color w:val="auto"/>
        </w:rPr>
      </w:pPr>
    </w:p>
    <w:p>
      <w:pPr>
        <w:jc w:val="both"/>
        <w:ind w:firstLine="656"/>
        <w:spacing w:after="0" w:line="289" w:lineRule="auto"/>
        <w:tabs>
          <w:tab w:leader="none" w:pos="963"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use commercially reasonable efforts to effect and maintain the listing of the shares of Class A Common Stock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for a period commencing on the Effective Date and ending at least five years from the date of the consummation of the initial Business Combination or until such earlier time at which the Liquidation occurs or the shares of Class A Common Stock cease to be publicly traded.</w:t>
      </w:r>
    </w:p>
    <w:p>
      <w:pPr>
        <w:spacing w:after="0" w:line="161" w:lineRule="exact"/>
        <w:rPr>
          <w:rFonts w:ascii="Arial" w:cs="Arial" w:eastAsia="Arial" w:hAnsi="Arial"/>
          <w:sz w:val="17"/>
          <w:szCs w:val="17"/>
          <w:b w:val="1"/>
          <w:bCs w:val="1"/>
          <w:color w:val="auto"/>
        </w:rPr>
      </w:pPr>
    </w:p>
    <w:p>
      <w:pPr>
        <w:ind w:firstLine="656"/>
        <w:spacing w:after="0" w:line="277" w:lineRule="auto"/>
        <w:tabs>
          <w:tab w:leader="none" w:pos="91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Reservation of Unissued Securities of the Company</w:t>
      </w:r>
      <w:r>
        <w:rPr>
          <w:rFonts w:ascii="Arial" w:cs="Arial" w:eastAsia="Arial" w:hAnsi="Arial"/>
          <w:sz w:val="18"/>
          <w:szCs w:val="18"/>
          <w:color w:val="auto"/>
        </w:rPr>
        <w:t>. The Company will reserve and keep available that maximum number of its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but unissued securities that are issuable upon the conversion of the Founder Shares.</w:t>
      </w:r>
    </w:p>
    <w:p>
      <w:pPr>
        <w:spacing w:after="0" w:line="166" w:lineRule="exact"/>
        <w:rPr>
          <w:rFonts w:ascii="Arial" w:cs="Arial" w:eastAsia="Arial" w:hAnsi="Arial"/>
          <w:sz w:val="18"/>
          <w:szCs w:val="18"/>
          <w:b w:val="1"/>
          <w:bCs w:val="1"/>
          <w:color w:val="auto"/>
        </w:rPr>
      </w:pPr>
    </w:p>
    <w:p>
      <w:pPr>
        <w:jc w:val="both"/>
        <w:ind w:firstLine="656"/>
        <w:spacing w:after="0" w:line="292" w:lineRule="auto"/>
        <w:tabs>
          <w:tab w:leader="none" w:pos="93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Issue Additional Shares of Class A Common Stock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the consummation of a Business Combination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Liquidation, the Company shall not issue any shares of Class A Common Stock, or any options or other securities convertible into or exercisable or exchangeable for shares of Class A Common Stock, or any preferred shares, in each case, that would entitle the holders thereof to (i) receive funds from the Trust Account or (ii) vote as a class with the shares of Class A Common Stock (a) on a Business Combination or on any other proposal presented to the Public Stockholders prior to or in connection with the completion of a Business Combination or (b) to approve an amendment to the Amended and Restated Certificate of Incorporation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86" w:lineRule="auto"/>
        <w:tabs>
          <w:tab w:leader="none" w:pos="91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Agreement Not to Offer or Sell Additional Securities of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period commencing on and including the date hereof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through and including the 180th day following the date of the Prospectus (such period, as extended as described below, being referred to herein as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shares of Class A Common Stock, or any securities convertible into, or exercisable or exchangeable for, shares of Class A Common Stock or publicly announce an intention to effect any such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(1) issue and sell the Sponsor Shares, (2) issue and sell the Optional Securities on exercise of the option provided for in Section 2 hereof, (3) register with the Commission pursuant to the Registration Rights Agreement, in accordance with the terms of the Registration Rights Agreement, the resale of the Founder Shares, the Sponsor Shares, the Working Capital Shares or the shares of Class A Common Stock issuable upon conversion of such Founder Shares and, (4) issue securities in connection with a Business Combination, or (y) release the Sponsor or any officer, director or director nominee from the 180-day lock-up contained in the Insider Letter.</w:t>
      </w:r>
    </w:p>
    <w:p>
      <w:pPr>
        <w:spacing w:after="0" w:line="170" w:lineRule="exact"/>
        <w:rPr>
          <w:rFonts w:ascii="Arial" w:cs="Arial" w:eastAsia="Arial" w:hAnsi="Arial"/>
          <w:sz w:val="16"/>
          <w:szCs w:val="16"/>
          <w:b w:val="1"/>
          <w:bCs w:val="1"/>
          <w:color w:val="auto"/>
        </w:rPr>
      </w:pPr>
    </w:p>
    <w:p>
      <w:pPr>
        <w:jc w:val="both"/>
        <w:ind w:firstLine="656"/>
        <w:spacing w:after="0" w:line="266" w:lineRule="auto"/>
        <w:tabs>
          <w:tab w:leader="none" w:pos="92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Limitation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not invest or otherwise use the proceeds received by the Company from its sale of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the Sponsor Shares in such a manner as would require the Company to register as an investment company under the Investment Company Act.</w:t>
      </w:r>
    </w:p>
    <w:p>
      <w:pPr>
        <w:spacing w:after="0" w:line="175" w:lineRule="exact"/>
        <w:rPr>
          <w:rFonts w:ascii="Arial" w:cs="Arial" w:eastAsia="Arial" w:hAnsi="Arial"/>
          <w:sz w:val="18"/>
          <w:szCs w:val="18"/>
          <w:b w:val="1"/>
          <w:bCs w:val="1"/>
          <w:color w:val="auto"/>
        </w:rPr>
      </w:pPr>
    </w:p>
    <w:p>
      <w:pPr>
        <w:jc w:val="both"/>
        <w:ind w:firstLine="656"/>
        <w:spacing w:after="0" w:line="289" w:lineRule="auto"/>
        <w:tabs>
          <w:tab w:leader="none" w:pos="892"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Stabilization or Manipulation; Compliance with Regulation 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not take, directly or indirectly, any action designed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61" w:lineRule="exact"/>
        <w:rPr>
          <w:rFonts w:ascii="Arial" w:cs="Arial" w:eastAsia="Arial" w:hAnsi="Arial"/>
          <w:sz w:val="17"/>
          <w:szCs w:val="17"/>
          <w:b w:val="1"/>
          <w:bCs w:val="1"/>
          <w:color w:val="auto"/>
        </w:rPr>
      </w:pPr>
    </w:p>
    <w:p>
      <w:pPr>
        <w:jc w:val="both"/>
        <w:ind w:firstLine="656"/>
        <w:spacing w:after="0" w:line="253" w:lineRule="auto"/>
        <w:tabs>
          <w:tab w:leader="none" w:pos="883"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File a Current Report on Form 8-K</w:t>
      </w:r>
      <w:r>
        <w:rPr>
          <w:rFonts w:ascii="Arial" w:cs="Arial" w:eastAsia="Arial" w:hAnsi="Arial"/>
          <w:sz w:val="18"/>
          <w:szCs w:val="18"/>
          <w:color w:val="auto"/>
        </w:rPr>
        <w:t>. The Company shall, on or prior to the date hereof, retain its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to audit the balance sheet of the Company as of the First Closing Date (the “</w:t>
      </w:r>
      <w:r>
        <w:rPr>
          <w:rFonts w:ascii="Arial" w:cs="Arial" w:eastAsia="Arial" w:hAnsi="Arial"/>
          <w:sz w:val="18"/>
          <w:szCs w:val="18"/>
          <w:b w:val="1"/>
          <w:bCs w:val="1"/>
          <w:color w:val="auto"/>
        </w:rPr>
        <w:t>Audited Balance Sheet</w:t>
      </w:r>
      <w:r>
        <w:rPr>
          <w:rFonts w:ascii="Arial" w:cs="Arial" w:eastAsia="Arial" w:hAnsi="Arial"/>
          <w:sz w:val="18"/>
          <w:szCs w:val="18"/>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a Current Report on Form 8-K with the Commission, which report shall contain the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96" w:lineRule="exact"/>
        <w:rPr>
          <w:rFonts w:ascii="Arial" w:cs="Arial" w:eastAsia="Arial" w:hAnsi="Arial"/>
          <w:sz w:val="18"/>
          <w:szCs w:val="18"/>
          <w:b w:val="1"/>
          <w:bCs w:val="1"/>
          <w:color w:val="auto"/>
        </w:rPr>
      </w:pPr>
    </w:p>
    <w:p>
      <w:pPr>
        <w:jc w:val="both"/>
        <w:ind w:firstLine="656"/>
        <w:spacing w:after="0" w:line="255" w:lineRule="auto"/>
        <w:tabs>
          <w:tab w:leader="none" w:pos="88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Procure Review of Unaudited Quarterly Financial Statements</w:t>
      </w:r>
      <w:r>
        <w:rPr>
          <w:rFonts w:ascii="Arial" w:cs="Arial" w:eastAsia="Arial" w:hAnsi="Arial"/>
          <w:sz w:val="18"/>
          <w:szCs w:val="18"/>
          <w:color w:val="auto"/>
        </w:rPr>
        <w:t>. For a period commencing on the Effective Date and ending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least five years from the date of the consummation of the Business Combination or until such earlier time at which the Liquidation occurs or the shares of Class A Common Stock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56"/>
        <w:spacing w:after="0" w:line="269" w:lineRule="auto"/>
        <w:tabs>
          <w:tab w:leader="none" w:pos="926"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Future Reports to the Representative. </w:t>
      </w:r>
      <w:r>
        <w:rPr>
          <w:rFonts w:ascii="Arial" w:cs="Arial" w:eastAsia="Arial" w:hAnsi="Arial"/>
          <w:sz w:val="17"/>
          <w:szCs w:val="17"/>
          <w:color w:val="auto"/>
        </w:rPr>
        <w:t>For a period commencing on the Effective Date and ending at least five years from the date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consummation of the Business Combination or until such earlier time at which the Liquidation occurs, the Company will furnish to the Representative, c/o Jefferies LLC, at 520 Madison Avenue, New York, New York 10022, Attention: Global Head of Syndicate: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share capital; and (iv) such additional documents and information with respect to the Company and the affairs of any future subsidiaries of the Company as the Representative may from time to time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requirements of this Section 3(u) shall be satisfied to the extent that such reports, statement, communications, financial statements or other documents are available on EDGAR.</w:t>
      </w:r>
    </w:p>
    <w:p>
      <w:pPr>
        <w:spacing w:after="0" w:line="181" w:lineRule="exact"/>
        <w:rPr>
          <w:rFonts w:ascii="Arial" w:cs="Arial" w:eastAsia="Arial" w:hAnsi="Arial"/>
          <w:sz w:val="17"/>
          <w:szCs w:val="17"/>
          <w:b w:val="1"/>
          <w:bCs w:val="1"/>
          <w:color w:val="auto"/>
        </w:rPr>
      </w:pPr>
    </w:p>
    <w:p>
      <w:pPr>
        <w:jc w:val="both"/>
        <w:ind w:firstLine="656"/>
        <w:spacing w:after="0" w:line="296" w:lineRule="auto"/>
        <w:tabs>
          <w:tab w:leader="none" w:pos="903"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Amendments and Supplements to Permitted Section 5(d)Communications</w:t>
      </w:r>
      <w:r>
        <w:rPr>
          <w:rFonts w:ascii="Arial" w:cs="Arial" w:eastAsia="Arial" w:hAnsi="Arial"/>
          <w:sz w:val="16"/>
          <w:szCs w:val="16"/>
          <w:color w:val="auto"/>
        </w:rPr>
        <w:t>. If at any time following the distribution of any Permitted Section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Permitted Section 5(d) Communication to eliminate or correct such untrue statement or omission.</w:t>
      </w:r>
    </w:p>
    <w:p>
      <w:pPr>
        <w:spacing w:after="0" w:line="161" w:lineRule="exact"/>
        <w:rPr>
          <w:rFonts w:ascii="Arial" w:cs="Arial" w:eastAsia="Arial" w:hAnsi="Arial"/>
          <w:sz w:val="16"/>
          <w:szCs w:val="16"/>
          <w:b w:val="1"/>
          <w:bCs w:val="1"/>
          <w:color w:val="auto"/>
        </w:rPr>
      </w:pPr>
    </w:p>
    <w:p>
      <w:pPr>
        <w:jc w:val="both"/>
        <w:ind w:firstLine="656"/>
        <w:spacing w:after="0" w:line="259" w:lineRule="auto"/>
        <w:tabs>
          <w:tab w:leader="none" w:pos="94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r>
        <w:rPr>
          <w:rFonts w:ascii="Arial" w:cs="Arial" w:eastAsia="Arial" w:hAnsi="Arial"/>
          <w:sz w:val="18"/>
          <w:szCs w:val="18"/>
          <w:color w:val="auto"/>
        </w:rPr>
        <w:t>. The Company will promptly notify the Representative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186" w:lineRule="exact"/>
        <w:rPr>
          <w:rFonts w:ascii="Arial" w:cs="Arial" w:eastAsia="Arial" w:hAnsi="Arial"/>
          <w:sz w:val="18"/>
          <w:szCs w:val="18"/>
          <w:b w:val="1"/>
          <w:bCs w:val="1"/>
          <w:color w:val="auto"/>
        </w:rPr>
      </w:pPr>
    </w:p>
    <w:p>
      <w:pPr>
        <w:jc w:val="both"/>
        <w:ind w:firstLine="656"/>
        <w:spacing w:after="0" w:line="254" w:lineRule="auto"/>
        <w:tabs>
          <w:tab w:leader="none" w:pos="90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Announcement of Release or Waiver of the Transfer Restrictions. </w:t>
      </w:r>
      <w:r>
        <w:rPr>
          <w:rFonts w:ascii="Arial" w:cs="Arial" w:eastAsia="Arial" w:hAnsi="Arial"/>
          <w:sz w:val="18"/>
          <w:szCs w:val="18"/>
          <w:color w:val="auto"/>
        </w:rPr>
        <w:t>If the Representative, in its sole discretion, agrees to release or waive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transfer restrictions set forth in the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through a major news service at least two business days before the effective date of the release or waiver;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announcement by the Company shall be made of any release or waiver granted solely to permit a transfer of securities that is not for consideration and where the transferee has agreed in writing to be bound by the terms of the Insider Letter.</w:t>
      </w:r>
    </w:p>
    <w:p>
      <w:pPr>
        <w:spacing w:after="0" w:line="194" w:lineRule="exact"/>
        <w:rPr>
          <w:rFonts w:ascii="Arial" w:cs="Arial" w:eastAsia="Arial" w:hAnsi="Arial"/>
          <w:sz w:val="18"/>
          <w:szCs w:val="18"/>
          <w:b w:val="1"/>
          <w:bCs w:val="1"/>
          <w:color w:val="auto"/>
        </w:rPr>
      </w:pPr>
    </w:p>
    <w:p>
      <w:pPr>
        <w:jc w:val="both"/>
        <w:ind w:firstLine="656"/>
        <w:spacing w:after="0" w:line="253" w:lineRule="auto"/>
        <w:tabs>
          <w:tab w:leader="none" w:pos="903"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Business Combination with Affiliates</w:t>
      </w:r>
      <w:r>
        <w:rPr>
          <w:rFonts w:ascii="Arial" w:cs="Arial" w:eastAsia="Arial" w:hAnsi="Arial"/>
          <w:sz w:val="18"/>
          <w:szCs w:val="18"/>
          <w:color w:val="auto"/>
        </w:rPr>
        <w:t>. The Company will not consummate a Business Combination with any entity that is affiliated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Sponsor or any of 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(ii) may be repaid for loans as described in the Registration Statement; and (iii) may be paid $10,000 per month for office space, secretarial and administrative services pursuant to the Administrative Services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56"/>
        <w:spacing w:after="0" w:line="282" w:lineRule="auto"/>
        <w:tabs>
          <w:tab w:leader="none" w:pos="933" w:val="left"/>
        </w:tabs>
        <w:numPr>
          <w:ilvl w:val="1"/>
          <w:numId w:val="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Consummation of the Initial Business Combination</w:t>
      </w:r>
      <w:r>
        <w:rPr>
          <w:rFonts w:ascii="Arial" w:cs="Arial" w:eastAsia="Arial" w:hAnsi="Arial"/>
          <w:sz w:val="16"/>
          <w:szCs w:val="16"/>
          <w:color w:val="auto"/>
        </w:rPr>
        <w:t>. The Company may consummate the initial Business Combination and conduct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redemptions of the shares of Class A Common Stock for cash upon consummation of such Business Combination without a stockholder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stockholder of the Company with the opportunity prior to the consummation of the initial Business Combination to redeem the shares of Class A Common Stock held by such stockholder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Sponsor Shares and (y) any interest earned on the funds held in the Trust Account and not previously released to the Company to pay its income taxes, divided by (B) the total number of Offered Securities then issued and outstanding. If, however, the Company elects not to file such tender offer documents, a stockholder vote is required by applicable law or stock exchange rule in connection with the initial Business Combination, or the Company decides to hold a stockholder vote for business or other legal reasons, the Company will submit such Business Combination to the Company’s stockholders for their approval (“</w:t>
      </w:r>
      <w:r>
        <w:rPr>
          <w:rFonts w:ascii="Arial" w:cs="Arial" w:eastAsia="Arial" w:hAnsi="Arial"/>
          <w:sz w:val="16"/>
          <w:szCs w:val="16"/>
          <w:b w:val="1"/>
          <w:bCs w:val="1"/>
          <w:color w:val="auto"/>
        </w:rPr>
        <w:t>Business Combination Vote</w:t>
      </w:r>
      <w:r>
        <w:rPr>
          <w:rFonts w:ascii="Arial" w:cs="Arial" w:eastAsia="Arial" w:hAnsi="Arial"/>
          <w:sz w:val="16"/>
          <w:szCs w:val="16"/>
          <w:color w:val="auto"/>
        </w:rPr>
        <w:t>”). With respect to the initial Business Combination Vote, if any, the Sponsor and each of the Company’s directors and officers party to the Insider Letter has agreed to vote all of his, her or its respective Founder Shares and any other shares of Class A Common Stock purchased by him, her or it during or after the Offering in favor of the Company’s initial Business Combination. If the Company seeks stockholder approval of the initial Business Combination, the Company will offer to each Public Stockholder holding shares of Class A Common Stock the right to have such Public Stockholders’ shares of Class A Common Stock redeemed in conjunction with a proxy solicitation pursuant to the proxy rules of the Commission at a per share redemption price (the “</w:t>
      </w:r>
      <w:r>
        <w:rPr>
          <w:rFonts w:ascii="Arial" w:cs="Arial" w:eastAsia="Arial" w:hAnsi="Arial"/>
          <w:sz w:val="16"/>
          <w:szCs w:val="16"/>
          <w:b w:val="1"/>
          <w:bCs w:val="1"/>
          <w:color w:val="auto"/>
        </w:rPr>
        <w:t>Redemption Price</w:t>
      </w:r>
      <w:r>
        <w:rPr>
          <w:rFonts w:ascii="Arial" w:cs="Arial" w:eastAsia="Arial" w:hAnsi="Arial"/>
          <w:sz w:val="16"/>
          <w:szCs w:val="16"/>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Sponsor Shares and (2) any interest earned on the funds held in the Trust Account and not previously released to the Company to pay its income taxes, divided by (II) the total number of Offered Securities then issued and outstanding. If the Company seeks stockholder approval of the initial Business Combination, the Company may proceed with such Business Combination only if a majority of the outstanding shares, represented in person or by proxy and entitled to vote thereon, voted by the stockholders at a duly held stockholders meeting are voted in favor of such Business Combination. If, after seeking and receiving such stockholder approval, the Company elects to so proceed, it will redeem the shares of Class A Common Stock, at the Redemption Price, from those Public Stockholders who affirmatively requested such redemption. Only Public Stockholders holding shares of Class A Common Stock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capital stock of the Company in connection therewith. In the event that the Company does not effect a Business Combination by 24 months from the closing of the Offering (or such later date as may be approved by the Company’s stockholders), the Company will (i) cease all operations except for the purpose of winding up, (ii) as promptly as reasonably possible but not more than 10 business days thereafter, redeem 100% of the Offered Securities,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then-issued and outstanding Offered Securities,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the requirements of other applicable law. Only Public Stockholders holding the Offered Securities shall be entitled to receive such redemption amounts and the Company shall pay no such redemption amounts or any distributions in liquidation with respect to any other holders or capital stock of the Company. The Sponsor, and the Company’s officers, directors and director nominees will not propose any amendment to the Company’s Amended and Restated Certificate of Incorporation</w:t>
      </w:r>
    </w:p>
    <w:p>
      <w:pPr>
        <w:spacing w:after="0" w:line="7" w:lineRule="exact"/>
        <w:rPr>
          <w:rFonts w:ascii="Arial" w:cs="Arial" w:eastAsia="Arial" w:hAnsi="Arial"/>
          <w:sz w:val="16"/>
          <w:szCs w:val="16"/>
          <w:b w:val="1"/>
          <w:bCs w:val="1"/>
          <w:color w:val="auto"/>
        </w:rPr>
      </w:pPr>
    </w:p>
    <w:p>
      <w:pPr>
        <w:jc w:val="both"/>
        <w:ind w:firstLine="8"/>
        <w:spacing w:after="0" w:line="281" w:lineRule="auto"/>
        <w:tabs>
          <w:tab w:leader="none" w:pos="2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that would modify the substance or timing of the Company’s obligation to redeem 100% of the Offered Securities if the Company does not complete its initial Business Combination within 24 months from the closing of the Offering (or such later date as may be approved by the Company’s stockholders) or</w:t>
      </w:r>
    </w:p>
    <w:p>
      <w:pPr>
        <w:spacing w:after="0" w:line="1" w:lineRule="exact"/>
        <w:rPr>
          <w:rFonts w:ascii="Arial" w:cs="Arial" w:eastAsia="Arial" w:hAnsi="Arial"/>
          <w:sz w:val="16"/>
          <w:szCs w:val="16"/>
          <w:color w:val="auto"/>
        </w:rPr>
      </w:pPr>
    </w:p>
    <w:p>
      <w:pPr>
        <w:jc w:val="both"/>
        <w:ind w:firstLine="8"/>
        <w:spacing w:after="0" w:line="255" w:lineRule="auto"/>
        <w:tabs>
          <w:tab w:leader="none" w:pos="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 respect to any other material provision relating to stockholders’ rights or pre-initial Business Combination activity, as described in Article IX of the Company’s Amended and Restated Certificate of Incorporation, unless the Company offers the opportunity to redeem the Offered Securities upon approval of any such amendment at the Redemption Price.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56"/>
        <w:spacing w:after="0" w:line="254" w:lineRule="auto"/>
        <w:tabs>
          <w:tab w:leader="none" w:pos="100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Announcement of the Consummation of the Initial Business Combination</w:t>
      </w:r>
      <w:r>
        <w:rPr>
          <w:rFonts w:ascii="Arial" w:cs="Arial" w:eastAsia="Arial" w:hAnsi="Arial"/>
          <w:sz w:val="18"/>
          <w:szCs w:val="18"/>
          <w:color w:val="auto"/>
        </w:rPr>
        <w:t>. In the event that the Company desires or is required by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law or regulation to cause an announcement (“</w:t>
      </w:r>
      <w:r>
        <w:rPr>
          <w:rFonts w:ascii="Arial" w:cs="Arial" w:eastAsia="Arial" w:hAnsi="Arial"/>
          <w:sz w:val="18"/>
          <w:szCs w:val="18"/>
          <w:b w:val="1"/>
          <w:bCs w:val="1"/>
          <w:color w:val="auto"/>
        </w:rPr>
        <w:t>Business Combination Announcement</w:t>
      </w:r>
      <w:r>
        <w:rPr>
          <w:rFonts w:ascii="Arial" w:cs="Arial" w:eastAsia="Arial" w:hAnsi="Arial"/>
          <w:sz w:val="18"/>
          <w:szCs w:val="18"/>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b w:val="1"/>
          <w:bCs w:val="1"/>
          <w:color w:val="auto"/>
        </w:rPr>
      </w:pPr>
    </w:p>
    <w:p>
      <w:pPr>
        <w:jc w:val="both"/>
        <w:ind w:firstLine="656"/>
        <w:spacing w:after="0" w:line="290" w:lineRule="auto"/>
        <w:tabs>
          <w:tab w:leader="none" w:pos="101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Payment of Deferred Discount</w:t>
      </w:r>
      <w:r>
        <w:rPr>
          <w:rFonts w:ascii="Arial" w:cs="Arial" w:eastAsia="Arial" w:hAnsi="Arial"/>
          <w:sz w:val="16"/>
          <w:szCs w:val="16"/>
          <w:color w:val="auto"/>
        </w:rPr>
        <w:t>. Upon the consummation of the initial Business Combination, the Company will pay to the Representative,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behalf of the Underwriters, the Deferred Discount. Payment of the Deferred Discount will be made out of the proceeds of the Offering held in the Trust Account, and the Company will instruct CST to transfer the Deferred Discount to the Representative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stockholders), the Deferred Discount will not be paid to the Representative and will, instead, be included in the Liquidation distribution of the proceeds held in the Trust Account made to the Public Stockholders. In connection with any such Liquidation, the Underwriters forfeit any rights or claims to the Deferred Discount.</w:t>
      </w:r>
    </w:p>
    <w:p>
      <w:pPr>
        <w:spacing w:after="0" w:line="165" w:lineRule="exact"/>
        <w:rPr>
          <w:rFonts w:ascii="Arial" w:cs="Arial" w:eastAsia="Arial" w:hAnsi="Arial"/>
          <w:sz w:val="16"/>
          <w:szCs w:val="16"/>
          <w:b w:val="1"/>
          <w:bCs w:val="1"/>
          <w:color w:val="auto"/>
        </w:rPr>
      </w:pPr>
    </w:p>
    <w:p>
      <w:pPr>
        <w:jc w:val="both"/>
        <w:ind w:firstLine="656"/>
        <w:spacing w:after="0" w:line="263" w:lineRule="auto"/>
        <w:tabs>
          <w:tab w:leader="none" w:pos="999"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Payment Pursuant to the Administrative Services Agreement</w:t>
      </w:r>
      <w:r>
        <w:rPr>
          <w:rFonts w:ascii="Arial" w:cs="Arial" w:eastAsia="Arial" w:hAnsi="Arial"/>
          <w:sz w:val="18"/>
          <w:szCs w:val="18"/>
          <w:color w:val="auto"/>
        </w:rPr>
        <w:t>. In no event will the amounts payable by the Company for office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secretarial and administrative services exceed $10,000 per month in the aggregate until the earlier of the date of the consummation of the Business Combination or the Liquidation.</w:t>
      </w:r>
    </w:p>
    <w:p>
      <w:pPr>
        <w:spacing w:after="0" w:line="183" w:lineRule="exact"/>
        <w:rPr>
          <w:rFonts w:ascii="Arial" w:cs="Arial" w:eastAsia="Arial" w:hAnsi="Arial"/>
          <w:sz w:val="18"/>
          <w:szCs w:val="18"/>
          <w:b w:val="1"/>
          <w:bCs w:val="1"/>
          <w:color w:val="auto"/>
        </w:rPr>
      </w:pPr>
    </w:p>
    <w:p>
      <w:pPr>
        <w:jc w:val="both"/>
        <w:ind w:firstLine="656"/>
        <w:spacing w:after="0" w:line="255" w:lineRule="auto"/>
        <w:tabs>
          <w:tab w:leader="none" w:pos="101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Cancellation of Founder Shares</w:t>
      </w:r>
      <w:r>
        <w:rPr>
          <w:rFonts w:ascii="Arial" w:cs="Arial" w:eastAsia="Arial" w:hAnsi="Arial"/>
          <w:sz w:val="18"/>
          <w:szCs w:val="18"/>
          <w:color w:val="auto"/>
        </w:rPr>
        <w:t>. Upon the earlier to occur of the expiration or termination of the Underwriters’ over-allotment option,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shall cancel or otherwise effect the forfeiture of Founder Shares from the Sponsor in an aggregate amount equal to the number of Founder Shares determined by multiplying (a) 393,750 by (b) a fraction, (i) the numerator of which is 1,575,000 minus the number of Optional Securities purchased by the Underwriters upon the exercise of their over-allotment option, and (ii) the denominator of which is 1,575,000. For the avoidance of doubt, if the Underwriters exercise their over-allotment option in full, the Company shall not cancel or otherwise effect the forfeiture of any of the Founder Shares pursuant to this subsection.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56"/>
        <w:spacing w:after="0" w:line="286" w:lineRule="auto"/>
        <w:tabs>
          <w:tab w:leader="none" w:pos="972"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Review of All Payments to the Sponsor</w:t>
      </w:r>
      <w:r>
        <w:rPr>
          <w:rFonts w:ascii="Arial" w:cs="Arial" w:eastAsia="Arial" w:hAnsi="Arial"/>
          <w:sz w:val="17"/>
          <w:szCs w:val="17"/>
          <w:color w:val="auto"/>
        </w:rPr>
        <w:t>. Prior to the consummation of the initial Business Combination or the Liquidation,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will review on a quarterly basis all payments made by the Company to the Sponsor, to the Company’s officers or directors, or to the Company’s or any of such other persons’ respective affiliates.</w:t>
      </w:r>
    </w:p>
    <w:p>
      <w:pPr>
        <w:spacing w:after="0" w:line="165" w:lineRule="exact"/>
        <w:rPr>
          <w:rFonts w:ascii="Arial" w:cs="Arial" w:eastAsia="Arial" w:hAnsi="Arial"/>
          <w:sz w:val="17"/>
          <w:szCs w:val="17"/>
          <w:b w:val="1"/>
          <w:bCs w:val="1"/>
          <w:color w:val="auto"/>
        </w:rPr>
      </w:pPr>
    </w:p>
    <w:p>
      <w:pPr>
        <w:jc w:val="both"/>
        <w:ind w:firstLine="656"/>
        <w:spacing w:after="0" w:line="259" w:lineRule="auto"/>
        <w:tabs>
          <w:tab w:leader="none" w:pos="94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“Penny Stock” Laws</w:t>
      </w:r>
      <w:r>
        <w:rPr>
          <w:rFonts w:ascii="Arial" w:cs="Arial" w:eastAsia="Arial" w:hAnsi="Arial"/>
          <w:sz w:val="18"/>
          <w:szCs w:val="18"/>
          <w:color w:val="auto"/>
        </w:rPr>
        <w:t>. The Company agrees that it will use commercially reasonable efforts to prevent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6" w:lineRule="exact"/>
        <w:rPr>
          <w:rFonts w:ascii="Arial" w:cs="Arial" w:eastAsia="Arial" w:hAnsi="Arial"/>
          <w:sz w:val="18"/>
          <w:szCs w:val="18"/>
          <w:b w:val="1"/>
          <w:bCs w:val="1"/>
          <w:color w:val="auto"/>
        </w:rPr>
      </w:pPr>
    </w:p>
    <w:p>
      <w:pPr>
        <w:jc w:val="both"/>
        <w:ind w:firstLine="656"/>
        <w:spacing w:after="0" w:line="293" w:lineRule="auto"/>
        <w:tabs>
          <w:tab w:leader="none" w:pos="1006"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Maintenance of Disclosure Controls, Procedures and Internal Accounting Controls</w:t>
      </w:r>
      <w:r>
        <w:rPr>
          <w:rFonts w:ascii="Arial" w:cs="Arial" w:eastAsia="Arial" w:hAnsi="Arial"/>
          <w:sz w:val="16"/>
          <w:szCs w:val="16"/>
          <w:color w:val="auto"/>
        </w:rPr>
        <w:t>. To the extent required by Rule 13a-15(e)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the Company will maintain “disclosure controls and procedures” (as defined under Rule 13a-15(e) under the Exchange Act) and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4" w:lineRule="exact"/>
        <w:rPr>
          <w:rFonts w:ascii="Arial" w:cs="Arial" w:eastAsia="Arial" w:hAnsi="Arial"/>
          <w:sz w:val="16"/>
          <w:szCs w:val="16"/>
          <w:b w:val="1"/>
          <w:bCs w:val="1"/>
          <w:color w:val="auto"/>
        </w:rPr>
      </w:pPr>
    </w:p>
    <w:p>
      <w:pPr>
        <w:jc w:val="both"/>
        <w:ind w:firstLine="656"/>
        <w:spacing w:after="0" w:line="263" w:lineRule="auto"/>
        <w:tabs>
          <w:tab w:leader="none" w:pos="101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Sarbanes-Oxley Act</w:t>
      </w:r>
      <w:r>
        <w:rPr>
          <w:rFonts w:ascii="Arial" w:cs="Arial" w:eastAsia="Arial" w:hAnsi="Arial"/>
          <w:sz w:val="18"/>
          <w:szCs w:val="18"/>
          <w:color w:val="auto"/>
        </w:rPr>
        <w:t>. As soon as legally required to do so, the Company and its directors and officers, in their capacities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such, shall take all actions necessary to comply with any provision of the Sarbanes-Oxley Act, including Section 402 related to loans and Sections 302 and 906 related to certifications, and to comply with the Nasdaq Marketplace Rules.</w:t>
      </w:r>
    </w:p>
    <w:p>
      <w:pPr>
        <w:spacing w:after="0" w:line="183" w:lineRule="exact"/>
        <w:rPr>
          <w:rFonts w:ascii="Arial" w:cs="Arial" w:eastAsia="Arial" w:hAnsi="Arial"/>
          <w:sz w:val="18"/>
          <w:szCs w:val="18"/>
          <w:b w:val="1"/>
          <w:bCs w:val="1"/>
          <w:color w:val="auto"/>
        </w:rPr>
      </w:pPr>
    </w:p>
    <w:p>
      <w:pPr>
        <w:ind w:firstLine="656"/>
        <w:spacing w:after="0" w:line="277" w:lineRule="auto"/>
        <w:tabs>
          <w:tab w:leader="none" w:pos="926"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the Organizational Documents</w:t>
      </w:r>
      <w:r>
        <w:rPr>
          <w:rFonts w:ascii="Arial" w:cs="Arial" w:eastAsia="Arial" w:hAnsi="Arial"/>
          <w:sz w:val="18"/>
          <w:szCs w:val="18"/>
          <w:color w:val="auto"/>
        </w:rPr>
        <w:t>. The Company shall not take any action or omit to take any action that would 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to be in breach or violation of the Amended and Restated Certificate of Incorporation.</w:t>
      </w:r>
    </w:p>
    <w:p>
      <w:pPr>
        <w:spacing w:after="0" w:line="170" w:lineRule="exact"/>
        <w:rPr>
          <w:rFonts w:ascii="Arial" w:cs="Arial" w:eastAsia="Arial" w:hAnsi="Arial"/>
          <w:sz w:val="18"/>
          <w:szCs w:val="18"/>
          <w:b w:val="1"/>
          <w:bCs w:val="1"/>
          <w:color w:val="auto"/>
        </w:rPr>
      </w:pPr>
    </w:p>
    <w:p>
      <w:pPr>
        <w:jc w:val="both"/>
        <w:ind w:firstLine="656"/>
        <w:spacing w:after="0" w:line="254" w:lineRule="auto"/>
        <w:tabs>
          <w:tab w:leader="none" w:pos="93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Waiver of Interests to the Funds</w:t>
      </w:r>
      <w:r>
        <w:rPr>
          <w:rFonts w:ascii="Arial" w:cs="Arial" w:eastAsia="Arial" w:hAnsi="Arial"/>
          <w:sz w:val="18"/>
          <w:szCs w:val="18"/>
          <w:color w:val="auto"/>
        </w:rPr>
        <w:t>. Prior to the consummation of the initial Business Combination, the Company will seek to have all vendors,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Stockholders. If any third party refuses to execute an agreement waiving such claims to the monies held in the Trust Account, prior to the consummation of the initial Business Combination, the Company’s management will only enter into an agreement with a third party that has not executed such wavier if the Company’s management believes that such third party’s engagement would be significantly more beneficial to the Company than any alternative.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56"/>
        <w:spacing w:after="0" w:line="268" w:lineRule="auto"/>
        <w:tabs>
          <w:tab w:leader="none" w:pos="1026"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Maintenance of Funds in the Trust Account</w:t>
      </w:r>
      <w:r>
        <w:rPr>
          <w:rFonts w:ascii="Arial" w:cs="Arial" w:eastAsia="Arial" w:hAnsi="Arial"/>
          <w:sz w:val="17"/>
          <w:szCs w:val="17"/>
          <w:color w:val="auto"/>
        </w:rPr>
        <w:t>. During the period prior to the Company’s initial Business Combination or Liquidation,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Company may instruct the trustee under the Trust Agreement to release from the Trust Account funds (i) solely from interest income earned on the funds held in the Trust Account, the amounts necessary to pay taxes and (ii) to Public Stockholders who properly redeem their Offered Securities in connection with a vote to approve an amendment to the Amended and Restated Certificate of Incorporation (A) that would modify the substance or timing of the Company’s obligation to redeem 100% of the Offered Securities if the Company does not complete its initial Business Combination within 24 months from the closing of the Offering (or such later date as may be approved by the Company’s stockholders) or (B) with respect to any other material provision relating to stockholders’ rights or pre-initial Business Combination activity, as described in Article IX of the Company’s Amended and Restated Certificate of Incorporation, unless the Company offers the opportunity to redeem the Offered Securities upon approval of any such amendment at the Redemption Price.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6" w:lineRule="exact"/>
        <w:rPr>
          <w:rFonts w:ascii="Arial" w:cs="Arial" w:eastAsia="Arial" w:hAnsi="Arial"/>
          <w:sz w:val="17"/>
          <w:szCs w:val="17"/>
          <w:b w:val="1"/>
          <w:bCs w:val="1"/>
          <w:color w:val="auto"/>
        </w:rPr>
      </w:pPr>
    </w:p>
    <w:p>
      <w:pPr>
        <w:jc w:val="both"/>
        <w:ind w:firstLine="656"/>
        <w:spacing w:after="0" w:line="269" w:lineRule="auto"/>
        <w:tabs>
          <w:tab w:leader="none" w:pos="91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Notification and Disclosure of Arrangements Relating to a Business Combination</w:t>
      </w:r>
      <w:r>
        <w:rPr>
          <w:rFonts w:ascii="Arial" w:cs="Arial" w:eastAsia="Arial" w:hAnsi="Arial"/>
          <w:sz w:val="17"/>
          <w:szCs w:val="17"/>
          <w:color w:val="auto"/>
        </w:rPr>
        <w:t>. For a period of 90 days following the Effective Date,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stockholders or for soliciting stockholder approval, as applicable.</w:t>
      </w:r>
    </w:p>
    <w:p>
      <w:pPr>
        <w:spacing w:after="0" w:line="185" w:lineRule="exact"/>
        <w:rPr>
          <w:rFonts w:ascii="Arial" w:cs="Arial" w:eastAsia="Arial" w:hAnsi="Arial"/>
          <w:sz w:val="17"/>
          <w:szCs w:val="17"/>
          <w:b w:val="1"/>
          <w:bCs w:val="1"/>
          <w:color w:val="auto"/>
        </w:rPr>
      </w:pPr>
    </w:p>
    <w:p>
      <w:pPr>
        <w:ind w:firstLine="656"/>
        <w:spacing w:after="0" w:line="342" w:lineRule="auto"/>
        <w:tabs>
          <w:tab w:leader="none" w:pos="112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FINRA Conflict of Interest</w:t>
      </w:r>
      <w:r>
        <w:rPr>
          <w:rFonts w:ascii="Arial" w:cs="Arial" w:eastAsia="Arial" w:hAnsi="Arial"/>
          <w:sz w:val="16"/>
          <w:szCs w:val="16"/>
          <w:color w:val="auto"/>
        </w:rPr>
        <w:t>. The Company shall advise FINRA, the Representative and its counsel if it is aware that any 5% or greater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the Company becomes an affiliate or associated person of a member of FINRA participating in the distribution of the Offered Securities.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Representative, on behalf of the several Underwriters, may, in its sole discretion, waive in writing the performance by the Company of any one or more of the foregoing covenants or extend the time for their performance.</w:t>
      </w:r>
    </w:p>
    <w:p>
      <w:pPr>
        <w:spacing w:after="0" w:line="166"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b w:val="1"/>
          <w:bCs w:val="1"/>
          <w:color w:val="auto"/>
        </w:rPr>
        <w:t xml:space="preserve">Section 4. Payment of Expenses. </w:t>
      </w:r>
      <w:r>
        <w:rPr>
          <w:rFonts w:ascii="Arial" w:cs="Arial" w:eastAsia="Arial" w:hAnsi="Arial"/>
          <w:sz w:val="16"/>
          <w:szCs w:val="16"/>
          <w:color w:val="auto"/>
        </w:rPr>
        <w:t>The Company agrees to pay all costs, fees and expenses incurred in connection with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 and any such consultants, and half of the costs and expenses related to any aircraft and any other transportation chartered in connection with the Road Show,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1296"/>
        <w:spacing w:after="0" w:line="298" w:lineRule="auto"/>
        <w:rPr>
          <w:sz w:val="20"/>
          <w:szCs w:val="20"/>
          <w:color w:val="auto"/>
        </w:rPr>
      </w:pPr>
      <w:r>
        <w:rPr>
          <w:rFonts w:ascii="Arial" w:cs="Arial" w:eastAsia="Arial" w:hAnsi="Arial"/>
          <w:sz w:val="16"/>
          <w:szCs w:val="16"/>
          <w:b w:val="1"/>
          <w:bCs w:val="1"/>
          <w:color w:val="auto"/>
        </w:rPr>
        <w:t xml:space="preserve">Section 5. Conditions of the Obligations of the Underwriters. </w:t>
      </w:r>
      <w:r>
        <w:rPr>
          <w:rFonts w:ascii="Arial" w:cs="Arial" w:eastAsia="Arial" w:hAnsi="Arial"/>
          <w:sz w:val="16"/>
          <w:szCs w:val="16"/>
          <w:color w:val="auto"/>
        </w:rPr>
        <w:t>The respective obligations of the several Underwriters hereunder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154" w:lineRule="exact"/>
        <w:rPr>
          <w:sz w:val="20"/>
          <w:szCs w:val="20"/>
          <w:color w:val="auto"/>
        </w:rPr>
      </w:pPr>
    </w:p>
    <w:p>
      <w:pPr>
        <w:jc w:val="both"/>
        <w:ind w:firstLine="656"/>
        <w:spacing w:after="0" w:line="258" w:lineRule="auto"/>
        <w:tabs>
          <w:tab w:leader="none" w:pos="91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date hereof, the Representative shall have received from Withum, independent registered public accountants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 letter dated the date hereof addressed to the Underwriters, in form and substance satisfactory to the Representative,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187" w:lineRule="exact"/>
        <w:rPr>
          <w:rFonts w:ascii="Arial" w:cs="Arial" w:eastAsia="Arial" w:hAnsi="Arial"/>
          <w:sz w:val="18"/>
          <w:szCs w:val="18"/>
          <w:b w:val="1"/>
          <w:bCs w:val="1"/>
          <w:color w:val="auto"/>
        </w:rPr>
      </w:pPr>
    </w:p>
    <w:p>
      <w:pPr>
        <w:ind w:left="920" w:hanging="264"/>
        <w:spacing w:after="0"/>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firstLine="1304"/>
        <w:spacing w:after="0" w:line="277" w:lineRule="auto"/>
        <w:tabs>
          <w:tab w:leader="none" w:pos="153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170" w:lineRule="exact"/>
        <w:rPr>
          <w:rFonts w:ascii="Arial" w:cs="Arial" w:eastAsia="Arial" w:hAnsi="Arial"/>
          <w:sz w:val="18"/>
          <w:szCs w:val="18"/>
          <w:color w:val="auto"/>
        </w:rPr>
      </w:pPr>
    </w:p>
    <w:p>
      <w:pPr>
        <w:ind w:firstLine="1304"/>
        <w:spacing w:after="0" w:line="277" w:lineRule="auto"/>
        <w:tabs>
          <w:tab w:leader="none" w:pos="15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70" w:lineRule="exact"/>
        <w:rPr>
          <w:rFonts w:ascii="Arial" w:cs="Arial" w:eastAsia="Arial" w:hAnsi="Arial"/>
          <w:sz w:val="18"/>
          <w:szCs w:val="18"/>
          <w:color w:val="auto"/>
        </w:rPr>
      </w:pPr>
    </w:p>
    <w:p>
      <w:pPr>
        <w:ind w:left="1620" w:hanging="316"/>
        <w:spacing w:after="0"/>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FINRA shall have raised no objection to the fairness and reasonableness of the underwriting terms and arrangements.</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19"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Prevention or Suspension. </w:t>
      </w:r>
      <w:r>
        <w:rPr>
          <w:rFonts w:ascii="Arial" w:cs="Arial" w:eastAsia="Arial" w:hAnsi="Arial"/>
          <w:sz w:val="18"/>
          <w:szCs w:val="18"/>
          <w:color w:val="auto"/>
        </w:rPr>
        <w:t>No order preventing or suspending the sale of the shares of Class A Common Stock in any jurisdiction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designated by the Representative pursuant to Section 3(g) hereof shall have been issued as of the First Closing Date and each Option Closing Date, and no proceedings for that purpose shall have been instituted or shall have been threatened.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56"/>
        <w:spacing w:after="0" w:line="263" w:lineRule="auto"/>
        <w:tabs>
          <w:tab w:leader="none" w:pos="91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No Material Adverse Effect. </w:t>
      </w:r>
      <w:r>
        <w:rPr>
          <w:rFonts w:ascii="Arial" w:cs="Arial" w:eastAsia="Arial" w:hAnsi="Arial"/>
          <w:sz w:val="18"/>
          <w:szCs w:val="18"/>
          <w:color w:val="auto"/>
        </w:rPr>
        <w:t>For the period from and after the date of this Agreement and through and including the First Closing Date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Optional Securities purchased after the First Closing Date, each Option Closing Date, in the judgment of the Representative, there shall not have been any Material Adverse Effect.</w:t>
      </w:r>
    </w:p>
    <w:p>
      <w:pPr>
        <w:spacing w:after="0" w:line="179" w:lineRule="exact"/>
        <w:rPr>
          <w:rFonts w:ascii="Arial" w:cs="Arial" w:eastAsia="Arial" w:hAnsi="Arial"/>
          <w:sz w:val="18"/>
          <w:szCs w:val="18"/>
          <w:b w:val="1"/>
          <w:bCs w:val="1"/>
          <w:color w:val="auto"/>
        </w:rPr>
      </w:pPr>
    </w:p>
    <w:p>
      <w:pPr>
        <w:ind w:firstLine="656"/>
        <w:spacing w:after="0" w:line="347" w:lineRule="auto"/>
        <w:tabs>
          <w:tab w:leader="none" w:pos="89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 of Counsel for the Company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each of the First Closing Date and each Option Closing Date, the Representative shall have received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opinion of White &amp; Case LLP, U.S. counsel for the Company, dated as of such date, in form and substance satisfactory to the Representative.</w:t>
      </w:r>
    </w:p>
    <w:p>
      <w:pPr>
        <w:spacing w:after="0" w:line="115" w:lineRule="exact"/>
        <w:rPr>
          <w:rFonts w:ascii="Arial" w:cs="Arial" w:eastAsia="Arial" w:hAnsi="Arial"/>
          <w:sz w:val="16"/>
          <w:szCs w:val="16"/>
          <w:b w:val="1"/>
          <w:bCs w:val="1"/>
          <w:color w:val="auto"/>
        </w:rPr>
      </w:pPr>
    </w:p>
    <w:p>
      <w:pPr>
        <w:jc w:val="both"/>
        <w:ind w:firstLine="656"/>
        <w:spacing w:after="0" w:line="261" w:lineRule="auto"/>
        <w:tabs>
          <w:tab w:leader="none" w:pos="88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Underwriters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Skadden, Arps, Slate, Meagher &amp; Flom LLP, counsel for the Underwriters in connection with the offer and sale of the Offered Securities, in form and substance satisfactory to the Representative, dated as of such date, with executed copies for each of the other Underwriters named on the Prospectus cover page.</w:t>
      </w:r>
    </w:p>
    <w:p>
      <w:pPr>
        <w:spacing w:after="0" w:line="179" w:lineRule="exact"/>
        <w:rPr>
          <w:rFonts w:ascii="Arial" w:cs="Arial" w:eastAsia="Arial" w:hAnsi="Arial"/>
          <w:sz w:val="18"/>
          <w:szCs w:val="18"/>
          <w:b w:val="1"/>
          <w:bCs w:val="1"/>
          <w:color w:val="auto"/>
        </w:rPr>
      </w:pPr>
    </w:p>
    <w:p>
      <w:pPr>
        <w:jc w:val="both"/>
        <w:ind w:firstLine="656"/>
        <w:spacing w:after="0" w:line="266" w:lineRule="auto"/>
        <w:tabs>
          <w:tab w:leader="none" w:pos="91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Officers’ Certificate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 shall have received a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Chief Executive Officer and the Chief Financial Officer of the Company, dated as of such date, to the effect set forth in Section 5(b)(ii) and further to the effect that:</w:t>
      </w:r>
    </w:p>
    <w:p>
      <w:pPr>
        <w:spacing w:after="0" w:line="179" w:lineRule="exact"/>
        <w:rPr>
          <w:rFonts w:ascii="Arial" w:cs="Arial" w:eastAsia="Arial" w:hAnsi="Arial"/>
          <w:sz w:val="18"/>
          <w:szCs w:val="18"/>
          <w:b w:val="1"/>
          <w:bCs w:val="1"/>
          <w:color w:val="auto"/>
        </w:rPr>
      </w:pPr>
    </w:p>
    <w:p>
      <w:pPr>
        <w:ind w:left="1540" w:hanging="236"/>
        <w:spacing w:after="0"/>
        <w:tabs>
          <w:tab w:leader="none" w:pos="15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for the period from and including the date of this Agreement through and including such date, there has been no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firstLine="1304"/>
        <w:spacing w:after="0" w:line="277" w:lineRule="auto"/>
        <w:tabs>
          <w:tab w:leader="none" w:pos="157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Company set forth in Section 1 of this Agreement are true and correct with the same force and effect as though expressly made on and as of such date; and</w:t>
      </w:r>
    </w:p>
    <w:p>
      <w:pPr>
        <w:spacing w:after="0" w:line="170" w:lineRule="exact"/>
        <w:rPr>
          <w:rFonts w:ascii="Arial" w:cs="Arial" w:eastAsia="Arial" w:hAnsi="Arial"/>
          <w:sz w:val="18"/>
          <w:szCs w:val="18"/>
          <w:color w:val="auto"/>
        </w:rPr>
      </w:pPr>
    </w:p>
    <w:p>
      <w:pPr>
        <w:ind w:firstLine="1304"/>
        <w:spacing w:after="0" w:line="277" w:lineRule="auto"/>
        <w:tabs>
          <w:tab w:leader="none" w:pos="1617"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has complied with all the agreements hereunder and satisfied all the conditions on its part to be performed or satisfied hereunder at or prior to such date.</w:t>
      </w:r>
    </w:p>
    <w:p>
      <w:pPr>
        <w:spacing w:after="0" w:line="170" w:lineRule="exact"/>
        <w:rPr>
          <w:rFonts w:ascii="Arial" w:cs="Arial" w:eastAsia="Arial" w:hAnsi="Arial"/>
          <w:sz w:val="18"/>
          <w:szCs w:val="18"/>
          <w:color w:val="auto"/>
        </w:rPr>
      </w:pPr>
    </w:p>
    <w:p>
      <w:pPr>
        <w:jc w:val="both"/>
        <w:ind w:firstLine="656"/>
        <w:spacing w:after="0" w:line="296" w:lineRule="auto"/>
        <w:tabs>
          <w:tab w:leader="none" w:pos="91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Secretary’s Certificate</w:t>
      </w:r>
      <w:r>
        <w:rPr>
          <w:rFonts w:ascii="Arial" w:cs="Arial" w:eastAsia="Arial" w:hAnsi="Arial"/>
          <w:sz w:val="16"/>
          <w:szCs w:val="16"/>
          <w:color w:val="auto"/>
        </w:rPr>
        <w:t>. The Company shall have furnished to the Representative a certificate signed by the Secretary or Assistant Secretary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dated the First Closing Date and each Option Closing Date, certifying (i) that the Amended and Restated Certificate of Incorporation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61" w:lineRule="exact"/>
        <w:rPr>
          <w:rFonts w:ascii="Arial" w:cs="Arial" w:eastAsia="Arial" w:hAnsi="Arial"/>
          <w:sz w:val="16"/>
          <w:szCs w:val="16"/>
          <w:b w:val="1"/>
          <w:bCs w:val="1"/>
          <w:color w:val="auto"/>
        </w:rPr>
      </w:pPr>
    </w:p>
    <w:p>
      <w:pPr>
        <w:jc w:val="both"/>
        <w:ind w:firstLine="656"/>
        <w:spacing w:after="0" w:line="275" w:lineRule="auto"/>
        <w:tabs>
          <w:tab w:leader="none" w:pos="876"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Bring-down Comfort Letter. </w:t>
      </w:r>
      <w:r>
        <w:rPr>
          <w:rFonts w:ascii="Arial" w:cs="Arial" w:eastAsia="Arial" w:hAnsi="Arial"/>
          <w:sz w:val="17"/>
          <w:szCs w:val="17"/>
          <w:color w:val="auto"/>
        </w:rPr>
        <w:t>On each of the First Closing Date and each Option Closing Date, the Representative shall have received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Withum, independent registered public accountants for the Company, a letter dated such date, in form and substance satisfactory to the Representative,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56"/>
        <w:spacing w:after="0" w:line="273" w:lineRule="auto"/>
        <w:tabs>
          <w:tab w:leader="none" w:pos="9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Transactional Documents</w:t>
      </w:r>
      <w:r>
        <w:rPr>
          <w:rFonts w:ascii="Arial" w:cs="Arial" w:eastAsia="Arial" w:hAnsi="Arial"/>
          <w:sz w:val="17"/>
          <w:szCs w:val="17"/>
          <w:color w:val="auto"/>
        </w:rPr>
        <w:t>. As of the date hereof, the Company shall have delivered to the Representative executed copies of the Trust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Subscription Agreement, the Sponsor Shares Purchase Agreement, the Insider Letter, the Registration Rights Agreement and the Administrative Services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77" w:lineRule="exact"/>
        <w:rPr>
          <w:rFonts w:ascii="Arial" w:cs="Arial" w:eastAsia="Arial" w:hAnsi="Arial"/>
          <w:sz w:val="17"/>
          <w:szCs w:val="17"/>
          <w:b w:val="1"/>
          <w:bCs w:val="1"/>
          <w:color w:val="auto"/>
        </w:rPr>
      </w:pPr>
    </w:p>
    <w:p>
      <w:pPr>
        <w:jc w:val="both"/>
        <w:ind w:firstLine="656"/>
        <w:spacing w:after="0" w:line="275" w:lineRule="auto"/>
        <w:tabs>
          <w:tab w:leader="none" w:pos="913"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Deposit to the Trust Account</w:t>
      </w:r>
      <w:r>
        <w:rPr>
          <w:rFonts w:ascii="Arial" w:cs="Arial" w:eastAsia="Arial" w:hAnsi="Arial"/>
          <w:sz w:val="17"/>
          <w:szCs w:val="17"/>
          <w:color w:val="auto"/>
        </w:rPr>
        <w:t>. The Sponsor (at least one business day prior to the First Closing Date and each Option Closing Date) shall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caused proceeds from the sale of the Sponsor Shares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shares of Class A Common Stock issued and the public offering price per share of Class A Common Stock as set forth on the cover of the Prospectus.</w:t>
      </w:r>
    </w:p>
    <w:p>
      <w:pPr>
        <w:spacing w:after="0" w:line="172" w:lineRule="exact"/>
        <w:rPr>
          <w:rFonts w:ascii="Arial" w:cs="Arial" w:eastAsia="Arial" w:hAnsi="Arial"/>
          <w:sz w:val="17"/>
          <w:szCs w:val="17"/>
          <w:b w:val="1"/>
          <w:bCs w:val="1"/>
          <w:color w:val="auto"/>
        </w:rPr>
      </w:pPr>
    </w:p>
    <w:p>
      <w:pPr>
        <w:jc w:val="both"/>
        <w:ind w:firstLine="656"/>
        <w:spacing w:after="0" w:line="266" w:lineRule="auto"/>
        <w:tabs>
          <w:tab w:leader="none" w:pos="90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79" w:lineRule="exact"/>
        <w:rPr>
          <w:rFonts w:ascii="Arial" w:cs="Arial" w:eastAsia="Arial" w:hAnsi="Arial"/>
          <w:sz w:val="18"/>
          <w:szCs w:val="18"/>
          <w:b w:val="1"/>
          <w:bCs w:val="1"/>
          <w:color w:val="auto"/>
        </w:rPr>
      </w:pPr>
    </w:p>
    <w:p>
      <w:pPr>
        <w:ind w:firstLine="656"/>
        <w:spacing w:after="0" w:line="277" w:lineRule="auto"/>
        <w:tabs>
          <w:tab w:leader="none" w:pos="9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Approval of Listing</w:t>
      </w:r>
      <w:r>
        <w:rPr>
          <w:rFonts w:ascii="Arial" w:cs="Arial" w:eastAsia="Arial" w:hAnsi="Arial"/>
          <w:sz w:val="18"/>
          <w:szCs w:val="18"/>
          <w:color w:val="auto"/>
        </w:rPr>
        <w:t>. At the First Closing Date, the Offered Securities shall have been approved for listing on Nasdaq, subject only to official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 of issuance.</w:t>
      </w:r>
    </w:p>
    <w:p>
      <w:pPr>
        <w:spacing w:after="0" w:line="170" w:lineRule="exact"/>
        <w:rPr>
          <w:rFonts w:ascii="Arial" w:cs="Arial" w:eastAsia="Arial" w:hAnsi="Arial"/>
          <w:sz w:val="18"/>
          <w:szCs w:val="18"/>
          <w:b w:val="1"/>
          <w:bCs w:val="1"/>
          <w:color w:val="auto"/>
        </w:rPr>
      </w:pPr>
    </w:p>
    <w:p>
      <w:pPr>
        <w:jc w:val="both"/>
        <w:ind w:firstLine="656"/>
        <w:spacing w:after="0" w:line="273" w:lineRule="auto"/>
        <w:tabs>
          <w:tab w:leader="none" w:pos="92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Additional Documents</w:t>
      </w:r>
      <w:r>
        <w:rPr>
          <w:rFonts w:ascii="Arial" w:cs="Arial" w:eastAsia="Arial" w:hAnsi="Arial"/>
          <w:sz w:val="17"/>
          <w:szCs w:val="17"/>
          <w:color w:val="auto"/>
        </w:rPr>
        <w:t>. On or before each of the First Closing Date and each Option Closing Date, the Representative and counsel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 and counsel for the Underwriters.</w:t>
      </w:r>
    </w:p>
    <w:p>
      <w:pPr>
        <w:spacing w:after="0" w:line="17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If any condition specified in this Section 5 is not satisfied when and as required to be satisfied, this Agreement may be terminated by the Representative by notice from the Representative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167"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b w:val="1"/>
          <w:bCs w:val="1"/>
          <w:color w:val="auto"/>
        </w:rPr>
        <w:t>Section 6. Reimbursement of Underwriters’ Expenses</w:t>
      </w:r>
      <w:r>
        <w:rPr>
          <w:rFonts w:ascii="Arial" w:cs="Arial" w:eastAsia="Arial" w:hAnsi="Arial"/>
          <w:sz w:val="17"/>
          <w:szCs w:val="17"/>
          <w:color w:val="auto"/>
        </w:rPr>
        <w:t>. If this Agreement is terminated by the Representative pursuant to Section 5,</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 and the other Underwriters (or such Underwriters as have terminated this Agreement with respect to themselves), severally, upon demand for all out-of-pocket expenses that shall have been reasonably incurred by the Representative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300"/>
        <w:spacing w:after="0"/>
        <w:rPr>
          <w:sz w:val="20"/>
          <w:szCs w:val="20"/>
          <w:color w:val="auto"/>
        </w:rPr>
      </w:pPr>
      <w:r>
        <w:rPr>
          <w:rFonts w:ascii="Arial" w:cs="Arial" w:eastAsia="Arial" w:hAnsi="Arial"/>
          <w:sz w:val="16"/>
          <w:szCs w:val="16"/>
          <w:b w:val="1"/>
          <w:bCs w:val="1"/>
          <w:color w:val="auto"/>
        </w:rPr>
        <w:t>Section 7. Effectiveness of this Agreement</w:t>
      </w:r>
      <w:r>
        <w:rPr>
          <w:rFonts w:ascii="Arial" w:cs="Arial" w:eastAsia="Arial" w:hAnsi="Arial"/>
          <w:sz w:val="16"/>
          <w:szCs w:val="16"/>
          <w:color w:val="auto"/>
        </w:rPr>
        <w:t>. This Agreement shall become effective upon the execution and delivery hereof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parties hereto.</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Section 8. Indemnification</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4" w:lineRule="auto"/>
        <w:tabs>
          <w:tab w:leader="none" w:pos="903"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56"/>
        <w:spacing w:after="0" w:line="284" w:lineRule="auto"/>
        <w:tabs>
          <w:tab w:leader="none" w:pos="94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 has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386" w:lineRule="exact"/>
        <w:rPr>
          <w:rFonts w:ascii="Arial" w:cs="Arial" w:eastAsia="Arial" w:hAnsi="Arial"/>
          <w:sz w:val="16"/>
          <w:szCs w:val="16"/>
          <w:b w:val="1"/>
          <w:bCs w:val="1"/>
          <w:color w:val="auto"/>
        </w:rPr>
      </w:pPr>
    </w:p>
    <w:p>
      <w:pPr>
        <w:jc w:val="both"/>
        <w:ind w:firstLine="656"/>
        <w:spacing w:after="0" w:line="284" w:lineRule="auto"/>
        <w:tabs>
          <w:tab w:leader="none" w:pos="90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Notifications and Other Indemnification Procedures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Promptly after receipt by an indemnified party under this Section 8 of notice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656"/>
        <w:spacing w:after="0" w:line="287" w:lineRule="auto"/>
        <w:tabs>
          <w:tab w:leader="none" w:pos="913"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Settlements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indemnifying party under this Section 8 shall not be liable for any settlement of any proceeding effected without its written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60 days after receipt by such indemnifying party of the aforesaid request, (ii) such indemnifying party shall have reasonable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6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Section 9. Contribution</w:t>
      </w:r>
      <w:r>
        <w:rPr>
          <w:rFonts w:ascii="Arial" w:cs="Arial" w:eastAsia="Arial" w:hAnsi="Arial"/>
          <w:sz w:val="16"/>
          <w:szCs w:val="16"/>
          <w:color w:val="auto"/>
        </w:rPr>
        <w:t>. If the indemnification provided for in Section 8 is for any reason held to be unavailable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additional notice shall be required with respect to any action for which notice has been given under Section 8(c) for purposes of indemnification.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Section 10. Default of One or More of the Several Underwriters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on the First Closing Date or any Option Closing Date any one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more of the several 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bears to the aggregate number of Firm Securities set forth opposite the names of all such non-defaulting Underwriters, or in such other proportions as may be specified by the Representative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176"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b w:val="1"/>
          <w:bCs w:val="1"/>
          <w:color w:val="auto"/>
        </w:rPr>
        <w:t>Section 11.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purchase of the Firm Securities by the Underwriters on the First Closing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Agreement may be terminated by the Representative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 there shall have been any Material Adverse Effect; or (v) the Company shall have sustained a loss by strike, fire, flood, earthquake, accident or other calamity of such character as in the judgment of the Representative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 and the Underwriters pursuant to Section 4 or Section 6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8 and Section 9 shall at all times be effective and shall survive such termination.</w:t>
      </w:r>
    </w:p>
    <w:p>
      <w:pPr>
        <w:spacing w:after="0" w:line="16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b w:val="1"/>
          <w:bCs w:val="1"/>
          <w:color w:val="auto"/>
        </w:rPr>
        <w:t xml:space="preserve">Section 12.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296"/>
        <w:spacing w:after="0" w:line="277" w:lineRule="auto"/>
        <w:rPr>
          <w:sz w:val="20"/>
          <w:szCs w:val="20"/>
          <w:color w:val="auto"/>
        </w:rPr>
      </w:pPr>
      <w:r>
        <w:rPr>
          <w:rFonts w:ascii="Arial" w:cs="Arial" w:eastAsia="Arial" w:hAnsi="Arial"/>
          <w:sz w:val="17"/>
          <w:szCs w:val="17"/>
          <w:b w:val="1"/>
          <w:bCs w:val="1"/>
          <w:color w:val="auto"/>
        </w:rPr>
        <w:t>Section 13. Representations and Indemnities to Survive Delivery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respective indemnities, agreements, representations,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68" w:lineRule="exact"/>
        <w:rPr>
          <w:sz w:val="20"/>
          <w:szCs w:val="20"/>
          <w:color w:val="auto"/>
        </w:rPr>
      </w:pPr>
    </w:p>
    <w:p>
      <w:pPr>
        <w:jc w:val="both"/>
        <w:ind w:right="20" w:firstLine="1296"/>
        <w:spacing w:after="0" w:line="282" w:lineRule="auto"/>
        <w:rPr>
          <w:sz w:val="20"/>
          <w:szCs w:val="20"/>
          <w:color w:val="auto"/>
        </w:rPr>
      </w:pPr>
      <w:r>
        <w:rPr>
          <w:rFonts w:ascii="Arial" w:cs="Arial" w:eastAsia="Arial" w:hAnsi="Arial"/>
          <w:sz w:val="18"/>
          <w:szCs w:val="18"/>
          <w:b w:val="1"/>
          <w:bCs w:val="1"/>
          <w:color w:val="auto"/>
        </w:rPr>
        <w:t>Section 14. Notices</w:t>
      </w:r>
      <w:r>
        <w:rPr>
          <w:rFonts w:ascii="Arial" w:cs="Arial" w:eastAsia="Arial" w:hAnsi="Arial"/>
          <w:sz w:val="18"/>
          <w:szCs w:val="18"/>
          <w:color w:val="auto"/>
        </w:rPr>
        <w:t>. All communications hereunder shall be in writing and shall be mailed, hand delivered or telecopied and 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parties hereto as follows:</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Representative: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2740" w:space="720"/>
            <w:col w:w="7780"/>
          </w:cols>
          <w:pgMar w:left="320" w:top="904" w:right="3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Skadden, Arps, Slate, Meagher &amp; Flom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(650) 470-4570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Gregg A. Noel and Michael J. Mies</w:t>
      </w:r>
    </w:p>
    <w:p>
      <w:pPr>
        <w:spacing w:after="0" w:line="200" w:lineRule="exact"/>
        <w:rPr>
          <w:sz w:val="20"/>
          <w:szCs w:val="20"/>
          <w:color w:val="auto"/>
        </w:rPr>
      </w:pPr>
    </w:p>
    <w:p>
      <w:pPr>
        <w:sectPr>
          <w:pgSz w:w="11900" w:h="16838" w:orient="portrait"/>
          <w:cols w:equalWidth="0" w:num="2">
            <w:col w:w="2740" w:space="720"/>
            <w:col w:w="7780"/>
          </w:cols>
          <w:pgMar w:left="320" w:top="904"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600 Montgomery Street, 4500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(415) 367-3300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Dennis Ryan</w:t>
      </w:r>
    </w:p>
    <w:p>
      <w:pPr>
        <w:spacing w:after="0" w:line="200" w:lineRule="exact"/>
        <w:rPr>
          <w:sz w:val="20"/>
          <w:szCs w:val="20"/>
          <w:color w:val="auto"/>
        </w:rPr>
      </w:pPr>
    </w:p>
    <w:p>
      <w:pPr>
        <w:sectPr>
          <w:pgSz w:w="11900" w:h="16838" w:orient="portrait"/>
          <w:cols w:equalWidth="0" w:num="2">
            <w:col w:w="2740" w:space="720"/>
            <w:col w:w="7780"/>
          </w:cols>
          <w:pgMar w:left="320" w:top="904"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354-8113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Joel L. Rubenstein and Colin J. Diamond</w:t>
      </w:r>
    </w:p>
    <w:p>
      <w:pPr>
        <w:spacing w:after="0" w:line="200" w:lineRule="exact"/>
        <w:rPr>
          <w:sz w:val="20"/>
          <w:szCs w:val="20"/>
          <w:color w:val="auto"/>
        </w:rPr>
      </w:pPr>
    </w:p>
    <w:p>
      <w:pPr>
        <w:sectPr>
          <w:pgSz w:w="11900" w:h="16838" w:orient="portrait"/>
          <w:cols w:equalWidth="0" w:num="2">
            <w:col w:w="2740" w:space="720"/>
            <w:col w:w="7780"/>
          </w:cols>
          <w:pgMar w:left="320" w:top="904"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firstLine="1296"/>
        <w:spacing w:after="0" w:line="258" w:lineRule="auto"/>
        <w:rPr>
          <w:sz w:val="20"/>
          <w:szCs w:val="20"/>
          <w:color w:val="auto"/>
        </w:rPr>
      </w:pPr>
      <w:r>
        <w:rPr>
          <w:rFonts w:ascii="Arial" w:cs="Arial" w:eastAsia="Arial" w:hAnsi="Arial"/>
          <w:sz w:val="18"/>
          <w:szCs w:val="18"/>
          <w:b w:val="1"/>
          <w:bCs w:val="1"/>
          <w:color w:val="auto"/>
        </w:rPr>
        <w:t>Section 15. Successors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inure to the benefit of and be binding upon the parties hereto, including any substitute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8"/>
          <w:szCs w:val="18"/>
          <w:b w:val="1"/>
          <w:bCs w:val="1"/>
          <w:color w:val="auto"/>
        </w:rPr>
        <w:t>successors</w:t>
      </w:r>
      <w:r>
        <w:rPr>
          <w:rFonts w:ascii="Arial" w:cs="Arial" w:eastAsia="Arial" w:hAnsi="Arial"/>
          <w:sz w:val="18"/>
          <w:szCs w:val="18"/>
          <w:color w:val="auto"/>
        </w:rPr>
        <w:t>” shall not include any purchaser of the Offered Securities as such from any of the Underwriters merely by reason of such purchase.</w:t>
      </w:r>
    </w:p>
    <w:p>
      <w:pPr>
        <w:spacing w:after="0" w:line="183"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Section 16. Partial Unenforceability</w:t>
      </w:r>
      <w:r>
        <w:rPr>
          <w:rFonts w:ascii="Arial" w:cs="Arial" w:eastAsia="Arial" w:hAnsi="Arial"/>
          <w:sz w:val="18"/>
          <w:szCs w:val="18"/>
          <w:color w:val="auto"/>
        </w:rPr>
        <w:t>. The invalidity or unenforceability of any section, paragraph or provision of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7" w:name="page38"/>
    <w:bookmarkEnd w:id="37"/>
    <w:p>
      <w:pPr>
        <w:ind w:left="1300"/>
        <w:spacing w:after="0"/>
        <w:rPr>
          <w:sz w:val="20"/>
          <w:szCs w:val="20"/>
          <w:color w:val="auto"/>
        </w:rPr>
      </w:pPr>
      <w:r>
        <w:rPr>
          <w:rFonts w:ascii="Arial" w:cs="Arial" w:eastAsia="Arial" w:hAnsi="Arial"/>
          <w:sz w:val="18"/>
          <w:szCs w:val="18"/>
          <w:b w:val="1"/>
          <w:bCs w:val="1"/>
          <w:color w:val="auto"/>
        </w:rPr>
        <w:t>Section 17. Recognition of the U.S. Special Resolution Regimes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91"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b w:val="1"/>
          <w:bCs w:val="1"/>
          <w:color w:val="auto"/>
        </w:rPr>
        <w:t>Section 18. Governing Law Provisions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by and construed in accordance with the internal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77"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7"/>
          <w:szCs w:val="17"/>
          <w:b w:val="1"/>
          <w:bCs w:val="1"/>
          <w:color w:val="auto"/>
        </w:rPr>
        <w:t xml:space="preserve">Section 19. General Provisions. </w:t>
      </w:r>
      <w:r>
        <w:rPr>
          <w:rFonts w:ascii="Arial" w:cs="Arial" w:eastAsia="Arial" w:hAnsi="Arial"/>
          <w:sz w:val="17"/>
          <w:szCs w:val="17"/>
          <w:color w:val="auto"/>
        </w:rPr>
        <w:t>This Agreement constitutes the entire agreement of the parties to this Agreement and supersedes all</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Underwriters named in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2562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Michael Brinkman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Underwriters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Jefferies LLC</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15"/>
          <w:szCs w:val="15"/>
          <w:b w:val="1"/>
          <w:bCs w:val="1"/>
          <w:color w:val="auto"/>
        </w:rPr>
        <w:t>Schedule A</w:t>
      </w:r>
    </w:p>
    <w:p>
      <w:pPr>
        <w:spacing w:after="0" w:line="260"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Number of</w:t>
      </w:r>
    </w:p>
    <w:p>
      <w:pPr>
        <w:spacing w:after="0" w:line="5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Firm</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Securities</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to be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-6445885</wp:posOffset>
            </wp:positionH>
            <wp:positionV relativeFrom="paragraph">
              <wp:posOffset>20320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-6445885</wp:posOffset>
            </wp:positionH>
            <wp:positionV relativeFrom="paragraph">
              <wp:posOffset>160655</wp:posOffset>
            </wp:positionV>
            <wp:extent cx="71323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40640</wp:posOffset>
            </wp:positionV>
            <wp:extent cx="7029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-6445885</wp:posOffset>
            </wp:positionH>
            <wp:positionV relativeFrom="paragraph">
              <wp:posOffset>332105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440" w:space="720"/>
            <w:col w:w="1080"/>
          </w:cols>
          <w:pgMar w:left="320" w:top="90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Time of Delivery Information</w:t>
      </w:r>
    </w:p>
    <w:p>
      <w:pPr>
        <w:spacing w:after="0" w:line="229"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 offering price per share of Class A common stock: $10.00</w:t>
      </w:r>
    </w:p>
    <w:p>
      <w:pPr>
        <w:spacing w:after="0" w:line="225" w:lineRule="exact"/>
        <w:rPr>
          <w:rFonts w:ascii="Arial" w:cs="Arial" w:eastAsia="Arial" w:hAnsi="Arial"/>
          <w:sz w:val="18"/>
          <w:szCs w:val="18"/>
          <w:color w:val="auto"/>
        </w:rPr>
      </w:pPr>
    </w:p>
    <w:p>
      <w:pPr>
        <w:ind w:firstLine="8"/>
        <w:spacing w:after="0" w:line="277" w:lineRule="auto"/>
        <w:tabs>
          <w:tab w:leader="none" w:pos="217" w:val="left"/>
        </w:tabs>
        <w:numPr>
          <w:ilvl w:val="0"/>
          <w:numId w:val="38"/>
        </w:numPr>
        <w:rPr>
          <w:rFonts w:ascii="Arial" w:cs="Arial" w:eastAsia="Arial" w:hAnsi="Arial"/>
          <w:sz w:val="18"/>
          <w:szCs w:val="18"/>
          <w:color w:val="auto"/>
        </w:rPr>
      </w:pPr>
      <w:r>
        <w:rPr>
          <w:rFonts w:ascii="Arial" w:cs="Arial" w:eastAsia="Arial" w:hAnsi="Arial"/>
          <w:sz w:val="18"/>
          <w:szCs w:val="18"/>
          <w:color w:val="auto"/>
        </w:rPr>
        <w:t>Number of shares of Class A common stock offered: 10,500,000 (plus an additional 1,575,000 shares of Class A common stock subject to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Section 5(d) Communications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FS Development Corp. (the “Company”) announced today that Jefferies LLC, the sole book-running manager and Representative of the underwriters in the Company’s recent public sale of 10,500,000 shares of Class A common stock, is [waiving] [releasing] a lock-up restriction with respect to the Company’s shares of Class A common stock held by [FS Development Holdings, LLC, a Delaware limited liability company, the sponsor] [certain officers or directors] [an officer or director] of the Company. The [waiver] [release] will take effect on [Date], and the securities may be sold or otherwise disposed of on or after such date.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FS Development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right="20" w:firstLine="656"/>
        <w:spacing w:after="0" w:line="263" w:lineRule="auto"/>
        <w:tabs>
          <w:tab w:leader="none" w:pos="8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of the Corporation is “FS Development Corp.” The original certificate of incorporation was filed with the Secretary of State of the State of Delaware on June 25,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First Amendment to the Original Certificate was filed with the Secretary of State of the State of Delaware on June 30, 2020 (the “</w:t>
      </w:r>
      <w:r>
        <w:rPr>
          <w:rFonts w:ascii="Arial" w:cs="Arial" w:eastAsia="Arial" w:hAnsi="Arial"/>
          <w:sz w:val="18"/>
          <w:szCs w:val="18"/>
          <w:b w:val="1"/>
          <w:bCs w:val="1"/>
          <w:i w:val="1"/>
          <w:iCs w:val="1"/>
          <w:color w:val="auto"/>
        </w:rPr>
        <w:t>First Amendment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right="20" w:firstLine="656"/>
        <w:spacing w:after="0" w:line="263" w:lineRule="auto"/>
        <w:tabs>
          <w:tab w:leader="none" w:pos="8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(the “</w:t>
      </w:r>
      <w:r>
        <w:rPr>
          <w:rFonts w:ascii="Arial" w:cs="Arial" w:eastAsia="Arial" w:hAnsi="Arial"/>
          <w:sz w:val="18"/>
          <w:szCs w:val="18"/>
          <w:b w:val="1"/>
          <w:bCs w:val="1"/>
          <w:i w:val="1"/>
          <w:iCs w:val="1"/>
          <w:color w:val="auto"/>
        </w:rPr>
        <w:t>Amended and Restated Certificate</w:t>
      </w:r>
      <w:r>
        <w:rPr>
          <w:rFonts w:ascii="Arial" w:cs="Arial" w:eastAsia="Arial" w:hAnsi="Arial"/>
          <w:sz w:val="18"/>
          <w:szCs w:val="18"/>
          <w:color w:val="auto"/>
        </w:rPr>
        <w:t>”), which both restates and amends the provisions of the Original Certificate, as amended by the First Amendment,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Amended and Restated Certificate shall become effective on the date of filing with the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capitalized terms used in this Amended and Restated Certificate are defined where appropriate herein.</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text of the Original Certificate, as amended by the First Amendment, is hereby restated and amended in its entirety to read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FS Development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251 Little Falls Drive, in the City of Wilmington, County of New Castle, State of Delaware, 19808, and the name of the Corporation’s registered agent at such address is Corporation Service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Authorized Capital Stock</w:t>
      </w:r>
      <w:r>
        <w:rPr>
          <w:rFonts w:ascii="Arial" w:cs="Arial" w:eastAsia="Arial" w:hAnsi="Arial"/>
          <w:sz w:val="17"/>
          <w:szCs w:val="17"/>
          <w:color w:val="auto"/>
        </w:rPr>
        <w:t>. The total number of shares of all classes of capital stock, each with a par value of $0.0001 per share, which the Corporation is authorized to issue is 111,000,000 shares, consisting of (a) 110,000,000 shares of common stock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 100,000,000 shares of Class A common stock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and (ii) 10,000,000 shares of Class B common stock (the “</w:t>
      </w:r>
      <w:r>
        <w:rPr>
          <w:rFonts w:ascii="Arial" w:cs="Arial" w:eastAsia="Arial" w:hAnsi="Arial"/>
          <w:sz w:val="17"/>
          <w:szCs w:val="17"/>
          <w:b w:val="1"/>
          <w:bCs w:val="1"/>
          <w:i w:val="1"/>
          <w:iCs w:val="1"/>
          <w:color w:val="auto"/>
        </w:rPr>
        <w:t>Class B Common Stock</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(b) 1,000,000 shares of preferred stock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71"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Effective August 11, 2020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each issued share of Class B Common Stock of the Corporation that is outstanding immediately prior to the Effective Time shall be converted into one and one-twentieth issued and outstanding shares of Class B Common Stock, without further action on the part of the Corporation or the holders thereof and whether or not certificates representing such shares are surrendered for cancellation.</w:t>
      </w:r>
    </w:p>
    <w:p>
      <w:pPr>
        <w:spacing w:after="0" w:line="149"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1540" w:hanging="236"/>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Voting.</w:t>
      </w:r>
    </w:p>
    <w:p>
      <w:pPr>
        <w:spacing w:after="0" w:line="225" w:lineRule="exact"/>
        <w:rPr>
          <w:rFonts w:ascii="Arial" w:cs="Arial" w:eastAsia="Arial" w:hAnsi="Arial"/>
          <w:sz w:val="18"/>
          <w:szCs w:val="18"/>
          <w:color w:val="auto"/>
        </w:rPr>
      </w:pPr>
    </w:p>
    <w:p>
      <w:pPr>
        <w:ind w:left="660" w:firstLine="1292"/>
        <w:spacing w:after="0" w:line="277" w:lineRule="auto"/>
        <w:tabs>
          <w:tab w:leader="none" w:pos="21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2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Except as otherwise required by law or this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83" w:lineRule="exact"/>
        <w:rPr>
          <w:rFonts w:ascii="Arial" w:cs="Arial" w:eastAsia="Arial" w:hAnsi="Arial"/>
          <w:sz w:val="18"/>
          <w:szCs w:val="18"/>
          <w:color w:val="auto"/>
        </w:rPr>
      </w:pPr>
    </w:p>
    <w:p>
      <w:pPr>
        <w:jc w:val="both"/>
        <w:ind w:left="660" w:firstLine="1292"/>
        <w:spacing w:after="0" w:line="289" w:lineRule="auto"/>
        <w:tabs>
          <w:tab w:leader="none" w:pos="2274" w:val="left"/>
        </w:tabs>
        <w:numPr>
          <w:ilvl w:val="1"/>
          <w:numId w:val="40"/>
        </w:numPr>
        <w:rPr>
          <w:rFonts w:ascii="Arial" w:cs="Arial" w:eastAsia="Arial" w:hAnsi="Arial"/>
          <w:sz w:val="16"/>
          <w:szCs w:val="16"/>
          <w:color w:val="auto"/>
        </w:rPr>
      </w:pPr>
      <w:r>
        <w:rPr>
          <w:rFonts w:ascii="Arial" w:cs="Arial" w:eastAsia="Arial" w:hAnsi="Arial"/>
          <w:sz w:val="16"/>
          <w:szCs w:val="16"/>
          <w:color w:val="auto"/>
        </w:rPr>
        <w:t>Except as otherwise required by law or this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Amended and Restated Certificate (including any Preferred Stock Designation), holders of shares of any series of Common Stock shall not be entitled to vote on any amendment to this Amended and Restated Certificate (including any amendment to any Preferred Stock Designation) that relates solely to the terms of one or more issued and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Amended and Restated Certificate (including any Preferred Stock Designation) or the DGCL.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1560" w:hanging="256"/>
        <w:spacing w:after="0"/>
        <w:tabs>
          <w:tab w:leader="none" w:pos="1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B Common Stock.</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21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 Ratio</w:t>
      </w:r>
      <w:r>
        <w:rPr>
          <w:rFonts w:ascii="Arial" w:cs="Arial" w:eastAsia="Arial" w:hAnsi="Arial"/>
          <w:sz w:val="18"/>
          <w:szCs w:val="18"/>
          <w:color w:val="auto"/>
        </w:rPr>
        <w:t>”) automatically concurrently with or immediately following the closing of the Business Combination (as defined below).</w:t>
      </w:r>
    </w:p>
    <w:p>
      <w:pPr>
        <w:spacing w:after="0" w:line="184" w:lineRule="exact"/>
        <w:rPr>
          <w:sz w:val="20"/>
          <w:szCs w:val="20"/>
          <w:color w:val="auto"/>
        </w:rPr>
      </w:pPr>
    </w:p>
    <w:p>
      <w:pPr>
        <w:jc w:val="both"/>
        <w:ind w:left="660"/>
        <w:spacing w:after="0" w:line="283" w:lineRule="auto"/>
        <w:rPr>
          <w:sz w:val="20"/>
          <w:szCs w:val="20"/>
          <w:color w:val="auto"/>
        </w:rPr>
      </w:pPr>
      <w:r>
        <w:rPr>
          <w:rFonts w:ascii="Arial" w:cs="Arial" w:eastAsia="Arial" w:hAnsi="Arial"/>
          <w:sz w:val="16"/>
          <w:szCs w:val="16"/>
          <w:color w:val="auto"/>
        </w:rPr>
        <w:t>Notwithstanding the Initial Conversion Ratio, in the case that additional shares of Class A Common Stock or equity-linked securities are issued or deemed issued in excess of the amounts sold in the Corporation’s initial public offering of securities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and related to or in connection with the closing of the initial Business Combination, all issued and outstanding shares of Class B Common Stock shall automatically convert into shares of Class A Common Stock at the time of the closing of the Corporation’s initial Business Combination, the ratio for which the shares of Class B Common Stock shall convert into shares of Class A Common Stock will be adjusted so that the number of shares of Class A Common Stock issuable upon conversion of all shares of Class B Common Stock will equal, in the aggregate, 25% of the sum of (a) the total number of all shares of Class A Common Stock issued in the Offering (including any shares of Class A Common Stock issued pursuant to the underwriters’ over-allotment option and excluding any shares of Class A Common Stock issued to FS Development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in a private placement simultaneously with the closing of the Offering) plus (b) the sum of (i) all shares of Class A Common Stock issued or deemed issued or issuable upon conversion or exercise of any equity-linked securities or rights issued or deemed issued in connection with or in relation to the consummation of a Business Combination (including any shares of Class A Common Stock issued pursuant to a forward purchase agreement), excluding any shares of Class A Common Stock issued or deemed issued or issuable upon conversion of the shares of Class B Common Stock in connection with the consummation of a Business Combination, any shares of Class A Common Stock or equity-linked securities or rights issued, or to be issued, to any seller in a Business Combination, any private placement shares issued to the Sponsor, or an affiliate of the Sponsor or the Corporation’s officers and directors upon the conversion of working capital loans made to the Corporation, minus</w:t>
      </w:r>
    </w:p>
    <w:p>
      <w:pPr>
        <w:ind w:left="660" w:right="20" w:hanging="4"/>
        <w:spacing w:after="0" w:line="260" w:lineRule="auto"/>
        <w:tabs>
          <w:tab w:leader="none" w:pos="9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shares of Class A Common Stock redeemed in connection with a Business Combination, provided that such conversion of shares of Class B Common Stock shall never be less than the Initial Conversion Ratio.</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issued and outstanding consenting or agreeing separately as a single class in the manner provided in </w:t>
      </w:r>
      <w:r>
        <w:rPr>
          <w:rFonts w:ascii="Arial" w:cs="Arial" w:eastAsia="Arial" w:hAnsi="Arial"/>
          <w:sz w:val="18"/>
          <w:szCs w:val="18"/>
          <w:u w:val="single" w:color="auto"/>
          <w:color w:val="auto"/>
        </w:rPr>
        <w:t>Section 4.3(b)(iii)</w:t>
      </w:r>
      <w:r>
        <w:rPr>
          <w:rFonts w:ascii="Arial" w:cs="Arial" w:eastAsia="Arial" w:hAnsi="Arial"/>
          <w:sz w:val="18"/>
          <w:szCs w:val="18"/>
          <w:color w:val="auto"/>
        </w:rPr>
        <w:t>, and (ii) in no event shall the Class B Common Stock convert into Class A Common Stock at a ratio that is less than one-for-one.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issued and outstanding shares of Class A Common Stock into a greater or lesser number of shares occurring after the original filing of this Amended and Restated Certificate without a proportionate and corresponding subdivision, combination or similar reclassification or recapitalization of the issued and outstanding shares of Class B Common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left="660" w:firstLine="1292"/>
        <w:spacing w:after="0" w:line="268" w:lineRule="auto"/>
        <w:tabs>
          <w:tab w:leader="none" w:pos="2248"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Amended and Restated Certificate (including any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 for so long as any shares of Class B Common Stock shall remain outstanding, the Corporation shall not, without the prior vote or written consent of the holders of a majority of the shares of Class B Common Stock then issued and outstanding, voting separately as a single class, amend, alter or repeal any provision of this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issued and outstanding shares of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79" w:lineRule="exact"/>
        <w:rPr>
          <w:rFonts w:ascii="Arial" w:cs="Arial" w:eastAsia="Arial" w:hAnsi="Arial"/>
          <w:sz w:val="17"/>
          <w:szCs w:val="17"/>
          <w:color w:val="auto"/>
        </w:rPr>
      </w:pPr>
    </w:p>
    <w:p>
      <w:pPr>
        <w:jc w:val="both"/>
        <w:ind w:firstLine="1304"/>
        <w:spacing w:after="0" w:line="279" w:lineRule="auto"/>
        <w:tabs>
          <w:tab w:leader="none" w:pos="154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applicable law, the rights, if any, of the holders of any issued and outstanding series of the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71" w:lineRule="exact"/>
        <w:rPr>
          <w:rFonts w:ascii="Arial" w:cs="Arial" w:eastAsia="Arial" w:hAnsi="Arial"/>
          <w:sz w:val="17"/>
          <w:szCs w:val="17"/>
          <w:color w:val="auto"/>
        </w:rPr>
      </w:pPr>
    </w:p>
    <w:p>
      <w:pPr>
        <w:jc w:val="both"/>
        <w:ind w:firstLine="1304"/>
        <w:spacing w:after="0" w:line="257" w:lineRule="auto"/>
        <w:tabs>
          <w:tab w:leader="none" w:pos="155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Liquidation, Dissolution or Winding Up of the Corporation. </w:t>
      </w:r>
      <w:r>
        <w:rPr>
          <w:rFonts w:ascii="Arial" w:cs="Arial" w:eastAsia="Arial" w:hAnsi="Arial"/>
          <w:sz w:val="18"/>
          <w:szCs w:val="18"/>
          <w:color w:val="auto"/>
        </w:rPr>
        <w:t>Subject to applicable law, the rights, if any, of the holders of any issued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outstanding series of the Preferred Stock and the provisions of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xml:space="preserve">. The business and affairs of the Corporation shall be managed by, or under the direction of, the Board. In addition to the powers and authority expressly conferred upon the Board by statute, this Amended and Restated Certificate or the Bylaws of the Corporation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Board is hereby empowered to exercise all such powers and do all such acts and things as may be exercised or done by the Corporation, subject, nevertheless, to the provisions of the DGCL, this Amended and Restated Certificate and any Bylaws adopted by the stockholders; provided, however, that no Bylaws hereafter adopted by the stockholders shall invalidate any prior act of the Board that would have been valid if such Bylaws had not been adopted.</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p>
    <w:p>
      <w:pPr>
        <w:spacing w:after="0" w:line="225" w:lineRule="exact"/>
        <w:rPr>
          <w:sz w:val="20"/>
          <w:szCs w:val="20"/>
          <w:color w:val="auto"/>
        </w:rPr>
      </w:pPr>
    </w:p>
    <w:p>
      <w:pPr>
        <w:jc w:val="both"/>
        <w:ind w:firstLine="1304"/>
        <w:spacing w:after="0" w:line="263"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83" w:lineRule="exact"/>
        <w:rPr>
          <w:rFonts w:ascii="Arial" w:cs="Arial" w:eastAsia="Arial" w:hAnsi="Arial"/>
          <w:sz w:val="18"/>
          <w:szCs w:val="18"/>
          <w:color w:val="auto"/>
        </w:rPr>
      </w:pPr>
    </w:p>
    <w:p>
      <w:pPr>
        <w:jc w:val="both"/>
        <w:ind w:firstLine="1304"/>
        <w:spacing w:after="0" w:line="285" w:lineRule="auto"/>
        <w:tabs>
          <w:tab w:leader="none" w:pos="1551"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Class II and Class III. The Board is authorized to assign members of the Board already in office to Class I, Class II or Class III. The term of the initial Class I Directors shall expire at the first annual meeting of the stockholders of the Corporation following the effectiveness of this Amended and Restated Certificate, the term of the initial Class II Directors shall expire at the second annual meeting of the stockholders of the Corporation following the effectiveness of this Amended and Restated Certificate and the term of the initial Class III Directors shall expire at the third annual meeting of the stockholders of the Corporation following the effectiveness of this Amended and Restated Certificate. At each succeeding annual meeting of the stockholders of the Corporation, beginning with the first annual meeting of the stockholders of the Corporation following the effectiveness of this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Amended and Restated Certificate (and therefore such classification) becomes effective in accordance with the DGCL.</w:t>
      </w:r>
    </w:p>
    <w:p>
      <w:pPr>
        <w:spacing w:after="0" w:line="176" w:lineRule="exact"/>
        <w:rPr>
          <w:rFonts w:ascii="Arial" w:cs="Arial" w:eastAsia="Arial" w:hAnsi="Arial"/>
          <w:sz w:val="16"/>
          <w:szCs w:val="16"/>
          <w:color w:val="auto"/>
        </w:rPr>
      </w:pPr>
    </w:p>
    <w:p>
      <w:pPr>
        <w:jc w:val="both"/>
        <w:ind w:firstLine="1304"/>
        <w:spacing w:after="0" w:line="263" w:lineRule="auto"/>
        <w:tabs>
          <w:tab w:leader="none" w:pos="15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83" w:lineRule="exact"/>
        <w:rPr>
          <w:rFonts w:ascii="Arial" w:cs="Arial" w:eastAsia="Arial" w:hAnsi="Arial"/>
          <w:sz w:val="18"/>
          <w:szCs w:val="18"/>
          <w:color w:val="auto"/>
        </w:rPr>
      </w:pPr>
    </w:p>
    <w:p>
      <w:pPr>
        <w:ind w:left="1560" w:hanging="256"/>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296"/>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issued and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Quorum</w:t>
      </w:r>
      <w:r>
        <w:rPr>
          <w:rFonts w:ascii="Arial" w:cs="Arial" w:eastAsia="Arial" w:hAnsi="Arial"/>
          <w:sz w:val="18"/>
          <w:szCs w:val="18"/>
          <w:color w:val="auto"/>
        </w:rPr>
        <w:t>. A quorum for the transaction of business by the directors shall be set forth in the Bylaws.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of the Corporation; provided, however, that in addition to any vote of the holders of any class or series of capital stock of the Corporation required by law or by this Amended and Restated Certificate (including any Preferred Stock Designation), the affirmative vote of the holders of at least a majority of the voting power of all then issued and outstanding shares of capital stock of the Corporation entitled to vote generally in the election of directors, voting together as a single class, shall be required for the stockholders of the Corporation to adopt, amend, alter or repeal the Bylaws; and provided further, however, that no Bylaws hereafter adopted by the stockholders of the Corporation shall invalidate any prior act of the Board that would have been valid if such Bylaws had not been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 ACTION BY WRITTEN CONSENT</w:t>
      </w:r>
    </w:p>
    <w:p>
      <w:pPr>
        <w:spacing w:after="0" w:line="21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Meetings</w:t>
      </w:r>
      <w:r>
        <w:rPr>
          <w:rFonts w:ascii="Arial" w:cs="Arial" w:eastAsia="Arial" w:hAnsi="Arial"/>
          <w:sz w:val="18"/>
          <w:szCs w:val="18"/>
          <w:color w:val="auto"/>
        </w:rPr>
        <w:t>. Subject to the rights, if any, of the holders of any issued and outstanding series of the Preferred Stock, and to the requirements of applicable law, special meetings of stockholders of the Corporation may be called only by the Chairman of the Board,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may not be called by another person or persons.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296"/>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Section 7.3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Except as may be otherwise provided for or fixed pursuant to this Amended and Restated Certificate (including any Preferred Stock Designation) relating to the rights of the holders of any issued and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of the Corporation other than with respect to the Class B Common Stock with respect to which action may be taken by written consent.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a director violated his or her duty of loyalty to the Corporation or its stockholders, acted in bad faith, knowingly or intentionally violated the law, authorized unlawful payments of dividends, unlawful stock purchases or unlawful redemptions, or derived improper personal benefit from his or her actions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8.2 Indemnification and Advancement of Expenses.</w:t>
      </w:r>
    </w:p>
    <w:p>
      <w:pPr>
        <w:spacing w:after="0" w:line="225" w:lineRule="exact"/>
        <w:rPr>
          <w:sz w:val="20"/>
          <w:szCs w:val="20"/>
          <w:color w:val="auto"/>
        </w:rPr>
      </w:pPr>
    </w:p>
    <w:p>
      <w:pPr>
        <w:jc w:val="both"/>
        <w:ind w:firstLine="1304"/>
        <w:spacing w:after="0" w:line="285" w:lineRule="auto"/>
        <w:tabs>
          <w:tab w:leader="none" w:pos="1537"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1304"/>
        <w:spacing w:after="0" w:line="263" w:lineRule="auto"/>
        <w:tabs>
          <w:tab w:leader="none" w:pos="15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Amended and Restated Certificate, the Bylaws, an agreement, vote of stockholders or disinterested directors, or otherwise.</w:t>
      </w:r>
    </w:p>
    <w:p>
      <w:pPr>
        <w:spacing w:after="0" w:line="183" w:lineRule="exact"/>
        <w:rPr>
          <w:rFonts w:ascii="Arial" w:cs="Arial" w:eastAsia="Arial" w:hAnsi="Arial"/>
          <w:sz w:val="18"/>
          <w:szCs w:val="18"/>
          <w:color w:val="auto"/>
        </w:rPr>
      </w:pPr>
    </w:p>
    <w:p>
      <w:pPr>
        <w:jc w:val="both"/>
        <w:ind w:firstLine="1304"/>
        <w:spacing w:after="0" w:line="293" w:lineRule="auto"/>
        <w:tabs>
          <w:tab w:leader="none" w:pos="1531"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firstLine="1304"/>
        <w:spacing w:after="0" w:line="277" w:lineRule="auto"/>
        <w:tabs>
          <w:tab w:leader="none" w:pos="15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1304"/>
        <w:spacing w:after="0" w:line="259" w:lineRule="auto"/>
        <w:tabs>
          <w:tab w:leader="none" w:pos="15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issued and outstanding shares of the Common Stock.</w:t>
      </w:r>
    </w:p>
    <w:p>
      <w:pPr>
        <w:spacing w:after="0" w:line="186" w:lineRule="exact"/>
        <w:rPr>
          <w:rFonts w:ascii="Arial" w:cs="Arial" w:eastAsia="Arial" w:hAnsi="Arial"/>
          <w:sz w:val="18"/>
          <w:szCs w:val="18"/>
          <w:color w:val="auto"/>
        </w:rPr>
      </w:pPr>
    </w:p>
    <w:p>
      <w:pPr>
        <w:jc w:val="both"/>
        <w:ind w:firstLine="1304"/>
        <w:spacing w:after="0" w:line="269" w:lineRule="auto"/>
        <w:tabs>
          <w:tab w:leader="none" w:pos="1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initially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July 24, 2020, as amended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deposited in a trust account (the “</w:t>
      </w:r>
      <w:r>
        <w:rPr>
          <w:rFonts w:ascii="Arial" w:cs="Arial" w:eastAsia="Arial" w:hAnsi="Arial"/>
          <w:sz w:val="17"/>
          <w:szCs w:val="17"/>
          <w:b w:val="1"/>
          <w:bCs w:val="1"/>
          <w:i w:val="1"/>
          <w:iCs w:val="1"/>
          <w:color w:val="auto"/>
        </w:rPr>
        <w:t>Trust Account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established for the benefit of the Public Stockholders (as defined below) pursuant to a trust agreement described in the Registration Statement. Except for the withdrawal of interest to pay taxes,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24 months from the closing of the Offering and (iii) the redemption of Offering Shares in connection with a vote seeking to amend such provisions of this Amended and Restated Certificate as described in </w:t>
      </w:r>
      <w:r>
        <w:rPr>
          <w:rFonts w:ascii="Arial" w:cs="Arial" w:eastAsia="Arial" w:hAnsi="Arial"/>
          <w:sz w:val="17"/>
          <w:szCs w:val="17"/>
          <w:u w:val="single" w:color="auto"/>
          <w:color w:val="auto"/>
        </w:rPr>
        <w:t>Section 9.7</w:t>
      </w:r>
      <w:r>
        <w:rPr>
          <w:rFonts w:ascii="Arial" w:cs="Arial" w:eastAsia="Arial" w:hAnsi="Arial"/>
          <w:sz w:val="17"/>
          <w:szCs w:val="17"/>
          <w:color w:val="auto"/>
        </w:rPr>
        <w:t>. Holders of shares of Common Stock sold in the Offering (the “</w:t>
      </w:r>
      <w:r>
        <w:rPr>
          <w:rFonts w:ascii="Arial" w:cs="Arial" w:eastAsia="Arial" w:hAnsi="Arial"/>
          <w:sz w:val="17"/>
          <w:szCs w:val="17"/>
          <w:b w:val="1"/>
          <w:bCs w:val="1"/>
          <w:i w:val="1"/>
          <w:i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i w:val="1"/>
          <w:iCs w:val="1"/>
          <w:color w:val="auto"/>
        </w:rPr>
        <w:t>Public</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130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p>
    <w:p>
      <w:pPr>
        <w:spacing w:after="0" w:line="225" w:lineRule="exact"/>
        <w:rPr>
          <w:sz w:val="20"/>
          <w:szCs w:val="20"/>
          <w:color w:val="auto"/>
        </w:rPr>
      </w:pPr>
    </w:p>
    <w:p>
      <w:pPr>
        <w:jc w:val="both"/>
        <w:ind w:firstLine="1304"/>
        <w:spacing w:after="0" w:line="273" w:lineRule="auto"/>
        <w:tabs>
          <w:tab w:leader="none" w:pos="15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b w:val="1"/>
          <w:bCs w:val="1"/>
          <w:i w:val="1"/>
          <w:iCs w:val="1"/>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provided, however, that the Corporation shall not redeem Offering Shares in an amount that would cause the Corporation to have net tangible assets to be less than $5,000,001 (such limitation hereinafter called the “</w:t>
      </w:r>
      <w:r>
        <w:rPr>
          <w:rFonts w:ascii="Arial" w:cs="Arial" w:eastAsia="Arial" w:hAnsi="Arial"/>
          <w:sz w:val="17"/>
          <w:szCs w:val="17"/>
          <w:b w:val="1"/>
          <w:bCs w:val="1"/>
          <w:i w:val="1"/>
          <w:iCs w:val="1"/>
          <w:color w:val="auto"/>
        </w:rPr>
        <w:t>Redemption Limitation’</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7" w:lineRule="exact"/>
        <w:rPr>
          <w:rFonts w:ascii="Arial" w:cs="Arial" w:eastAsia="Arial" w:hAnsi="Arial"/>
          <w:sz w:val="17"/>
          <w:szCs w:val="17"/>
          <w:color w:val="auto"/>
        </w:rPr>
      </w:pPr>
    </w:p>
    <w:p>
      <w:pPr>
        <w:jc w:val="both"/>
        <w:ind w:firstLine="1304"/>
        <w:spacing w:after="0" w:line="284" w:lineRule="auto"/>
        <w:tabs>
          <w:tab w:leader="none" w:pos="15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Corporation offers to redeem the Offering Shares other than in conjunction with a stockholder vote on an initial Business Combination with a proxy solicitation pursuant to Regulation 14A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 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issued and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(x) the aggregate amount on deposit in the Trust Account as of two business days prior to the consummation of the initial Business Combination, including interest not previously released to the Corporation to pay its taxes, by (y) the total number of then issued and outstanding Offering Shares.</w:t>
      </w:r>
    </w:p>
    <w:p>
      <w:pPr>
        <w:spacing w:after="0" w:line="394" w:lineRule="exact"/>
        <w:rPr>
          <w:rFonts w:ascii="Arial" w:cs="Arial" w:eastAsia="Arial" w:hAnsi="Arial"/>
          <w:sz w:val="16"/>
          <w:szCs w:val="16"/>
          <w:color w:val="auto"/>
        </w:rPr>
      </w:pPr>
    </w:p>
    <w:p>
      <w:pPr>
        <w:jc w:val="both"/>
        <w:ind w:firstLine="1304"/>
        <w:spacing w:after="0" w:line="279" w:lineRule="auto"/>
        <w:tabs>
          <w:tab w:leader="none" w:pos="1558"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(as defined under Section 13(d)(3) of the Exchange Act), shall be restricted from seeking Redemption Rights with respect to more than an aggregate of 20% of the Offering Shares without the prior consent of the Corporation.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1304"/>
        <w:spacing w:after="0" w:line="270" w:lineRule="auto"/>
        <w:tabs>
          <w:tab w:leader="none" w:pos="1569"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within 24 months from the closing of the Offering,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interest to pay dissolution expenses), by (B) the total number of then issued and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each case to the Corporation’s obligations under the DGCL to provide for claims of creditors and other requirements of applicable law.</w:t>
      </w:r>
    </w:p>
    <w:p>
      <w:pPr>
        <w:spacing w:after="0" w:line="180" w:lineRule="exact"/>
        <w:rPr>
          <w:rFonts w:ascii="Arial" w:cs="Arial" w:eastAsia="Arial" w:hAnsi="Arial"/>
          <w:sz w:val="17"/>
          <w:szCs w:val="17"/>
          <w:color w:val="auto"/>
        </w:rPr>
      </w:pPr>
    </w:p>
    <w:p>
      <w:pPr>
        <w:jc w:val="both"/>
        <w:ind w:firstLine="1304"/>
        <w:spacing w:after="0" w:line="259" w:lineRule="auto"/>
        <w:tabs>
          <w:tab w:leader="none" w:pos="15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right="20" w:firstLine="1304"/>
        <w:spacing w:after="0" w:line="277" w:lineRule="auto"/>
        <w:tabs>
          <w:tab w:leader="none" w:pos="15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If the Corporation conducts a tender offer pursuant to </w:t>
      </w:r>
      <w:r>
        <w:rPr>
          <w:rFonts w:ascii="Arial" w:cs="Arial" w:eastAsia="Arial" w:hAnsi="Arial"/>
          <w:sz w:val="18"/>
          <w:szCs w:val="18"/>
          <w:u w:val="single" w:color="auto"/>
          <w:color w:val="auto"/>
        </w:rPr>
        <w:t>Section 9.2(b)</w:t>
      </w:r>
      <w:r>
        <w:rPr>
          <w:rFonts w:ascii="Arial" w:cs="Arial" w:eastAsia="Arial" w:hAnsi="Arial"/>
          <w:sz w:val="18"/>
          <w:szCs w:val="18"/>
          <w:color w:val="auto"/>
        </w:rPr>
        <w:t>, the Corporation shall consummate the proposed initial Business Combination only if the Redemption Limitation is not exceeded.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p>
    <w:p>
      <w:pPr>
        <w:spacing w:after="0" w:line="225" w:lineRule="exact"/>
        <w:rPr>
          <w:sz w:val="20"/>
          <w:szCs w:val="20"/>
          <w:color w:val="auto"/>
        </w:rPr>
      </w:pPr>
    </w:p>
    <w:p>
      <w:pPr>
        <w:jc w:val="both"/>
        <w:ind w:firstLine="1304"/>
        <w:spacing w:after="0" w:line="263" w:lineRule="auto"/>
        <w:tabs>
          <w:tab w:leader="none" w:pos="1541"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5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5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(and any withdrawal of any exercise of such rights) shall be conditioned on such Public Stockholder following the specific procedures for redemptions (or withdrawals, as applicable)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as a class with the Class A Common Stock on any initial Business Combination, on any pre-Business Combination activity or on an amendment to this Amended and Restated Certificate to (i) extend the time the Corporation has to consummate a Business Combination beyond 24 months from the closing of the Offering or (ii) amend any provisions of this </w:t>
      </w:r>
      <w:r>
        <w:rPr>
          <w:rFonts w:ascii="Arial" w:cs="Arial" w:eastAsia="Arial" w:hAnsi="Arial"/>
          <w:sz w:val="18"/>
          <w:szCs w:val="18"/>
          <w:i w:val="1"/>
          <w:iCs w:val="1"/>
          <w:color w:val="auto"/>
        </w:rPr>
        <w:t>Article IX.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1296"/>
        <w:spacing w:after="0" w:line="279"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obtain an opinion from an independent accounting firm or an independent investment banking firm that is a member of the Financial Industry Regulatory Authority that such Business Combination is fair to the Corporation from a financial point of view.</w:t>
      </w:r>
    </w:p>
    <w:p>
      <w:pPr>
        <w:spacing w:after="0" w:line="17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any amendment is made to this Amended and Restated Certificate (a) to modify the substance or timing of the Corporation’s obligation to redeem 100% of the Offering Shares if the Corporation has not consummated an initial Business Combination within 24 months from the date of the closing of the Offering or (b) with respect to any other material provisions of this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issued and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17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Minimum Value of Initial Business Combination</w:t>
      </w:r>
      <w:r>
        <w:rPr>
          <w:rFonts w:ascii="Arial" w:cs="Arial" w:eastAsia="Arial" w:hAnsi="Arial"/>
          <w:sz w:val="18"/>
          <w:szCs w:val="18"/>
          <w:color w:val="auto"/>
        </w:rPr>
        <w:t>. The Corporation’s initial Business Combination must be comprised of one or more Business Combinations having an aggregate fair market value of at least 80% of the value of the assets held in the Trust Account (excluding any deferred underwriting commissions and taxes payable on the interest earned on the Trust Account) at the time the Corporation signs a definitive agreement in connection with the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Amended and Restated Certificate (including any Preferred Stock Designation), and other provisions authorized by the laws of the State of Delaware at the time in force that may be added or inserted, in the manner now or hereafter prescribed by this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Amended and Restated Certificate in its present form or as hereafter amended are granted subject to the right reserved in this </w:t>
      </w:r>
      <w:r>
        <w:rPr>
          <w:rFonts w:ascii="Arial" w:cs="Arial" w:eastAsia="Arial" w:hAnsi="Arial"/>
          <w:sz w:val="16"/>
          <w:szCs w:val="16"/>
          <w:i w:val="1"/>
          <w:iCs w:val="1"/>
          <w:color w:val="auto"/>
        </w:rPr>
        <w:t>Article XI;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Amended and Restated Certificate may be amended only as provided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w:t>
      </w:r>
    </w:p>
    <w:p>
      <w:pPr>
        <w:spacing w:after="0" w:line="211"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for, as to each of</w:t>
      </w:r>
    </w:p>
    <w:p>
      <w:pPr>
        <w:spacing w:after="0" w:line="2" w:lineRule="exact"/>
        <w:rPr>
          <w:sz w:val="20"/>
          <w:szCs w:val="20"/>
          <w:color w:val="auto"/>
        </w:rPr>
      </w:pPr>
    </w:p>
    <w:p>
      <w:pPr>
        <w:jc w:val="both"/>
        <w:ind w:firstLine="8"/>
        <w:spacing w:after="0" w:line="268" w:lineRule="auto"/>
        <w:tabs>
          <w:tab w:leader="none" w:pos="21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U.S. federal district court for the District of Delaware shall have concurrent jurisdiction. Notwithstanding the foregoing,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will not apply to suits brought to enforce a duty or liability created by the Exchange Act or any other claim for which the U.S. federal district courts have exclusive jurisdiction. Unless the Corporation consents in writing to the selection of an alternative forum, the U.S. federal district courts shall be the exclusive forum for the resolution of any complaint asserting a cause of action arising under the Securities Act of 1933, as amended, against the Corporation or any director, officer, other employee or agent of the Corporation. Any person or entity purchasing or otherwise acquiring any interest in any security of the Corporation shall be deemed to have notice of and consented to the provisions of this </w:t>
      </w:r>
      <w:r>
        <w:rPr>
          <w:rFonts w:ascii="Arial" w:cs="Arial" w:eastAsia="Arial" w:hAnsi="Arial"/>
          <w:sz w:val="17"/>
          <w:szCs w:val="17"/>
          <w:u w:val="single" w:color="auto"/>
          <w:color w:val="auto"/>
        </w:rPr>
        <w:t>Section 12.1</w:t>
      </w:r>
      <w:r>
        <w:rPr>
          <w:rFonts w:ascii="Arial" w:cs="Arial" w:eastAsia="Arial" w:hAnsi="Arial"/>
          <w:sz w:val="17"/>
          <w:szCs w:val="17"/>
          <w:color w:val="auto"/>
        </w:rPr>
        <w:t>.</w:t>
      </w:r>
    </w:p>
    <w:p>
      <w:pPr>
        <w:spacing w:after="0" w:line="179"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xml:space="preserve">. If any action the subject matter of which is within the scope of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is filed in a court other than a court located within the State of Delaware (a “</w:t>
      </w:r>
      <w:r>
        <w:rPr>
          <w:rFonts w:ascii="Arial" w:cs="Arial" w:eastAsia="Arial" w:hAnsi="Arial"/>
          <w:sz w:val="18"/>
          <w:szCs w:val="18"/>
          <w:b w:val="1"/>
          <w:bCs w:val="1"/>
          <w:i w:val="1"/>
          <w:iCs w:val="1"/>
          <w:color w:val="auto"/>
        </w:rPr>
        <w:t>Foreign Action</w:t>
      </w:r>
      <w:r>
        <w:rPr>
          <w:rFonts w:ascii="Arial" w:cs="Arial" w:eastAsia="Arial" w:hAnsi="Arial"/>
          <w:sz w:val="18"/>
          <w:szCs w:val="18"/>
          <w:color w:val="auto"/>
        </w:rPr>
        <w:t xml:space="preserve">”) in the name of any stockholder, such stockholder shall be deemed to have consented to (i) the personal jurisdiction of the state and U.S. federal district courts located within the State of Delaware in connection with any action brought in any such court to enforce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immediately above (an “</w:t>
      </w:r>
      <w:r>
        <w:rPr>
          <w:rFonts w:ascii="Arial" w:cs="Arial" w:eastAsia="Arial" w:hAnsi="Arial"/>
          <w:sz w:val="18"/>
          <w:szCs w:val="18"/>
          <w:b w:val="1"/>
          <w:bCs w:val="1"/>
          <w:i w:val="1"/>
          <w:iCs w:val="1"/>
          <w:color w:val="auto"/>
        </w:rPr>
        <w:t>FSC Enforcement Action</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and (ii) having service of process made upon such stockholder in any such FSC Enforcement Action by service upon such stockholder’s counsel in the Foreign Action as agent for such stockholder.</w:t>
      </w:r>
    </w:p>
    <w:p>
      <w:pPr>
        <w:spacing w:after="0" w:line="192"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648"/>
        <w:spacing w:after="0" w:line="277" w:lineRule="auto"/>
        <w:rPr>
          <w:sz w:val="20"/>
          <w:szCs w:val="20"/>
          <w:color w:val="auto"/>
        </w:rPr>
      </w:pPr>
      <w:r>
        <w:rPr>
          <w:rFonts w:ascii="Arial" w:cs="Arial" w:eastAsia="Arial" w:hAnsi="Arial"/>
          <w:sz w:val="18"/>
          <w:szCs w:val="18"/>
          <w:color w:val="auto"/>
        </w:rPr>
        <w:t>IN WITNESS WHEREOF, FS Development Corp. has caused this Amended and Restated Certificate to be duly executed and acknowledged in its name and on its behalf by an authorized officer as of the date first set forth above.</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Investment Management Trust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August 11, 2020 by and between FS Development Corp.,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Continental Stock Transfer &amp; Trust Company, a New York corporation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the Company’s registration statement on Form S-1, File No. 333-240098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for the initial public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shares of the Company’s Class A common stock, par value $0.0001 per share ( “</w:t>
      </w:r>
      <w:r>
        <w:rPr>
          <w:rFonts w:ascii="Arial" w:cs="Arial" w:eastAsia="Arial" w:hAnsi="Arial"/>
          <w:sz w:val="17"/>
          <w:szCs w:val="17"/>
          <w:b w:val="1"/>
          <w:bCs w:val="1"/>
          <w:i w:val="1"/>
          <w:i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has been declared effective as of the date hereof by the U.S. Securities and Exchange Commission;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entered into an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with Jefferies LLC, as representative of the several underwriters named therein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and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WHEREAS, as described in the Prospectus, $105,000,000 of the net proceeds of the Offering and sale of the Private Placement Shares (as defined in the Underwriting Agreement) (or $120,750,000 if the Underwriters’ over-allotment option is exercised in full) will be, after deducting $2,100,000 in underwriting discounts and commissions payable upon the closing of this offering (or $2,415,000 if the Underwriters’ over-allotment option is exercised in full) and an aggregate of $2.0 million to pay fees and expenses in connection with the closing of this offering and for working capital following the closing of this offering, delivered to the Trustee to be deposited and held in a segregated trust account located at all times in the United States (the “</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Account</w:t>
      </w:r>
      <w:r>
        <w:rPr>
          <w:rFonts w:ascii="Arial" w:cs="Arial" w:eastAsia="Arial" w:hAnsi="Arial"/>
          <w:sz w:val="18"/>
          <w:szCs w:val="18"/>
          <w:color w:val="auto"/>
        </w:rPr>
        <w:t>”) for the benefit of the Company and the holders of the Common Stock issued in the Offering as hereinafter provided (the amount to be delivered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Trustee (and any interest subsequently earned thereon) is referred to herein as the “</w:t>
      </w:r>
      <w:r>
        <w:rPr>
          <w:rFonts w:ascii="Arial" w:cs="Arial" w:eastAsia="Arial" w:hAnsi="Arial"/>
          <w:sz w:val="18"/>
          <w:szCs w:val="18"/>
          <w:b w:val="1"/>
          <w:bCs w:val="1"/>
          <w:i w:val="1"/>
          <w:iCs w:val="1"/>
          <w:color w:val="auto"/>
        </w:rPr>
        <w:t>Property</w:t>
      </w:r>
      <w:r>
        <w:rPr>
          <w:rFonts w:ascii="Arial" w:cs="Arial" w:eastAsia="Arial" w:hAnsi="Arial"/>
          <w:sz w:val="18"/>
          <w:szCs w:val="18"/>
          <w:i w:val="1"/>
          <w:iCs w:val="1"/>
          <w:color w:val="auto"/>
        </w:rPr>
        <w:t>,”</w:t>
      </w:r>
      <w:r>
        <w:rPr>
          <w:rFonts w:ascii="Arial" w:cs="Arial" w:eastAsia="Arial" w:hAnsi="Arial"/>
          <w:sz w:val="18"/>
          <w:szCs w:val="18"/>
          <w:color w:val="auto"/>
        </w:rPr>
        <w:t xml:space="preserve"> the stockholders for whose benefit the Trustee shall hold the Property will be referred to as the “</w:t>
      </w:r>
      <w:r>
        <w:rPr>
          <w:rFonts w:ascii="Arial" w:cs="Arial" w:eastAsia="Arial" w:hAnsi="Arial"/>
          <w:sz w:val="18"/>
          <w:szCs w:val="18"/>
          <w:b w:val="1"/>
          <w:bCs w:val="1"/>
          <w:i w:val="1"/>
          <w:iCs w:val="1"/>
          <w:color w:val="auto"/>
        </w:rPr>
        <w:t>Public Stockholders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Public Stockholders and the Company will be referred to together as the “</w:t>
      </w:r>
      <w:r>
        <w:rPr>
          <w:rFonts w:ascii="Arial" w:cs="Arial" w:eastAsia="Arial" w:hAnsi="Arial"/>
          <w:sz w:val="18"/>
          <w:szCs w:val="18"/>
          <w:b w:val="1"/>
          <w:bCs w:val="1"/>
          <w:i w:val="1"/>
          <w:iCs w:val="1"/>
          <w:color w:val="auto"/>
        </w:rPr>
        <w:t>Beneficiaries</w:t>
      </w:r>
      <w:r>
        <w:rPr>
          <w:rFonts w:ascii="Arial" w:cs="Arial" w:eastAsia="Arial" w:hAnsi="Arial"/>
          <w:sz w:val="18"/>
          <w:szCs w:val="18"/>
          <w:color w:val="auto"/>
        </w:rPr>
        <w:t>”); and</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pursuant to the Underwriting Agreement, a portion of the Property equal to $3,675,000, or $4,226,250 if the Underwriters’ over-allotment option is exercised in full, is attributable to deferred underwriting discounts and commissions that will be payable by the Company to the Underwriters upon and concurrently with the consummation of the Business Combination (as defined below) (the “</w:t>
      </w:r>
      <w:r>
        <w:rPr>
          <w:rFonts w:ascii="Arial" w:cs="Arial" w:eastAsia="Arial" w:hAnsi="Arial"/>
          <w:sz w:val="17"/>
          <w:szCs w:val="17"/>
          <w:b w:val="1"/>
          <w:bCs w:val="1"/>
          <w:i w:val="1"/>
          <w:iCs w:val="1"/>
          <w:color w:val="auto"/>
        </w:rPr>
        <w:t>Deferred Discount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w:t>
      </w:r>
    </w:p>
    <w:p>
      <w:pPr>
        <w:spacing w:after="0" w:line="225"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firstLine="656"/>
        <w:spacing w:after="0" w:line="311" w:lineRule="auto"/>
        <w:tabs>
          <w:tab w:leader="none" w:pos="896" w:val="left"/>
        </w:tabs>
        <w:numPr>
          <w:ilvl w:val="1"/>
          <w:numId w:val="53"/>
        </w:numPr>
        <w:rPr>
          <w:rFonts w:ascii="Arial" w:cs="Arial" w:eastAsia="Arial" w:hAnsi="Arial"/>
          <w:sz w:val="16"/>
          <w:szCs w:val="16"/>
          <w:color w:val="auto"/>
        </w:rPr>
      </w:pPr>
      <w:r>
        <w:rPr>
          <w:rFonts w:ascii="Arial" w:cs="Arial" w:eastAsia="Arial" w:hAnsi="Arial"/>
          <w:sz w:val="16"/>
          <w:szCs w:val="16"/>
          <w:color w:val="auto"/>
        </w:rPr>
        <w:t>Hold the Property in trust for the Beneficiaries in accordance with the terms of this Agreement in the Trust Account established by the Trustee in the United States at J.P. Morgan Chase Bank, N.A. (or at another U.S. chartered commercial bank with consolidated assets of $100 billion or more) in the United States, maintained by the Trustee and at a brokerage institution selected by the Trustee that is reasonably satisfactory to the Company;</w:t>
      </w:r>
    </w:p>
    <w:p>
      <w:pPr>
        <w:spacing w:after="0" w:line="148" w:lineRule="exact"/>
        <w:rPr>
          <w:rFonts w:ascii="Arial" w:cs="Arial" w:eastAsia="Arial" w:hAnsi="Arial"/>
          <w:sz w:val="16"/>
          <w:szCs w:val="16"/>
          <w:color w:val="auto"/>
        </w:rPr>
      </w:pPr>
    </w:p>
    <w:p>
      <w:pPr>
        <w:ind w:left="920" w:hanging="264"/>
        <w:spacing w:after="0"/>
        <w:tabs>
          <w:tab w:leader="none" w:pos="9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jc w:val="both"/>
        <w:ind w:firstLine="656"/>
        <w:spacing w:after="0" w:line="255" w:lineRule="auto"/>
        <w:tabs>
          <w:tab w:leader="none" w:pos="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a timely manner, upon the written instruction of the Company, invest and reinvest the Property solely in United States government securities within the meaning of Section 2(a)(16) of the Investment Company Act of 1940, as amended, having a maturity of 185 days or less, or in money market funds meeting the conditions of paragraphs (d)(1), (d)(2), (d)(3) and (d)(4) of Rule 2a-7 promulgated under the Investment Company Act of 1940, as amended (or any successor rule), which invest only in direct U.S. government treasury obligations, as determined by the Company; it being understood that the Trust Account will earn no interest while account funds are uninvested awaiting the Company’s instructions hereunder and the Trustee may earn bank credits or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920" w:hanging="264"/>
        <w:spacing w:after="0"/>
        <w:tabs>
          <w:tab w:leader="none" w:pos="9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Collect and receive, when due, all interest or other income arising from the Property, which shall become part of the “Property,” as such term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used herein;</w:t>
      </w:r>
    </w:p>
    <w:p>
      <w:pPr>
        <w:spacing w:after="0" w:line="210" w:lineRule="exact"/>
        <w:rPr>
          <w:rFonts w:ascii="Arial" w:cs="Arial" w:eastAsia="Arial" w:hAnsi="Arial"/>
          <w:sz w:val="16"/>
          <w:szCs w:val="16"/>
          <w:color w:val="auto"/>
        </w:rPr>
      </w:pPr>
    </w:p>
    <w:p>
      <w:pPr>
        <w:ind w:firstLine="656"/>
        <w:spacing w:after="0" w:line="277" w:lineRule="auto"/>
        <w:tabs>
          <w:tab w:leader="none" w:pos="9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Promptly notify the Company and Jefferies LLC of all communications received by the Trustee with respect to any Property requiring action by the Company;</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(or its authorized agents) in connection with the Company’s preparation of the tax returns relating to assets held in the Trust Account;</w:t>
      </w:r>
    </w:p>
    <w:p>
      <w:pPr>
        <w:spacing w:after="0" w:line="170" w:lineRule="exact"/>
        <w:rPr>
          <w:rFonts w:ascii="Arial" w:cs="Arial" w:eastAsia="Arial" w:hAnsi="Arial"/>
          <w:sz w:val="18"/>
          <w:szCs w:val="18"/>
          <w:color w:val="auto"/>
        </w:rPr>
      </w:pPr>
    </w:p>
    <w:p>
      <w:pPr>
        <w:ind w:firstLine="656"/>
        <w:spacing w:after="0" w:line="277" w:lineRule="auto"/>
        <w:tabs>
          <w:tab w:leader="none" w:pos="903"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20" w:firstLine="656"/>
        <w:spacing w:after="0" w:line="277" w:lineRule="auto"/>
        <w:tabs>
          <w:tab w:leader="none" w:pos="9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w:t>
      </w:r>
    </w:p>
    <w:p>
      <w:pPr>
        <w:spacing w:after="0" w:line="170" w:lineRule="exact"/>
        <w:rPr>
          <w:rFonts w:ascii="Arial" w:cs="Arial" w:eastAsia="Arial" w:hAnsi="Arial"/>
          <w:sz w:val="18"/>
          <w:szCs w:val="18"/>
          <w:color w:val="auto"/>
        </w:rPr>
      </w:pPr>
    </w:p>
    <w:p>
      <w:pPr>
        <w:jc w:val="both"/>
        <w:ind w:firstLine="656"/>
        <w:spacing w:after="0" w:line="269" w:lineRule="auto"/>
        <w:tabs>
          <w:tab w:leader="none" w:pos="866"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Commence liquidation of the Trust Account only after and promptly after (x) receipt of, and only in accordance with, the terms of a letter from the Company (“</w:t>
      </w:r>
      <w:r>
        <w:rPr>
          <w:rFonts w:ascii="Arial" w:cs="Arial" w:eastAsia="Arial" w:hAnsi="Arial"/>
          <w:sz w:val="17"/>
          <w:szCs w:val="17"/>
          <w:b w:val="1"/>
          <w:bCs w:val="1"/>
          <w:i w:val="1"/>
          <w:iCs w:val="1"/>
          <w:color w:val="auto"/>
        </w:rPr>
        <w:t>Termination Letter</w:t>
      </w:r>
      <w:r>
        <w:rPr>
          <w:rFonts w:ascii="Arial" w:cs="Arial" w:eastAsia="Arial" w:hAnsi="Arial"/>
          <w:sz w:val="17"/>
          <w:szCs w:val="17"/>
          <w:color w:val="auto"/>
        </w:rPr>
        <w:t xml:space="preserve">”) in a form substantially similar to that attached hereto as either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B</w:t>
      </w:r>
      <w:r>
        <w:rPr>
          <w:rFonts w:ascii="Arial" w:cs="Arial" w:eastAsia="Arial" w:hAnsi="Arial"/>
          <w:sz w:val="17"/>
          <w:szCs w:val="17"/>
          <w:color w:val="auto"/>
        </w:rPr>
        <w:t>, as applicable, signed on behalf of the Company by its Chief Executive Officer, Chief Financial Officer, President, Executive Vice President, Vice President, Secretary or Chairman of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or other authorized officer of the Company, and complete the liquidation of the Trust Account and distribute the Property in the Trust Account, including interest earned on the funds held in the Trust Account and not previously released to the Company to pay its taxes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stockholders in accordance with the Company’s amended and restated certificate of incorporation, as amended from time to time,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the Property in the Trust Account, including interest earned on the funds held in the Trust Account and not previously released to the Company to pay its taxes (less up to $100,000 of interest to pay dissolution expenses), shall be distributed to the Public Stockholders of record as of such date;</w:t>
      </w:r>
    </w:p>
    <w:p>
      <w:pPr>
        <w:spacing w:after="0" w:line="178" w:lineRule="exact"/>
        <w:rPr>
          <w:rFonts w:ascii="Arial" w:cs="Arial" w:eastAsia="Arial" w:hAnsi="Arial"/>
          <w:sz w:val="17"/>
          <w:szCs w:val="17"/>
          <w:color w:val="auto"/>
        </w:rPr>
      </w:pPr>
    </w:p>
    <w:p>
      <w:pPr>
        <w:jc w:val="both"/>
        <w:ind w:firstLine="656"/>
        <w:spacing w:after="0" w:line="269" w:lineRule="auto"/>
        <w:tabs>
          <w:tab w:leader="none" w:pos="886"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Upon written request from the Company, which may be given from time to time in a form substantially similar to that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b w:val="1"/>
          <w:bCs w:val="1"/>
          <w:i w:val="1"/>
          <w:iCs w:val="1"/>
          <w:color w:val="auto"/>
        </w:rPr>
        <w:t>Tax Payment Withdrawal Instruction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per share initially deposited in the Trust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there is not sufficient cash in the Trust Account to pay such tax obligation, the Trustee shall liquidate such assets held in the Trust Account as shall be designated by the Company in writing to make such distribution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56"/>
        <w:spacing w:after="0" w:line="290" w:lineRule="auto"/>
        <w:tabs>
          <w:tab w:leader="none" w:pos="925"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Upon written request from the Company, which may be given from time to time in a form substantially similar to that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 “</w:t>
      </w:r>
      <w:r>
        <w:rPr>
          <w:rFonts w:ascii="Arial" w:cs="Arial" w:eastAsia="Arial" w:hAnsi="Arial"/>
          <w:sz w:val="16"/>
          <w:szCs w:val="16"/>
          <w:b w:val="1"/>
          <w:bCs w:val="1"/>
          <w:i w:val="1"/>
          <w:iCs w:val="1"/>
          <w:color w:val="auto"/>
        </w:rPr>
        <w:t>Stockholder Redemption Withdrawal Instruction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distribute on behalf of the Company the amount requested by the Company to be used to redeem shares of Common Stock from Public Stockholders properly submitted in connection with a stockholder vote to approve an amendment to the Company’s amended and restated certificate of incorporation to modify the substance or timing of the Company’s obligation to redeem 100% of shares of Common Stock sold in the Offering (the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b w:val="1"/>
          <w:bCs w:val="1"/>
          <w:i w:val="1"/>
          <w:iCs w:val="1"/>
          <w:color w:val="auto"/>
        </w:rPr>
        <w:t>public shares</w:t>
      </w:r>
      <w:r>
        <w:rPr>
          <w:rFonts w:ascii="Arial" w:cs="Arial" w:eastAsia="Arial" w:hAnsi="Arial"/>
          <w:sz w:val="16"/>
          <w:szCs w:val="16"/>
          <w:color w:val="auto"/>
        </w:rPr>
        <w:t>”)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 and</w:t>
      </w:r>
    </w:p>
    <w:p>
      <w:pPr>
        <w:spacing w:after="0" w:line="165" w:lineRule="exact"/>
        <w:rPr>
          <w:rFonts w:ascii="Arial" w:cs="Arial" w:eastAsia="Arial" w:hAnsi="Arial"/>
          <w:sz w:val="16"/>
          <w:szCs w:val="16"/>
          <w:color w:val="auto"/>
        </w:rPr>
      </w:pPr>
    </w:p>
    <w:p>
      <w:pPr>
        <w:ind w:left="880" w:hanging="224"/>
        <w:spacing w:after="0"/>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Not make any withdrawals or distributions from the Trust Account other than 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above.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13"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Give all instructions to the Trustee hereunder in writing, signed by the Company’s Chairman of the Board, Chief Executive Officer, Chief Financial Officer, President, Executive Vice President, Vice President or Secretary. In addition, except with respect to its duties under </w:t>
      </w:r>
      <w:r>
        <w:rPr>
          <w:rFonts w:ascii="Arial" w:cs="Arial" w:eastAsia="Arial" w:hAnsi="Arial"/>
          <w:sz w:val="18"/>
          <w:szCs w:val="18"/>
          <w:u w:val="single" w:color="auto"/>
          <w:color w:val="auto"/>
        </w:rPr>
        <w:t>Sections 1(i)</w:t>
      </w:r>
      <w:r>
        <w:rPr>
          <w:rFonts w:ascii="Arial" w:cs="Arial" w:eastAsia="Arial" w:hAnsi="Arial"/>
          <w:sz w:val="18"/>
          <w:szCs w:val="18"/>
          <w:color w:val="auto"/>
        </w:rPr>
        <w:t xml:space="preserve">, </w:t>
      </w:r>
      <w:r>
        <w:rPr>
          <w:rFonts w:ascii="Arial" w:cs="Arial" w:eastAsia="Arial" w:hAnsi="Arial"/>
          <w:sz w:val="18"/>
          <w:szCs w:val="18"/>
          <w:u w:val="single" w:color="auto"/>
          <w:color w:val="auto"/>
        </w:rPr>
        <w:t>1(j)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1(k)</w:t>
      </w:r>
      <w:r>
        <w:rPr>
          <w:rFonts w:ascii="Arial" w:cs="Arial" w:eastAsia="Arial" w:hAnsi="Arial"/>
          <w:sz w:val="18"/>
          <w:szCs w:val="18"/>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provided that the Company shall promptly confirm such instructions in writing;</w:t>
      </w:r>
    </w:p>
    <w:p>
      <w:pPr>
        <w:spacing w:after="0" w:line="187" w:lineRule="exact"/>
        <w:rPr>
          <w:rFonts w:ascii="Arial" w:cs="Arial" w:eastAsia="Arial" w:hAnsi="Arial"/>
          <w:sz w:val="18"/>
          <w:szCs w:val="18"/>
          <w:color w:val="auto"/>
        </w:rPr>
      </w:pPr>
    </w:p>
    <w:p>
      <w:pPr>
        <w:jc w:val="both"/>
        <w:ind w:firstLine="656"/>
        <w:spacing w:after="0" w:line="288" w:lineRule="auto"/>
        <w:tabs>
          <w:tab w:leader="none" w:pos="907"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 hold the Trustee harmless and indemnify the Trustee from and against any and all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16"/>
          <w:szCs w:val="16"/>
          <w:u w:val="single" w:color="auto"/>
          <w:color w:val="auto"/>
        </w:rPr>
        <w:t>Section 2(b)</w:t>
      </w:r>
      <w:r>
        <w:rPr>
          <w:rFonts w:ascii="Arial" w:cs="Arial" w:eastAsia="Arial" w:hAnsi="Arial"/>
          <w:sz w:val="16"/>
          <w:szCs w:val="16"/>
          <w:color w:val="auto"/>
        </w:rPr>
        <w:t>, it shall notify the Company in writing of such claim (hereinafter referred to as the “</w:t>
      </w:r>
      <w:r>
        <w:rPr>
          <w:rFonts w:ascii="Arial" w:cs="Arial" w:eastAsia="Arial" w:hAnsi="Arial"/>
          <w:sz w:val="16"/>
          <w:szCs w:val="16"/>
          <w:b w:val="1"/>
          <w:bCs w:val="1"/>
          <w:i w:val="1"/>
          <w:iCs w:val="1"/>
          <w:color w:val="auto"/>
        </w:rPr>
        <w:t>Indemnified Claim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Trustee shall have the right to conduct and manage the defense against such Indemnified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168" w:lineRule="exact"/>
        <w:rPr>
          <w:rFonts w:ascii="Arial" w:cs="Arial" w:eastAsia="Arial" w:hAnsi="Arial"/>
          <w:sz w:val="16"/>
          <w:szCs w:val="16"/>
          <w:color w:val="auto"/>
        </w:rPr>
      </w:pPr>
    </w:p>
    <w:p>
      <w:pPr>
        <w:jc w:val="both"/>
        <w:ind w:firstLine="656"/>
        <w:spacing w:after="0" w:line="275" w:lineRule="auto"/>
        <w:tabs>
          <w:tab w:leader="none" w:pos="927" w:val="left"/>
        </w:tabs>
        <w:numPr>
          <w:ilvl w:val="1"/>
          <w:numId w:val="56"/>
        </w:numPr>
        <w:rPr>
          <w:rFonts w:ascii="Arial" w:cs="Arial" w:eastAsia="Arial" w:hAnsi="Arial"/>
          <w:sz w:val="17"/>
          <w:szCs w:val="17"/>
          <w:color w:val="auto"/>
        </w:rPr>
      </w:pPr>
      <w:r>
        <w:rPr>
          <w:rFonts w:ascii="Arial" w:cs="Arial" w:eastAsia="Arial" w:hAnsi="Arial"/>
          <w:sz w:val="17"/>
          <w:szCs w:val="17"/>
          <w:color w:val="auto"/>
        </w:rPr>
        <w:t xml:space="preserve">Pay the Trustee the fees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7"/>
          <w:szCs w:val="17"/>
          <w:u w:val="single" w:color="auto"/>
          <w:color w:val="auto"/>
        </w:rPr>
        <w:t>Sections 1(i)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1(j)</w:t>
      </w:r>
      <w:r>
        <w:rPr>
          <w:rFonts w:ascii="Arial" w:cs="Arial" w:eastAsia="Arial" w:hAnsi="Arial"/>
          <w:sz w:val="17"/>
          <w:szCs w:val="17"/>
          <w:color w:val="auto"/>
        </w:rPr>
        <w:t xml:space="preserve"> hereof. The Company shall pay the Trustee the initial acceptance fee and the first annual administration fee at the consummation of the Offering. The Company shall not be responsible for any other fees or charges of the Trustee except as set forth in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Schedule A and as may be provided in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56"/>
        <w:spacing w:after="0" w:line="259" w:lineRule="auto"/>
        <w:tabs>
          <w:tab w:leader="none" w:pos="92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connection with any vote of the Company’s stockholders regarding a merger, capital stock exchange, asset acquisition, stock purchase, reorganization or similar business combination involving the Company and one or more businesses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provide to the Trustee an affidavit or certificate of the inspector of elections for the stockholder meeting verifying the vote of such stockholders regarding such Business Combination;</w:t>
      </w:r>
    </w:p>
    <w:p>
      <w:pPr>
        <w:spacing w:after="0" w:line="186" w:lineRule="exact"/>
        <w:rPr>
          <w:rFonts w:ascii="Arial" w:cs="Arial" w:eastAsia="Arial" w:hAnsi="Arial"/>
          <w:sz w:val="18"/>
          <w:szCs w:val="18"/>
          <w:color w:val="auto"/>
        </w:rPr>
      </w:pPr>
    </w:p>
    <w:p>
      <w:pPr>
        <w:ind w:firstLine="656"/>
        <w:spacing w:after="0" w:line="277" w:lineRule="auto"/>
        <w:tabs>
          <w:tab w:leader="none" w:pos="898" w:val="left"/>
        </w:tabs>
        <w:numPr>
          <w:ilvl w:val="1"/>
          <w:numId w:val="57"/>
        </w:numPr>
        <w:rPr>
          <w:rFonts w:ascii="Arial" w:cs="Arial" w:eastAsia="Arial" w:hAnsi="Arial"/>
          <w:sz w:val="18"/>
          <w:szCs w:val="18"/>
          <w:color w:val="auto"/>
        </w:rPr>
      </w:pPr>
      <w:r>
        <w:rPr>
          <w:rFonts w:ascii="Arial" w:cs="Arial" w:eastAsia="Arial" w:hAnsi="Arial"/>
          <w:sz w:val="18"/>
          <w:szCs w:val="18"/>
          <w:color w:val="auto"/>
        </w:rPr>
        <w:t>Provide Jefferies LLC with a copy of any Termination Letter(s) and/or any other correspondence that is sent to the Trustee with respect to any proposed withdrawal from the Trust Account promptly after it issues the same;</w:t>
      </w:r>
    </w:p>
    <w:p>
      <w:pPr>
        <w:spacing w:after="0" w:line="170" w:lineRule="exact"/>
        <w:rPr>
          <w:rFonts w:ascii="Arial" w:cs="Arial" w:eastAsia="Arial" w:hAnsi="Arial"/>
          <w:sz w:val="18"/>
          <w:szCs w:val="18"/>
          <w:color w:val="auto"/>
        </w:rPr>
      </w:pPr>
    </w:p>
    <w:p>
      <w:pPr>
        <w:jc w:val="both"/>
        <w:ind w:firstLine="656"/>
        <w:spacing w:after="0" w:line="286" w:lineRule="auto"/>
        <w:tabs>
          <w:tab w:leader="none" w:pos="880" w:val="left"/>
        </w:tabs>
        <w:numPr>
          <w:ilvl w:val="1"/>
          <w:numId w:val="57"/>
        </w:numPr>
        <w:rPr>
          <w:rFonts w:ascii="Arial" w:cs="Arial" w:eastAsia="Arial" w:hAnsi="Arial"/>
          <w:sz w:val="17"/>
          <w:szCs w:val="17"/>
          <w:color w:val="auto"/>
        </w:rPr>
      </w:pPr>
      <w:r>
        <w:rPr>
          <w:rFonts w:ascii="Arial" w:cs="Arial" w:eastAsia="Arial" w:hAnsi="Arial"/>
          <w:sz w:val="17"/>
          <w:szCs w:val="17"/>
          <w:color w:val="auto"/>
        </w:rPr>
        <w:t xml:space="preserve">Unless otherwise agreed between the Company and the Underwriters, ensure that any Instruction Letter (as defined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delivered in connection with a Termination Letter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expressly provides that the Deferred Discount is paid directly to the account or accounts directed by Jefferies LLC prior to any transfer of the funds held in the Trust Account to the Company or any other person;</w:t>
      </w:r>
    </w:p>
    <w:p>
      <w:pPr>
        <w:spacing w:after="0" w:line="165" w:lineRule="exact"/>
        <w:rPr>
          <w:rFonts w:ascii="Arial" w:cs="Arial" w:eastAsia="Arial" w:hAnsi="Arial"/>
          <w:sz w:val="17"/>
          <w:szCs w:val="17"/>
          <w:color w:val="auto"/>
        </w:rPr>
      </w:pPr>
    </w:p>
    <w:p>
      <w:pPr>
        <w:ind w:right="20" w:firstLine="656"/>
        <w:spacing w:after="0" w:line="277" w:lineRule="auto"/>
        <w:tabs>
          <w:tab w:leader="none" w:pos="90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Instruct the Trustee to make only those distributions that are permitted under this Agreement, and refrain from instructing the Trustee to make any distributions that are not permitted under this Agreement; and</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1"/>
          <w:numId w:val="57"/>
        </w:numPr>
        <w:rPr>
          <w:rFonts w:ascii="Arial" w:cs="Arial" w:eastAsia="Arial" w:hAnsi="Arial"/>
          <w:sz w:val="18"/>
          <w:szCs w:val="18"/>
          <w:color w:val="auto"/>
        </w:rPr>
      </w:pPr>
      <w:r>
        <w:rPr>
          <w:rFonts w:ascii="Arial" w:cs="Arial" w:eastAsia="Arial" w:hAnsi="Arial"/>
          <w:sz w:val="18"/>
          <w:szCs w:val="18"/>
          <w:color w:val="auto"/>
        </w:rPr>
        <w:t>Within four (4) business days after the Underwriter exercises the over-allotment option (or any unexercised portion thereof) or such over-allotment option expires, provide the Trustee with a notice in writing of the total amount of the Deferred Discount.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firstLine="656"/>
        <w:spacing w:after="0" w:line="277" w:lineRule="auto"/>
        <w:tabs>
          <w:tab w:leader="none" w:pos="90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w:t>
      </w:r>
    </w:p>
    <w:p>
      <w:pPr>
        <w:spacing w:after="0" w:line="170" w:lineRule="exact"/>
        <w:rPr>
          <w:rFonts w:ascii="Arial" w:cs="Arial" w:eastAsia="Arial" w:hAnsi="Arial"/>
          <w:sz w:val="18"/>
          <w:szCs w:val="18"/>
          <w:color w:val="auto"/>
        </w:rPr>
      </w:pPr>
    </w:p>
    <w:p>
      <w:pPr>
        <w:ind w:firstLine="656"/>
        <w:spacing w:after="0" w:line="277" w:lineRule="auto"/>
        <w:tabs>
          <w:tab w:leader="none" w:pos="904"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Take any action with respect to the Property, other than as directed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hereof, and the Trustee shall have no liability to any third party except for liability arising out of the Trustee’s gross negligence, fraud or willful misconduct;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07"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656"/>
        <w:spacing w:after="0" w:line="277" w:lineRule="auto"/>
        <w:tabs>
          <w:tab w:leader="none" w:pos="909" w:val="left"/>
        </w:tabs>
        <w:numPr>
          <w:ilvl w:val="1"/>
          <w:numId w:val="58"/>
        </w:numPr>
        <w:rPr>
          <w:rFonts w:ascii="Arial" w:cs="Arial" w:eastAsia="Arial" w:hAnsi="Arial"/>
          <w:sz w:val="18"/>
          <w:szCs w:val="18"/>
          <w:color w:val="auto"/>
        </w:rPr>
      </w:pPr>
      <w:r>
        <w:rPr>
          <w:rFonts w:ascii="Arial" w:cs="Arial" w:eastAsia="Arial" w:hAnsi="Arial"/>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70" w:lineRule="exact"/>
        <w:rPr>
          <w:rFonts w:ascii="Arial" w:cs="Arial" w:eastAsia="Arial" w:hAnsi="Arial"/>
          <w:sz w:val="18"/>
          <w:szCs w:val="18"/>
          <w:color w:val="auto"/>
        </w:rPr>
      </w:pPr>
    </w:p>
    <w:p>
      <w:pPr>
        <w:jc w:val="both"/>
        <w:ind w:firstLine="656"/>
        <w:spacing w:after="0" w:line="290" w:lineRule="auto"/>
        <w:tabs>
          <w:tab w:leader="none" w:pos="87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920" w:hanging="264"/>
        <w:spacing w:after="0"/>
        <w:tabs>
          <w:tab w:leader="none" w:pos="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Verify the accuracy of the information contained in the Registration Statement;</w:t>
      </w:r>
    </w:p>
    <w:p>
      <w:pPr>
        <w:spacing w:after="0" w:line="225" w:lineRule="exact"/>
        <w:rPr>
          <w:rFonts w:ascii="Arial" w:cs="Arial" w:eastAsia="Arial" w:hAnsi="Arial"/>
          <w:sz w:val="18"/>
          <w:szCs w:val="18"/>
          <w:color w:val="auto"/>
        </w:rPr>
      </w:pPr>
    </w:p>
    <w:p>
      <w:pPr>
        <w:ind w:firstLine="656"/>
        <w:spacing w:after="0" w:line="277" w:lineRule="auto"/>
        <w:tabs>
          <w:tab w:leader="none" w:pos="942" w:val="left"/>
        </w:tabs>
        <w:numPr>
          <w:ilvl w:val="1"/>
          <w:numId w:val="59"/>
        </w:numPr>
        <w:rPr>
          <w:rFonts w:ascii="Arial" w:cs="Arial" w:eastAsia="Arial" w:hAnsi="Arial"/>
          <w:sz w:val="18"/>
          <w:szCs w:val="18"/>
          <w:color w:val="auto"/>
        </w:rPr>
      </w:pPr>
      <w:r>
        <w:rPr>
          <w:rFonts w:ascii="Arial" w:cs="Arial" w:eastAsia="Arial" w:hAnsi="Arial"/>
          <w:sz w:val="18"/>
          <w:szCs w:val="18"/>
          <w:color w:val="auto"/>
        </w:rPr>
        <w:t>Provide any assurance that any Business Combination entered into by the Company or any other action taken by the Company is as contemplated by the Registration Statement;</w:t>
      </w:r>
    </w:p>
    <w:p>
      <w:pPr>
        <w:spacing w:after="0" w:line="170" w:lineRule="exact"/>
        <w:rPr>
          <w:rFonts w:ascii="Arial" w:cs="Arial" w:eastAsia="Arial" w:hAnsi="Arial"/>
          <w:sz w:val="18"/>
          <w:szCs w:val="18"/>
          <w:color w:val="auto"/>
        </w:rPr>
      </w:pPr>
    </w:p>
    <w:p>
      <w:pPr>
        <w:ind w:right="20" w:firstLine="656"/>
        <w:spacing w:after="0" w:line="277" w:lineRule="auto"/>
        <w:tabs>
          <w:tab w:leader="none" w:pos="863"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tax obligations, except 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hereof; or</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Verify calculations, qualify or otherwise approve the Company’s written requests for distributions pursuant to </w:t>
      </w:r>
      <w:r>
        <w:rPr>
          <w:rFonts w:ascii="Arial" w:cs="Arial" w:eastAsia="Arial" w:hAnsi="Arial"/>
          <w:sz w:val="16"/>
          <w:szCs w:val="16"/>
          <w:u w:val="single" w:color="auto"/>
          <w:color w:val="auto"/>
        </w:rPr>
        <w:t>Sections 1(i)</w:t>
      </w:r>
      <w:r>
        <w:rPr>
          <w:rFonts w:ascii="Arial" w:cs="Arial" w:eastAsia="Arial" w:hAnsi="Arial"/>
          <w:sz w:val="16"/>
          <w:szCs w:val="16"/>
          <w:color w:val="auto"/>
        </w:rPr>
        <w:t xml:space="preserve">, </w:t>
      </w:r>
      <w:r>
        <w:rPr>
          <w:rFonts w:ascii="Arial" w:cs="Arial" w:eastAsia="Arial" w:hAnsi="Arial"/>
          <w:sz w:val="16"/>
          <w:szCs w:val="16"/>
          <w:u w:val="single" w:color="auto"/>
          <w:color w:val="auto"/>
        </w:rPr>
        <w:t>1(j)</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1(k)</w:t>
      </w:r>
      <w:r>
        <w:rPr>
          <w:rFonts w:ascii="Arial" w:cs="Arial" w:eastAsia="Arial" w:hAnsi="Arial"/>
          <w:sz w:val="16"/>
          <w:szCs w:val="16"/>
          <w:color w:val="auto"/>
        </w:rPr>
        <w:t xml:space="preserve"> hereof.</w:t>
      </w:r>
    </w:p>
    <w:p>
      <w:pPr>
        <w:spacing w:after="0" w:line="248" w:lineRule="exact"/>
        <w:rPr>
          <w:rFonts w:ascii="Arial" w:cs="Arial" w:eastAsia="Arial" w:hAnsi="Arial"/>
          <w:sz w:val="16"/>
          <w:szCs w:val="16"/>
          <w:color w:val="auto"/>
        </w:rPr>
      </w:pPr>
    </w:p>
    <w:p>
      <w:pPr>
        <w:jc w:val="both"/>
        <w:ind w:firstLine="8"/>
        <w:spacing w:after="0" w:line="301"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hereof, the Trustee shall pursue such Claim solely against the Company and its assets outside the Trust Account and not against the Property or any monies in the Trust Account.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jc w:val="both"/>
        <w:ind w:firstLine="656"/>
        <w:spacing w:after="0" w:line="271" w:lineRule="auto"/>
        <w:tabs>
          <w:tab w:leader="none" w:pos="9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56"/>
        <w:spacing w:after="0" w:line="263" w:lineRule="auto"/>
        <w:tabs>
          <w:tab w:leader="none" w:pos="926"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At such time that the Trustee has completed the liquidation of the Trust Account and its obligations in accordance with the provisions of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hereof and distributed the Property in accordance with the provisions of the Termination Letter, this Agreement shall terminate except with respect to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72" w:lineRule="auto"/>
        <w:tabs>
          <w:tab w:leader="none" w:pos="911"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177" w:lineRule="exact"/>
        <w:rPr>
          <w:rFonts w:ascii="Arial" w:cs="Arial" w:eastAsia="Arial" w:hAnsi="Arial"/>
          <w:sz w:val="17"/>
          <w:szCs w:val="17"/>
          <w:color w:val="auto"/>
        </w:rPr>
      </w:pPr>
    </w:p>
    <w:p>
      <w:pPr>
        <w:ind w:firstLine="656"/>
        <w:spacing w:after="0" w:line="342" w:lineRule="auto"/>
        <w:tabs>
          <w:tab w:leader="none" w:pos="907"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and enforced in accordance with the laws of the State of New York. This Agreement may be executed in several original or facsimile counterparts, each one of which shall constitute an original, and together shall constitute but one instrument.</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13"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This Agreement contains the entire agreement and understanding of the parties hereto with respect to the subject matter hereof. Subject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hereof, this Agreement or any provision hereof may only be changed, amended or modified (other than to correct a typographical error) by a writing signed by each of the parties hereto.</w:t>
      </w:r>
    </w:p>
    <w:p>
      <w:pPr>
        <w:spacing w:after="0" w:line="183" w:lineRule="exact"/>
        <w:rPr>
          <w:rFonts w:ascii="Arial" w:cs="Arial" w:eastAsia="Arial" w:hAnsi="Arial"/>
          <w:sz w:val="18"/>
          <w:szCs w:val="18"/>
          <w:color w:val="auto"/>
        </w:rPr>
      </w:pPr>
    </w:p>
    <w:p>
      <w:pPr>
        <w:jc w:val="both"/>
        <w:ind w:firstLine="656"/>
        <w:spacing w:after="0" w:line="287" w:lineRule="auto"/>
        <w:tabs>
          <w:tab w:leader="none" w:pos="913"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This Agreement or any provision hereof may only be changed, amended or modified pursuant to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with the Consent of the Stockholders. For purposes of this </w:t>
      </w:r>
      <w:r>
        <w:rPr>
          <w:rFonts w:ascii="Arial" w:cs="Arial" w:eastAsia="Arial" w:hAnsi="Arial"/>
          <w:sz w:val="16"/>
          <w:szCs w:val="16"/>
          <w:u w:val="single" w:color="auto"/>
          <w:color w:val="auto"/>
        </w:rPr>
        <w:t>Section 6(d)</w:t>
      </w:r>
      <w:r>
        <w:rPr>
          <w:rFonts w:ascii="Arial" w:cs="Arial" w:eastAsia="Arial" w:hAnsi="Arial"/>
          <w:sz w:val="16"/>
          <w:szCs w:val="16"/>
          <w:color w:val="auto"/>
        </w:rPr>
        <w:t>, the “Consent of the Stockholders” means receipt by the Trustee of a certificate from the inspector of elections of the stockholder meeting certifying that the Company’s stockholders of record as of a record date established in accordance with Section 213(a) of the Delaware General Corporation Law, as amended (“</w:t>
      </w:r>
      <w:r>
        <w:rPr>
          <w:rFonts w:ascii="Arial" w:cs="Arial" w:eastAsia="Arial" w:hAnsi="Arial"/>
          <w:sz w:val="16"/>
          <w:szCs w:val="16"/>
          <w:b w:val="1"/>
          <w:bCs w:val="1"/>
          <w:color w:val="auto"/>
        </w:rPr>
        <w:t>DGCL</w:t>
      </w:r>
      <w:r>
        <w:rPr>
          <w:rFonts w:ascii="Arial" w:cs="Arial" w:eastAsia="Arial" w:hAnsi="Arial"/>
          <w:sz w:val="16"/>
          <w:szCs w:val="16"/>
          <w:color w:val="auto"/>
        </w:rPr>
        <w:t>”) (or any successor rule), who hold sixty-five percent (65%) or more of all then outstanding shares of the Common Stock and Class B common stock, par value $0.0001 per share, of the Company voting together as a single class, have voted in favor of such change, amendment or modification. No such amendment will affect any Public Stockholder who has otherwise indicated his election to redeem his shares of Common Stock in connection with a stockholder vote sought to amend this Agreement or the amended and restated certificate of incorporation to modify the substance or timing of the Company’s obligation to redeem 100% of the Common Stock if the Company does not complete its initial Business Combination within the time frame specified in the Company’s amended and restated certificate of incorporation or with respect to any other material provisions relating to stockholders’ rights or pre-initial Business Combination activity. Except for any liability arising out of the Trustee’s gross negligence, fraud or willful misconduct, the Trustee may rely conclusively on the certification from the inspector or elections referenced above and shall be relieved of all liability to any party for executing the proposed amendment in reliance thereon.</w:t>
      </w:r>
    </w:p>
    <w:p>
      <w:pPr>
        <w:spacing w:after="0" w:line="167" w:lineRule="exact"/>
        <w:rPr>
          <w:rFonts w:ascii="Arial" w:cs="Arial" w:eastAsia="Arial" w:hAnsi="Arial"/>
          <w:sz w:val="16"/>
          <w:szCs w:val="16"/>
          <w:color w:val="auto"/>
        </w:rPr>
      </w:pPr>
    </w:p>
    <w:p>
      <w:pPr>
        <w:jc w:val="both"/>
        <w:ind w:firstLine="656"/>
        <w:spacing w:after="0" w:line="263" w:lineRule="auto"/>
        <w:tabs>
          <w:tab w:leader="none" w:pos="902"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183" w:lineRule="exact"/>
        <w:rPr>
          <w:rFonts w:ascii="Arial" w:cs="Arial" w:eastAsia="Arial" w:hAnsi="Arial"/>
          <w:sz w:val="18"/>
          <w:szCs w:val="18"/>
          <w:color w:val="auto"/>
        </w:rPr>
      </w:pPr>
    </w:p>
    <w:p>
      <w:pPr>
        <w:ind w:firstLine="656"/>
        <w:spacing w:after="0" w:line="308" w:lineRule="auto"/>
        <w:tabs>
          <w:tab w:leader="none" w:pos="87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Francis Wolf and Celeste Gonzalez</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cgonzalez@continentalstock.com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fwolf@continentalstock.com</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ind w:left="128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San Francisco, California 94111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Jim Tananbaum</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jim@foresitecapital.com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 each case, with copies 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Joel L. Rubinstein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joel.rubinstein@whitecase.com</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Facsimile: (646) 619-4437</w:t>
      </w:r>
    </w:p>
    <w:p>
      <w:pPr>
        <w:spacing w:after="0" w:line="21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Skadden, Arps, Slate, Meagher &amp; Flom LLP</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525 University Avenue, Suite 1400</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Palo Alto, California 94301</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Attn.: Gregg Noel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gregg.noel@skadden.com</w:t>
      </w:r>
    </w:p>
    <w:p>
      <w:pPr>
        <w:spacing w:after="0" w:line="211" w:lineRule="exact"/>
        <w:rPr>
          <w:sz w:val="20"/>
          <w:szCs w:val="20"/>
          <w:color w:val="auto"/>
        </w:rPr>
      </w:pPr>
    </w:p>
    <w:p>
      <w:pPr>
        <w:jc w:val="both"/>
        <w:ind w:left="-20" w:firstLine="656"/>
        <w:spacing w:after="0" w:line="31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148" w:lineRule="exact"/>
        <w:rPr>
          <w:rFonts w:ascii="Arial" w:cs="Arial" w:eastAsia="Arial" w:hAnsi="Arial"/>
          <w:sz w:val="16"/>
          <w:szCs w:val="16"/>
          <w:color w:val="auto"/>
        </w:rPr>
      </w:pPr>
    </w:p>
    <w:p>
      <w:pPr>
        <w:ind w:left="-20" w:firstLine="656"/>
        <w:spacing w:after="0" w:line="277" w:lineRule="auto"/>
        <w:tabs>
          <w:tab w:leader="none" w:pos="89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170" w:lineRule="exact"/>
        <w:rPr>
          <w:rFonts w:ascii="Arial" w:cs="Arial" w:eastAsia="Arial" w:hAnsi="Arial"/>
          <w:sz w:val="18"/>
          <w:szCs w:val="18"/>
          <w:color w:val="auto"/>
        </w:rPr>
      </w:pPr>
    </w:p>
    <w:p>
      <w:pPr>
        <w:jc w:val="both"/>
        <w:ind w:left="-20" w:firstLine="656"/>
        <w:spacing w:after="0" w:line="263" w:lineRule="auto"/>
        <w:tabs>
          <w:tab w:leader="none" w:pos="8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83" w:lineRule="exact"/>
        <w:rPr>
          <w:rFonts w:ascii="Arial" w:cs="Arial" w:eastAsia="Arial" w:hAnsi="Arial"/>
          <w:sz w:val="18"/>
          <w:szCs w:val="18"/>
          <w:color w:val="auto"/>
        </w:rPr>
      </w:pPr>
    </w:p>
    <w:p>
      <w:pPr>
        <w:ind w:left="860" w:hanging="224"/>
        <w:spacing w:after="0"/>
        <w:tabs>
          <w:tab w:leader="none" w:pos="8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of the Company and the Trustee hereby acknowledges and agrees that Jefferies LLC is a third- party beneficiary of this Agreement.</w:t>
      </w:r>
    </w:p>
    <w:p>
      <w:pPr>
        <w:spacing w:after="0" w:line="236" w:lineRule="exact"/>
        <w:rPr>
          <w:rFonts w:ascii="Arial" w:cs="Arial" w:eastAsia="Arial" w:hAnsi="Arial"/>
          <w:sz w:val="17"/>
          <w:szCs w:val="17"/>
          <w:color w:val="auto"/>
        </w:rPr>
      </w:pPr>
    </w:p>
    <w:p>
      <w:pPr>
        <w:ind w:left="900" w:hanging="264"/>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specified herein, no party to this Agreement may assign its rights or delegate its obligations hereunder to any other person or entity.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duly executed this Investment Management Trust Agreement as of the date first written above.</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COMPANY, as Trustee</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14605</wp:posOffset>
            </wp:positionV>
            <wp:extent cx="2674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Francis Wolf</w:t>
      </w:r>
    </w:p>
    <w:p>
      <w:pPr>
        <w:spacing w:after="0" w:line="23" w:lineRule="exact"/>
        <w:rPr>
          <w:sz w:val="20"/>
          <w:szCs w:val="20"/>
          <w:color w:val="auto"/>
        </w:rPr>
      </w:pPr>
    </w:p>
    <w:p>
      <w:pPr>
        <w:ind w:left="636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14605</wp:posOffset>
            </wp:positionV>
            <wp:extent cx="2674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Dennis Ryan</w:t>
      </w:r>
    </w:p>
    <w:p>
      <w:pPr>
        <w:spacing w:after="0" w:line="23" w:lineRule="exact"/>
        <w:rPr>
          <w:sz w:val="20"/>
          <w:szCs w:val="20"/>
          <w:color w:val="auto"/>
        </w:rPr>
      </w:pPr>
    </w:p>
    <w:p>
      <w:pPr>
        <w:ind w:left="6360"/>
        <w:spacing w:after="0"/>
        <w:tabs>
          <w:tab w:leader="none" w:pos="6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[Signature Page to Investment Management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980" w:top="904" w:right="7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20" w:type="dxa"/>
            <w:vAlign w:val="bottom"/>
            <w:gridSpan w:val="6"/>
          </w:tcPr>
          <w:p>
            <w:pPr>
              <w:ind w:left="1540"/>
              <w:spacing w:after="0"/>
              <w:rPr>
                <w:sz w:val="20"/>
                <w:szCs w:val="20"/>
                <w:color w:val="auto"/>
              </w:rPr>
            </w:pPr>
            <w:r>
              <w:rPr>
                <w:rFonts w:ascii="Arial" w:cs="Arial" w:eastAsia="Arial" w:hAnsi="Arial"/>
                <w:sz w:val="18"/>
                <w:szCs w:val="18"/>
                <w:b w:val="1"/>
                <w:bCs w:val="1"/>
                <w:color w:val="auto"/>
              </w:rPr>
              <w:t>SCHEDULE 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380" w:type="dxa"/>
            <w:vAlign w:val="bottom"/>
            <w:gridSpan w:val="4"/>
          </w:tcPr>
          <w:p>
            <w:pPr>
              <w:ind w:left="1360"/>
              <w:spacing w:after="0"/>
              <w:rPr>
                <w:sz w:val="20"/>
                <w:szCs w:val="20"/>
                <w:color w:val="auto"/>
              </w:rPr>
            </w:pPr>
            <w:r>
              <w:rPr>
                <w:rFonts w:ascii="Arial" w:cs="Arial" w:eastAsia="Arial" w:hAnsi="Arial"/>
                <w:sz w:val="18"/>
                <w:szCs w:val="18"/>
                <w:b w:val="1"/>
                <w:bCs w:val="1"/>
                <w:color w:val="auto"/>
              </w:rPr>
              <w:t>Fee Item</w:t>
            </w:r>
          </w:p>
        </w:tc>
        <w:tc>
          <w:tcPr>
            <w:tcW w:w="120" w:type="dxa"/>
            <w:vAlign w:val="bottom"/>
          </w:tcPr>
          <w:p>
            <w:pPr>
              <w:spacing w:after="0"/>
              <w:rPr>
                <w:sz w:val="24"/>
                <w:szCs w:val="24"/>
                <w:color w:val="auto"/>
              </w:rPr>
            </w:pPr>
          </w:p>
        </w:tc>
        <w:tc>
          <w:tcPr>
            <w:tcW w:w="6520" w:type="dxa"/>
            <w:vAlign w:val="bottom"/>
            <w:gridSpan w:val="6"/>
          </w:tcPr>
          <w:p>
            <w:pPr>
              <w:ind w:left="2080"/>
              <w:spacing w:after="0"/>
              <w:rPr>
                <w:sz w:val="20"/>
                <w:szCs w:val="20"/>
                <w:color w:val="auto"/>
              </w:rPr>
            </w:pPr>
            <w:r>
              <w:rPr>
                <w:rFonts w:ascii="Arial" w:cs="Arial" w:eastAsia="Arial" w:hAnsi="Arial"/>
                <w:sz w:val="18"/>
                <w:szCs w:val="18"/>
                <w:b w:val="1"/>
                <w:bCs w:val="1"/>
                <w:color w:val="auto"/>
              </w:rPr>
              <w:t>Time and method of payment</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3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Initial set-up fee</w:t>
            </w:r>
          </w:p>
        </w:tc>
        <w:tc>
          <w:tcPr>
            <w:tcW w:w="120" w:type="dxa"/>
            <w:vAlign w:val="bottom"/>
            <w:tcBorders>
              <w:top w:val="single" w:sz="8" w:color="CCEEFF"/>
            </w:tcBorders>
            <w:shd w:val="clear" w:color="auto" w:fill="CCEEFF"/>
          </w:tcPr>
          <w:p>
            <w:pPr>
              <w:spacing w:after="0"/>
              <w:rPr>
                <w:sz w:val="18"/>
                <w:szCs w:val="18"/>
                <w:color w:val="auto"/>
              </w:rPr>
            </w:pPr>
          </w:p>
        </w:tc>
        <w:tc>
          <w:tcPr>
            <w:tcW w:w="642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rPr>
              <w:t>Initial closing of Offering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40" w:type="dxa"/>
            <w:vAlign w:val="bottom"/>
            <w:gridSpan w:val="7"/>
          </w:tcPr>
          <w:p>
            <w:pPr>
              <w:ind w:left="120"/>
              <w:spacing w:after="0" w:line="201" w:lineRule="exact"/>
              <w:rPr>
                <w:sz w:val="20"/>
                <w:szCs w:val="20"/>
                <w:color w:val="auto"/>
              </w:rPr>
            </w:pPr>
            <w:r>
              <w:rPr>
                <w:rFonts w:ascii="Arial" w:cs="Arial" w:eastAsia="Arial" w:hAnsi="Arial"/>
                <w:sz w:val="18"/>
                <w:szCs w:val="18"/>
                <w:color w:val="auto"/>
                <w:w w:val="96"/>
              </w:rPr>
              <w:t>Payable annually. First year fee payable, at initial closing of Offering by wire transfer,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80" w:type="dxa"/>
            <w:vAlign w:val="bottom"/>
            <w:gridSpan w:val="4"/>
          </w:tcPr>
          <w:p>
            <w:pPr>
              <w:spacing w:after="0"/>
              <w:rPr>
                <w:sz w:val="20"/>
                <w:szCs w:val="20"/>
                <w:color w:val="auto"/>
              </w:rPr>
            </w:pPr>
            <w:r>
              <w:rPr>
                <w:rFonts w:ascii="Arial" w:cs="Arial" w:eastAsia="Arial" w:hAnsi="Arial"/>
                <w:sz w:val="18"/>
                <w:szCs w:val="18"/>
                <w:color w:val="auto"/>
              </w:rPr>
              <w:t>Trustee administration fee</w:t>
            </w:r>
          </w:p>
        </w:tc>
        <w:tc>
          <w:tcPr>
            <w:tcW w:w="6640" w:type="dxa"/>
            <w:vAlign w:val="bottom"/>
            <w:gridSpan w:val="7"/>
          </w:tcPr>
          <w:p>
            <w:pPr>
              <w:ind w:left="120"/>
              <w:spacing w:after="0"/>
              <w:rPr>
                <w:sz w:val="20"/>
                <w:szCs w:val="20"/>
                <w:color w:val="auto"/>
              </w:rPr>
            </w:pPr>
            <w:r>
              <w:rPr>
                <w:rFonts w:ascii="Arial" w:cs="Arial" w:eastAsia="Arial" w:hAnsi="Arial"/>
                <w:sz w:val="18"/>
                <w:szCs w:val="18"/>
                <w:color w:val="auto"/>
              </w:rPr>
              <w:t>thereafter by wire transfer or check.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02"/>
        </w:trPr>
        <w:tc>
          <w:tcPr>
            <w:tcW w:w="33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2"/>
              </w:rPr>
              <w:t>Transaction processing fee for disbursements</w:t>
            </w: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0"/>
        </w:trPr>
        <w:tc>
          <w:tcPr>
            <w:tcW w:w="33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color w:val="auto"/>
              </w:rPr>
              <w:t>to Company under Sections 1 and 2</w:t>
            </w:r>
          </w:p>
        </w:tc>
        <w:tc>
          <w:tcPr>
            <w:tcW w:w="6640" w:type="dxa"/>
            <w:vAlign w:val="bottom"/>
            <w:gridSpan w:val="7"/>
            <w:shd w:val="clear" w:color="auto" w:fill="CCEEFF"/>
          </w:tcPr>
          <w:p>
            <w:pPr>
              <w:ind w:left="120"/>
              <w:spacing w:after="0" w:line="190" w:lineRule="exact"/>
              <w:rPr>
                <w:sz w:val="20"/>
                <w:szCs w:val="20"/>
                <w:color w:val="auto"/>
              </w:rPr>
            </w:pPr>
            <w:r>
              <w:rPr>
                <w:rFonts w:ascii="Arial" w:cs="Arial" w:eastAsia="Arial" w:hAnsi="Arial"/>
                <w:sz w:val="18"/>
                <w:szCs w:val="18"/>
                <w:color w:val="auto"/>
                <w:w w:val="95"/>
              </w:rPr>
              <w:t>Billed to Company following disbursement made to Company under Sections 1 and 2.</w:t>
            </w: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250.00</w:t>
            </w: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3380" w:type="dxa"/>
            <w:vAlign w:val="bottom"/>
            <w:gridSpan w:val="4"/>
          </w:tcPr>
          <w:p>
            <w:pPr>
              <w:spacing w:after="0" w:line="201" w:lineRule="exact"/>
              <w:rPr>
                <w:sz w:val="20"/>
                <w:szCs w:val="20"/>
                <w:color w:val="auto"/>
              </w:rPr>
            </w:pPr>
            <w:r>
              <w:rPr>
                <w:rFonts w:ascii="Arial" w:cs="Arial" w:eastAsia="Arial" w:hAnsi="Arial"/>
                <w:sz w:val="18"/>
                <w:szCs w:val="18"/>
                <w:color w:val="auto"/>
                <w:w w:val="91"/>
              </w:rPr>
              <w:t>Paying Agent services as required pursuant to</w:t>
            </w:r>
          </w:p>
        </w:tc>
        <w:tc>
          <w:tcPr>
            <w:tcW w:w="1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Prevailing</w:t>
            </w:r>
          </w:p>
        </w:tc>
      </w:tr>
      <w:tr>
        <w:trPr>
          <w:trHeight w:val="190"/>
        </w:trPr>
        <w:tc>
          <w:tcPr>
            <w:tcW w:w="3380" w:type="dxa"/>
            <w:vAlign w:val="bottom"/>
            <w:gridSpan w:val="4"/>
          </w:tcPr>
          <w:p>
            <w:pPr>
              <w:spacing w:after="0" w:line="190" w:lineRule="exact"/>
              <w:rPr>
                <w:sz w:val="20"/>
                <w:szCs w:val="20"/>
                <w:color w:val="auto"/>
              </w:rPr>
            </w:pPr>
            <w:r>
              <w:rPr>
                <w:rFonts w:ascii="Arial" w:cs="Arial" w:eastAsia="Arial" w:hAnsi="Arial"/>
                <w:sz w:val="18"/>
                <w:szCs w:val="18"/>
                <w:color w:val="auto"/>
              </w:rPr>
              <w:t>Sections 1(i) and 1(k)</w:t>
            </w:r>
          </w:p>
        </w:tc>
        <w:tc>
          <w:tcPr>
            <w:tcW w:w="6640" w:type="dxa"/>
            <w:vAlign w:val="bottom"/>
            <w:gridSpan w:val="7"/>
          </w:tcPr>
          <w:p>
            <w:pPr>
              <w:ind w:left="120"/>
              <w:spacing w:after="0" w:line="190" w:lineRule="exact"/>
              <w:rPr>
                <w:sz w:val="20"/>
                <w:szCs w:val="20"/>
                <w:color w:val="auto"/>
              </w:rPr>
            </w:pPr>
            <w:r>
              <w:rPr>
                <w:rFonts w:ascii="Arial" w:cs="Arial" w:eastAsia="Arial" w:hAnsi="Arial"/>
                <w:sz w:val="18"/>
                <w:szCs w:val="18"/>
                <w:color w:val="auto"/>
              </w:rPr>
              <w:t>Billed to Company upon delivery of service pursuant to Sections 1(i) and 1(k).</w:t>
            </w:r>
          </w:p>
        </w:tc>
        <w:tc>
          <w:tcPr>
            <w:tcW w:w="160" w:type="dxa"/>
            <w:vAlign w:val="bottom"/>
          </w:tcPr>
          <w:p>
            <w:pPr>
              <w:spacing w:after="0"/>
              <w:rPr>
                <w:sz w:val="16"/>
                <w:szCs w:val="16"/>
                <w:color w:val="auto"/>
              </w:rPr>
            </w:pPr>
          </w:p>
        </w:tc>
        <w:tc>
          <w:tcPr>
            <w:tcW w:w="1060" w:type="dxa"/>
            <w:vAlign w:val="bottom"/>
            <w:gridSpan w:val="2"/>
          </w:tcPr>
          <w:p>
            <w:pPr>
              <w:jc w:val="right"/>
              <w:ind w:right="100"/>
              <w:spacing w:after="0" w:line="190" w:lineRule="exact"/>
              <w:rPr>
                <w:sz w:val="20"/>
                <w:szCs w:val="20"/>
                <w:color w:val="auto"/>
              </w:rPr>
            </w:pPr>
            <w:r>
              <w:rPr>
                <w:rFonts w:ascii="Arial" w:cs="Arial" w:eastAsia="Arial" w:hAnsi="Arial"/>
                <w:sz w:val="18"/>
                <w:szCs w:val="18"/>
                <w:color w:val="auto"/>
              </w:rPr>
              <w:t>rates</w:t>
            </w:r>
          </w:p>
        </w:tc>
      </w:tr>
      <w:tr>
        <w:trPr>
          <w:trHeight w:val="703"/>
        </w:trPr>
        <w:tc>
          <w:tcPr>
            <w:tcW w:w="14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Celeste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Investment Management Trust Agreement between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August 11,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entered into an agreement with (the “</w:t>
      </w:r>
      <w:r>
        <w:rPr>
          <w:rFonts w:ascii="Arial" w:cs="Arial" w:eastAsia="Arial" w:hAnsi="Arial"/>
          <w:sz w:val="18"/>
          <w:szCs w:val="18"/>
          <w:b w:val="1"/>
          <w:bCs w:val="1"/>
          <w:i w:val="1"/>
          <w:iCs w:val="1"/>
          <w:color w:val="auto"/>
        </w:rPr>
        <w:t>Target Business</w:t>
      </w:r>
      <w:r>
        <w:rPr>
          <w:rFonts w:ascii="Arial" w:cs="Arial" w:eastAsia="Arial" w:hAnsi="Arial"/>
          <w:sz w:val="18"/>
          <w:szCs w:val="18"/>
          <w:color w:val="auto"/>
        </w:rPr>
        <w:t>”) to consummate a business combination with the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xml:space="preserve">”) on or about </w:t>
      </w:r>
      <w:r>
        <w:rPr>
          <w:rFonts w:ascii="Arial" w:cs="Arial" w:eastAsia="Arial" w:hAnsi="Arial"/>
          <w:sz w:val="18"/>
          <w:szCs w:val="18"/>
          <w:b w:val="1"/>
          <w:bCs w:val="1"/>
          <w:color w:val="auto"/>
        </w:rPr>
        <w:t>[insert date]</w:t>
      </w:r>
      <w:r>
        <w:rPr>
          <w:rFonts w:ascii="Arial" w:cs="Arial" w:eastAsia="Arial" w:hAnsi="Arial"/>
          <w:sz w:val="18"/>
          <w:szCs w:val="18"/>
          <w:color w:val="auto"/>
        </w:rPr>
        <w:t>. The Company shall notify you at least seventy-two (72) hours in advance of the actual date (or such shorter period as you may agree)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Business Combination (the “</w:t>
      </w:r>
      <w:r>
        <w:rPr>
          <w:rFonts w:ascii="Arial" w:cs="Arial" w:eastAsia="Arial" w:hAnsi="Arial"/>
          <w:sz w:val="18"/>
          <w:szCs w:val="18"/>
          <w:b w:val="1"/>
          <w:bCs w:val="1"/>
          <w:i w:val="1"/>
          <w:iCs w:val="1"/>
          <w:color w:val="auto"/>
        </w:rPr>
        <w:t>Consummation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Capitalized terms used but not defined herein shall have the meanings set forth in the Trust Agreement.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accordance with the terms of the Trust Agreement, we hereby authorize you to commence to liquidate all of the assets of the Trust Account and to transfer the proceeds to a segregated account held by you on behalf of the Beneficiaries to the effect that, on the Consummation Date, all of the funds held in the Trust Operating Account at JPMorgan Chase Bank, N.A., will be immediately available for transfer to the account or accounts that the Company shall direct on the Consummation Date (including as directed to it by Jefferies LLC (with respect to the Deferred Discount)).</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or will be consummated concurrently with your transfer of funds to the accounts as directed by the Company (the “</w:t>
      </w:r>
      <w:r>
        <w:rPr>
          <w:rFonts w:ascii="Arial" w:cs="Arial" w:eastAsia="Arial" w:hAnsi="Arial"/>
          <w:sz w:val="17"/>
          <w:szCs w:val="17"/>
          <w:b w:val="1"/>
          <w:bCs w:val="1"/>
          <w:i w:val="1"/>
          <w:iCs w:val="1"/>
          <w:color w:val="auto"/>
        </w:rPr>
        <w:t>Notification</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(ii) the Company shall deliver to you (a) a certificate by the Chief Executive Officer, Chief Financial Officer, Co-Executive Chairman or Vice Chairman, which verifies that the Business Combination has been approved by a vote of the Company’s stockholders, if a vote is held and (b) a joint written instruction signed by the Company and Jefferies LLC with respect to the transfer of the funds held in the Trust Account, including payment of amounts owed to public stockholders who have properly exercised their redemption rights and payment of the Deferred Discount directly to the account or accounts directed by Jefferies LLC from the Trust Account (the “</w:t>
      </w:r>
      <w:r>
        <w:rPr>
          <w:rFonts w:ascii="Arial" w:cs="Arial" w:eastAsia="Arial" w:hAnsi="Arial"/>
          <w:sz w:val="17"/>
          <w:szCs w:val="17"/>
          <w:b w:val="1"/>
          <w:bCs w:val="1"/>
          <w:i w:val="1"/>
          <w:iCs w:val="1"/>
          <w:color w:val="auto"/>
        </w:rPr>
        <w:t>Instruction Letter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of the Trust Agreement on the business day immediately following the Consummation Date as set forth in such notice as soon thereafter as possible.</w:t>
      </w:r>
    </w:p>
    <w:p>
      <w:pPr>
        <w:spacing w:after="0" w:line="18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1(i)</w:t>
      </w:r>
      <w:r>
        <w:rPr>
          <w:rFonts w:ascii="Arial" w:cs="Arial" w:eastAsia="Arial" w:hAnsi="Arial"/>
          <w:sz w:val="18"/>
          <w:szCs w:val="18"/>
          <w:color w:val="auto"/>
        </w:rPr>
        <w:t xml:space="preserve"> of the Investment Management Trust Agreement between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August 11,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this is to advise you that the Company has been unable to effect a business combination with a Target Business (the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within the time frame specified in the Company’s Amended and Restated Certificate of Incorporation, as described in the Company’s Prospectus relating to the Offering. Capitalized terms used but not defined herein shall have the meanings set forth in the Trust Agreement.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of the assets in the Trust Operating Account and to transfer the total proceeds into a segregated account held by you on behalf of the Beneficiaries to await distribution to the Public Stockholders. The</w:t>
      </w:r>
    </w:p>
    <w:p>
      <w:pPr>
        <w:jc w:val="both"/>
        <w:spacing w:after="0" w:line="264" w:lineRule="auto"/>
        <w:rPr>
          <w:sz w:val="20"/>
          <w:szCs w:val="20"/>
          <w:color w:val="auto"/>
        </w:rPr>
      </w:pPr>
      <w:r>
        <w:rPr>
          <w:rFonts w:ascii="Arial" w:cs="Arial" w:eastAsia="Arial" w:hAnsi="Arial"/>
          <w:sz w:val="16"/>
          <w:szCs w:val="16"/>
          <w:color w:val="auto"/>
        </w:rPr>
        <w:t>Company has selected</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as the effective date for the purpose of determining when the Public Stockholders will be entitled to receive their share of the liquidation proceeds. You agree to be the Paying Agent of record and, in your separate capacity as Paying Agent, agree to distribute said funds directly to the Company’s Public Stockholders in accordance with the terms of the Trust Agreement and the Amended and Restated Certificate of Incorporation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6"/>
          <w:szCs w:val="16"/>
          <w:u w:val="single" w:color="auto"/>
          <w:color w:val="auto"/>
        </w:rPr>
        <w:t>Section 1(i)</w:t>
      </w:r>
      <w:r>
        <w:rPr>
          <w:rFonts w:ascii="Arial" w:cs="Arial" w:eastAsia="Arial" w:hAnsi="Arial"/>
          <w:sz w:val="16"/>
          <w:szCs w:val="16"/>
          <w:color w:val="auto"/>
        </w:rPr>
        <w:t xml:space="preserve"> of the Trust Agreement.</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78308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0" w:hanging="332"/>
        <w:spacing w:after="0" w:line="194" w:lineRule="auto"/>
        <w:tabs>
          <w:tab w:leader="none" w:pos="340"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24 months from the closing of the Offering or such later date as may be approved by the Company’s stockholders in accordance with the Company’s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Tax Payment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1(j)</w:t>
      </w:r>
      <w:r>
        <w:rPr>
          <w:rFonts w:ascii="Arial" w:cs="Arial" w:eastAsia="Arial" w:hAnsi="Arial"/>
          <w:sz w:val="18"/>
          <w:szCs w:val="18"/>
          <w:color w:val="auto"/>
        </w:rPr>
        <w:t xml:space="preserve"> of the Investment Management Trust Agreement between FS Development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dated as of August 11, 2020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hereby requests that you deliver to the Company</w:t>
      </w:r>
    </w:p>
    <w:p>
      <w:pPr>
        <w:spacing w:after="0" w:line="3" w:lineRule="exact"/>
        <w:rPr>
          <w:sz w:val="20"/>
          <w:szCs w:val="20"/>
          <w:color w:val="auto"/>
        </w:rPr>
      </w:pPr>
    </w:p>
    <w:p>
      <w:pPr>
        <w:ind w:firstLine="8"/>
        <w:spacing w:after="0" w:line="260" w:lineRule="auto"/>
        <w:tabs>
          <w:tab w:leader="none" w:pos="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of the interest income earned on the Property as of the date hereof. Capitalized terms used but not defined herein shall have the meanings set forth in the Trust Agreement.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 INSTRUCTION INFORMATION]</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Francis Wolf and Ms. Gonzalez</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 Wolf and Ms. Gonzalez:</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Section 1(k)</w:t>
      </w:r>
      <w:r>
        <w:rPr>
          <w:rFonts w:ascii="Arial" w:cs="Arial" w:eastAsia="Arial" w:hAnsi="Arial"/>
          <w:sz w:val="16"/>
          <w:szCs w:val="16"/>
          <w:color w:val="auto"/>
        </w:rPr>
        <w:t xml:space="preserve"> of the Investment Management Trust Agreement between FS Development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Continental Stock Transfer &amp; Trust Company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dated as of August 11, 2020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hereby requests that you deliver to the redeeming Public Stockholders of the Company $ of the principal and interest income earned on the Property as of the date hereof to a segregated account held by you on behalf of the Beneficiaries. Capitalized terms used but not defined herein shall have the meanings set forth in the Trust Agreement.</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needs such funds to pay its Public Stockholders who have properly elected to have their shares of Common Stock redeemed by the Company in connection with a stockholder vote to approve an amendment to the Company’s amended and restated certificate of incorporation to modify the substance or timing of the Company’s obligation to redeem 100% of public shares of Common Stock if the Company has not consummated an initial Business Combination within such time as is described in the Company’s amended and restated certificate of incorporation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FS Development Corp.</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6350</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dated as of August 11, 2020, is made and entered into by and among FS Development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FS Development Holdings, LLC, a Delaware limited liability company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xml:space="preserve">”) and the undersigned parties listed on the signature page hereto under “Holders” (each such party, together with the Sponsor and any person or entity who hereafter becomes a party to this Agreement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of this Agreement, a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Holders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3,018,750 shares of Class B common stock, par value $0.0001 per share (the “</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up to 393,750 of which will be forfeited to the Company for no consideration depending on the extent to which the underwriters of the Company’s initial public offering exercise their over-allotment option;</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Founder Shares are convertible into shares of the Company’s Class A common stock, par value $0.0001 per share ( “</w:t>
      </w:r>
      <w:r>
        <w:rPr>
          <w:rFonts w:ascii="Arial" w:cs="Arial" w:eastAsia="Arial" w:hAnsi="Arial"/>
          <w:sz w:val="16"/>
          <w:szCs w:val="16"/>
          <w:b w:val="1"/>
          <w:bCs w:val="1"/>
          <w:i w:val="1"/>
          <w:iCs w:val="1"/>
          <w:color w:val="auto"/>
        </w:rPr>
        <w:t>Common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terms and conditions provided in the Company’s amended and restated certificate of incorporation, as may be amended from time to time;</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August 11, 2020, the Company and the Sponsor entered into that certain Private Placement Class A Common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i w:val="1"/>
          <w:iCs w:val="1"/>
          <w:color w:val="auto"/>
        </w:rPr>
        <w:t>Private Placement Class A Common Stock Purchase 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pursuant to which the Sponsor agreed to purchase 410,000 shares of Common Stock (or up to 441,500 shares of Common Stock to the extent that the over-allotment option in connection with the Company’s initial public offering is exercised in full) (the “</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in a private placement transaction occurring simultaneously with the closing of the Company’s initial public offering;</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finance the Company’s transaction costs in connection with its search for and consummation of an initial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(as defined below), the Sponsor or an affiliate of the Sponsor or certain of the Company’s officers and directors may loan to the Company funds as the Company may require, of which up to $1,500,000 of such loans may be convertible into shares of Common Stock equivalent to the Private Placement Shares (“</w:t>
      </w:r>
      <w:r>
        <w:rPr>
          <w:rFonts w:ascii="Arial" w:cs="Arial" w:eastAsia="Arial" w:hAnsi="Arial"/>
          <w:sz w:val="17"/>
          <w:szCs w:val="17"/>
          <w:b w:val="1"/>
          <w:bCs w:val="1"/>
          <w:i w:val="1"/>
          <w:iCs w:val="1"/>
          <w:color w:val="auto"/>
        </w:rPr>
        <w:t>Working Capital Shares</w:t>
      </w:r>
      <w:r>
        <w:rPr>
          <w:rFonts w:ascii="Arial" w:cs="Arial" w:eastAsia="Arial" w:hAnsi="Arial"/>
          <w:sz w:val="17"/>
          <w:szCs w:val="17"/>
          <w:color w:val="auto"/>
        </w:rPr>
        <w:t>”) at a price of $10.00 per share at the option of the lender; and</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Holders desire to enter into this Agreement, pursuant to which the Company shall grant the Holders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rights with respect to certain securities of the Company, as set forth in this Agreement.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intending to be legally bound, hereby agree as follows: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The terms defined in this </w:t>
      </w:r>
      <w:r>
        <w:rPr>
          <w:rFonts w:ascii="Arial" w:cs="Arial" w:eastAsia="Arial" w:hAnsi="Arial"/>
          <w:sz w:val="16"/>
          <w:szCs w:val="16"/>
          <w:i w:val="1"/>
          <w:iCs w:val="1"/>
          <w:u w:val="single" w:color="auto"/>
          <w:color w:val="auto"/>
        </w:rPr>
        <w:t>Article I</w:t>
      </w:r>
      <w:r>
        <w:rPr>
          <w:rFonts w:ascii="Arial" w:cs="Arial" w:eastAsia="Arial" w:hAnsi="Arial"/>
          <w:sz w:val="16"/>
          <w:szCs w:val="16"/>
          <w:color w:val="auto"/>
        </w:rPr>
        <w:t xml:space="preserve"> shall, for all purposes of this Agreement, have the respective meanings set forth below:</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Adverse Disclosure</w:t>
      </w:r>
      <w:r>
        <w:rPr>
          <w:rFonts w:ascii="Arial" w:cs="Arial" w:eastAsia="Arial" w:hAnsi="Arial"/>
          <w:sz w:val="16"/>
          <w:szCs w:val="16"/>
          <w:color w:val="auto"/>
        </w:rPr>
        <w:t>” shall mean any public disclosure of material non-public information, which disclosure, in the good faith judgment of the Chief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any merger, capital stock exchange, asset acquisition, stock purchase, reorganization or other similar business combination with one or more businesses,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it may be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Shares</w:t>
      </w:r>
      <w:r>
        <w:rPr>
          <w:rFonts w:ascii="Arial" w:cs="Arial" w:eastAsia="Arial" w:hAnsi="Arial"/>
          <w:sz w:val="18"/>
          <w:szCs w:val="18"/>
          <w:color w:val="auto"/>
        </w:rPr>
        <w:t>” shall have the meaning given in the Recitals hereto and shall be deemed to include the shares of Common Stock issuable upon conversion thereof.</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 shall mean, with respect to the Founder Shares, the period ending on the earlier of (A) one year after the completion of the Company’s initial Business Combination and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Insider Letter</w:t>
      </w:r>
      <w:r>
        <w:rPr>
          <w:rFonts w:ascii="Arial" w:cs="Arial" w:eastAsia="Arial" w:hAnsi="Arial"/>
          <w:sz w:val="18"/>
          <w:szCs w:val="18"/>
          <w:color w:val="auto"/>
        </w:rPr>
        <w:t>” shall mean that certain letter agreement, dated as of August 11, 2020, by and among the Company, the Sponsor and each of the Company’s officers, directors and director nominees.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shall mean any person or entity to whom a Holder of Registrable Securities is permitted to transfer such Registrable Securities prior to the expiration of the Founder Shares Lock-up Period, Private Placement Lock-up Period or any other lock-up period, as the case may be, under the Insider Letter, the Private Placement Class A Common Stock Purchase Agreement, this Agreement and any other applicable agreement between such Holder and the Company, and to any transferee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2.2.1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Placement Lock-up Period</w:t>
      </w:r>
      <w:r>
        <w:rPr>
          <w:rFonts w:ascii="Arial" w:cs="Arial" w:eastAsia="Arial" w:hAnsi="Arial"/>
          <w:sz w:val="16"/>
          <w:szCs w:val="16"/>
          <w:color w:val="auto"/>
        </w:rPr>
        <w:t>” shall mean, with respect to Private Placement Shares that are held by the initial purchasers of such Private Placement Shares or their Permitted Transferees, the period ending 30 days after the completion of the Company’s initial Business Combination.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Shares</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Private Placement Class A Common Stock Purchase Agreement</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Security</w:t>
      </w:r>
      <w:r>
        <w:rPr>
          <w:rFonts w:ascii="Arial" w:cs="Arial" w:eastAsia="Arial" w:hAnsi="Arial"/>
          <w:sz w:val="17"/>
          <w:szCs w:val="17"/>
          <w:color w:val="auto"/>
        </w:rPr>
        <w:t xml:space="preserve">” shall mean (a) the Founder Shares and the shares of Common Stock issued or issuable upon the conversion of the Founder Shares, (b) the Private Placement Shares, (c) any outstanding shares of Common Stock or any other equity security (including the shares of Common Stock issued or issuable upon the conversion of any other equity security) of the Company held by a Holder as of the date of this Agreement, (d) the Working Capital Shares and (e)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(C) such securities shall have ceased to be outstanding; (D) such securities may be sold without registration pursuant to Rule 144 promulgated under the Securities Act (or any successor rule promulgated thereafter by the Commission) (but with no volume or other restrictions or limitations); or (E) such securities have been sold to, or through, a broker, dealer or underwriter in a public distribution or other public securities transaction.</w:t>
      </w:r>
    </w:p>
    <w:p>
      <w:pPr>
        <w:spacing w:after="0" w:line="18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225" w:lineRule="exact"/>
        <w:rPr>
          <w:sz w:val="20"/>
          <w:szCs w:val="20"/>
          <w:color w:val="auto"/>
        </w:rPr>
      </w:pPr>
    </w:p>
    <w:p>
      <w:pPr>
        <w:ind w:firstLine="656"/>
        <w:spacing w:after="0" w:line="277" w:lineRule="auto"/>
        <w:tabs>
          <w:tab w:leader="none" w:pos="894"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ind w:firstLine="656"/>
        <w:spacing w:after="0" w:line="277" w:lineRule="auto"/>
        <w:tabs>
          <w:tab w:leader="none" w:pos="9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225" w:lineRule="exact"/>
        <w:rPr>
          <w:rFonts w:ascii="Arial" w:cs="Arial" w:eastAsia="Arial" w:hAnsi="Arial"/>
          <w:sz w:val="18"/>
          <w:szCs w:val="18"/>
          <w:color w:val="auto"/>
        </w:rPr>
      </w:pPr>
    </w:p>
    <w:p>
      <w:pPr>
        <w:ind w:firstLine="656"/>
        <w:spacing w:after="0" w:line="277" w:lineRule="auto"/>
        <w:tabs>
          <w:tab w:leader="none" w:pos="907"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and</w:t>
      </w:r>
    </w:p>
    <w:p>
      <w:pPr>
        <w:spacing w:after="0" w:line="170" w:lineRule="exact"/>
        <w:rPr>
          <w:rFonts w:ascii="Arial" w:cs="Arial" w:eastAsia="Arial" w:hAnsi="Arial"/>
          <w:sz w:val="18"/>
          <w:szCs w:val="18"/>
          <w:color w:val="auto"/>
        </w:rPr>
      </w:pPr>
    </w:p>
    <w:p>
      <w:pPr>
        <w:ind w:firstLine="656"/>
        <w:spacing w:after="0" w:line="277" w:lineRule="auto"/>
        <w:tabs>
          <w:tab w:leader="none" w:pos="898"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initiating a Demand Registration to be registered for offer and sale in the applicable Registration.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Requesting Holder</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shall have the meaning given in the Recitals hereto.</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Underwritten Offering</w:t>
      </w:r>
      <w:r>
        <w:rPr>
          <w:rFonts w:ascii="Arial" w:cs="Arial" w:eastAsia="Arial" w:hAnsi="Arial"/>
          <w:sz w:val="18"/>
          <w:szCs w:val="18"/>
          <w:color w:val="auto"/>
        </w:rPr>
        <w:t>” shall mean a Registration in which securities of the Company are sold to an Underwriter in a firm commitment underwriting for distribution to the public.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Shares</w:t>
      </w:r>
      <w:r>
        <w:rPr>
          <w:rFonts w:ascii="Arial" w:cs="Arial" w:eastAsia="Arial" w:hAnsi="Arial"/>
          <w:sz w:val="18"/>
          <w:szCs w:val="18"/>
          <w:color w:val="auto"/>
        </w:rPr>
        <w:t>” shall have the meaning given in the Recitals hereto.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2.1 Demand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at any time and from time to time on or after the date the Company consummates the Business Combination, the Holders of at least fifteen percent (15%) of the then-outstanding number of Registrable Securities (the “</w:t>
      </w:r>
      <w:r>
        <w:rPr>
          <w:rFonts w:ascii="Arial" w:cs="Arial" w:eastAsia="Arial" w:hAnsi="Arial"/>
          <w:sz w:val="16"/>
          <w:szCs w:val="16"/>
          <w:b w:val="1"/>
          <w:bCs w:val="1"/>
          <w:i w:val="1"/>
          <w:iCs w:val="1"/>
          <w:color w:val="auto"/>
        </w:rPr>
        <w:t>Demanding Holders</w:t>
      </w:r>
      <w:r>
        <w:rPr>
          <w:rFonts w:ascii="Arial" w:cs="Arial" w:eastAsia="Arial" w:hAnsi="Arial"/>
          <w:sz w:val="16"/>
          <w:szCs w:val="16"/>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6"/>
          <w:szCs w:val="16"/>
          <w:b w:val="1"/>
          <w:bCs w:val="1"/>
          <w:i w:val="1"/>
          <w:iCs w:val="1"/>
          <w:color w:val="auto"/>
        </w:rPr>
        <w:t>Requesting Holder</w:t>
      </w:r>
      <w:r>
        <w:rPr>
          <w:rFonts w:ascii="Arial" w:cs="Arial" w:eastAsia="Arial" w:hAnsi="Arial"/>
          <w:sz w:val="16"/>
          <w:szCs w:val="16"/>
          <w:color w:val="auto"/>
        </w:rPr>
        <w:t xml:space="preserve">” shall so notify the Company, in writing, within five (5)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Form S-1 or any similar long-form registration statement that may be available at such time (“</w:t>
      </w:r>
      <w:r>
        <w:rPr>
          <w:rFonts w:ascii="Arial" w:cs="Arial" w:eastAsia="Arial" w:hAnsi="Arial"/>
          <w:sz w:val="16"/>
          <w:szCs w:val="16"/>
          <w:b w:val="1"/>
          <w:bCs w:val="1"/>
          <w:i w:val="1"/>
          <w:iCs w:val="1"/>
          <w:color w:val="auto"/>
        </w:rPr>
        <w:t>Form S-1</w:t>
      </w:r>
      <w:r>
        <w:rPr>
          <w:rFonts w:ascii="Arial" w:cs="Arial" w:eastAsia="Arial" w:hAnsi="Arial"/>
          <w:sz w:val="16"/>
          <w:szCs w:val="16"/>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of this Agreement.</w:t>
      </w:r>
    </w:p>
    <w:p>
      <w:pPr>
        <w:spacing w:after="0" w:line="17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2"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both"/>
        <w:ind w:firstLine="1296"/>
        <w:spacing w:after="0" w:line="267"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Reduction of Underwritten Offering</w:t>
      </w:r>
      <w:r>
        <w:rPr>
          <w:rFonts w:ascii="Arial" w:cs="Arial" w:eastAsia="Arial" w:hAnsi="Arial"/>
          <w:sz w:val="17"/>
          <w:szCs w:val="17"/>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shares of Common Stock or other equity securities that the Company desires to sell and the shares of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i w:val="1"/>
          <w:iCs w:val="1"/>
          <w:color w:val="auto"/>
        </w:rPr>
        <w:t>Maximum Number of Securities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7"/>
          <w:szCs w:val="17"/>
          <w:b w:val="1"/>
          <w:bCs w:val="1"/>
          <w:i w:val="1"/>
          <w:iCs w:val="1"/>
          <w:color w:val="auto"/>
        </w:rPr>
        <w:t>Pro Rata</w:t>
      </w:r>
      <w:r>
        <w:rPr>
          <w:rFonts w:ascii="Arial" w:cs="Arial" w:eastAsia="Arial" w:hAnsi="Arial"/>
          <w:sz w:val="17"/>
          <w:szCs w:val="17"/>
          <w:color w:val="auto"/>
        </w:rPr>
        <w:t xml:space="preserve">”)) that can be sold without exceeding the Maximum Number of Securities; (ii) second, to the extent that the Maximum Number of Securities has not been reached under the foregoing clause (i), the Registrable Securities of Holders (Pro Rata, based on the respective number of Registrable Securities that each Holder has so requested)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without exceeding the Maximum Number of Securities; and (iii) third, to the extent that the Maximum Number of Securities has not been reached under the foregoing clauses (i) and (ii), the shares of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8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Demanding Holders initiating a Demand Registration or a majority-in- interest of the Requesting Holders (if any), pursuant to a Registration under </w:t>
      </w:r>
      <w:r>
        <w:rPr>
          <w:rFonts w:ascii="Arial" w:cs="Arial" w:eastAsia="Arial" w:hAnsi="Arial"/>
          <w:sz w:val="18"/>
          <w:szCs w:val="18"/>
          <w:u w:val="single" w:color="auto"/>
          <w:color w:val="auto"/>
        </w:rPr>
        <w:t>subsection 2.1.1</w:t>
      </w:r>
      <w:r>
        <w:rPr>
          <w:rFonts w:ascii="Arial" w:cs="Arial" w:eastAsia="Arial" w:hAnsi="Arial"/>
          <w:sz w:val="18"/>
          <w:szCs w:val="18"/>
          <w:color w:val="auto"/>
        </w:rPr>
        <w:t xml:space="preserve"> hereof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Piggyback Registration.</w:t>
      </w:r>
    </w:p>
    <w:p>
      <w:pPr>
        <w:spacing w:after="0" w:line="225"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(or by the Company and by the stockholders of the Company including, without limitation,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hereof),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6"/>
          <w:szCs w:val="16"/>
          <w:b w:val="1"/>
          <w:bCs w:val="1"/>
          <w:i w:val="1"/>
          <w:iCs w:val="1"/>
          <w:color w:val="auto"/>
        </w:rPr>
        <w:t>Piggyback Registration</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shall, in good faith, cause such Registrable Securities to be included in such Piggyback 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shall enter into an underwriting agreement in customary form with the Underwriter(s) selected for such Underwritten Offering by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jc w:val="both"/>
        <w:ind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 or Underwriters in an Underwritten Registration that is to be a Piggyback Registration, in good faith, advises the Company and the Holders of Registrable Securities participating in the Piggyback Registration in writing that the dollar amount or number of the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77" w:lineRule="exact"/>
        <w:rPr>
          <w:sz w:val="20"/>
          <w:szCs w:val="20"/>
          <w:color w:val="auto"/>
        </w:rPr>
      </w:pPr>
    </w:p>
    <w:p>
      <w:pPr>
        <w:jc w:val="both"/>
        <w:ind w:left="660" w:firstLine="1292"/>
        <w:spacing w:after="0" w:line="290" w:lineRule="auto"/>
        <w:tabs>
          <w:tab w:leader="none" w:pos="2214"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the Company’s account, the Company shall include in any such Registration (A) first, the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such Holder has requested be included in such Registration), which can be sold without exceeding the Maximum Number of Securities; and (C) third, to the extent that the Maximum Number of Securities has not been reached under the foregoing clauses (A) and (B), the shares of Common Stock, if any, as to which Registration has been requested pursuant to written contractual piggy-back registration rights of other stockholders of the Company, which can be sold without exceeding the Maximum Number of Securities;</w:t>
      </w:r>
    </w:p>
    <w:p>
      <w:pPr>
        <w:spacing w:after="0" w:line="165" w:lineRule="exact"/>
        <w:rPr>
          <w:rFonts w:ascii="Arial" w:cs="Arial" w:eastAsia="Arial" w:hAnsi="Arial"/>
          <w:sz w:val="16"/>
          <w:szCs w:val="16"/>
          <w:color w:val="auto"/>
        </w:rPr>
      </w:pPr>
    </w:p>
    <w:p>
      <w:pPr>
        <w:jc w:val="both"/>
        <w:ind w:left="660" w:firstLine="1292"/>
        <w:spacing w:after="0" w:line="287" w:lineRule="auto"/>
        <w:tabs>
          <w:tab w:leader="none" w:pos="222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If the Registration is pursuant to a request by persons or entities other than the Holders of Registrable Securities, then the Company shall include in any such Registration (A) first, the shares of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6"/>
          <w:szCs w:val="16"/>
          <w:u w:val="single" w:color="auto"/>
          <w:color w:val="auto"/>
        </w:rPr>
        <w:t>subsection 2.2.1</w:t>
      </w:r>
      <w:r>
        <w:rPr>
          <w:rFonts w:ascii="Arial" w:cs="Arial" w:eastAsia="Arial" w:hAnsi="Arial"/>
          <w:sz w:val="16"/>
          <w:szCs w:val="16"/>
          <w:color w:val="auto"/>
        </w:rPr>
        <w:t xml:space="preserve"> hereof, pro rata based on the respective number of Registrable Securities that each Holder has requested be included in such Registration and the aggregate number of Registrable Securities that the Holders have requested to be included in such Registration, which can be sold without exceeding the Maximum Number of Securities; (C) third, to the extent that the Maximum Number of Securities has not been reached under the foregoing clauses (A) and (B), the shares of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6" w:name="page77"/>
    <w:bookmarkEnd w:id="76"/>
    <w:p>
      <w:pPr>
        <w:jc w:val="both"/>
        <w:ind w:firstLine="1296"/>
        <w:spacing w:after="0" w:line="291"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any similar short form registration statement that may be available at such time (“</w:t>
      </w:r>
      <w:r>
        <w:rPr>
          <w:rFonts w:ascii="Arial" w:cs="Arial" w:eastAsia="Arial" w:hAnsi="Arial"/>
          <w:sz w:val="16"/>
          <w:szCs w:val="16"/>
          <w:b w:val="1"/>
          <w:bCs w:val="1"/>
          <w:i w:val="1"/>
          <w:iCs w:val="1"/>
          <w:color w:val="auto"/>
        </w:rPr>
        <w:t>Form S-3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such request through an Underwritten Offering. Within five (5) days of the Company’s receipt of a written request from a Holder or Holders of Registrable Securities for a Registration on Form S-3, the Company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the Company, in writing, within ten (10) days after the receipt by the Holder of the notice from the Company. As soon as practicable thereafter, but not more than twelve (12) days after the Company’s initial receipt of such written request for a Registration on Form S-3,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Restrictions on Registration Rights</w:t>
      </w:r>
      <w:r>
        <w:rPr>
          <w:rFonts w:ascii="Arial" w:cs="Arial" w:eastAsia="Arial" w:hAnsi="Arial"/>
          <w:sz w:val="16"/>
          <w:szCs w:val="16"/>
          <w:color w:val="auto"/>
        </w:rPr>
        <w:t xml:space="preserve">.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hereof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COMPANY PROCEDURES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If at any time on or after the date the Company consummates a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3.1.2 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78"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3.1.4 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3.1.6 provide a transfer agent and registrar for all such Registrable Securities no later than the effective date of such Registration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211"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4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3.1.8 at least five (5) days prior to the filing of any Registration Statement or Prospectus or any amendment or supplement to such Registration Statement or Prospectus furnish a copy thereof to each seller of such Registrable Securities and its counsel, including, without limitation, providing copies promptly upon receipt of any comment letters received with respect to any such Registration Statement or Prospectus;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4"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3.1.10 permit a representative of the Holders (such representative to be selected by a majority of the participating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representatives or Underwriters enter into a confidentiality agreement, in form and substance reasonably satisfactory to the Company, prior to the release or disclosure of any such information;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the Company may not include the name of any Holder or Underwriter or any information regarding any Holder or Underwriter in any Registration Statement or Prospectus, any amendment or supplement to such Registration Statement or Prospectus, any document that is to be incorporated by reference into such Registration Statement or Prospectus, or any response to any comment letter, without the prior written consent of such Holder or Underwriter and providing each such Holder or Underwriter a reasonable amount of time to review and comment on such applicable document, which comments the Company shall include unless contrary to applicable law;</w:t>
      </w:r>
    </w:p>
    <w:p>
      <w:pPr>
        <w:spacing w:after="0" w:line="185"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3.1.11 obtain a “cold comfort” letter from the Company’s independent registered public accountants in the event of an Underwritten Registration which the participating Holders may rely on, in customary form and covering such matters of the type customarily covered by “cold comfort” letters as the managing Underwriter may reasonably request, and reasonably satisfactory to a majority-in-interest of the participating Holders;</w:t>
      </w:r>
    </w:p>
    <w:p>
      <w:pPr>
        <w:spacing w:after="0" w:line="14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3.1.12 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1296"/>
        <w:spacing w:after="0" w:line="277" w:lineRule="auto"/>
        <w:rPr>
          <w:sz w:val="20"/>
          <w:szCs w:val="20"/>
          <w:color w:val="auto"/>
        </w:rPr>
      </w:pPr>
      <w:r>
        <w:rPr>
          <w:rFonts w:ascii="Arial" w:cs="Arial" w:eastAsia="Arial" w:hAnsi="Arial"/>
          <w:sz w:val="18"/>
          <w:szCs w:val="18"/>
          <w:color w:val="auto"/>
        </w:rPr>
        <w:t>3.1.13 in the event of any Underwritten Offering, enter into and perform its obligations under an underwriting agreement, in usual and customary form, with the managing Underwriter of such offering;</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14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3.1.15 if the Registration involves the Registration of Registrable Securities involving gross proceeds in excess of $25,000,000, use its reasonable efforts to make available senior executives of the Company to participate in customary “road show” presentations that may be reasonably requested by the Underwriter in any Underwritten Offering;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3.1.16 otherwise, in good faith, cooperate reasonably with, and take such customary actions as may reasonably be requested by the Holders, in connection with such Registration.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Requirements for Participation in Underwritten Offerings</w:t>
      </w:r>
      <w:r>
        <w:rPr>
          <w:rFonts w:ascii="Arial" w:cs="Arial" w:eastAsia="Arial" w:hAnsi="Arial"/>
          <w:sz w:val="18"/>
          <w:szCs w:val="18"/>
          <w:color w:val="auto"/>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Suspension of Sales; Adverse Disclosure</w:t>
      </w:r>
      <w:r>
        <w:rPr>
          <w:rFonts w:ascii="Arial" w:cs="Arial" w:eastAsia="Arial" w:hAnsi="Arial"/>
          <w:sz w:val="17"/>
          <w:szCs w:val="17"/>
          <w:color w:val="auto"/>
        </w:rPr>
        <w:t xml:space="preserv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w:t>
      </w:r>
      <w:r>
        <w:rPr>
          <w:rFonts w:ascii="Arial" w:cs="Arial" w:eastAsia="Arial" w:hAnsi="Arial"/>
          <w:sz w:val="17"/>
          <w:szCs w:val="17"/>
          <w:u w:val="single" w:color="auto"/>
          <w:color w:val="auto"/>
        </w:rPr>
        <w:t>Section 3.4</w:t>
      </w:r>
      <w:r>
        <w:rPr>
          <w:rFonts w:ascii="Arial" w:cs="Arial" w:eastAsia="Arial" w:hAnsi="Arial"/>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48"/>
        <w:spacing w:after="0" w:line="27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Reporting Obligations</w:t>
      </w:r>
      <w:r>
        <w:rPr>
          <w:rFonts w:ascii="Arial" w:cs="Arial" w:eastAsia="Arial" w:hAnsi="Arial"/>
          <w:sz w:val="17"/>
          <w:szCs w:val="17"/>
          <w:color w:val="auto"/>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legal opinions. Upon the request of any Holder, the Company shall deliver to such Holder a written certification of a duly authorized officer as to whether it has complied with such requirements.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CONTRIBUTION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9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86"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5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or communication under this Agreement must be in writing and given by (i) deposit in the United States mail, addressed to the party to be notified, postage prepaid and registered or certified with return receipt requested, (ii) 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600 Montgomery Street, Suite 4500, San Francisco, California 94111, and, if to any Holder, at such Holder’s address or contact information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Assignment; No Third Party Beneficiaries.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 This Agreement and the rights, duties and obligations of the Company hereunder may not be assigned or delegated by the Company in whole or in part.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5.2.2 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 but only if such Permitted Transferee agrees to become bound by the transfer restrictions set forth in this Agreement.</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5.2.3 This Agreement and the provisions hereof shall be binding upon and shall inure to the benefit of each of the parties and its successors and the permitted assigns of the Holders, which shall include Permitted Transferees.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5.2.4 This Agreement shall not confer any rights or benefits on any persons that are not parties hereto, other than as expressly set forth in this Agreement and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hereof.</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multiple counterparts (including facsimile or PDF counterparts), each of which shall be deemed an original, and all of which together shall constitute the same instrument, but only one of which need be produced.</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Governing Law; Venue</w:t>
      </w:r>
      <w:r>
        <w:rPr>
          <w:rFonts w:ascii="Arial" w:cs="Arial" w:eastAsia="Arial" w:hAnsi="Arial"/>
          <w:sz w:val="17"/>
          <w:szCs w:val="17"/>
          <w:color w:val="auto"/>
        </w:rPr>
        <w:t>. NOTWITHSTANDING THE PLACE WHERE THIS AGREEMENT MAY BE EXECUTED BY ANY OF THE PARTIES HERETO, THE PARTIES EXPRESSLY AGREE THAT (I) THIS AGREEMENT SHALL BE GOVERNED BY AND CONSTRUED UNDER THE LAWS OF THE STATE OF NEW YORK AS APPLIED TO AGREEMENTS AMONG NEW YORK RESIDENTS ENTERED INTO AND TO BE PERFORMED ENTIRELY WITHIN NEW YORK AND (II) THE VENUE FOR ANY ACTION TAKEN WITH RESPECT TO THIS AGREEMENT SHALL BE ANY STATE OR FEDERAL COURT IN NEW YORK COUNTY IN THE STATE OF NEW YORK.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53"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xml:space="preserve">.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This Agreement shall terminate upon the earlier of (i) the tenth anniversary of the date of this Agreement or (ii) the date as of which (A) all of the Registrable Securities have been sold pursuant to a Registration Statement (but in no event prior to the applicable period referred to in Section 4(a)(3) of the Securities Act and Rule 174 thereunder (or any successor rule promulgated thereafter by the Commission)) or (B) the Holders of all Registrable Securities are permitted to sell the Registrable Securities without registration pursuant to Rule 144 (or any similar provision) under the Securities Act with no volume or other restrictions or limitations.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i w:val="1"/>
          <w:iCs w:val="1"/>
          <w:u w:val="single" w:color="auto"/>
          <w:color w:val="auto"/>
        </w:rPr>
        <w:t>Article IV</w:t>
      </w:r>
      <w:r>
        <w:rPr>
          <w:rFonts w:ascii="Arial" w:cs="Arial" w:eastAsia="Arial" w:hAnsi="Arial"/>
          <w:sz w:val="16"/>
          <w:szCs w:val="16"/>
          <w:color w:val="auto"/>
        </w:rPr>
        <w:t xml:space="preserve"> hereof shall survive any termination.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caused this Agreement to be executed as of the date first written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 a Delaware corporation</w:t>
      </w:r>
    </w:p>
    <w:p>
      <w:pPr>
        <w:spacing w:after="0" w:line="225"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10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HOLDERS:</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FS DEVELOPMENT HOLDINGS, LLC, a Delaware limited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610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D. Ryan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Dennis D. Ryan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Robert Carey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Daniel Dubin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14605</wp:posOffset>
            </wp:positionV>
            <wp:extent cx="284607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Deepa Pakianathan</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PLACEMENT CLASS A COMMON STOCK PURCHASE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PRIVATE PLACEMENT CLASS A COMMON STOCK PURCHASE AGREEMENT, dated as of August 11, 2020 (as it may from time to time be amended and including all exhibits referenced herein, this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by and between FS Development Corp.,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FS Development Holdings, LLC, a Delaware limited liability company (the “</w:t>
      </w:r>
      <w:r>
        <w:rPr>
          <w:rFonts w:ascii="Arial" w:cs="Arial" w:eastAsia="Arial" w:hAnsi="Arial"/>
          <w:sz w:val="17"/>
          <w:szCs w:val="17"/>
          <w:b w:val="1"/>
          <w:bCs w:val="1"/>
          <w:color w:val="auto"/>
        </w:rPr>
        <w:t>Purchaser</w:t>
      </w:r>
      <w:r>
        <w:rPr>
          <w:rFonts w:ascii="Arial" w:cs="Arial" w:eastAsia="Arial" w:hAnsi="Arial"/>
          <w:sz w:val="17"/>
          <w:szCs w:val="17"/>
          <w:color w:val="auto"/>
        </w:rPr>
        <w:t>”).</w:t>
      </w:r>
    </w:p>
    <w:p>
      <w:pPr>
        <w:spacing w:after="0" w:line="16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WHEREAS, the Company intends to consummate an initial public offering (the “</w:t>
      </w:r>
      <w:r>
        <w:rPr>
          <w:rFonts w:ascii="Arial" w:cs="Arial" w:eastAsia="Arial" w:hAnsi="Arial"/>
          <w:sz w:val="16"/>
          <w:szCs w:val="16"/>
          <w:b w:val="1"/>
          <w:bCs w:val="1"/>
          <w:color w:val="auto"/>
        </w:rPr>
        <w:t>Public Offering</w:t>
      </w:r>
      <w:r>
        <w:rPr>
          <w:rFonts w:ascii="Arial" w:cs="Arial" w:eastAsia="Arial" w:hAnsi="Arial"/>
          <w:sz w:val="16"/>
          <w:szCs w:val="16"/>
          <w:color w:val="auto"/>
        </w:rPr>
        <w:t>”) of shares of the Company’s Class A common stock, par value $0.0001 per share (the “</w:t>
      </w:r>
      <w:r>
        <w:rPr>
          <w:rFonts w:ascii="Arial" w:cs="Arial" w:eastAsia="Arial" w:hAnsi="Arial"/>
          <w:sz w:val="16"/>
          <w:szCs w:val="16"/>
          <w:b w:val="1"/>
          <w:bCs w:val="1"/>
          <w:color w:val="auto"/>
        </w:rPr>
        <w:t>Shares</w:t>
      </w:r>
      <w:r>
        <w:rPr>
          <w:rFonts w:ascii="Arial" w:cs="Arial" w:eastAsia="Arial" w:hAnsi="Arial"/>
          <w:sz w:val="16"/>
          <w:szCs w:val="16"/>
          <w:color w:val="auto"/>
        </w:rPr>
        <w:t>”). The Purchaser has agreed to purchase an aggregate of 410,000 Shares (or 441,500 Shares in the aggregate to the extent the over-allotment option in connection with the Public Offering is exercised in full) (the “</w:t>
      </w:r>
      <w:r>
        <w:rPr>
          <w:rFonts w:ascii="Arial" w:cs="Arial" w:eastAsia="Arial" w:hAnsi="Arial"/>
          <w:sz w:val="16"/>
          <w:szCs w:val="16"/>
          <w:b w:val="1"/>
          <w:bCs w:val="1"/>
          <w:color w:val="auto"/>
        </w:rPr>
        <w:t>Private Placement Shares</w:t>
      </w:r>
      <w:r>
        <w:rPr>
          <w:rFonts w:ascii="Arial" w:cs="Arial" w:eastAsia="Arial" w:hAnsi="Arial"/>
          <w:sz w:val="16"/>
          <w:szCs w:val="16"/>
          <w:color w:val="auto"/>
        </w:rPr>
        <w:t>”).</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1 Authorization, Purchase and Sale; Terms of the Private Placement Shares.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Authorization of the Private Placement Shares.</w:t>
      </w:r>
      <w:r>
        <w:rPr>
          <w:rFonts w:ascii="Arial" w:cs="Arial" w:eastAsia="Arial" w:hAnsi="Arial"/>
          <w:sz w:val="18"/>
          <w:szCs w:val="18"/>
          <w:color w:val="auto"/>
        </w:rPr>
        <w:t xml:space="preserve"> The Company has duly authorized the issuance and sale of the Private Placement Shares to the Purchaser.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Purchase and Sale of the Private Placement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the date of the consummation of the Public Offering or on such earlier time and date as may be mutually agreed by the Purchaser and the Company (the “</w:t>
      </w:r>
      <w:r>
        <w:rPr>
          <w:rFonts w:ascii="Arial" w:cs="Arial" w:eastAsia="Arial" w:hAnsi="Arial"/>
          <w:sz w:val="16"/>
          <w:szCs w:val="16"/>
          <w:b w:val="1"/>
          <w:bCs w:val="1"/>
          <w:color w:val="auto"/>
        </w:rPr>
        <w:t>Initial Closing Date</w:t>
      </w:r>
      <w:r>
        <w:rPr>
          <w:rFonts w:ascii="Arial" w:cs="Arial" w:eastAsia="Arial" w:hAnsi="Arial"/>
          <w:sz w:val="16"/>
          <w:szCs w:val="16"/>
          <w:color w:val="auto"/>
        </w:rPr>
        <w:t>”), the Company shall issue and sell to the Purchaser, and the Purchaser shall purchase from the Company, an aggregate of 410,000 Private Placement Shares at a price of $10.00 per share for an aggregate purchase price of $4,100,000 (the “</w:t>
      </w:r>
      <w:r>
        <w:rPr>
          <w:rFonts w:ascii="Arial" w:cs="Arial" w:eastAsia="Arial" w:hAnsi="Arial"/>
          <w:sz w:val="16"/>
          <w:szCs w:val="16"/>
          <w:b w:val="1"/>
          <w:bCs w:val="1"/>
          <w:color w:val="auto"/>
        </w:rPr>
        <w:t>Purchase Price</w:t>
      </w:r>
      <w:r>
        <w:rPr>
          <w:rFonts w:ascii="Arial" w:cs="Arial" w:eastAsia="Arial" w:hAnsi="Arial"/>
          <w:sz w:val="16"/>
          <w:szCs w:val="16"/>
          <w:color w:val="auto"/>
        </w:rPr>
        <w:t>”), which shall be paid by wire transfer of immediately available funds to the Company in accordance with the Company’s wiring instructions at least one business day prior to the date of effectiveness of the registration statement on Form S-1 (File No. 333-240098) filed in connection with the Public Offering. On the Initial Closing Date, the Company, shall either, at its option, deliver certificates evidencing the Private Placement Shares purchased by the Purchaser on such date duly registered in the Purchaser’s name to the Purchaser, or effect such delivery in book-entry form. On the date of any closing of the over-allotment option in connection with the Public Offering or on such earlier time and date as may be mutually agreed by the Purchaser and the Company (each such date, an “</w:t>
      </w:r>
      <w:r>
        <w:rPr>
          <w:rFonts w:ascii="Arial" w:cs="Arial" w:eastAsia="Arial" w:hAnsi="Arial"/>
          <w:sz w:val="16"/>
          <w:szCs w:val="16"/>
          <w:b w:val="1"/>
          <w:bCs w:val="1"/>
          <w:color w:val="auto"/>
        </w:rPr>
        <w:t>Over-allotment Closing Date</w:t>
      </w:r>
      <w:r>
        <w:rPr>
          <w:rFonts w:ascii="Arial" w:cs="Arial" w:eastAsia="Arial" w:hAnsi="Arial"/>
          <w:sz w:val="16"/>
          <w:szCs w:val="16"/>
          <w:color w:val="auto"/>
        </w:rPr>
        <w:t>,” and each Over-allotment Closing Date (if any) and the Initial Closing Date being sometimes referred to herein as a “</w:t>
      </w:r>
      <w:r>
        <w:rPr>
          <w:rFonts w:ascii="Arial" w:cs="Arial" w:eastAsia="Arial" w:hAnsi="Arial"/>
          <w:sz w:val="16"/>
          <w:szCs w:val="16"/>
          <w:b w:val="1"/>
          <w:bCs w:val="1"/>
          <w:color w:val="auto"/>
        </w:rPr>
        <w:t>Closing Date</w:t>
      </w:r>
      <w:r>
        <w:rPr>
          <w:rFonts w:ascii="Arial" w:cs="Arial" w:eastAsia="Arial" w:hAnsi="Arial"/>
          <w:sz w:val="16"/>
          <w:szCs w:val="16"/>
          <w:color w:val="auto"/>
        </w:rPr>
        <w:t>”), the Company shall issue and sell to the Purchaser, and the Purchaser shall purchase from the Company, up to an aggregate of 31,500 Private Placement Shares, in the same proportion as the amount of the over-allotment option that is exercised, at a price of $10.00 per share for an aggregate purchase price of up to $315,000 (if the over-allotment option in connection with the Public Offering is exercised in full) (the “</w:t>
      </w:r>
      <w:r>
        <w:rPr>
          <w:rFonts w:ascii="Arial" w:cs="Arial" w:eastAsia="Arial" w:hAnsi="Arial"/>
          <w:sz w:val="16"/>
          <w:szCs w:val="16"/>
          <w:b w:val="1"/>
          <w:bCs w:val="1"/>
          <w:color w:val="auto"/>
        </w:rPr>
        <w:t>Over-allotment Purchase Price</w:t>
      </w:r>
      <w:r>
        <w:rPr>
          <w:rFonts w:ascii="Arial" w:cs="Arial" w:eastAsia="Arial" w:hAnsi="Arial"/>
          <w:sz w:val="16"/>
          <w:szCs w:val="16"/>
          <w:color w:val="auto"/>
        </w:rPr>
        <w:t>”), which shall be paid by wire transfer of immediately available funds to the Company in accordance with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wiring instructions. On the Over-allotment Closing Date, upon the payment by the Purchaser of the Over-allotment Purchase Price payable by them by wire transfer of immediately available funds to the Company, the Company shall either, at its option, deliver certificates evidencing the Private Placement Shares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Terms of the Private Placement Shares.</w:t>
      </w:r>
    </w:p>
    <w:p>
      <w:pPr>
        <w:spacing w:after="0" w:line="225" w:lineRule="exact"/>
        <w:rPr>
          <w:sz w:val="20"/>
          <w:szCs w:val="20"/>
          <w:color w:val="auto"/>
        </w:rPr>
      </w:pPr>
    </w:p>
    <w:p>
      <w:pPr>
        <w:ind w:left="660" w:right="20" w:firstLine="644"/>
        <w:spacing w:after="0" w:line="277" w:lineRule="auto"/>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Private Placement Shares shall be subject to a letter agreement, dated as of the date hereof, by and among the Purchaser, the Company and certain of the Company’s directors and officers (a “</w:t>
      </w:r>
      <w:r>
        <w:rPr>
          <w:rFonts w:ascii="Arial" w:cs="Arial" w:eastAsia="Arial" w:hAnsi="Arial"/>
          <w:sz w:val="18"/>
          <w:szCs w:val="18"/>
          <w:b w:val="1"/>
          <w:bCs w:val="1"/>
          <w:color w:val="auto"/>
        </w:rPr>
        <w:t>Letter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660" w:firstLine="644"/>
        <w:spacing w:after="0" w:line="263" w:lineRule="auto"/>
        <w:tabs>
          <w:tab w:leader="none" w:pos="15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or prior to the time of the Initial Closing Date, the Company and the Purchaser shall enter into a registration rights agreement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pursuant to which the Company will grant certain registration rights to the Purchaser relating to the Private Placement Shares.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2 Representations and Warranties of the Company. </w:t>
      </w:r>
      <w:r>
        <w:rPr>
          <w:rFonts w:ascii="Arial" w:cs="Arial" w:eastAsia="Arial" w:hAnsi="Arial"/>
          <w:sz w:val="18"/>
          <w:szCs w:val="18"/>
          <w:color w:val="auto"/>
        </w:rPr>
        <w:t>As a material inducement to the Purchaser to enter into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Private Placement Shares, the Company hereby represents and warrants to the Purchaser (which representations and warranties shall survive each Closing Date) that:</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Organization and Corporate Power.</w:t>
      </w:r>
      <w:r>
        <w:rPr>
          <w:rFonts w:ascii="Arial" w:cs="Arial" w:eastAsia="Arial" w:hAnsi="Arial"/>
          <w:sz w:val="17"/>
          <w:szCs w:val="17"/>
          <w:color w:val="auto"/>
        </w:rPr>
        <w:t xml:space="preserve"> The Company is a corporation duly organized, validly existing and in good standing under the laws of the State of Delaware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 and the Letter Agreement.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263" w:lineRule="auto"/>
        <w:tabs>
          <w:tab w:leader="none" w:pos="15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and the Private Placement Shares have been duly authorized and approved by the Company as of each Closing Date. This Agreement constitutes a valid and binding obligation of the Company, enforceable in accordance with its terms.</w:t>
      </w:r>
    </w:p>
    <w:p>
      <w:pPr>
        <w:spacing w:after="0" w:line="183" w:lineRule="exact"/>
        <w:rPr>
          <w:rFonts w:ascii="Arial" w:cs="Arial" w:eastAsia="Arial" w:hAnsi="Arial"/>
          <w:sz w:val="18"/>
          <w:szCs w:val="18"/>
          <w:color w:val="auto"/>
        </w:rPr>
      </w:pPr>
    </w:p>
    <w:p>
      <w:pPr>
        <w:jc w:val="both"/>
        <w:ind w:firstLine="1304"/>
        <w:spacing w:after="0" w:line="290" w:lineRule="auto"/>
        <w:tabs>
          <w:tab w:leader="none" w:pos="1561"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and the Private Placement Shares, the issuance and sale of the Private Placement Shares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capital stock or assets under, (d) result in a violation of, or (e) require any authorization, consent, approval, exemption, action, notice, declaration or filing, in each case, by or to any court or administrative or governmental body or agency pursuant to the amended and restated certificate of incorporation or the bylaws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65" w:lineRule="exact"/>
        <w:rPr>
          <w:rFonts w:ascii="Arial" w:cs="Arial" w:eastAsia="Arial" w:hAnsi="Arial"/>
          <w:sz w:val="16"/>
          <w:szCs w:val="16"/>
          <w:color w:val="auto"/>
        </w:rPr>
      </w:pPr>
    </w:p>
    <w:p>
      <w:pPr>
        <w:jc w:val="both"/>
        <w:ind w:firstLine="656"/>
        <w:spacing w:after="0" w:line="257" w:lineRule="auto"/>
        <w:tabs>
          <w:tab w:leader="none" w:pos="858"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Title to Securities.</w:t>
      </w:r>
      <w:r>
        <w:rPr>
          <w:rFonts w:ascii="Arial" w:cs="Arial" w:eastAsia="Arial" w:hAnsi="Arial"/>
          <w:sz w:val="18"/>
          <w:szCs w:val="18"/>
          <w:color w:val="auto"/>
        </w:rPr>
        <w:t xml:space="preserve"> Upon issuance in accordance with, and payment pursuant to, the terms hereof, the Private Placement Shares will be duly and validly issued, fully paid and nonassessable. Upon issuance in accordance with, and payment pursuant to, the terms hereof, the Purchaser will have good title to the Private Placement Shares,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jc w:val="both"/>
        <w:ind w:firstLine="648"/>
        <w:spacing w:after="0" w:line="263"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xml:space="preserve">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 Representations and Warranties of the Purchaser. </w:t>
      </w:r>
      <w:r>
        <w:rPr>
          <w:rFonts w:ascii="Arial" w:cs="Arial" w:eastAsia="Arial" w:hAnsi="Arial"/>
          <w:sz w:val="18"/>
          <w:szCs w:val="18"/>
          <w:color w:val="auto"/>
        </w:rPr>
        <w:t>As a material inducement to the Company to enter into this Agreement and issue</w:t>
      </w:r>
      <w:r>
        <w:rPr>
          <w:rFonts w:ascii="Arial" w:cs="Arial" w:eastAsia="Arial" w:hAnsi="Arial"/>
          <w:sz w:val="18"/>
          <w:szCs w:val="18"/>
          <w:b w:val="1"/>
          <w:bCs w:val="1"/>
          <w:color w:val="auto"/>
        </w:rPr>
        <w:t xml:space="preserve"> </w:t>
      </w:r>
      <w:r>
        <w:rPr>
          <w:rFonts w:ascii="Arial" w:cs="Arial" w:eastAsia="Arial" w:hAnsi="Arial"/>
          <w:sz w:val="18"/>
          <w:szCs w:val="18"/>
          <w:color w:val="auto"/>
        </w:rPr>
        <w:t>and sell the Private Placement Shares to the Purchaser, the Purchaser hereby represents and warrants to the Company (which representations and warranties shall survive each Closing Date) that: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Organization and Requisite Authority.</w:t>
      </w:r>
      <w:r>
        <w:rPr>
          <w:rFonts w:ascii="Arial" w:cs="Arial" w:eastAsia="Arial" w:hAnsi="Arial"/>
          <w:sz w:val="18"/>
          <w:szCs w:val="18"/>
          <w:color w:val="auto"/>
        </w:rPr>
        <w:t xml:space="preserve"> The Purchaser possesses all requisite power and authority necessary to carry out the transactions contemplated by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Authorization; No Breach.</w:t>
      </w:r>
    </w:p>
    <w:p>
      <w:pPr>
        <w:spacing w:after="0" w:line="225" w:lineRule="exact"/>
        <w:rPr>
          <w:sz w:val="20"/>
          <w:szCs w:val="20"/>
          <w:color w:val="auto"/>
        </w:rPr>
      </w:pPr>
    </w:p>
    <w:p>
      <w:pPr>
        <w:jc w:val="both"/>
        <w:ind w:firstLine="1304"/>
        <w:spacing w:after="0" w:line="263" w:lineRule="auto"/>
        <w:tabs>
          <w:tab w:leader="none" w:pos="1537"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5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execution and delivery by the Purchaser of this Agreement and the fulfillment of and compliance with the terms hereof by the Purchaser does not and shall not as of each Closing Date conflict with or result in a breach by the Purchaser of the terms, conditions or provisions of any agreement, instrument, order, judgment or decree to which the Purchaser is subject that would materially impact its ability to perform its obligations hereunder.</w:t>
      </w:r>
    </w:p>
    <w:p>
      <w:pPr>
        <w:spacing w:after="0" w:line="186" w:lineRule="exact"/>
        <w:rPr>
          <w:rFonts w:ascii="Arial" w:cs="Arial" w:eastAsia="Arial" w:hAnsi="Arial"/>
          <w:sz w:val="18"/>
          <w:szCs w:val="18"/>
          <w:color w:val="auto"/>
        </w:rPr>
      </w:pPr>
    </w:p>
    <w:p>
      <w:pPr>
        <w:ind w:left="860" w:hanging="204"/>
        <w:spacing w:after="0"/>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p>
    <w:p>
      <w:pPr>
        <w:spacing w:after="0" w:line="221" w:lineRule="exact"/>
        <w:rPr>
          <w:rFonts w:ascii="Arial" w:cs="Arial" w:eastAsia="Arial" w:hAnsi="Arial"/>
          <w:sz w:val="18"/>
          <w:szCs w:val="18"/>
          <w:color w:val="auto"/>
        </w:rPr>
      </w:pPr>
    </w:p>
    <w:p>
      <w:pPr>
        <w:ind w:firstLine="1304"/>
        <w:spacing w:after="0" w:line="282" w:lineRule="auto"/>
        <w:tabs>
          <w:tab w:leader="none" w:pos="151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is acquiring the Private Placement Shares (the “</w:t>
      </w:r>
      <w:r>
        <w:rPr>
          <w:rFonts w:ascii="Arial" w:cs="Arial" w:eastAsia="Arial" w:hAnsi="Arial"/>
          <w:sz w:val="18"/>
          <w:szCs w:val="18"/>
          <w:b w:val="1"/>
          <w:bCs w:val="1"/>
          <w:color w:val="auto"/>
        </w:rPr>
        <w:t>Securities</w:t>
      </w:r>
      <w:r>
        <w:rPr>
          <w:rFonts w:ascii="Arial" w:cs="Arial" w:eastAsia="Arial" w:hAnsi="Arial"/>
          <w:sz w:val="18"/>
          <w:szCs w:val="18"/>
          <w:color w:val="auto"/>
        </w:rPr>
        <w:t>”), for the Purchaser’s own account, for investment purposes only and not with a view towards, or for resale in connection with, any public sale or distribution thereof.</w:t>
      </w:r>
    </w:p>
    <w:p>
      <w:pPr>
        <w:spacing w:after="0" w:line="165" w:lineRule="exact"/>
        <w:rPr>
          <w:rFonts w:ascii="Arial" w:cs="Arial" w:eastAsia="Arial" w:hAnsi="Arial"/>
          <w:sz w:val="18"/>
          <w:szCs w:val="18"/>
          <w:color w:val="auto"/>
        </w:rPr>
      </w:pPr>
    </w:p>
    <w:p>
      <w:pPr>
        <w:jc w:val="both"/>
        <w:ind w:firstLine="1304"/>
        <w:spacing w:after="0" w:line="263" w:lineRule="auto"/>
        <w:tabs>
          <w:tab w:leader="none" w:pos="15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is an “accredited investor” as such term is defined in Rule 501(a)(3) of Regulation D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Purchaser has not experienced a disqualifying event as enumerated pursuant to Rule 506(d) of Regulation D under the Securities Act.</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6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understands that the Securities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Securities.</w:t>
      </w:r>
    </w:p>
    <w:p>
      <w:pPr>
        <w:spacing w:after="0" w:line="186" w:lineRule="exact"/>
        <w:rPr>
          <w:rFonts w:ascii="Arial" w:cs="Arial" w:eastAsia="Arial" w:hAnsi="Arial"/>
          <w:sz w:val="18"/>
          <w:szCs w:val="18"/>
          <w:color w:val="auto"/>
        </w:rPr>
      </w:pPr>
    </w:p>
    <w:p>
      <w:pPr>
        <w:ind w:firstLine="1304"/>
        <w:spacing w:after="0" w:line="277" w:lineRule="auto"/>
        <w:tabs>
          <w:tab w:leader="none" w:pos="16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did not decide to enter into this Agreement as a result of any general solicitation or general advertising within the meaning of Rule 502(c) of Regulation D under the Securities Act.</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15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has been furnished with all materials relating to the business, finances and operations of the Company and materials relating to the offer and sale of the Securities which have been requested by the Purchaser. The Purchaser has been afforded the opportunity to ask questions of the executive officers and directors of the Company. The Purchaser understands that its investment in the Securities involves a high degree of risk and it has sought such accounting, legal and tax advice as it has considered necessary to make an informed investment decision with respect to the acquisition of the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1304"/>
        <w:spacing w:after="0" w:line="263" w:lineRule="auto"/>
        <w:tabs>
          <w:tab w:leader="none" w:pos="1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Purchaser understands that no United States federal or state agency or any other government or governmental agency has passed on or made any recommendation or endorsement of the Securities or the fairness or suitability of the investment in the Securities by the Purchaser nor have such authorities passed upon or endorsed the merits of the offering of the Securities.</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1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Purchaser understands that: (a) the Securities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Rights Agreement, neither the Company nor any other person is under any obligation to register the Securities under the Securities Act or any state securities laws or to comply with the terms and conditions of any exemption thereunder. While the Purchaser understands that Rule 144 under the Securities Act is not available for the resale of securities initially issued by shell companies (other than business combination related shell companies) or issuers that have been at any time previously a shell company, the Purchaser understands that Rule 144 includes an exception to this prohibition if the following conditions are met: (i) the issuer of the securities that was formerly a shell company has ceased to be a shell company; (ii) the issuer of the securities is subject to the reporting requirements of Section 13 or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(iii) the issuer of the securities has filed all Exchange Act reports and material required to be filed, as applicable, during the preceding 12 months (or such shorter period that the issuer was required to file such reports and materials), other than Form 8-K reports; and (iv) at least one year has elapsed from the time that the issuer filed current Form 10 type information with the U.S.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reflecting its status as an entity that is not a shell company.</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17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Purchaser has knowledge and experience in financial and business matters, understands the high degree of risk associated with investments in the securities of companies in the development stage such as the Company, is capable of evaluating the merits and risks of an investment in the Securities and is able to bear the economic risk of an investment in the Securities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Securities. The Purchaser can afford a complete loss of its investment in the Securities.</w:t>
      </w:r>
    </w:p>
    <w:p>
      <w:pPr>
        <w:spacing w:after="0" w:line="15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4 Conditions of the Purchaser’s Obligations. </w:t>
      </w:r>
      <w:r>
        <w:rPr>
          <w:rFonts w:ascii="Arial" w:cs="Arial" w:eastAsia="Arial" w:hAnsi="Arial"/>
          <w:sz w:val="18"/>
          <w:szCs w:val="18"/>
          <w:color w:val="auto"/>
        </w:rPr>
        <w:t>The obligations of the Purchaser to purchase and pay for the Private Placement Shares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fulfillment, on or before each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Company contained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Company shall have performed and complied with all agreements, obligations and conditions contained in this Agreement that are required to be performed or complied with by it on or before such Closing Date.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Letter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Letter Agreement and Registration Rights Agreement.</w:t>
      </w:r>
      <w:r>
        <w:rPr>
          <w:rFonts w:ascii="Arial" w:cs="Arial" w:eastAsia="Arial" w:hAnsi="Arial"/>
          <w:sz w:val="18"/>
          <w:szCs w:val="18"/>
          <w:color w:val="auto"/>
        </w:rPr>
        <w:t xml:space="preserve"> The Company shall have entered into the Letter Agreement and the Registration Rights Agreement, each on terms satisfactory to the Purchaser.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Letter Agreement and the issuance and sale of the Private Placement Shares hereunder.</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 Conditions of the Company’s Obligations. </w:t>
      </w:r>
      <w:r>
        <w:rPr>
          <w:rFonts w:ascii="Arial" w:cs="Arial" w:eastAsia="Arial" w:hAnsi="Arial"/>
          <w:sz w:val="18"/>
          <w:szCs w:val="18"/>
          <w:color w:val="auto"/>
        </w:rPr>
        <w:t>The obligations of the Company to the Purchaser under this Agreement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on or before each Closing Date, of each of the following conditions: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Purchaser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shall be true and correct at and as of such Closing Date as though then made.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The Purchaser shall have performed and complied with all agreements, obligations and conditions contained in this Agreement that are required to be performed or complied with by the Purchaser on or before such Closing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Consents.</w:t>
      </w:r>
      <w:r>
        <w:rPr>
          <w:rFonts w:ascii="Arial" w:cs="Arial" w:eastAsia="Arial" w:hAnsi="Arial"/>
          <w:sz w:val="18"/>
          <w:szCs w:val="18"/>
          <w:color w:val="auto"/>
        </w:rPr>
        <w:t xml:space="preserve"> The Company shall have obtained the consent of its Board of Directors authorizing the execution, delivery and performance of this Agreement and the Letter Agreement and the issuance and sale of the Private Placement Shares hereunder.</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Injunction.</w:t>
      </w:r>
      <w:r>
        <w:rPr>
          <w:rFonts w:ascii="Arial" w:cs="Arial" w:eastAsia="Arial" w:hAnsi="Arial"/>
          <w:sz w:val="16"/>
          <w:szCs w:val="16"/>
          <w:color w:val="auto"/>
        </w:rPr>
        <w:t xml:space="preserve">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 or the Letter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Letter Agreement.</w:t>
      </w:r>
      <w:r>
        <w:rPr>
          <w:rFonts w:ascii="Arial" w:cs="Arial" w:eastAsia="Arial" w:hAnsi="Arial"/>
          <w:sz w:val="18"/>
          <w:szCs w:val="18"/>
          <w:color w:val="auto"/>
        </w:rPr>
        <w:t xml:space="preserve"> The Company shall have entered into the Letter Agreement on terms satisfactory to the Company.</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 Termination. </w:t>
      </w:r>
      <w:r>
        <w:rPr>
          <w:rFonts w:ascii="Arial" w:cs="Arial" w:eastAsia="Arial" w:hAnsi="Arial"/>
          <w:sz w:val="18"/>
          <w:szCs w:val="18"/>
          <w:color w:val="auto"/>
        </w:rPr>
        <w:t>This Agreement may be terminated at any time after December 31, 2020 upon the election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upon written notice to the other party if the closing of the Public Offering does not occur prior to such date.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7 Survival of Representations and Warranties. </w:t>
      </w:r>
      <w:r>
        <w:rPr>
          <w:rFonts w:ascii="Arial" w:cs="Arial" w:eastAsia="Arial" w:hAnsi="Arial"/>
          <w:sz w:val="16"/>
          <w:szCs w:val="16"/>
          <w:color w:val="auto"/>
        </w:rPr>
        <w:t>All of the representations and warranties contained herein shall survive each Closing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8 Definitions. </w:t>
      </w:r>
      <w:r>
        <w:rPr>
          <w:rFonts w:ascii="Arial" w:cs="Arial" w:eastAsia="Arial" w:hAnsi="Arial"/>
          <w:sz w:val="18"/>
          <w:szCs w:val="18"/>
          <w:color w:val="auto"/>
        </w:rPr>
        <w:t>Terms used but not otherwise defined in this Agreement shall have the meaning assigned to such terms in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on Form S-1 the Company has filed with the SEC under the Securities 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b w:val="1"/>
          <w:bCs w:val="1"/>
          <w:color w:val="auto"/>
        </w:rPr>
        <w:t>Section 9 Miscellaneous.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without the prior written consent of the other party hereto, other than assignments by the Purchaser to its affiliates (including, without limitation, one or more of its members).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simultaneously in two or more counterparts, none of which need contain the signatures of more than one party, but all such counterparts taken together shall constitute one and the same agreement.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5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xml:space="preserve"> The descriptive headings of this Agreement are inserted for convenience only and do not constitute a substantive part of this Agreement. The use of the word “including’ in this Agreement shall be by way of example rather than by limitation.</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deemed to be a contract made under the laws of the State of New York and for all purposes shall be construed in accordance with the internal laws of the State of New York.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not be amended, modified or waived as to any particular provision, except by a written instrument executed by all parties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to be effective as of the date first set forth above.</w:t>
      </w:r>
    </w:p>
    <w:p>
      <w:pPr>
        <w:spacing w:after="0" w:line="22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FS DEVELOPMENT CORP., a Delaware corporation</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PURCHASER:</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FS DEVELOPMENT HOLDINGS, LLC, a Delaware limited</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p>
      <w:pPr>
        <w:ind w:left="6100"/>
        <w:spacing w:after="0"/>
        <w:tabs>
          <w:tab w:leader="none" w:pos="6520" w:val="left"/>
        </w:tabs>
        <w:rPr>
          <w:sz w:val="20"/>
          <w:szCs w:val="20"/>
          <w:color w:val="auto"/>
        </w:rPr>
      </w:pPr>
      <w:r>
        <w:rPr>
          <w:rFonts w:ascii="Arial" w:cs="Arial" w:eastAsia="Arial" w:hAnsi="Arial"/>
          <w:sz w:val="18"/>
          <w:szCs w:val="18"/>
          <w:color w:val="auto"/>
        </w:rPr>
        <w:t>By:</w:t>
        <w:tab/>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14605</wp:posOffset>
            </wp:positionV>
            <wp:extent cx="25628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[Signature Page to Private Placement Class A Common Stock Purchase Agreement]</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904" w:right="3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letter (this “</w:t>
      </w:r>
      <w:r>
        <w:rPr>
          <w:rFonts w:ascii="Arial" w:cs="Arial" w:eastAsia="Arial" w:hAnsi="Arial"/>
          <w:sz w:val="17"/>
          <w:szCs w:val="17"/>
          <w:b w:val="1"/>
          <w:bCs w:val="1"/>
          <w:i w:val="1"/>
          <w:iCs w:val="1"/>
          <w:color w:val="auto"/>
        </w:rPr>
        <w:t>Letter Agreement</w:t>
      </w:r>
      <w:r>
        <w:rPr>
          <w:rFonts w:ascii="Arial" w:cs="Arial" w:eastAsia="Arial" w:hAnsi="Arial"/>
          <w:sz w:val="17"/>
          <w:szCs w:val="17"/>
          <w:color w:val="auto"/>
        </w:rPr>
        <w:t>”)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FS Development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Jefferies LLC, as underwriter (the “</w:t>
      </w:r>
      <w:r>
        <w:rPr>
          <w:rFonts w:ascii="Arial" w:cs="Arial" w:eastAsia="Arial" w:hAnsi="Arial"/>
          <w:sz w:val="17"/>
          <w:szCs w:val="17"/>
          <w:b w:val="1"/>
          <w:bCs w:val="1"/>
          <w:i w:val="1"/>
          <w:iCs w:val="1"/>
          <w:color w:val="auto"/>
        </w:rPr>
        <w:t>Underwriter</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relating to an underwritten initial public offering (the “</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of up to 12,075,000 shares of the Company’s Class A common stock, par value $0.0001 per share (including up to 1,575,000 shares that may be purchased to cover over-allotments, if any)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The Class A Common Stock will be sold in the Public Offering pursuant to a registration statement on Form S-1 and prospectus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filed by the Company with the U.S.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and the Company has applied to have the Class A Common Stock listed on The Nasdaq Capital Market. Certain capitalized terms used herein are defined in paragraph 11 hereof.</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order to induce the Company and the Underwriter to enter into the Underwriting Agreement and to proceed with the Public Offering and for other good and valuable consideration, the receipt and sufficiency of which are hereby acknowledged, each of FS Development Holdings, LLC (the “</w:t>
      </w:r>
      <w:r>
        <w:rPr>
          <w:rFonts w:ascii="Arial" w:cs="Arial" w:eastAsia="Arial" w:hAnsi="Arial"/>
          <w:sz w:val="17"/>
          <w:szCs w:val="17"/>
          <w:b w:val="1"/>
          <w:bCs w:val="1"/>
          <w:i w:val="1"/>
          <w:iCs w:val="1"/>
          <w:color w:val="auto"/>
        </w:rPr>
        <w:t>Sponsor</w:t>
      </w:r>
      <w:r>
        <w:rPr>
          <w:rFonts w:ascii="Arial" w:cs="Arial" w:eastAsia="Arial" w:hAnsi="Arial"/>
          <w:sz w:val="17"/>
          <w:szCs w:val="17"/>
          <w:color w:val="auto"/>
        </w:rPr>
        <w:t>”) and the undersigned individuals, each of whom is a member of the Company’s board of directors and/or management team (each of the undersigned individuals, an “</w:t>
      </w:r>
      <w:r>
        <w:rPr>
          <w:rFonts w:ascii="Arial" w:cs="Arial" w:eastAsia="Arial" w:hAnsi="Arial"/>
          <w:sz w:val="17"/>
          <w:szCs w:val="17"/>
          <w:b w:val="1"/>
          <w:bCs w:val="1"/>
          <w:i w:val="1"/>
          <w:iCs w:val="1"/>
          <w:color w:val="auto"/>
        </w:rPr>
        <w:t>Insider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Insiders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hereby agrees with the Company as follows:</w:t>
      </w:r>
    </w:p>
    <w:p>
      <w:pPr>
        <w:spacing w:after="0" w:line="171" w:lineRule="exact"/>
        <w:rPr>
          <w:sz w:val="20"/>
          <w:szCs w:val="20"/>
          <w:color w:val="auto"/>
        </w:rPr>
      </w:pPr>
    </w:p>
    <w:p>
      <w:pPr>
        <w:jc w:val="both"/>
        <w:ind w:firstLine="656"/>
        <w:spacing w:after="0" w:line="275" w:lineRule="auto"/>
        <w:tabs>
          <w:tab w:leader="none" w:pos="83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Sponsor and each Insider agrees that if the Company seeks stockholder approval of a proposed Business Combination, then in connection with such proposed Business Combination, it, he or she shall (i) vote any shares of Common Stock (as defined below) owned by it, him or her in favor of any proposed Business Combination and (ii) not redeem any shares of Common Stock owned by it, him or her in connection with such stockholder approval. If the Company seeks to consummate a proposed Business Combination by engaging in a tender offer, the Sponsor and each Insider agrees that it, he or she will not sell or tender any shares of Common Stock owned by it, him or her in connection therewith.</w:t>
      </w:r>
    </w:p>
    <w:p>
      <w:pPr>
        <w:spacing w:after="0" w:line="176" w:lineRule="exact"/>
        <w:rPr>
          <w:rFonts w:ascii="Arial" w:cs="Arial" w:eastAsia="Arial" w:hAnsi="Arial"/>
          <w:sz w:val="17"/>
          <w:szCs w:val="17"/>
          <w:color w:val="auto"/>
        </w:rPr>
      </w:pPr>
    </w:p>
    <w:p>
      <w:pPr>
        <w:jc w:val="both"/>
        <w:ind w:firstLine="656"/>
        <w:spacing w:after="0" w:line="285" w:lineRule="auto"/>
        <w:tabs>
          <w:tab w:leader="none" w:pos="83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Sponsor and each Insider hereby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(as it may be amended from time to time, the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the Sponsor and each Insider shall take all reasonable steps to cause the Company to (i) cease all operations except for the purpose of winding up, (ii) as promptly as reasonably possible but not more than ten business days thereafter, redeem 100% of the shares of Class A Common Stock sold in the Public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at a per-share price, payable in cash, equal to the aggregate amount then on deposit in the Trust Account (as defined below), including interest earned on the funds held in the Trust Account and not previously released to the Company to pay its taxes (less up to $100,000 of interest to pay dissolution expenses), divided by the number of then outstanding Offering Shares, which redemption will completely extinguish all Public Stockholders’ (as defined below) rights as stockholders (including the right to receive further liquidating distributions, if any), and (iii) as promptly as reasonably possible following such redemption, subject to the approval of the Company’s remaining stockholders and the Company’s board of directors, liquidate and dissolve, subject in each case to the Company’s obligations under Delaware law to provide for claims of creditors and other requirements of applicable law. The Sponsor and each Insider agrees to not propose any amendment to the Charter to modify the substance or timing of the Company’s obligation to redeem 100% of the Offering Shares if the Company does not complete a Business Combination within the required time period set forth in the Charter or with respect to any other material provisions relating to stockholders’ rights or pre-initial business combination activity, unless the Company provides its Public Stockholders with the opportunity to redeem their Offering Shares upon approval of any such amendment at a per-share price, payable in cash, equal to the aggregate amount then on deposit in the Trust Account, including interest earned on the funds held in the Trust Account and not previously released to the Company to pay its taxes, divided by the number of then outstanding Offering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648"/>
        <w:spacing w:after="0" w:line="269" w:lineRule="auto"/>
        <w:rPr>
          <w:sz w:val="20"/>
          <w:szCs w:val="20"/>
          <w:color w:val="auto"/>
        </w:rPr>
      </w:pPr>
      <w:r>
        <w:rPr>
          <w:rFonts w:ascii="Arial" w:cs="Arial" w:eastAsia="Arial" w:hAnsi="Arial"/>
          <w:sz w:val="17"/>
          <w:szCs w:val="17"/>
          <w:color w:val="auto"/>
        </w:rPr>
        <w:t>The Sponsor and each Insider acknowledges that it, he or she has no right, title, interest or claim of any kind in or to any monies held in the Trust Account or any other asset of the Company as a result of any liquidation of the Company with respect to the Founder Shares held by it, him or her. The Sponsor and each Insider hereby further waives, with respect to any shares of Common Stock held by it, him or her, if any, any redemption rights it, he or she may have in connection with (A) the consummation of a Business Combination, including, without limitation, any such rights available in the context of a stockholder vote to approve such Business Combination, or (B) a stockholder vote to approve an amendment to the Charter to modify the substance or timing of the Company’s obligation to redeem 100% of the Offering Shares if the Company has not consummated a Business Combination within the time period set forth in the Charter or with respect to any other material provisions relating to stockholders’ rights or pre-initial business combination activity or in the context of a tender offer made by the Company to purchase Offering Shares (although the Sponsor, the Insiders and their respective affiliates shall be entitled to redemption and liquidation rights with respect to any Offering Shares it or they hold if the Company fails to consummate a Business Combination within the time period set forth in the Charter).</w:t>
      </w:r>
    </w:p>
    <w:p>
      <w:pPr>
        <w:spacing w:after="0" w:line="185" w:lineRule="exact"/>
        <w:rPr>
          <w:sz w:val="20"/>
          <w:szCs w:val="20"/>
          <w:color w:val="auto"/>
        </w:rPr>
      </w:pPr>
    </w:p>
    <w:p>
      <w:pPr>
        <w:jc w:val="both"/>
        <w:ind w:firstLine="656"/>
        <w:spacing w:after="0" w:line="283" w:lineRule="auto"/>
        <w:tabs>
          <w:tab w:leader="none" w:pos="829" w:val="left"/>
        </w:tabs>
        <w:numPr>
          <w:ilvl w:val="1"/>
          <w:numId w:val="76"/>
        </w:numPr>
        <w:rPr>
          <w:rFonts w:ascii="Arial" w:cs="Arial" w:eastAsia="Arial" w:hAnsi="Arial"/>
          <w:sz w:val="16"/>
          <w:szCs w:val="16"/>
          <w:color w:val="auto"/>
        </w:rPr>
      </w:pPr>
      <w:r>
        <w:rPr>
          <w:rFonts w:ascii="Arial" w:cs="Arial" w:eastAsia="Arial" w:hAnsi="Arial"/>
          <w:sz w:val="16"/>
          <w:szCs w:val="16"/>
          <w:color w:val="auto"/>
        </w:rPr>
        <w:t>Notwithstanding the provisions set forth in paragraphs in 7(a) and 7(b), during the period commencing on the effective date of the Underwriting Agreement and ending 180 days after such date, the Sponsor and each Insider shall not, without the prior written consent of the Underwriter,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rules and regulations of the Commission promulgated thereunder, with respect to shares of Common Stock (including, but not limited to, Founder Shares) or any securities convertible into, or exercisable, or exchangeable for, shares of Common Stock owned by it, him or her, (ii) enter into any swap or other arrangement that transfers to another, in whole or in part, any of the economic consequences of ownership of shares of Common Stock (including, but not limited to, Founder Shares) or any securities convertible into, or exercisable, or exchangeable for, shares of Common Stock owned by it, him or her, whether any such transaction is to be settled by delivery of such securities, in cash or otherwise, or</w:t>
      </w:r>
    </w:p>
    <w:p>
      <w:pPr>
        <w:spacing w:after="0" w:line="5" w:lineRule="exact"/>
        <w:rPr>
          <w:rFonts w:ascii="Arial" w:cs="Arial" w:eastAsia="Arial" w:hAnsi="Arial"/>
          <w:sz w:val="16"/>
          <w:szCs w:val="16"/>
          <w:color w:val="auto"/>
        </w:rPr>
      </w:pPr>
    </w:p>
    <w:p>
      <w:pPr>
        <w:jc w:val="both"/>
        <w:ind w:firstLine="8"/>
        <w:spacing w:after="0" w:line="268" w:lineRule="auto"/>
        <w:tabs>
          <w:tab w:leader="none" w:pos="328" w:val="left"/>
        </w:tabs>
        <w:numPr>
          <w:ilvl w:val="0"/>
          <w:numId w:val="77"/>
        </w:numPr>
        <w:rPr>
          <w:rFonts w:ascii="Arial" w:cs="Arial" w:eastAsia="Arial" w:hAnsi="Arial"/>
          <w:sz w:val="17"/>
          <w:szCs w:val="17"/>
          <w:color w:val="auto"/>
        </w:rPr>
      </w:pPr>
      <w:r>
        <w:rPr>
          <w:rFonts w:ascii="Arial" w:cs="Arial" w:eastAsia="Arial" w:hAnsi="Arial"/>
          <w:sz w:val="17"/>
          <w:szCs w:val="17"/>
          <w:color w:val="auto"/>
        </w:rPr>
        <w:t>publicly announce any intention to effect any transaction specified in clause (i) or (ii); provided, however, all of the foregoing does not apply to the forfeiture of any Founder Shares pursuant to their terms or any transfer of Founder Shares to any current or future independent director of the company (as long as such current or future independent director transferee is subject to this Letter Agreement or executes an agreement substantially identical to the terms of this Letter Agreement, as applicable to directors and officers at the time of such transfer; and as long as, to the extent any Section 16 reporting obligation is triggered as a result of such transfer, any related Section 16 filing includes a practical explanation as to the nature of the transfer). Each of the Insiders and the Sponsor acknowledges and agrees that, prior to the effective date of any release or waiver, of the restrictions set forth in this paragraph 3 or paragraph 7 below, the Company may announce the impending release or waiver by press release through a major news service at least two business days before the effective date of the release or waiver.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56"/>
        <w:spacing w:after="0" w:line="286" w:lineRule="auto"/>
        <w:tabs>
          <w:tab w:leader="none" w:pos="831"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 the event of the liquidation of the Trust Account upon the failure of the Company to consummate its initial Business Combination within the time period set forth in the Charter, the Sponsor (the “</w:t>
      </w:r>
      <w:r>
        <w:rPr>
          <w:rFonts w:ascii="Arial" w:cs="Arial" w:eastAsia="Arial" w:hAnsi="Arial"/>
          <w:sz w:val="16"/>
          <w:szCs w:val="16"/>
          <w:b w:val="1"/>
          <w:bCs w:val="1"/>
          <w:i w:val="1"/>
          <w:iCs w:val="1"/>
          <w:color w:val="auto"/>
        </w:rPr>
        <w:t>Indemnitor</w:t>
      </w:r>
      <w:r>
        <w:rPr>
          <w:rFonts w:ascii="Arial" w:cs="Arial" w:eastAsia="Arial" w:hAnsi="Arial"/>
          <w:sz w:val="16"/>
          <w:szCs w:val="16"/>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(other than the independent registered public accounting firm) or products sold to the Company or (ii) any prospective target business with which the Company has entered into a written letter of intent, confidentiality or other similar agreement or Business Combination agreement (a “</w:t>
      </w:r>
      <w:r>
        <w:rPr>
          <w:rFonts w:ascii="Arial" w:cs="Arial" w:eastAsia="Arial" w:hAnsi="Arial"/>
          <w:sz w:val="16"/>
          <w:szCs w:val="16"/>
          <w:b w:val="1"/>
          <w:bCs w:val="1"/>
          <w:i w:val="1"/>
          <w:iCs w:val="1"/>
          <w:color w:val="auto"/>
        </w:rPr>
        <w:t>Target</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provided, however, that such indemnification of the Company by the Indemnitor (x) shall apply only to the extent necessary to ensure that such claims by a third party for services rendered (other than the independent registered public accounting firm) or products sold to the Company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taxes payable, (y) shall not apply to any claims by a third party or a Target which executed a waiver of any and all rights to the monies held in the Trust Account (whether or not such waiver is enforceable) and (z) shall not apply to any claims under the Company’s indemnity of the Underwriter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67" w:lineRule="exact"/>
        <w:rPr>
          <w:rFonts w:ascii="Arial" w:cs="Arial" w:eastAsia="Arial" w:hAnsi="Arial"/>
          <w:sz w:val="16"/>
          <w:szCs w:val="16"/>
          <w:color w:val="auto"/>
        </w:rPr>
      </w:pPr>
    </w:p>
    <w:p>
      <w:pPr>
        <w:jc w:val="both"/>
        <w:ind w:firstLine="656"/>
        <w:spacing w:after="0" w:line="268" w:lineRule="auto"/>
        <w:tabs>
          <w:tab w:leader="none" w:pos="85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the extent that the Underwriter does not exercise its over-allotment option to purchase up to an additional 1,575,000 shares of Class A Common Stock within 45 days from the date of the Prospectus (and as further described in the Prospectus), the Sponsor agrees to forfeit, at no cost, a number of Founder Shares in the aggregate equal to 393,750 multiplied by a fraction, (i) the numerator of which is 1,575,000 minus the number of Class A Common Stock purchased by the Underwriter upon the exercise of their over-allotment option, and (ii) the denominator of which is 1,575,000. The forfeiture will be adjusted to the extent that the over-allotment option is not exercised in full by the Underwriter so that the Founder Shares will represent an aggregate of 20.0% of the Company’s issued and outstanding shares of Class A Common Stock after the Public Offering (not including Private Placement Shares (as defined below)). The Sponsor further agrees that to the extent that the size of the Public Offering is increased or decreased, the Company will purchase or sell Class A Common Stock or effect a share repurchase or share capitalization, as applicable, immediately prior to the consummation of the Public Offering in such amount as to maintain the number of Founder Shares at 20.0% of its issued and outstanding shares of Class A Common Stock upon the consummation of the Public Offering. In connection with such increase or decrease in the size of the Public Offering, then (A) the references to 1,575,000 in the numerator and denominator of the formula in the first sentence of this paragraph shall be changed to a number equal to 15% of the number of shares of Class A Common Stock issued in the Public Offering and (B) the reference to 393,750 in the formula set forth in the first sentence of this paragraph shall be adjusted to such number of Founder Shares that the Sponsor would have to surrender to the Company in order for the number of Founder Shares to equal an aggregate of 20.0% of the Company’s issued and outstanding shares of Class A Common Stock after the Public Offering (not including Private Placement Shares).</w:t>
      </w:r>
    </w:p>
    <w:p>
      <w:pPr>
        <w:spacing w:after="0" w:line="181" w:lineRule="exact"/>
        <w:rPr>
          <w:rFonts w:ascii="Arial" w:cs="Arial" w:eastAsia="Arial" w:hAnsi="Arial"/>
          <w:sz w:val="17"/>
          <w:szCs w:val="17"/>
          <w:color w:val="auto"/>
        </w:rPr>
      </w:pPr>
    </w:p>
    <w:p>
      <w:pPr>
        <w:jc w:val="both"/>
        <w:ind w:firstLine="656"/>
        <w:spacing w:after="0" w:line="259" w:lineRule="auto"/>
        <w:tabs>
          <w:tab w:leader="none" w:pos="8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Sponsor and each Insider hereby agrees and acknowledges that: (i) the Underwriter and the Company would be irreparably injured in the event of a breach by such Sponsor or an Insider of its, his or her obligations under paragraphs 1, 2, 3, 4, 5, 7(a), 7(b) and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56"/>
        <w:spacing w:after="0" w:line="272" w:lineRule="auto"/>
        <w:tabs>
          <w:tab w:leader="none" w:pos="847"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The Sponsor and each Insider agrees that it, he or she shall not Transfer any Founder Shares (or any shares of Class A Common Stock issuable upon conversion thereof) until the earlier of (A) one year after the completion of the Company’s initial Business Combination and (B) subsequent to the Business Combination, (x) if the closing price of the Class A Common Stock equals or exceeds $12.00 per share (as adjusted for stock splits, stock dividends, reorganizations, recapitalizations and the like) for any 20 trading days within any 30-trading day period commencing at least 150 days after the Company’s initial Business Combination or (y) the date on which the Company completes a liquidation, merger, capital stock exchange, reorganization or other similar transaction that results in all of the Company’s stockholders having the right to exchange their shares of Class A Common Stock for cash, securities or other property (the “</w:t>
      </w:r>
      <w:r>
        <w:rPr>
          <w:rFonts w:ascii="Arial" w:cs="Arial" w:eastAsia="Arial" w:hAnsi="Arial"/>
          <w:sz w:val="17"/>
          <w:szCs w:val="17"/>
          <w:b w:val="1"/>
          <w:bCs w:val="1"/>
          <w:i w:val="1"/>
          <w:iCs w:val="1"/>
          <w:color w:val="auto"/>
        </w:rPr>
        <w:t>Founder Shares Lock-up Period</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7" w:lineRule="exact"/>
        <w:rPr>
          <w:rFonts w:ascii="Arial" w:cs="Arial" w:eastAsia="Arial" w:hAnsi="Arial"/>
          <w:sz w:val="17"/>
          <w:szCs w:val="17"/>
          <w:color w:val="auto"/>
        </w:rPr>
      </w:pPr>
    </w:p>
    <w:p>
      <w:pPr>
        <w:jc w:val="both"/>
        <w:ind w:firstLine="1304"/>
        <w:spacing w:after="0" w:line="263" w:lineRule="auto"/>
        <w:tabs>
          <w:tab w:leader="none" w:pos="1581"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Sponsor and each Insider agrees that it, he or she shall not Transfer any Private Placement Shares, until 30 days after the completion of a Business Combination (the “</w:t>
      </w:r>
      <w:r>
        <w:rPr>
          <w:rFonts w:ascii="Arial" w:cs="Arial" w:eastAsia="Arial" w:hAnsi="Arial"/>
          <w:sz w:val="18"/>
          <w:szCs w:val="18"/>
          <w:b w:val="1"/>
          <w:bCs w:val="1"/>
          <w:i w:val="1"/>
          <w:iCs w:val="1"/>
          <w:color w:val="auto"/>
        </w:rPr>
        <w:t>Private Placement Shares Lock-up Period</w:t>
      </w:r>
      <w:r>
        <w:rPr>
          <w:rFonts w:ascii="Arial" w:cs="Arial" w:eastAsia="Arial" w:hAnsi="Arial"/>
          <w:sz w:val="18"/>
          <w:szCs w:val="18"/>
          <w:color w:val="auto"/>
        </w:rPr>
        <w:t>”, together with the Founder Shares Lock-up Period, the “</w:t>
      </w:r>
      <w:r>
        <w:rPr>
          <w:rFonts w:ascii="Arial" w:cs="Arial" w:eastAsia="Arial" w:hAnsi="Arial"/>
          <w:sz w:val="18"/>
          <w:szCs w:val="18"/>
          <w:b w:val="1"/>
          <w:bCs w:val="1"/>
          <w:i w:val="1"/>
          <w:iCs w:val="1"/>
          <w:color w:val="auto"/>
        </w:rPr>
        <w:t>Lock-up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Periods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1554" w:val="left"/>
        </w:tabs>
        <w:numPr>
          <w:ilvl w:val="1"/>
          <w:numId w:val="79"/>
        </w:numPr>
        <w:rPr>
          <w:rFonts w:ascii="Arial" w:cs="Arial" w:eastAsia="Arial" w:hAnsi="Arial"/>
          <w:sz w:val="16"/>
          <w:szCs w:val="16"/>
          <w:color w:val="auto"/>
        </w:rPr>
      </w:pPr>
      <w:r>
        <w:rPr>
          <w:rFonts w:ascii="Arial" w:cs="Arial" w:eastAsia="Arial" w:hAnsi="Arial"/>
          <w:sz w:val="16"/>
          <w:szCs w:val="16"/>
          <w:color w:val="auto"/>
        </w:rPr>
        <w:t xml:space="preserve">Notwithstanding the provisions set forth in paragraphs 7(a) and (b), Transfers of the Founder Shares, Private Placement Shares and shares of Class A Common Stock issued or issuable upon the conversion of the Founder Shares that are held by the Sponsor, any Insider or any of their permitted transferees (that have complied with this paragraph 7(c)), are permitted (a) to the Company’s officers or directors, any affiliate or family member of any of the Company’s officers or directors, any affiliate of the Sponsor or to any members of the Sponsor or any of their affiliates; (b) in the case of an individual, by gift to a member of such individual’s immediate family or to a trust, the beneficiary of which is a member of such individual’s immediate family, an affiliate of such individual or to a charitable organization; (c) in the case of an individual, by virtue of laws of descent and distribution upon death of such individual; (d) in the case of an individual, pursuant to a qualified domestic relations order; (e) by private sales or transfers made in connection with any forward purchase agreement or similar arrangement or in connection with the consummation of an initial Business Combination at prices no greater than the price at which the securities were originally purchased; (f) in the event of the Company’s liquidation prior to the completion of an initial Business Combination; (g) by virtue of the laws of the State of Delaware or the Sponsor’s limited liability company agreement upon dissolution of the Sponsor; or (h) in the event of the Company’s liquidation, merger, capital stock exchange or other similar transaction which results in all of the Company’s stockholders having the right to exchange their shares of Class A Common Stock for cash, securities or other property subsequent to the Company’s completion of an initial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clauses (a) through (e) or (g), these permitted transferees must enter into a written agreement with the Company agreeing to be bound by the transfer restrictions herein and the other restrictions contained in this Agreement (including provisions relating to voting, the Trust Account and liquidating distributions).</w:t>
      </w:r>
    </w:p>
    <w:p>
      <w:pPr>
        <w:spacing w:after="0" w:line="167" w:lineRule="exact"/>
        <w:rPr>
          <w:rFonts w:ascii="Arial" w:cs="Arial" w:eastAsia="Arial" w:hAnsi="Arial"/>
          <w:sz w:val="16"/>
          <w:szCs w:val="16"/>
          <w:color w:val="auto"/>
        </w:rPr>
      </w:pPr>
    </w:p>
    <w:p>
      <w:pPr>
        <w:jc w:val="both"/>
        <w:ind w:firstLine="656"/>
        <w:spacing w:after="0" w:line="253" w:lineRule="auto"/>
        <w:tabs>
          <w:tab w:leader="none" w:pos="8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The Sponsor and each Insider’s questionnaire furnished to the Company is true and accurate in all respects.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jc w:val="both"/>
        <w:ind w:firstLine="656"/>
        <w:spacing w:after="0" w:line="286" w:lineRule="auto"/>
        <w:tabs>
          <w:tab w:leader="none" w:pos="831"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as disclosed in the Prospectus, neither the Sponsor nor any officer, nor any affiliate of the Sponsor or any officer, nor any director of the Company, shall receive from the Company any finder’s fee, reimbursement, consulting fee, non-cash payments, monies in respect of any repayment of a loan or other compensation prior to, or in connection with any services rendered in order to effectuate, the consummation of the Company’s initial Business Combination (regardless of the type of transaction that it is), other than the following, none of which will be made from the proceeds held in the Trust Account prior to the completion of the initial Business Combination: repayment of a loan and advances up to an aggregate of $200,000 made to the Company by the Sponsor; payments to the Sponsor for certain office space, secretarial and administrative services as may be reasonably required by the Company of $10,000 per month; reimbursement for any reasonable out-of-pocket expenses related to identifying, investigating, negotiating and completing an initial Business Combination, and repayment of loans, if any, and on such terms as to be determined by the Company from time to time, made by the Sponsor or an affiliate of the Sponsor or any of the Company’s officers or directors to finance transaction costs in connection with an intended initial Business Combination, provided, that, if the Company does not consummate an initial Business Combination, a portion of the working capital held outside the Trust Account may be used by the Company to repay such loaned amounts so long as no proceeds from the Trust Account are used for such repayment. Up to $1,500,000 of such loans may be convertible into shares of Class A Common Stock at a price of $10.00 per share at the option of the lender. Such shares of Class A Common Stock would be identical to the Private Placement Shares.</w:t>
      </w:r>
    </w:p>
    <w:p>
      <w:pPr>
        <w:spacing w:after="0" w:line="173" w:lineRule="exact"/>
        <w:rPr>
          <w:rFonts w:ascii="Arial" w:cs="Arial" w:eastAsia="Arial" w:hAnsi="Arial"/>
          <w:sz w:val="16"/>
          <w:szCs w:val="16"/>
          <w:color w:val="auto"/>
        </w:rPr>
      </w:pPr>
    </w:p>
    <w:p>
      <w:pPr>
        <w:jc w:val="both"/>
        <w:ind w:firstLine="656"/>
        <w:spacing w:after="0" w:line="259" w:lineRule="auto"/>
        <w:tabs>
          <w:tab w:leader="none" w:pos="91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and/or director on the board of directors of the Company and hereby consents to being named in the Prospectus as an officer and/or director of the Company.</w:t>
      </w:r>
    </w:p>
    <w:p>
      <w:pPr>
        <w:spacing w:after="0" w:line="186" w:lineRule="exact"/>
        <w:rPr>
          <w:rFonts w:ascii="Arial" w:cs="Arial" w:eastAsia="Arial" w:hAnsi="Arial"/>
          <w:sz w:val="18"/>
          <w:szCs w:val="18"/>
          <w:color w:val="auto"/>
        </w:rPr>
      </w:pPr>
    </w:p>
    <w:p>
      <w:pPr>
        <w:jc w:val="both"/>
        <w:ind w:firstLine="656"/>
        <w:spacing w:after="0" w:line="286" w:lineRule="auto"/>
        <w:tabs>
          <w:tab w:leader="none" w:pos="919" w:val="left"/>
        </w:tabs>
        <w:numPr>
          <w:ilvl w:val="0"/>
          <w:numId w:val="80"/>
        </w:numPr>
        <w:rPr>
          <w:rFonts w:ascii="Arial" w:cs="Arial" w:eastAsia="Arial" w:hAnsi="Arial"/>
          <w:sz w:val="16"/>
          <w:szCs w:val="16"/>
          <w:color w:val="auto"/>
        </w:rPr>
      </w:pPr>
      <w:r>
        <w:rPr>
          <w:rFonts w:ascii="Arial" w:cs="Arial" w:eastAsia="Arial" w:hAnsi="Arial"/>
          <w:sz w:val="16"/>
          <w:szCs w:val="16"/>
          <w:color w:val="auto"/>
        </w:rPr>
        <w:t>As used herein, (i)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shall mean a merger, capital stock exchange, asset acquisition, stock purchase, reorganization or similar business combination, involving the Company and one or more businesses; (ii)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shall mean the Class A common stock and Class B common stock; (iii) “</w:t>
      </w:r>
      <w:r>
        <w:rPr>
          <w:rFonts w:ascii="Arial" w:cs="Arial" w:eastAsia="Arial" w:hAnsi="Arial"/>
          <w:sz w:val="16"/>
          <w:szCs w:val="16"/>
          <w:b w:val="1"/>
          <w:bCs w:val="1"/>
          <w:i w:val="1"/>
          <w:iCs w:val="1"/>
          <w:color w:val="auto"/>
        </w:rPr>
        <w:t>Founder Shares</w:t>
      </w:r>
      <w:r>
        <w:rPr>
          <w:rFonts w:ascii="Arial" w:cs="Arial" w:eastAsia="Arial" w:hAnsi="Arial"/>
          <w:sz w:val="16"/>
          <w:szCs w:val="16"/>
          <w:color w:val="auto"/>
        </w:rPr>
        <w:t>” shall mean the 3,018,750 shares of Class B common stock issued and outstanding (up to 393,750 Shares of which are subject to complete or partial forfeiture if the over-allotment option is not exercised by the Underwriter); (iv) “</w:t>
      </w:r>
      <w:r>
        <w:rPr>
          <w:rFonts w:ascii="Arial" w:cs="Arial" w:eastAsia="Arial" w:hAnsi="Arial"/>
          <w:sz w:val="16"/>
          <w:szCs w:val="16"/>
          <w:b w:val="1"/>
          <w:bCs w:val="1"/>
          <w:i w:val="1"/>
          <w:iCs w:val="1"/>
          <w:color w:val="auto"/>
        </w:rPr>
        <w:t>Initial Stockholders</w:t>
      </w:r>
      <w:r>
        <w:rPr>
          <w:rFonts w:ascii="Arial" w:cs="Arial" w:eastAsia="Arial" w:hAnsi="Arial"/>
          <w:sz w:val="16"/>
          <w:szCs w:val="16"/>
          <w:color w:val="auto"/>
        </w:rPr>
        <w:t>” shall mean the Sponsor and any Insider that holds Founder Shares; (v) “</w:t>
      </w:r>
      <w:r>
        <w:rPr>
          <w:rFonts w:ascii="Arial" w:cs="Arial" w:eastAsia="Arial" w:hAnsi="Arial"/>
          <w:sz w:val="16"/>
          <w:szCs w:val="16"/>
          <w:b w:val="1"/>
          <w:bCs w:val="1"/>
          <w:i w:val="1"/>
          <w:iCs w:val="1"/>
          <w:color w:val="auto"/>
        </w:rPr>
        <w:t>Private Placement Shares</w:t>
      </w:r>
      <w:r>
        <w:rPr>
          <w:rFonts w:ascii="Arial" w:cs="Arial" w:eastAsia="Arial" w:hAnsi="Arial"/>
          <w:sz w:val="16"/>
          <w:szCs w:val="16"/>
          <w:color w:val="auto"/>
        </w:rPr>
        <w:t>” shall mean the 410,000 Shares (or 441,500 Shares if the over-allotment option is exercised in full) that the Sponsor has agreed to purchase for an aggregate purchase price of $4,100,000 (or $4,415,000 if the over-allotment option is exercised in full), or $10.00 per Share, in a private placement that shall occur simultaneously with the consummation of the Public Offering; (vi)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the Private Placement Shares and public share; (vii)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 shall mean the holders of securities issued in the Public Offering; (viii)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shall mean the trust fund into which a portion of the net proceeds of the Public Offering and the sale of the Private Placement Shares shall be deposited; and (ix)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56"/>
        <w:spacing w:after="0" w:line="263" w:lineRule="auto"/>
        <w:tabs>
          <w:tab w:leader="none" w:pos="9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83" w:lineRule="exact"/>
        <w:rPr>
          <w:rFonts w:ascii="Arial" w:cs="Arial" w:eastAsia="Arial" w:hAnsi="Arial"/>
          <w:sz w:val="18"/>
          <w:szCs w:val="18"/>
          <w:color w:val="auto"/>
        </w:rPr>
      </w:pPr>
    </w:p>
    <w:p>
      <w:pPr>
        <w:jc w:val="both"/>
        <w:ind w:firstLine="656"/>
        <w:spacing w:after="0" w:line="279" w:lineRule="auto"/>
        <w:tabs>
          <w:tab w:leader="none" w:pos="93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1" w:lineRule="exact"/>
        <w:rPr>
          <w:rFonts w:ascii="Arial" w:cs="Arial" w:eastAsia="Arial" w:hAnsi="Arial"/>
          <w:sz w:val="17"/>
          <w:szCs w:val="17"/>
          <w:color w:val="auto"/>
        </w:rPr>
      </w:pPr>
    </w:p>
    <w:p>
      <w:pPr>
        <w:jc w:val="both"/>
        <w:ind w:firstLine="656"/>
        <w:spacing w:after="0" w:line="259" w:lineRule="auto"/>
        <w:tabs>
          <w:tab w:leader="none" w:pos="942"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86" w:lineRule="exact"/>
        <w:rPr>
          <w:rFonts w:ascii="Arial" w:cs="Arial" w:eastAsia="Arial" w:hAnsi="Arial"/>
          <w:sz w:val="18"/>
          <w:szCs w:val="18"/>
          <w:color w:val="auto"/>
        </w:rPr>
      </w:pPr>
    </w:p>
    <w:p>
      <w:pPr>
        <w:jc w:val="both"/>
        <w:ind w:firstLine="656"/>
        <w:spacing w:after="0" w:line="259" w:lineRule="auto"/>
        <w:tabs>
          <w:tab w:leader="none" w:pos="934"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86" w:lineRule="exact"/>
        <w:rPr>
          <w:rFonts w:ascii="Arial" w:cs="Arial" w:eastAsia="Arial" w:hAnsi="Arial"/>
          <w:sz w:val="18"/>
          <w:szCs w:val="18"/>
          <w:color w:val="auto"/>
        </w:rPr>
      </w:pPr>
    </w:p>
    <w:p>
      <w:pPr>
        <w:ind w:firstLine="656"/>
        <w:spacing w:after="0" w:line="277" w:lineRule="auto"/>
        <w:tabs>
          <w:tab w:leader="none" w:pos="9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31"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and enforced in accordance with the laws of the State of New York.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1" w:lineRule="exact"/>
        <w:rPr>
          <w:rFonts w:ascii="Arial" w:cs="Arial" w:eastAsia="Arial" w:hAnsi="Arial"/>
          <w:sz w:val="17"/>
          <w:szCs w:val="17"/>
          <w:color w:val="auto"/>
        </w:rPr>
      </w:pPr>
    </w:p>
    <w:p>
      <w:pPr>
        <w:ind w:firstLine="656"/>
        <w:spacing w:after="0" w:line="342" w:lineRule="auto"/>
        <w:tabs>
          <w:tab w:leader="none" w:pos="926"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and closed by December 31, 2020; provided further that paragraph 4 of this Letter Agreement shall survive such liquidation.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ind w:left="676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HOLDINGS, LLC</w:t>
      </w:r>
    </w:p>
    <w:p>
      <w:pPr>
        <w:sectPr>
          <w:pgSz w:w="11900" w:h="16838" w:orient="portrait"/>
          <w:cols w:equalWidth="0" w:num="1">
            <w:col w:w="10139"/>
          </w:cols>
          <w:pgMar w:left="320" w:top="9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CORP.</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tab/>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14605</wp:posOffset>
            </wp:positionV>
            <wp:extent cx="25628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Title: Chief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Jim Tananbaum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Dennis D. Ryan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Michael Rome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Vikram Bajaj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Vikram Bajaj</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Robert Carey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Daniel Dubin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Deepa Pakianathan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1403350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6040" w:space="720"/>
            <w:col w:w="3379"/>
          </w:cols>
          <w:pgMar w:left="320" w:top="908" w:right="1440"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Montgomery Street, Suite 4500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California 94111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4500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Administrative Services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by and between FS Development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FS Development Holdings, LLC (the “</w:t>
      </w:r>
      <w:r>
        <w:rPr>
          <w:rFonts w:ascii="Arial" w:cs="Arial" w:eastAsia="Arial" w:hAnsi="Arial"/>
          <w:sz w:val="16"/>
          <w:szCs w:val="16"/>
          <w:b w:val="1"/>
          <w:bCs w:val="1"/>
          <w:i w:val="1"/>
          <w:iCs w:val="1"/>
          <w:color w:val="auto"/>
        </w:rPr>
        <w:t>Sponsor</w:t>
      </w:r>
      <w:r>
        <w:rPr>
          <w:rFonts w:ascii="Arial" w:cs="Arial" w:eastAsia="Arial" w:hAnsi="Arial"/>
          <w:sz w:val="16"/>
          <w:szCs w:val="16"/>
          <w:color w:val="auto"/>
        </w:rPr>
        <w:t>”), dated as of the date hereof, will confirm our agreement that, commencing on the date the securities of the Company are first listed on The Nasdaq Capital Market (the “</w:t>
      </w:r>
      <w:r>
        <w:rPr>
          <w:rFonts w:ascii="Arial" w:cs="Arial" w:eastAsia="Arial" w:hAnsi="Arial"/>
          <w:sz w:val="16"/>
          <w:szCs w:val="16"/>
          <w:b w:val="1"/>
          <w:bCs w:val="1"/>
          <w:i w:val="1"/>
          <w:iCs w:val="1"/>
          <w:color w:val="auto"/>
        </w:rPr>
        <w:t>Listing Date</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pursuant to a Registration Statement on Form S-1 and prospectus filed with the U.S. Securities and Exchange Commission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continuing until the earlier of the consummation by the Company of an initial business combination or the Company’s liquidation (in each case as described in the Registration Statement) (such earlier date hereinafter referred to as the “</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161" w:lineRule="exact"/>
        <w:rPr>
          <w:sz w:val="20"/>
          <w:szCs w:val="20"/>
          <w:color w:val="auto"/>
        </w:rPr>
      </w:pPr>
    </w:p>
    <w:p>
      <w:pPr>
        <w:jc w:val="both"/>
        <w:ind w:firstLine="656"/>
        <w:spacing w:after="0" w:line="259" w:lineRule="auto"/>
        <w:tabs>
          <w:tab w:leader="none" w:pos="8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Sponsor shall make available, or cause to be made available, to the Company, at 600 Montgomery Street, Suite 4500, San Francisco, California 94111 (or any successor location), office space and secretarial and administrative services as may be reasonably required by the Company. In exchange therefor, the Company shall pay the Sponsor $10,000 per month on the Listing Date and continuing monthly thereafter until the Termination Date; and</w:t>
      </w:r>
    </w:p>
    <w:p>
      <w:pPr>
        <w:spacing w:after="0" w:line="186" w:lineRule="exact"/>
        <w:rPr>
          <w:rFonts w:ascii="Arial" w:cs="Arial" w:eastAsia="Arial" w:hAnsi="Arial"/>
          <w:sz w:val="18"/>
          <w:szCs w:val="18"/>
          <w:color w:val="auto"/>
        </w:rPr>
      </w:pPr>
    </w:p>
    <w:p>
      <w:pPr>
        <w:jc w:val="both"/>
        <w:ind w:firstLine="656"/>
        <w:spacing w:after="0" w:line="254" w:lineRule="auto"/>
        <w:tabs>
          <w:tab w:leader="none" w:pos="83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Sponsor hereby irrevocably waives any and all right, title, interest, causes of action and claims of any kind as a result of, or arising out of, this Agreement (each,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and any and all right to seek payment of any amounts due to it out of, the trust account established for the benefit of the public stockholders of the Company and into which substantially all of the proceeds of the Company’s initial public offering will be deposited (the “</w:t>
      </w:r>
      <w:r>
        <w:rPr>
          <w:rFonts w:ascii="Arial" w:cs="Arial" w:eastAsia="Arial" w:hAnsi="Arial"/>
          <w:sz w:val="18"/>
          <w:szCs w:val="18"/>
          <w:b w:val="1"/>
          <w:bCs w:val="1"/>
          <w:i w:val="1"/>
          <w:iCs w:val="1"/>
          <w:color w:val="auto"/>
        </w:rPr>
        <w:t>Trust Account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hereby irrevocably waives any Claim it may have in the future as a result of, or arising out of, this Agreement, which Claim would reduce, encumber or otherwise adversely affect the Trust Account or any monies or other assets in the Trust Account, and further agrees not to seek recourse, reimbursement, payment or satisfaction of any Claim against the Trust Account or any monies or other assets in the Trust Account for any reason whatsoever.</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not be amended, modified or waived as to any particular provision, except by a written instrument executed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party hereto may assign either this Agreement or any of its rights, interests, or obligations hereunder without the prior written approval of the other party. Any purported assignment in violation of this paragraph shall be void and ineffectual and shall not operate to transfer or assign any interest or title to the purported assignee.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Agreement constitutes the entire relationship of the parties hereto, and any litigation between the parties (whether grounded in contract, tort, statute, law or equity) shall be governed by, construed in accordance with, and interpreted pursuant to the laws of the State of New York.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FS DEVELOPMENT CORP.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Jim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Jim Tananbaum</w:t>
      </w:r>
    </w:p>
    <w:p>
      <w:pPr>
        <w:spacing w:after="0" w:line="23" w:lineRule="exact"/>
        <w:rPr>
          <w:sz w:val="20"/>
          <w:szCs w:val="20"/>
          <w:color w:val="auto"/>
        </w:rPr>
      </w:pPr>
    </w:p>
    <w:p>
      <w:pPr>
        <w:jc w:val="right"/>
        <w:ind w:right="779"/>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FS DEVELOPMENT HOLDINGS,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Dennis D.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[Signature Page to Administrative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FS Development Corp., Sponsored by Foresite Capital, Announces Pricing of Upsized $105 Million Initial Public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San Francisco, CA – August 12, 2020 – FS Development Corp. (the “Company”) announced today that it priced its initial public offering of 10,500,000 shares of Class A common stock at $10.00 per share. The shares will be listed on The Nasdaq Capital Market and trade under the ticker symbol “FSDC” beginning August 12, 2020. The Company expects the offering to be consummated on August 14, 2020.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sponsored by Foresite Capital, is led by President and CEO Jim Tananbaum. The Company is a blank check company formed for the purpose of effecting a business combination with one or more businesses in the biotechnology sector.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Jefferies LLC is serving as the sole book runner for the offering. The Company has granted the underwriter a 45-day option to purchase up to an additional 1,575,000 shares of Class A common stock at the initial public offering price to cover over-allotments, if 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offering is being made only by means of a prospectus. When available, copies of the prospectus may be obtained from: Jefferies LLC, Attn: Equity</w:t>
      </w:r>
    </w:p>
    <w:p>
      <w:pPr>
        <w:spacing w:after="0" w:line="46" w:lineRule="exact"/>
        <w:rPr>
          <w:sz w:val="20"/>
          <w:szCs w:val="20"/>
          <w:color w:val="auto"/>
        </w:rPr>
      </w:pPr>
    </w:p>
    <w:p>
      <w:pPr>
        <w:spacing w:after="0"/>
        <w:tabs>
          <w:tab w:leader="none" w:pos="840" w:val="left"/>
          <w:tab w:leader="none" w:pos="1760" w:val="left"/>
          <w:tab w:leader="none" w:pos="2800" w:val="left"/>
          <w:tab w:leader="none" w:pos="3220" w:val="left"/>
          <w:tab w:leader="none" w:pos="3980" w:val="left"/>
          <w:tab w:leader="none" w:pos="4720" w:val="left"/>
          <w:tab w:leader="none" w:pos="5140" w:val="left"/>
          <w:tab w:leader="none" w:pos="5700" w:val="left"/>
          <w:tab w:leader="none" w:pos="6200" w:val="left"/>
          <w:tab w:leader="none" w:pos="6740" w:val="left"/>
          <w:tab w:leader="none" w:pos="7140" w:val="left"/>
          <w:tab w:leader="none" w:pos="7780" w:val="left"/>
          <w:tab w:leader="none" w:pos="8100" w:val="left"/>
          <w:tab w:leader="none" w:pos="8980" w:val="left"/>
          <w:tab w:leader="none" w:pos="10160" w:val="left"/>
          <w:tab w:leader="none" w:pos="10440" w:val="left"/>
          <w:tab w:leader="none" w:pos="10760" w:val="left"/>
        </w:tabs>
        <w:rPr>
          <w:sz w:val="20"/>
          <w:szCs w:val="20"/>
          <w:color w:val="auto"/>
        </w:rPr>
      </w:pPr>
      <w:r>
        <w:rPr>
          <w:rFonts w:ascii="Arial" w:cs="Arial" w:eastAsia="Arial" w:hAnsi="Arial"/>
          <w:sz w:val="18"/>
          <w:szCs w:val="18"/>
          <w:color w:val="auto"/>
        </w:rPr>
        <w:t>Syndicate</w:t>
        <w:tab/>
        <w:t>Prospectus</w:t>
        <w:tab/>
        <w:t>Department,</w:t>
        <w:tab/>
        <w:t>520</w:t>
        <w:tab/>
        <w:t>Madison</w:t>
        <w:tab/>
        <w:t>Avenue,</w:t>
        <w:tab/>
        <w:t>2nd</w:t>
        <w:tab/>
        <w:t>Floor,</w:t>
        <w:tab/>
        <w:t>New</w:t>
        <w:tab/>
        <w:t>York,</w:t>
        <w:tab/>
        <w:t>NY</w:t>
        <w:tab/>
        <w:t>10002,</w:t>
        <w:tab/>
        <w:t>by</w:t>
        <w:tab/>
        <w:t>telephone:</w:t>
        <w:tab/>
        <w:t>877-821-7388</w:t>
        <w:tab/>
        <w:t>or</w:t>
        <w:tab/>
        <w:t>by</w:t>
      </w:r>
      <w:r>
        <w:rPr>
          <w:sz w:val="20"/>
          <w:szCs w:val="20"/>
          <w:color w:val="auto"/>
        </w:rPr>
        <w:tab/>
      </w:r>
      <w:r>
        <w:rPr>
          <w:rFonts w:ascii="Arial" w:cs="Arial" w:eastAsia="Arial" w:hAnsi="Arial"/>
          <w:sz w:val="17"/>
          <w:szCs w:val="17"/>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Prospectus_Department@Jefferies.com.</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Registration statements relating to these securities became effective on August 11, 2020.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contains statements that constitute “forward-looking statements,” including with respect to the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registration statement and preliminary prospectus for the offering filed with the Securities and Exchange Commission (“SEC”). Copies are available on the SEC’s website, www.sec.gov. The Company undertakes no obligation to update these statements for revisions or changes after the date of this release,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FS Development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Cindy Mesaros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 413-7627</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lowerRoman"/>
      <w:start w:val="3"/>
    </w:lvl>
  </w:abstractNum>
  <w:abstractNum w:abstractNumId="5">
    <w:nsid w:val="725A06FB"/>
    <w:multiLevelType w:val="hybridMultilevel"/>
    <w:lvl w:ilvl="0">
      <w:lvlJc w:val="left"/>
      <w:lvlText w:val="(%1)"/>
      <w:numFmt w:val="lowerLetter"/>
      <w:start w:val="1"/>
    </w:lvl>
  </w:abstractNum>
  <w:abstractNum w:abstractNumId="6">
    <w:nsid w:val="2CD89A32"/>
    <w:multiLevelType w:val="hybridMultilevel"/>
    <w:lvl w:ilvl="0">
      <w:lvlJc w:val="left"/>
      <w:lvlText w:val="(%1)"/>
      <w:numFmt w:val="lowerLetter"/>
      <w:start w:val="3"/>
    </w:lvl>
  </w:abstractNum>
  <w:abstractNum w:abstractNumId="7">
    <w:nsid w:val="57E4CCAF"/>
    <w:multiLevelType w:val="hybridMultilevel"/>
    <w:lvl w:ilvl="0">
      <w:lvlJc w:val="left"/>
      <w:lvlText w:val="(%1)"/>
      <w:numFmt w:val="lowerLetter"/>
      <w:start w:val="9"/>
    </w:lvl>
  </w:abstractNum>
  <w:abstractNum w:abstractNumId="8">
    <w:nsid w:val="7A6D8D3C"/>
    <w:multiLevelType w:val="hybridMultilevel"/>
    <w:lvl w:ilvl="0">
      <w:lvlJc w:val="left"/>
      <w:lvlText w:val="(%1)"/>
      <w:numFmt w:val="lowerLetter"/>
      <w:start w:val="18"/>
    </w:lvl>
  </w:abstractNum>
  <w:abstractNum w:abstractNumId="9">
    <w:nsid w:val="4B588F54"/>
    <w:multiLevelType w:val="hybridMultilevel"/>
    <w:lvl w:ilvl="0">
      <w:lvlJc w:val="left"/>
      <w:lvlText w:val="(%1)"/>
      <w:numFmt w:val="lowerLetter"/>
      <w:start w:val="24"/>
    </w:lvl>
  </w:abstractNum>
  <w:abstractNum w:abstractNumId="10">
    <w:nsid w:val="542289EC"/>
    <w:multiLevelType w:val="hybridMultilevel"/>
    <w:lvl w:ilvl="0">
      <w:lvlJc w:val="left"/>
      <w:lvlText w:val="(%1)"/>
      <w:numFmt w:val="lowerLetter"/>
      <w:start w:val="27"/>
    </w:lvl>
  </w:abstractNum>
  <w:abstractNum w:abstractNumId="11">
    <w:nsid w:val="6DE91B18"/>
    <w:multiLevelType w:val="hybridMultilevel"/>
    <w:lvl w:ilvl="0">
      <w:lvlJc w:val="left"/>
      <w:lvlText w:val="(%1)"/>
      <w:numFmt w:val="lowerLetter"/>
      <w:start w:val="29"/>
    </w:lvl>
  </w:abstractNum>
  <w:abstractNum w:abstractNumId="12">
    <w:nsid w:val="38437FDB"/>
    <w:multiLevelType w:val="hybridMultilevel"/>
    <w:lvl w:ilvl="0">
      <w:lvlJc w:val="left"/>
      <w:lvlText w:val="(%1)"/>
      <w:numFmt w:val="lowerLetter"/>
      <w:start w:val="34"/>
    </w:lvl>
  </w:abstractNum>
  <w:abstractNum w:abstractNumId="13">
    <w:nsid w:val="7644A45C"/>
    <w:multiLevelType w:val="hybridMultilevel"/>
    <w:lvl w:ilvl="0">
      <w:lvlJc w:val="left"/>
      <w:lvlText w:val="(%1)"/>
      <w:numFmt w:val="lowerLetter"/>
      <w:start w:val="42"/>
    </w:lvl>
  </w:abstractNum>
  <w:abstractNum w:abstractNumId="14">
    <w:nsid w:val="32FFF902"/>
    <w:multiLevelType w:val="hybridMultilevel"/>
    <w:lvl w:ilvl="0">
      <w:lvlJc w:val="left"/>
      <w:lvlText w:val="(%1)"/>
      <w:numFmt w:val="lowerLetter"/>
      <w:start w:val="48"/>
    </w:lvl>
  </w:abstractNum>
  <w:abstractNum w:abstractNumId="15">
    <w:nsid w:val="684A481A"/>
    <w:multiLevelType w:val="hybridMultilevel"/>
    <w:lvl w:ilvl="0">
      <w:lvlJc w:val="left"/>
      <w:lvlText w:val="(%1)"/>
      <w:numFmt w:val="lowerLetter"/>
      <w:start w:val="52"/>
    </w:lvl>
  </w:abstractNum>
  <w:abstractNum w:abstractNumId="16">
    <w:nsid w:val="579478FE"/>
    <w:multiLevelType w:val="hybridMultilevel"/>
    <w:lvl w:ilvl="0">
      <w:lvlJc w:val="left"/>
      <w:lvlText w:val="(%1)"/>
      <w:numFmt w:val="lowerLetter"/>
      <w:start w:val="53"/>
    </w:lvl>
  </w:abstractNum>
  <w:abstractNum w:abstractNumId="17">
    <w:nsid w:val="749ABB43"/>
    <w:multiLevelType w:val="hybridMultilevel"/>
    <w:lvl w:ilvl="0">
      <w:lvlJc w:val="left"/>
      <w:lvlText w:val="(%1)"/>
      <w:numFmt w:val="lowerLetter"/>
      <w:start w:val="1"/>
    </w:lvl>
  </w:abstractNum>
  <w:abstractNum w:abstractNumId="18">
    <w:nsid w:val="3DC240FB"/>
    <w:multiLevelType w:val="hybridMultilevel"/>
    <w:lvl w:ilvl="0">
      <w:lvlJc w:val="left"/>
      <w:lvlText w:val="(%1)"/>
      <w:numFmt w:val="lowerLetter"/>
      <w:start w:val="3"/>
    </w:lvl>
    <w:lvl w:ilvl="1">
      <w:lvlJc w:val="left"/>
      <w:lvlText w:val="(%2)"/>
      <w:numFmt w:val="lowerLetter"/>
      <w:start w:val="35"/>
    </w:lvl>
  </w:abstractNum>
  <w:abstractNum w:abstractNumId="19">
    <w:nsid w:val="1BA026FA"/>
    <w:multiLevelType w:val="hybridMultilevel"/>
    <w:lvl w:ilvl="0">
      <w:lvlJc w:val="left"/>
      <w:lvlText w:val="(%1)"/>
      <w:numFmt w:val="lowerRoman"/>
      <w:start w:val="3"/>
    </w:lvl>
  </w:abstractNum>
  <w:abstractNum w:abstractNumId="20">
    <w:nsid w:val="79A1DEAA"/>
    <w:multiLevelType w:val="hybridMultilevel"/>
    <w:lvl w:ilvl="0">
      <w:lvlJc w:val="left"/>
      <w:lvlText w:val="(%1)"/>
      <w:numFmt w:val="lowerLetter"/>
      <w:start w:val="1"/>
    </w:lvl>
  </w:abstractNum>
  <w:abstractNum w:abstractNumId="21">
    <w:nsid w:val="75C6C33A"/>
    <w:multiLevelType w:val="hybridMultilevel"/>
    <w:lvl w:ilvl="0">
      <w:lvlJc w:val="left"/>
      <w:lvlText w:val="(%1)"/>
      <w:numFmt w:val="lowerLetter"/>
      <w:start w:val="2"/>
    </w:lvl>
  </w:abstractNum>
  <w:abstractNum w:abstractNumId="22">
    <w:nsid w:val="12E685FB"/>
    <w:multiLevelType w:val="hybridMultilevel"/>
    <w:lvl w:ilvl="0">
      <w:lvlJc w:val="left"/>
      <w:lvlText w:val="(%1)"/>
      <w:numFmt w:val="lowerLetter"/>
      <w:start w:val="6"/>
    </w:lvl>
  </w:abstractNum>
  <w:abstractNum w:abstractNumId="23">
    <w:nsid w:val="70C6A529"/>
    <w:multiLevelType w:val="hybridMultilevel"/>
    <w:lvl w:ilvl="0">
      <w:lvlJc w:val="left"/>
      <w:lvlText w:val="(%1)"/>
      <w:numFmt w:val="lowerLetter"/>
      <w:start w:val="11"/>
    </w:lvl>
  </w:abstractNum>
  <w:abstractNum w:abstractNumId="24">
    <w:nsid w:val="520EEDD1"/>
    <w:multiLevelType w:val="hybridMultilevel"/>
    <w:lvl w:ilvl="0">
      <w:lvlJc w:val="left"/>
      <w:lvlText w:val="(%1)"/>
      <w:numFmt w:val="lowerLetter"/>
      <w:start w:val="16"/>
    </w:lvl>
  </w:abstractNum>
  <w:abstractNum w:abstractNumId="25">
    <w:nsid w:val="374A3FE6"/>
    <w:multiLevelType w:val="hybridMultilevel"/>
    <w:lvl w:ilvl="0">
      <w:lvlJc w:val="left"/>
      <w:lvlText w:val="(%1)"/>
      <w:numFmt w:val="lowerLetter"/>
      <w:start w:val="21"/>
    </w:lvl>
  </w:abstractNum>
  <w:abstractNum w:abstractNumId="26">
    <w:nsid w:val="4F4EF005"/>
    <w:multiLevelType w:val="hybridMultilevel"/>
    <w:lvl w:ilvl="0">
      <w:lvlJc w:val="left"/>
      <w:lvlText w:val="%1"/>
      <w:numFmt w:val="upperLetter"/>
      <w:start w:val="1"/>
    </w:lvl>
    <w:lvl w:ilvl="1">
      <w:lvlJc w:val="left"/>
      <w:lvlText w:val="(%2)"/>
      <w:numFmt w:val="lowerLetter"/>
      <w:start w:val="26"/>
    </w:lvl>
  </w:abstractNum>
  <w:abstractNum w:abstractNumId="27">
    <w:nsid w:val="23F9C13C"/>
    <w:multiLevelType w:val="hybridMultilevel"/>
    <w:lvl w:ilvl="0">
      <w:lvlJc w:val="left"/>
      <w:lvlText w:val="(%1)"/>
      <w:numFmt w:val="upperLetter"/>
      <w:start w:val="1"/>
    </w:lvl>
    <w:lvl w:ilvl="1">
      <w:lvlJc w:val="left"/>
      <w:lvlText w:val="%2"/>
      <w:numFmt w:val="lowerLetter"/>
      <w:start w:val="1"/>
    </w:lvl>
  </w:abstractNum>
  <w:abstractNum w:abstractNumId="28">
    <w:nsid w:val="649BB77C"/>
    <w:multiLevelType w:val="hybridMultilevel"/>
    <w:lvl w:ilvl="0">
      <w:lvlJc w:val="left"/>
      <w:lvlText w:val="(%1)"/>
      <w:numFmt w:val="lowerLetter"/>
      <w:start w:val="27"/>
    </w:lvl>
  </w:abstractNum>
  <w:abstractNum w:abstractNumId="29">
    <w:nsid w:val="275AC794"/>
    <w:multiLevelType w:val="hybridMultilevel"/>
    <w:lvl w:ilvl="0">
      <w:lvlJc w:val="left"/>
      <w:lvlText w:val="(%1)"/>
      <w:numFmt w:val="lowerLetter"/>
      <w:start w:val="31"/>
    </w:lvl>
  </w:abstractNum>
  <w:abstractNum w:abstractNumId="30">
    <w:nsid w:val="39386575"/>
    <w:multiLevelType w:val="hybridMultilevel"/>
    <w:lvl w:ilvl="0">
      <w:lvlJc w:val="left"/>
      <w:lvlText w:val="(%1)"/>
      <w:numFmt w:val="lowerLetter"/>
      <w:start w:val="37"/>
    </w:lvl>
  </w:abstractNum>
  <w:abstractNum w:abstractNumId="31">
    <w:nsid w:val="1CF10FD8"/>
    <w:multiLevelType w:val="hybridMultilevel"/>
    <w:lvl w:ilvl="0">
      <w:lvlJc w:val="left"/>
      <w:lvlText w:val="(%1)"/>
      <w:numFmt w:val="lowerLetter"/>
      <w:start w:val="1"/>
    </w:lvl>
    <w:lvl w:ilvl="1">
      <w:lvlJc w:val="left"/>
      <w:lvlText w:val="(%2)"/>
      <w:numFmt w:val="lowerRoman"/>
      <w:start w:val="1"/>
    </w:lvl>
  </w:abstractNum>
  <w:abstractNum w:abstractNumId="32">
    <w:nsid w:val="180115BE"/>
    <w:multiLevelType w:val="hybridMultilevel"/>
    <w:lvl w:ilvl="0">
      <w:lvlJc w:val="left"/>
      <w:lvlText w:val="(%1)"/>
      <w:numFmt w:val="lowerLetter"/>
      <w:start w:val="4"/>
    </w:lvl>
    <w:lvl w:ilvl="1">
      <w:lvlJc w:val="left"/>
      <w:lvlText w:val="(%2)"/>
      <w:numFmt w:val="lowerRoman"/>
      <w:start w:val="1"/>
    </w:lvl>
  </w:abstractNum>
  <w:abstractNum w:abstractNumId="33">
    <w:nsid w:val="235BA861"/>
    <w:multiLevelType w:val="hybridMultilevel"/>
    <w:lvl w:ilvl="0">
      <w:lvlJc w:val="left"/>
      <w:lvlText w:val="(%1)"/>
      <w:numFmt w:val="lowerLetter"/>
      <w:start w:val="10"/>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2"/>
    </w:lvl>
  </w:abstractNum>
  <w:abstractNum w:abstractNumId="36">
    <w:nsid w:val="15B5AF5C"/>
    <w:multiLevelType w:val="hybridMultilevel"/>
    <w:lvl w:ilvl="0">
      <w:lvlJc w:val="left"/>
      <w:lvlText w:val="(%1)"/>
      <w:numFmt w:val="lowerLetter"/>
      <w:start w:val="4"/>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
    </w:lvl>
  </w:abstractNum>
  <w:abstractNum w:abstractNumId="39">
    <w:nsid w:val="10233C99"/>
    <w:multiLevelType w:val="hybridMultilevel"/>
    <w:lvl w:ilvl="0">
      <w:lvlJc w:val="left"/>
      <w:lvlText w:val="(%1)"/>
      <w:numFmt w:val="lowerLetter"/>
      <w:start w:val="1"/>
    </w:lvl>
    <w:lvl w:ilvl="1">
      <w:lvlJc w:val="left"/>
      <w:lvlText w:val="(%2)"/>
      <w:numFmt w:val="lowerRoman"/>
      <w:start w:val="1"/>
    </w:lvl>
  </w:abstractNum>
  <w:abstractNum w:abstractNumId="40">
    <w:nsid w:val="3F6AB60F"/>
    <w:multiLevelType w:val="hybridMultilevel"/>
    <w:lvl w:ilvl="0">
      <w:lvlJc w:val="left"/>
      <w:lvlText w:val="(%1)"/>
      <w:numFmt w:val="lowerLetter"/>
      <w:start w:val="2"/>
    </w:lvl>
    <w:lvl w:ilvl="1">
      <w:lvlJc w:val="left"/>
      <w:lvlText w:val="(%2)"/>
      <w:numFmt w:val="lowerLetter"/>
      <w:start w:val="9"/>
    </w:lvl>
  </w:abstractNum>
  <w:abstractNum w:abstractNumId="41">
    <w:nsid w:val="61574095"/>
    <w:multiLevelType w:val="hybridMultilevel"/>
    <w:lvl w:ilvl="0">
      <w:lvlJc w:val="left"/>
      <w:lvlText w:val="(%1)"/>
      <w:numFmt w:val="lowerRoman"/>
      <w:start w:val="2"/>
    </w:lvl>
  </w:abstractNum>
  <w:abstractNum w:abstractNumId="42">
    <w:nsid w:val="7E0C57B1"/>
    <w:multiLevelType w:val="hybridMultilevel"/>
    <w:lvl w:ilvl="0">
      <w:lvlJc w:val="left"/>
      <w:lvlText w:val="%1"/>
      <w:numFmt w:val="lowerLetter"/>
      <w:start w:val="1"/>
    </w:lvl>
    <w:lvl w:ilvl="1">
      <w:lvlJc w:val="left"/>
      <w:lvlText w:val="(%2)"/>
      <w:numFmt w:val="lowerLetter"/>
      <w:start w:val="35"/>
    </w:lvl>
  </w:abstractNum>
  <w:abstractNum w:abstractNumId="43">
    <w:nsid w:val="77AE35EB"/>
    <w:multiLevelType w:val="hybridMultilevel"/>
    <w:lvl w:ilvl="0">
      <w:lvlJc w:val="left"/>
      <w:lvlText w:val="(%1)"/>
      <w:numFmt w:val="lowerLetter"/>
      <w:start w:val="3"/>
    </w:lvl>
    <w:lvl w:ilvl="1">
      <w:lvlJc w:val="left"/>
      <w:lvlText w:val="%2"/>
      <w:numFmt w:val="lowerLetter"/>
      <w:start w:val="1"/>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lowerLetter"/>
      <w:start w:val="1"/>
    </w:lvl>
  </w:abstractNum>
  <w:abstractNum w:abstractNumId="46">
    <w:nsid w:val="5FF87E05"/>
    <w:multiLevelType w:val="hybridMultilevel"/>
    <w:lvl w:ilvl="0">
      <w:lvlJc w:val="left"/>
      <w:lvlText w:val="(%1)"/>
      <w:numFmt w:val="lowerLetter"/>
      <w:start w:val="2"/>
    </w:lvl>
  </w:abstractNum>
  <w:abstractNum w:abstractNumId="47">
    <w:nsid w:val="2F305DEF"/>
    <w:multiLevelType w:val="hybridMultilevel"/>
    <w:lvl w:ilvl="0">
      <w:lvlJc w:val="left"/>
      <w:lvlText w:val="(%1)"/>
      <w:numFmt w:val="lowerLetter"/>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4"/>
    </w:lvl>
  </w:abstractNum>
  <w:abstractNum w:abstractNumId="50">
    <w:nsid w:val="4AD084E9"/>
    <w:multiLevelType w:val="hybridMultilevel"/>
    <w:lvl w:ilvl="0">
      <w:lvlJc w:val="left"/>
      <w:lvlText w:val="(%1)"/>
      <w:numFmt w:val="lowerLetter"/>
      <w:start w:val="1"/>
    </w:lvl>
  </w:abstractNum>
  <w:abstractNum w:abstractNumId="51">
    <w:nsid w:val="1F48EAA1"/>
    <w:multiLevelType w:val="hybridMultilevel"/>
    <w:lvl w:ilvl="0">
      <w:lvlJc w:val="left"/>
      <w:lvlText w:val="(%1)"/>
      <w:numFmt w:val="lowerRoman"/>
      <w:start w:val="1"/>
    </w:lvl>
  </w:abstractNum>
  <w:abstractNum w:abstractNumId="52">
    <w:nsid w:val="1381823A"/>
    <w:multiLevelType w:val="hybridMultilevel"/>
    <w:lvl w:ilvl="0">
      <w:lvlJc w:val="left"/>
      <w:lvlText w:val="%1."/>
      <w:numFmt w:val="decimal"/>
      <w:start w:val="1"/>
    </w:lvl>
    <w:lvl w:ilvl="1">
      <w:lvlJc w:val="left"/>
      <w:lvlText w:val="(%2)"/>
      <w:numFmt w:val="lowerLetter"/>
      <w:start w:val="1"/>
    </w:lvl>
  </w:abstractNum>
  <w:abstractNum w:abstractNumId="53">
    <w:nsid w:val="5DB70AE5"/>
    <w:multiLevelType w:val="hybridMultilevel"/>
    <w:lvl w:ilvl="0">
      <w:lvlJc w:val="left"/>
      <w:lvlText w:val="(%1)"/>
      <w:numFmt w:val="lowerLetter"/>
      <w:start w:val="4"/>
    </w:lvl>
  </w:abstractNum>
  <w:abstractNum w:abstractNumId="54">
    <w:nsid w:val="100F8FCA"/>
    <w:multiLevelType w:val="hybridMultilevel"/>
    <w:lvl w:ilvl="0">
      <w:lvlJc w:val="left"/>
      <w:lvlText w:val="%1"/>
      <w:numFmt w:val="decimal"/>
      <w:start w:val="1"/>
    </w:lvl>
    <w:lvl w:ilvl="1">
      <w:lvlJc w:val="left"/>
      <w:lvlText w:val="(%2)"/>
      <w:numFmt w:val="lowerLetter"/>
      <w:start w:val="11"/>
    </w:lvl>
  </w:abstractNum>
  <w:abstractNum w:abstractNumId="55">
    <w:nsid w:val="6590700B"/>
    <w:multiLevelType w:val="hybridMultilevel"/>
    <w:lvl w:ilvl="0">
      <w:lvlJc w:val="left"/>
      <w:lvlText w:val="%1."/>
      <w:numFmt w:val="decimal"/>
      <w:start w:val="2"/>
    </w:lvl>
    <w:lvl w:ilvl="1">
      <w:lvlJc w:val="left"/>
      <w:lvlText w:val="(%2)"/>
      <w:numFmt w:val="lowerLetter"/>
      <w:start w:val="1"/>
    </w:lvl>
  </w:abstractNum>
  <w:abstractNum w:abstractNumId="56">
    <w:nsid w:val="15014ACB"/>
    <w:multiLevelType w:val="hybridMultilevel"/>
    <w:lvl w:ilvl="0">
      <w:lvlJc w:val="left"/>
      <w:lvlText w:val="%1"/>
      <w:numFmt w:val="decimal"/>
      <w:start w:val="1"/>
    </w:lvl>
    <w:lvl w:ilvl="1">
      <w:lvlJc w:val="left"/>
      <w:lvlText w:val="(%2)"/>
      <w:numFmt w:val="lowerLetter"/>
      <w:start w:val="4"/>
    </w:lvl>
  </w:abstractNum>
  <w:abstractNum w:abstractNumId="57">
    <w:nsid w:val="5F5E7FD0"/>
    <w:multiLevelType w:val="hybridMultilevel"/>
    <w:lvl w:ilvl="0">
      <w:lvlJc w:val="left"/>
      <w:lvlText w:val="%1."/>
      <w:numFmt w:val="decimal"/>
      <w:start w:val="3"/>
    </w:lvl>
    <w:lvl w:ilvl="1">
      <w:lvlJc w:val="left"/>
      <w:lvlText w:val="(%2)"/>
      <w:numFmt w:val="lowerLetter"/>
      <w:start w:val="1"/>
    </w:lvl>
  </w:abstractNum>
  <w:abstractNum w:abstractNumId="58">
    <w:nsid w:val="98A3148"/>
    <w:multiLevelType w:val="hybridMultilevel"/>
    <w:lvl w:ilvl="0">
      <w:lvlJc w:val="left"/>
      <w:lvlText w:val="%1"/>
      <w:numFmt w:val="decimal"/>
      <w:start w:val="1"/>
    </w:lvl>
    <w:lvl w:ilvl="1">
      <w:lvlJc w:val="left"/>
      <w:lvlText w:val="(%2)"/>
      <w:numFmt w:val="lowerLetter"/>
      <w:start w:val="7"/>
    </w:lvl>
  </w:abstractNum>
  <w:abstractNum w:abstractNumId="59">
    <w:nsid w:val="799D0247"/>
    <w:multiLevelType w:val="hybridMultilevel"/>
    <w:lvl w:ilvl="0">
      <w:lvlJc w:val="left"/>
      <w:lvlText w:val="%1."/>
      <w:numFmt w:val="decimal"/>
      <w:start w:val="4"/>
    </w:lvl>
    <w:lvl w:ilvl="1">
      <w:lvlJc w:val="left"/>
      <w:lvlText w:val="(%2)"/>
      <w:numFmt w:val="lowerLetter"/>
      <w:start w:val="1"/>
    </w:lvl>
  </w:abstractNum>
  <w:abstractNum w:abstractNumId="60">
    <w:nsid w:val="6B94764"/>
    <w:multiLevelType w:val="hybridMultilevel"/>
    <w:lvl w:ilvl="0">
      <w:lvlJc w:val="left"/>
      <w:lvlText w:val="%1"/>
      <w:numFmt w:val="decimal"/>
      <w:start w:val="1"/>
    </w:lvl>
    <w:lvl w:ilvl="1">
      <w:lvlJc w:val="left"/>
      <w:lvlText w:val="(%2)"/>
      <w:numFmt w:val="lowerLetter"/>
      <w:start w:val="2"/>
    </w:lvl>
  </w:abstractNum>
  <w:abstractNum w:abstractNumId="61">
    <w:nsid w:val="42C296BD"/>
    <w:multiLevelType w:val="hybridMultilevel"/>
    <w:lvl w:ilvl="0">
      <w:lvlJc w:val="left"/>
      <w:lvlText w:val="%1."/>
      <w:numFmt w:val="decimal"/>
      <w:start w:val="6"/>
    </w:lvl>
    <w:lvl w:ilvl="1">
      <w:lvlJc w:val="left"/>
      <w:lvlText w:val="(%2)"/>
      <w:numFmt w:val="lowerLetter"/>
      <w:start w:val="1"/>
    </w:lvl>
  </w:abstractNum>
  <w:abstractNum w:abstractNumId="62">
    <w:nsid w:val="168E121F"/>
    <w:multiLevelType w:val="hybridMultilevel"/>
    <w:lvl w:ilvl="0">
      <w:lvlJc w:val="left"/>
      <w:lvlText w:val="(%1)"/>
      <w:numFmt w:val="lowerLetter"/>
      <w:start w:val="7"/>
    </w:lvl>
  </w:abstractNum>
  <w:abstractNum w:abstractNumId="63">
    <w:nsid w:val="1EBA5D23"/>
    <w:multiLevelType w:val="hybridMultilevel"/>
    <w:lvl w:ilvl="0">
      <w:lvlJc w:val="left"/>
      <w:lvlText w:val="1"/>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lowerLetter"/>
      <w:start w:val="1"/>
    </w:lvl>
  </w:abstractNum>
  <w:abstractNum w:abstractNumId="66">
    <w:nsid w:val="540A471C"/>
    <w:multiLevelType w:val="hybridMultilevel"/>
    <w:lvl w:ilvl="0">
      <w:lvlJc w:val="left"/>
      <w:lvlText w:val="(%1)"/>
      <w:numFmt w:val="lowerLetter"/>
      <w:start w:val="2"/>
    </w:lvl>
  </w:abstractNum>
  <w:abstractNum w:abstractNumId="67">
    <w:nsid w:val="7BD3EE7B"/>
    <w:multiLevelType w:val="hybridMultilevel"/>
    <w:lvl w:ilvl="0">
      <w:lvlJc w:val="left"/>
      <w:lvlText w:val="(%1)"/>
      <w:numFmt w:val="lowerLetter"/>
      <w:start w:val="1"/>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upperLetter"/>
      <w:start w:val="1"/>
    </w:lvl>
    <w:lvl w:ilvl="1">
      <w:lvlJc w:val="left"/>
      <w:lvlText w:val="(%2)"/>
      <w:numFmt w:val="lowerRoman"/>
      <w:start w:val="1"/>
    </w:lvl>
  </w:abstractNum>
  <w:abstractNum w:abstractNumId="70">
    <w:nsid w:val="BF72B14"/>
    <w:multiLevelType w:val="hybridMultilevel"/>
    <w:lvl w:ilvl="0">
      <w:lvlJc w:val="left"/>
      <w:lvlText w:val="%1."/>
      <w:numFmt w:val="upperLetter"/>
      <w:start w:val="3"/>
    </w:lvl>
    <w:lvl w:ilvl="1">
      <w:lvlJc w:val="left"/>
      <w:lvlText w:val="%2"/>
      <w:numFmt w:val="lowerRoman"/>
      <w:start w:val="1"/>
    </w:lvl>
  </w:abstractNum>
  <w:abstractNum w:abstractNumId="71">
    <w:nsid w:val="11447B73"/>
    <w:multiLevelType w:val="hybridMultilevel"/>
    <w:lvl w:ilvl="0">
      <w:lvlJc w:val="left"/>
      <w:lvlText w:val="%1"/>
      <w:numFmt w:val="upperLetter"/>
      <w:start w:val="1"/>
    </w:lvl>
    <w:lvl w:ilvl="1">
      <w:lvlJc w:val="left"/>
      <w:lvlText w:val="(%2)"/>
      <w:numFmt w:val="lowerRoman"/>
      <w:start w:val="1"/>
    </w:lvl>
  </w:abstractNum>
  <w:abstractNum w:abstractNumId="72">
    <w:nsid w:val="42963E5A"/>
    <w:multiLevelType w:val="hybridMultilevel"/>
    <w:lvl w:ilvl="0">
      <w:lvlJc w:val="left"/>
      <w:lvlText w:val="%1."/>
      <w:numFmt w:val="upperLetter"/>
      <w:start w:val="3"/>
    </w:lvl>
    <w:lvl w:ilvl="1">
      <w:lvlJc w:val="left"/>
      <w:lvlText w:val="(%2)"/>
      <w:numFmt w:val="lowerRoman"/>
      <w:start w:val="1"/>
    </w:lvl>
  </w:abstractNum>
  <w:abstractNum w:abstractNumId="73">
    <w:nsid w:val="A0382C5"/>
    <w:multiLevelType w:val="hybridMultilevel"/>
    <w:lvl w:ilvl="0">
      <w:lvlJc w:val="left"/>
      <w:lvlText w:val="(%1)"/>
      <w:numFmt w:val="lowerRoman"/>
      <w:start w:val="6"/>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lowerRoman"/>
      <w:start w:val="1"/>
    </w:lvl>
    <w:lvl w:ilvl="1">
      <w:lvlJc w:val="left"/>
      <w:lvlText w:val="%2."/>
      <w:numFmt w:val="decimal"/>
      <w:start w:val="3"/>
    </w:lvl>
  </w:abstractNum>
  <w:abstractNum w:abstractNumId="76">
    <w:nsid w:val="3B0FD379"/>
    <w:multiLevelType w:val="hybridMultilevel"/>
    <w:lvl w:ilvl="0">
      <w:lvlJc w:val="left"/>
      <w:lvlText w:val="(%1)"/>
      <w:numFmt w:val="lowerRoman"/>
      <w:start w:val="3"/>
    </w:lvl>
    <w:lvl w:ilvl="1">
      <w:lvlJc w:val="left"/>
      <w:lvlText w:val="%2"/>
      <w:numFmt w:val="decimal"/>
      <w:start w:val="1"/>
    </w:lvl>
  </w:abstractNum>
  <w:abstractNum w:abstractNumId="77">
    <w:nsid w:val="68EB2F63"/>
    <w:multiLevelType w:val="hybridMultilevel"/>
    <w:lvl w:ilvl="0">
      <w:lvlJc w:val="left"/>
      <w:lvlText w:val="%1."/>
      <w:numFmt w:val="decimal"/>
      <w:start w:val="4"/>
    </w:lvl>
  </w:abstractNum>
  <w:abstractNum w:abstractNumId="78">
    <w:nsid w:val="4962813B"/>
    <w:multiLevelType w:val="hybridMultilevel"/>
    <w:lvl w:ilvl="0">
      <w:lvlJc w:val="left"/>
      <w:lvlText w:val="%1."/>
      <w:numFmt w:val="decimal"/>
      <w:start w:val="7"/>
    </w:lvl>
    <w:lvl w:ilvl="1">
      <w:lvlJc w:val="left"/>
      <w:lvlText w:val="(%2)"/>
      <w:numFmt w:val="lowerLetter"/>
      <w:start w:val="2"/>
    </w:lvl>
  </w:abstractNum>
  <w:abstractNum w:abstractNumId="79">
    <w:nsid w:val="60B6DF70"/>
    <w:multiLevelType w:val="hybridMultilevel"/>
    <w:lvl w:ilvl="0">
      <w:lvlJc w:val="left"/>
      <w:lvlText w:val="%1."/>
      <w:numFmt w:val="decimal"/>
      <w:start w:val="9"/>
    </w:lvl>
  </w:abstractNum>
  <w:abstractNum w:abstractNumId="80">
    <w:nsid w:val="6A5EE64"/>
    <w:multiLevelType w:val="hybridMultilevel"/>
    <w:lvl w:ilvl="0">
      <w:lvlJc w:val="left"/>
      <w:lvlText w:val="%1."/>
      <w:numFmt w:val="decimal"/>
      <w:start w:val="12"/>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2020-08-14T21:49:19Z</dcterms:created>
  <dcterms:modified xsi:type="dcterms:W3CDTF">2020-08-14T21:49:19Z</dcterms:modified>
</cp:coreProperties>
</file>