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40" w:val="left"/>
          <w:tab w:leader="none" w:pos="260" w:val="left"/>
        </w:tabs>
        <w:rPr>
          <w:sz w:val="20"/>
          <w:szCs w:val="20"/>
          <w:color w:val="auto"/>
        </w:rPr>
      </w:pPr>
      <w:r>
        <w:rPr>
          <w:rFonts w:ascii="Arial" w:cs="Arial" w:eastAsia="Arial" w:hAnsi="Arial"/>
          <w:sz w:val="22"/>
          <w:szCs w:val="22"/>
          <w:b w:val="1"/>
          <w:bCs w:val="1"/>
          <w:color w:val="auto"/>
        </w:rPr>
        <w:t>(Amendment No.</w:t>
        <w:tab/>
        <w:t>n/a</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3785235</wp:posOffset>
            </wp:positionH>
            <wp:positionV relativeFrom="paragraph">
              <wp:posOffset>-12065</wp:posOffset>
            </wp:positionV>
            <wp:extent cx="497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Gemini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621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36870G105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04,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621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80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x Rule 13d-1(c)</w:t>
      </w:r>
    </w:p>
    <w:p>
      <w:pPr>
        <w:spacing w:after="0" w:line="1" w:lineRule="exact"/>
        <w:rPr>
          <w:rFonts w:ascii="Arial" w:cs="Arial" w:eastAsia="Arial" w:hAnsi="Arial"/>
          <w:sz w:val="16"/>
          <w:szCs w:val="16"/>
          <w:color w:val="auto"/>
        </w:rPr>
      </w:pPr>
    </w:p>
    <w:p>
      <w:pPr>
        <w:ind w:left="420" w:hanging="187"/>
        <w:spacing w:after="0"/>
        <w:tabs>
          <w:tab w:leader="none" w:pos="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52"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82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36870G105</w:t>
            </w:r>
          </w:p>
        </w:tc>
        <w:tc>
          <w:tcPr>
            <w:tcW w:w="0" w:type="dxa"/>
            <w:vAlign w:val="bottom"/>
          </w:tcPr>
          <w:p>
            <w:pPr>
              <w:spacing w:after="0"/>
              <w:rPr>
                <w:sz w:val="1"/>
                <w:szCs w:val="1"/>
                <w:color w:val="auto"/>
              </w:rPr>
            </w:pPr>
          </w:p>
        </w:tc>
      </w:tr>
      <w:tr>
        <w:trPr>
          <w:trHeight w:val="122"/>
        </w:trPr>
        <w:tc>
          <w:tcPr>
            <w:tcW w:w="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2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2117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1170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6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BML Investment Partners, L.P.</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22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99"/>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3"/>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2299699</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2299699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997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2299699</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5.3%</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5"/>
          <w:szCs w:val="15"/>
          <w:color w:val="auto"/>
        </w:rPr>
        <w:t>PN</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79" w:lineRule="exact"/>
        <w:rPr>
          <w:sz w:val="20"/>
          <w:szCs w:val="20"/>
          <w:color w:val="auto"/>
        </w:rPr>
      </w:pPr>
    </w:p>
    <w:p>
      <w:pPr>
        <w:ind w:left="760" w:right="140"/>
        <w:spacing w:after="0" w:line="259" w:lineRule="auto"/>
        <w:rPr>
          <w:sz w:val="20"/>
          <w:szCs w:val="20"/>
          <w:color w:val="auto"/>
        </w:rPr>
      </w:pPr>
      <w:r>
        <w:rPr>
          <w:rFonts w:ascii="Arial" w:cs="Arial" w:eastAsia="Arial" w:hAnsi="Arial"/>
          <w:sz w:val="18"/>
          <w:szCs w:val="18"/>
          <w:color w:val="auto"/>
        </w:rPr>
        <w:t>BML Investment Partners, L.P. is a Delaware limited partnership whose sole general 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13d-5(b)(1)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82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36870G105</w:t>
            </w:r>
          </w:p>
        </w:tc>
        <w:tc>
          <w:tcPr>
            <w:tcW w:w="0" w:type="dxa"/>
            <w:vAlign w:val="bottom"/>
          </w:tcPr>
          <w:p>
            <w:pPr>
              <w:spacing w:after="0"/>
              <w:rPr>
                <w:sz w:val="1"/>
                <w:szCs w:val="1"/>
                <w:color w:val="auto"/>
              </w:rPr>
            </w:pPr>
          </w:p>
        </w:tc>
      </w:tr>
      <w:tr>
        <w:trPr>
          <w:trHeight w:val="122"/>
        </w:trPr>
        <w:tc>
          <w:tcPr>
            <w:tcW w:w="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2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2117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1170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6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Braden M Leonard</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22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99"/>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United States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63"/>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2299699</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2299699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997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2329699</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5.4%</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IN</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79" w:lineRule="exact"/>
        <w:rPr>
          <w:sz w:val="20"/>
          <w:szCs w:val="20"/>
          <w:color w:val="auto"/>
        </w:rPr>
      </w:pPr>
    </w:p>
    <w:p>
      <w:pPr>
        <w:ind w:left="760" w:right="140"/>
        <w:spacing w:after="0" w:line="259" w:lineRule="auto"/>
        <w:rPr>
          <w:sz w:val="20"/>
          <w:szCs w:val="20"/>
          <w:color w:val="auto"/>
        </w:rPr>
      </w:pPr>
      <w:r>
        <w:rPr>
          <w:rFonts w:ascii="Arial" w:cs="Arial" w:eastAsia="Arial" w:hAnsi="Arial"/>
          <w:sz w:val="18"/>
          <w:szCs w:val="18"/>
          <w:color w:val="auto"/>
        </w:rPr>
        <w:t>BML Investment Partners, L.P. is a Delaware limited partnership whose sole general 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13d-5(b)(1)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Gemini Therapeutics, Inc.</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300" w:right="560"/>
        <w:spacing w:after="0" w:line="260" w:lineRule="auto"/>
        <w:rPr>
          <w:rFonts w:ascii="Arial" w:cs="Arial" w:eastAsia="Arial" w:hAnsi="Arial"/>
          <w:sz w:val="18"/>
          <w:szCs w:val="18"/>
          <w:color w:val="auto"/>
        </w:rPr>
      </w:pPr>
      <w:r>
        <w:rPr>
          <w:rFonts w:ascii="Arial" w:cs="Arial" w:eastAsia="Arial" w:hAnsi="Arial"/>
          <w:sz w:val="18"/>
          <w:szCs w:val="18"/>
          <w:color w:val="auto"/>
        </w:rPr>
        <w:t>In January 2022, the Company became a remote-first company. Accordingly, the Company does not currently maintain a physical headquarters.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BML Investment Partners, L.P.</w:t>
      </w:r>
    </w:p>
    <w:p>
      <w:pPr>
        <w:spacing w:after="0" w:line="237"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65 E Cedar - Suite 2</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Zionsville, IN 46077</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Common stock, par value $0.0001 per share</w:t>
      </w:r>
    </w:p>
    <w:p>
      <w:pPr>
        <w:spacing w:after="0" w:line="23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36870G105</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7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2,329,699</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5.3%</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30,000</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2,299,699</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30,000</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2,299,699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13" w:right="53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right="1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BML Capital Management, LLC</w:t>
      </w:r>
    </w:p>
    <w:p>
      <w:pPr>
        <w:sectPr>
          <w:pgSz w:w="11900" w:h="16838" w:orient="portrait"/>
          <w:cols w:equalWidth="0" w:num="1">
            <w:col w:w="11200"/>
          </w:cols>
          <w:pgMar w:left="320" w:top="756" w:right="37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March 10, 2022</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Braden M Leonard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 Braden M Leonard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Title: Managing Member</w:t>
      </w:r>
    </w:p>
    <w:p>
      <w:pPr>
        <w:spacing w:after="0" w:line="200" w:lineRule="exact"/>
        <w:rPr>
          <w:sz w:val="20"/>
          <w:szCs w:val="20"/>
          <w:color w:val="auto"/>
        </w:rPr>
      </w:pPr>
    </w:p>
    <w:p>
      <w:pPr>
        <w:sectPr>
          <w:pgSz w:w="11900" w:h="16838" w:orient="portrait"/>
          <w:cols w:equalWidth="0" w:num="3">
            <w:col w:w="4920" w:space="720"/>
            <w:col w:w="260" w:space="80"/>
            <w:col w:w="5220"/>
          </w:cols>
          <w:pgMar w:left="320" w:top="75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Date: March 10,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Braden M Leonard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 Braden M Leonard</w:t>
      </w:r>
    </w:p>
    <w:p>
      <w:pPr>
        <w:spacing w:after="0" w:line="200" w:lineRule="exact"/>
        <w:rPr>
          <w:sz w:val="20"/>
          <w:szCs w:val="20"/>
          <w:color w:val="auto"/>
        </w:rPr>
      </w:pPr>
    </w:p>
    <w:p>
      <w:pPr>
        <w:sectPr>
          <w:pgSz w:w="11900" w:h="16838" w:orient="portrait"/>
          <w:cols w:equalWidth="0" w:num="3">
            <w:col w:w="4920" w:space="720"/>
            <w:col w:w="260" w:space="80"/>
            <w:col w:w="5220"/>
          </w:cols>
          <w:pgMar w:left="320" w:top="756" w:right="379"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ind w:left="860" w:hanging="849"/>
        <w:spacing w:after="0" w:line="261" w:lineRule="auto"/>
        <w:rPr>
          <w:sz w:val="20"/>
          <w:szCs w:val="20"/>
          <w:color w:val="auto"/>
        </w:rPr>
      </w:pPr>
      <w:r>
        <w:rPr>
          <w:rFonts w:ascii="Arial" w:cs="Arial" w:eastAsia="Arial" w:hAnsi="Arial"/>
          <w:sz w:val="18"/>
          <w:szCs w:val="18"/>
          <w:b w:val="1"/>
          <w:bCs w:val="1"/>
          <w:color w:val="auto"/>
        </w:rPr>
        <w:t xml:space="preserve">Footnotes: </w:t>
      </w:r>
      <w:r>
        <w:rPr>
          <w:rFonts w:ascii="Arial" w:cs="Arial" w:eastAsia="Arial" w:hAnsi="Arial"/>
          <w:sz w:val="18"/>
          <w:szCs w:val="18"/>
          <w:color w:val="auto"/>
        </w:rPr>
        <w:t>BML Investment Partners, L.P. is a Delaware limited partnership whose sole general partner is BML Capital Management, LLC. The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BML Capital Management, LLC is Braden M.Leonard. As a result, Braden M.Leonard is deemed to be the indirect owner of the shares held directly by BML Investment Partners, L.P. Despite such shared beneficial ownership, the reporting persons disclaim that they constitute a statutory group within the meaning of Rule 13d-5(b) (1) of the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200"/>
      </w:cols>
      <w:pgMar w:left="320" w:top="756"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o"/>
      <w:numFmt w:val="bullet"/>
      <w:start w:val="1"/>
    </w:lvl>
  </w:abstractNum>
  <w:abstractNum w:abstractNumId="1">
    <w:nsid w:val="3D1B58BA"/>
    <w:multiLevelType w:val="hybridMultilevel"/>
    <w:lvl w:ilvl="0">
      <w:lvlJc w:val="left"/>
      <w:lvlText w:val="4"/>
      <w:numFmt w:val="bullet"/>
      <w:start w:val="1"/>
    </w:lvl>
  </w:abstractNum>
  <w:abstractNum w:abstractNumId="2">
    <w:nsid w:val="507ED7AB"/>
    <w:multiLevelType w:val="hybridMultilevel"/>
    <w:lvl w:ilvl="0">
      <w:lvlJc w:val="left"/>
      <w:lvlText w:val="9"/>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2022-03-10T13:03:28Z</dcterms:created>
  <dcterms:modified xsi:type="dcterms:W3CDTF">2022-03-10T13:03:28Z</dcterms:modified>
</cp:coreProperties>
</file>