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7045960" cy="48571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857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>Bitterman Kevin</w:t>
              </w:r>
            </w:hyperlink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40" w:type="dxa"/>
            <w:vAlign w:val="bottom"/>
            <w:gridSpan w:val="7"/>
          </w:tcPr>
          <w:p>
            <w:pPr>
              <w:spacing w:after="0" w:line="169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 xml:space="preserve">Disc Medicine, Inc. </w:t>
              </w:r>
            </w:hyperlink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IRON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2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DISC MEDICINE, INC.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12/29/2022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321 ARSENAL STREET, SUITE 101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WATERTOWN  MA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02472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6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13.5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12/29/2022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12/28/2032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 w:right="64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underlying this option vest upon the first to occur of (i) the date of the Company's 2023 annual meeting of its stockholders, or (ii) the one-year anniversary of the grant date, subject to the Reporting Person's continued service on such vesting date.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By: /s/ Ommer Chohan, as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01/03/2023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14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1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91747" TargetMode="External"/><Relationship Id="rId13" Type="http://schemas.openxmlformats.org/officeDocument/2006/relationships/hyperlink" Target="http://www.sec.gov/cgi-bin/browse-edgar?action=getcompany&amp;CIK=00018167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2023-01-03T20:37:51Z</dcterms:created>
  <dcterms:modified xsi:type="dcterms:W3CDTF">2023-01-03T20:37:51Z</dcterms:modified>
</cp:coreProperties>
</file>