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2819400</wp:posOffset>
            </wp:positionH>
            <wp:positionV relativeFrom="page">
              <wp:posOffset>1592580</wp:posOffset>
            </wp:positionV>
            <wp:extent cx="2127885" cy="1210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27885" cy="1210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2023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ind w:right="-6"/>
        <w:spacing w:after="0"/>
        <w:rPr>
          <w:sz w:val="20"/>
          <w:szCs w:val="20"/>
          <w:color w:val="auto"/>
        </w:rPr>
      </w:pPr>
      <w:r>
        <w:rPr>
          <w:rFonts w:ascii="Times New Roman" w:cs="Times New Roman" w:eastAsia="Times New Roman" w:hAnsi="Times New Roman"/>
          <w:sz w:val="24"/>
          <w:szCs w:val="24"/>
          <w:b w:val="1"/>
          <w:bCs w:val="1"/>
          <w:color w:val="121212"/>
        </w:rPr>
        <mc:AlternateContent>
          <mc:Choice Requires="wps">
            <w:drawing>
              <wp:anchor simplePos="0" relativeHeight="251657728" behindDoc="1" locked="0" layoutInCell="0" allowOverlap="1">
                <wp:simplePos x="0" y="0"/>
                <wp:positionH relativeFrom="page">
                  <wp:posOffset>548640</wp:posOffset>
                </wp:positionH>
                <wp:positionV relativeFrom="page">
                  <wp:posOffset>474345</wp:posOffset>
                </wp:positionV>
                <wp:extent cx="667512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9525">
                          <a:solidFill>
                            <a:srgbClr val="121212"/>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2pt,37.35pt" to="568.8pt,37.35pt" o:allowincell="f" strokecolor="#121212"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548640</wp:posOffset>
                </wp:positionH>
                <wp:positionV relativeFrom="page">
                  <wp:posOffset>493395</wp:posOffset>
                </wp:positionV>
                <wp:extent cx="667512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9525">
                          <a:solidFill>
                            <a:srgbClr val="121212"/>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2pt,38.85pt" to="568.8pt,38.85pt" o:allowincell="f" strokecolor="#121212" strokeweight="0.75pt">
                <w10:wrap anchorx="page" anchory="page"/>
              </v:line>
            </w:pict>
          </mc:Fallback>
        </mc:AlternateContent>
        <w:t>UNITED STATES</w:t>
      </w:r>
    </w:p>
    <w:p>
      <w:pPr>
        <w:spacing w:after="0" w:line="3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121212"/>
        </w:rPr>
        <w:t>SECURITIES AND EXCHANGE COMMISSION</w:t>
      </w:r>
    </w:p>
    <w:p>
      <w:pPr>
        <w:jc w:val="center"/>
        <w:ind w:right="-6"/>
        <w:spacing w:after="0"/>
        <w:rPr>
          <w:sz w:val="20"/>
          <w:szCs w:val="20"/>
          <w:color w:val="auto"/>
        </w:rPr>
      </w:pPr>
      <w:r>
        <w:rPr>
          <w:rFonts w:ascii="Times New Roman" w:cs="Times New Roman" w:eastAsia="Times New Roman" w:hAnsi="Times New Roman"/>
          <w:sz w:val="18"/>
          <w:szCs w:val="18"/>
          <w:b w:val="1"/>
          <w:bCs w:val="1"/>
          <w:color w:val="121212"/>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64770</wp:posOffset>
                </wp:positionV>
                <wp:extent cx="118872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121212"/>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1pt" to="308.15pt,5.1pt" o:allowincell="f" strokecolor="#121212" strokeweight="1pt"/>
            </w:pict>
          </mc:Fallback>
        </mc:AlternateConten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4"/>
          <w:szCs w:val="24"/>
          <w:b w:val="1"/>
          <w:bCs w:val="1"/>
          <w:color w:val="121212"/>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86995</wp:posOffset>
                </wp:positionV>
                <wp:extent cx="118872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121212"/>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85pt" to="308.15pt,6.85pt" o:allowincell="f" strokecolor="#121212" strokeweight="1pt"/>
            </w:pict>
          </mc:Fallback>
        </mc:AlternateContent>
      </w:r>
    </w:p>
    <w:p>
      <w:pPr>
        <w:spacing w:after="0" w:line="1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b w:val="1"/>
          <w:bCs w:val="1"/>
          <w:color w:val="121212"/>
        </w:rPr>
        <w:t>(Mark One)</w:t>
      </w:r>
    </w:p>
    <w:p>
      <w:pPr>
        <w:spacing w:after="0" w:line="23" w:lineRule="exact"/>
        <w:rPr>
          <w:sz w:val="20"/>
          <w:szCs w:val="20"/>
          <w:color w:val="auto"/>
        </w:rPr>
      </w:pPr>
    </w:p>
    <w:p>
      <w:pPr>
        <w:ind w:left="487" w:hanging="487"/>
        <w:spacing w:after="0"/>
        <w:tabs>
          <w:tab w:leader="none" w:pos="487" w:val="left"/>
        </w:tabs>
        <w:numPr>
          <w:ilvl w:val="0"/>
          <w:numId w:val="1"/>
        </w:numPr>
        <w:rPr>
          <w:rFonts w:ascii="PMingLiU" w:cs="PMingLiU" w:eastAsia="PMingLiU" w:hAnsi="PMingLiU"/>
          <w:sz w:val="18"/>
          <w:szCs w:val="18"/>
          <w:color w:val="121212"/>
        </w:rPr>
      </w:pPr>
      <w:r>
        <w:rPr>
          <w:rFonts w:ascii="Times New Roman" w:cs="Times New Roman" w:eastAsia="Times New Roman" w:hAnsi="Times New Roman"/>
          <w:sz w:val="18"/>
          <w:szCs w:val="18"/>
          <w:b w:val="1"/>
          <w:bCs w:val="1"/>
          <w:color w:val="121212"/>
        </w:rPr>
        <w:t>ANNUAL REPORT PURSUANT TO SECTION 13 OR 15(d) OF THE SECURITIES EXCHANGE ACT OF 1934</w:t>
      </w:r>
    </w:p>
    <w:p>
      <w:pPr>
        <w:spacing w:after="0" w:line="4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121212"/>
        </w:rPr>
        <w:t>For the fiscal year ended December 31, 2023</w:t>
      </w:r>
    </w:p>
    <w:p>
      <w:pPr>
        <w:spacing w:after="0" w:line="2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121212"/>
        </w:rPr>
        <w:t>OR</w:t>
      </w:r>
    </w:p>
    <w:p>
      <w:pPr>
        <w:spacing w:after="0" w:line="65" w:lineRule="exact"/>
        <w:rPr>
          <w:sz w:val="20"/>
          <w:szCs w:val="20"/>
          <w:color w:val="auto"/>
        </w:rPr>
      </w:pPr>
    </w:p>
    <w:p>
      <w:pPr>
        <w:ind w:left="487" w:hanging="487"/>
        <w:spacing w:after="0"/>
        <w:tabs>
          <w:tab w:leader="none" w:pos="487" w:val="left"/>
        </w:tabs>
        <w:numPr>
          <w:ilvl w:val="0"/>
          <w:numId w:val="2"/>
        </w:numPr>
        <w:rPr>
          <w:rFonts w:ascii="PMingLiU" w:cs="PMingLiU" w:eastAsia="PMingLiU" w:hAnsi="PMingLiU"/>
          <w:sz w:val="18"/>
          <w:szCs w:val="18"/>
          <w:color w:val="121212"/>
        </w:rPr>
      </w:pPr>
      <w:r>
        <w:rPr>
          <w:rFonts w:ascii="Times New Roman" w:cs="Times New Roman" w:eastAsia="Times New Roman" w:hAnsi="Times New Roman"/>
          <w:sz w:val="18"/>
          <w:szCs w:val="18"/>
          <w:b w:val="1"/>
          <w:bCs w:val="1"/>
          <w:color w:val="121212"/>
        </w:rPr>
        <w:t>TRANSITION REPORT PURSUANT TO SECTION 13 OR 15(d) OF THE SECURITIES EXCHANGE ACT OF 1934</w:t>
      </w:r>
    </w:p>
    <w:p>
      <w:pPr>
        <w:spacing w:after="0" w:line="21" w:lineRule="exact"/>
        <w:rPr>
          <w:sz w:val="20"/>
          <w:szCs w:val="20"/>
          <w:color w:val="auto"/>
        </w:rPr>
      </w:pPr>
    </w:p>
    <w:p>
      <w:pPr>
        <w:ind w:left="3347"/>
        <w:spacing w:after="0"/>
        <w:rPr>
          <w:sz w:val="20"/>
          <w:szCs w:val="20"/>
          <w:color w:val="auto"/>
        </w:rPr>
      </w:pPr>
      <w:r>
        <w:rPr>
          <w:rFonts w:ascii="Times New Roman" w:cs="Times New Roman" w:eastAsia="Times New Roman" w:hAnsi="Times New Roman"/>
          <w:sz w:val="15"/>
          <w:szCs w:val="15"/>
          <w:b w:val="1"/>
          <w:bCs w:val="1"/>
          <w:color w:val="121212"/>
        </w:rPr>
        <w:t>For the transition period from ___________to___________</w:t>
      </w:r>
    </w:p>
    <w:p>
      <w:pPr>
        <w:spacing w:after="0" w:line="3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121212"/>
        </w:rPr>
        <w:t>Commission file number: 001-39438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80645</wp:posOffset>
                </wp:positionV>
                <wp:extent cx="118872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121212"/>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35pt" to="308.15pt,6.35pt" o:allowincell="f" strokecolor="#121212" strokeweight="1pt"/>
            </w:pict>
          </mc:Fallback>
        </mc:AlternateContent>
      </w:r>
    </w:p>
    <w:p>
      <w:pPr>
        <w:spacing w:after="0" w:line="11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34"/>
          <w:szCs w:val="34"/>
          <w:b w:val="1"/>
          <w:bCs w:val="1"/>
          <w:color w:val="121212"/>
        </w:rPr>
        <w:t>Disc Medicine, Inc.</w:t>
      </w:r>
    </w:p>
    <w:p>
      <w:pPr>
        <w:spacing w:after="0" w:line="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121212"/>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71755</wp:posOffset>
                </wp:positionV>
                <wp:extent cx="11887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8720" cy="4763"/>
                        </a:xfrm>
                        <a:prstGeom prst="line">
                          <a:avLst/>
                        </a:prstGeom>
                        <a:solidFill>
                          <a:srgbClr val="FFFFFF"/>
                        </a:solidFill>
                        <a:ln w="12700">
                          <a:solidFill>
                            <a:srgbClr val="121212"/>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65pt" to="308.15pt,5.65pt" o:allowincell="f" strokecolor="#121212" strokeweight="1pt"/>
            </w:pict>
          </mc:Fallback>
        </mc:AlternateContent>
      </w:r>
    </w:p>
    <w:p>
      <w:pPr>
        <w:spacing w:after="0" w:line="109"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4280" w:type="dxa"/>
            <w:vAlign w:val="bottom"/>
          </w:tcPr>
          <w:p>
            <w:pPr>
              <w:jc w:val="center"/>
              <w:ind w:left="864"/>
              <w:spacing w:after="0"/>
              <w:rPr>
                <w:sz w:val="20"/>
                <w:szCs w:val="20"/>
                <w:color w:val="auto"/>
              </w:rPr>
            </w:pPr>
            <w:r>
              <w:rPr>
                <w:rFonts w:ascii="Times New Roman" w:cs="Times New Roman" w:eastAsia="Times New Roman" w:hAnsi="Times New Roman"/>
                <w:sz w:val="15"/>
                <w:szCs w:val="15"/>
                <w:b w:val="1"/>
                <w:bCs w:val="1"/>
                <w:color w:val="121212"/>
              </w:rPr>
              <w:t>Delaware</w:t>
            </w:r>
          </w:p>
        </w:tc>
        <w:tc>
          <w:tcPr>
            <w:tcW w:w="1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121212"/>
              </w:rPr>
              <w:t>85-1612845</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121212"/>
              </w:rPr>
              <w:t>(State or other jurisdiction of</w:t>
            </w:r>
          </w:p>
        </w:tc>
        <w:tc>
          <w:tcPr>
            <w:tcW w:w="1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121212"/>
                <w:w w:val="99"/>
              </w:rPr>
              <w:t>(I.R.S. Employer</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121212"/>
              </w:rPr>
              <w:t>incorporation or organization)</w:t>
            </w:r>
          </w:p>
        </w:tc>
        <w:tc>
          <w:tcPr>
            <w:tcW w:w="1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121212"/>
              </w:rPr>
              <w:t>Identification No.)</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121212"/>
                <w:w w:val="99"/>
              </w:rPr>
              <w:t>321 Arsenal Street, Suite 101</w:t>
            </w:r>
          </w:p>
        </w:tc>
        <w:tc>
          <w:tcPr>
            <w:tcW w:w="1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121212"/>
                <w:w w:val="99"/>
              </w:rPr>
              <w:t>Watertown, Massachusetts</w:t>
            </w:r>
          </w:p>
        </w:tc>
        <w:tc>
          <w:tcPr>
            <w:tcW w:w="1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121212"/>
              </w:rPr>
              <w:t>02472</w:t>
            </w: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tcPr>
          <w:p>
            <w:pPr>
              <w:jc w:val="center"/>
              <w:ind w:left="844"/>
              <w:spacing w:after="0"/>
              <w:rPr>
                <w:sz w:val="20"/>
                <w:szCs w:val="20"/>
                <w:color w:val="auto"/>
              </w:rPr>
            </w:pPr>
            <w:r>
              <w:rPr>
                <w:rFonts w:ascii="Times New Roman" w:cs="Times New Roman" w:eastAsia="Times New Roman" w:hAnsi="Times New Roman"/>
                <w:sz w:val="15"/>
                <w:szCs w:val="15"/>
                <w:b w:val="1"/>
                <w:bCs w:val="1"/>
                <w:color w:val="121212"/>
                <w:w w:val="99"/>
              </w:rPr>
              <w:t>(Address of principal executive offices)</w:t>
            </w:r>
          </w:p>
        </w:tc>
        <w:tc>
          <w:tcPr>
            <w:tcW w:w="1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121212"/>
              </w:rPr>
              <w:t>(Zip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60" w:type="dxa"/>
            <w:vAlign w:val="bottom"/>
            <w:gridSpan w:val="4"/>
          </w:tcPr>
          <w:p>
            <w:pPr>
              <w:jc w:val="center"/>
              <w:ind w:left="2204"/>
              <w:spacing w:after="0"/>
              <w:rPr>
                <w:sz w:val="20"/>
                <w:szCs w:val="20"/>
                <w:color w:val="auto"/>
              </w:rPr>
            </w:pPr>
            <w:r>
              <w:rPr>
                <w:rFonts w:ascii="Times New Roman" w:cs="Times New Roman" w:eastAsia="Times New Roman" w:hAnsi="Times New Roman"/>
                <w:sz w:val="15"/>
                <w:szCs w:val="15"/>
                <w:b w:val="1"/>
                <w:bCs w:val="1"/>
                <w:color w:val="121212"/>
                <w:w w:val="99"/>
              </w:rPr>
              <w:t>Registrant’s telephone number, including area code: (617) 674-9274</w:t>
            </w: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60" w:type="dxa"/>
            <w:vAlign w:val="bottom"/>
            <w:gridSpan w:val="3"/>
          </w:tcPr>
          <w:p>
            <w:pPr>
              <w:jc w:val="center"/>
              <w:ind w:left="3204"/>
              <w:spacing w:after="0"/>
              <w:rPr>
                <w:sz w:val="20"/>
                <w:szCs w:val="20"/>
                <w:color w:val="auto"/>
              </w:rPr>
            </w:pPr>
            <w:r>
              <w:rPr>
                <w:rFonts w:ascii="Times New Roman" w:cs="Times New Roman" w:eastAsia="Times New Roman" w:hAnsi="Times New Roman"/>
                <w:sz w:val="15"/>
                <w:szCs w:val="15"/>
                <w:b w:val="1"/>
                <w:bCs w:val="1"/>
                <w:color w:val="121212"/>
              </w:rPr>
              <w:t>Securities registered pursuant to Section 12(b) of the Act:</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121212"/>
                <w:w w:val="98"/>
              </w:rPr>
              <w:t>Trading</w:t>
            </w:r>
          </w:p>
        </w:tc>
        <w:tc>
          <w:tcPr>
            <w:tcW w:w="32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121212"/>
                <w:w w:val="98"/>
              </w:rPr>
              <w:t>Name of each exchange</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121212"/>
            </w:tcBorders>
          </w:tcPr>
          <w:p>
            <w:pPr>
              <w:jc w:val="center"/>
              <w:ind w:right="484"/>
              <w:spacing w:after="0"/>
              <w:rPr>
                <w:sz w:val="20"/>
                <w:szCs w:val="20"/>
                <w:color w:val="auto"/>
              </w:rPr>
            </w:pPr>
            <w:r>
              <w:rPr>
                <w:rFonts w:ascii="Times New Roman" w:cs="Times New Roman" w:eastAsia="Times New Roman" w:hAnsi="Times New Roman"/>
                <w:sz w:val="15"/>
                <w:szCs w:val="15"/>
                <w:b w:val="1"/>
                <w:bCs w:val="1"/>
                <w:color w:val="121212"/>
                <w:w w:val="99"/>
              </w:rPr>
              <w:t>Title of each class</w:t>
            </w:r>
          </w:p>
        </w:tc>
        <w:tc>
          <w:tcPr>
            <w:tcW w:w="2880" w:type="dxa"/>
            <w:vAlign w:val="bottom"/>
            <w:tcBorders>
              <w:bottom w:val="single" w:sz="8" w:color="121212"/>
            </w:tcBorders>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121212"/>
                <w:w w:val="99"/>
              </w:rPr>
              <w:t>Symbol(s)</w:t>
            </w:r>
          </w:p>
        </w:tc>
        <w:tc>
          <w:tcPr>
            <w:tcW w:w="3280" w:type="dxa"/>
            <w:vAlign w:val="bottom"/>
            <w:tcBorders>
              <w:bottom w:val="single" w:sz="8" w:color="121212"/>
            </w:tcBorders>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121212"/>
              </w:rPr>
              <w:t>on which registered</w:t>
            </w:r>
          </w:p>
        </w:tc>
        <w:tc>
          <w:tcPr>
            <w:tcW w:w="0" w:type="dxa"/>
            <w:vAlign w:val="bottom"/>
          </w:tcPr>
          <w:p>
            <w:pPr>
              <w:spacing w:after="0"/>
              <w:rPr>
                <w:sz w:val="1"/>
                <w:szCs w:val="1"/>
                <w:color w:val="auto"/>
              </w:rPr>
            </w:pPr>
          </w:p>
        </w:tc>
      </w:tr>
      <w:tr>
        <w:trPr>
          <w:trHeight w:val="185"/>
        </w:trPr>
        <w:tc>
          <w:tcPr>
            <w:tcW w:w="4280" w:type="dxa"/>
            <w:vAlign w:val="bottom"/>
          </w:tcPr>
          <w:p>
            <w:pPr>
              <w:jc w:val="center"/>
              <w:ind w:right="484"/>
              <w:spacing w:after="0"/>
              <w:rPr>
                <w:sz w:val="20"/>
                <w:szCs w:val="20"/>
                <w:color w:val="auto"/>
              </w:rPr>
            </w:pPr>
            <w:r>
              <w:rPr>
                <w:rFonts w:ascii="Times New Roman" w:cs="Times New Roman" w:eastAsia="Times New Roman" w:hAnsi="Times New Roman"/>
                <w:sz w:val="15"/>
                <w:szCs w:val="15"/>
                <w:b w:val="1"/>
                <w:bCs w:val="1"/>
                <w:color w:val="121212"/>
              </w:rPr>
              <w:t>Common Stock, $0.0001 Par Value</w:t>
            </w: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121212"/>
              </w:rPr>
              <w:t>IRON</w:t>
            </w:r>
          </w:p>
        </w:tc>
        <w:tc>
          <w:tcPr>
            <w:tcW w:w="32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121212"/>
                <w:w w:val="99"/>
              </w:rPr>
              <w:t>The Nasdaq Global Market</w:t>
            </w:r>
          </w:p>
        </w:tc>
        <w:tc>
          <w:tcPr>
            <w:tcW w:w="0" w:type="dxa"/>
            <w:vAlign w:val="bottom"/>
          </w:tcPr>
          <w:p>
            <w:pPr>
              <w:spacing w:after="0"/>
              <w:rPr>
                <w:sz w:val="1"/>
                <w:szCs w:val="1"/>
                <w:color w:val="auto"/>
              </w:rPr>
            </w:pPr>
          </w:p>
        </w:tc>
      </w:tr>
      <w:tr>
        <w:trPr>
          <w:trHeight w:val="192"/>
        </w:trPr>
        <w:tc>
          <w:tcPr>
            <w:tcW w:w="7160" w:type="dxa"/>
            <w:vAlign w:val="bottom"/>
            <w:gridSpan w:val="3"/>
          </w:tcPr>
          <w:p>
            <w:pPr>
              <w:jc w:val="center"/>
              <w:ind w:left="3204"/>
              <w:spacing w:after="0"/>
              <w:rPr>
                <w:sz w:val="20"/>
                <w:szCs w:val="20"/>
                <w:color w:val="auto"/>
              </w:rPr>
            </w:pPr>
            <w:r>
              <w:rPr>
                <w:rFonts w:ascii="Times New Roman" w:cs="Times New Roman" w:eastAsia="Times New Roman" w:hAnsi="Times New Roman"/>
                <w:sz w:val="15"/>
                <w:szCs w:val="15"/>
                <w:b w:val="1"/>
                <w:bCs w:val="1"/>
                <w:color w:val="121212"/>
              </w:rPr>
              <w:t>Securities registered pursuant to Section 12(g) of the Act:</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spacing w:after="0"/>
              <w:rPr>
                <w:sz w:val="17"/>
                <w:szCs w:val="17"/>
                <w:color w:val="auto"/>
              </w:rPr>
            </w:pPr>
          </w:p>
        </w:tc>
        <w:tc>
          <w:tcPr>
            <w:tcW w:w="2880" w:type="dxa"/>
            <w:vAlign w:val="bottom"/>
            <w:gridSpan w:val="2"/>
          </w:tcPr>
          <w:p>
            <w:pPr>
              <w:jc w:val="center"/>
              <w:ind w:right="1000"/>
              <w:spacing w:after="0"/>
              <w:rPr>
                <w:sz w:val="20"/>
                <w:szCs w:val="20"/>
                <w:color w:val="auto"/>
              </w:rPr>
            </w:pPr>
            <w:r>
              <w:rPr>
                <w:rFonts w:ascii="Times New Roman" w:cs="Times New Roman" w:eastAsia="Times New Roman" w:hAnsi="Times New Roman"/>
                <w:sz w:val="15"/>
                <w:szCs w:val="15"/>
                <w:b w:val="1"/>
                <w:bCs w:val="1"/>
                <w:color w:val="121212"/>
                <w:w w:val="95"/>
              </w:rPr>
              <w:t>None</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4280" w:type="dxa"/>
            <w:vAlign w:val="bottom"/>
          </w:tcPr>
          <w:p>
            <w:pPr>
              <w:spacing w:after="0"/>
              <w:rPr>
                <w:sz w:val="7"/>
                <w:szCs w:val="7"/>
                <w:color w:val="auto"/>
              </w:rPr>
            </w:pPr>
          </w:p>
        </w:tc>
        <w:tc>
          <w:tcPr>
            <w:tcW w:w="1880" w:type="dxa"/>
            <w:vAlign w:val="bottom"/>
            <w:tcBorders>
              <w:bottom w:val="single" w:sz="8" w:color="121212"/>
            </w:tcBorders>
          </w:tcPr>
          <w:p>
            <w:pPr>
              <w:spacing w:after="0"/>
              <w:rPr>
                <w:sz w:val="7"/>
                <w:szCs w:val="7"/>
                <w:color w:val="auto"/>
              </w:rPr>
            </w:pPr>
          </w:p>
        </w:tc>
        <w:tc>
          <w:tcPr>
            <w:tcW w:w="2000" w:type="dxa"/>
            <w:vAlign w:val="bottom"/>
            <w:gridSpan w:val="2"/>
          </w:tcPr>
          <w:p>
            <w:pPr>
              <w:spacing w:after="0"/>
              <w:rPr>
                <w:sz w:val="7"/>
                <w:szCs w:val="7"/>
                <w:color w:val="auto"/>
              </w:rPr>
            </w:pPr>
          </w:p>
        </w:tc>
        <w:tc>
          <w:tcPr>
            <w:tcW w:w="620" w:type="dxa"/>
            <w:vAlign w:val="bottom"/>
            <w:vMerge w:val="restart"/>
          </w:tcPr>
          <w:p>
            <w:pPr>
              <w:spacing w:after="0" w:line="195" w:lineRule="exact"/>
              <w:rPr>
                <w:sz w:val="20"/>
                <w:szCs w:val="20"/>
                <w:color w:val="auto"/>
              </w:rPr>
            </w:pPr>
            <w:r>
              <w:rPr>
                <w:rFonts w:ascii="Times New Roman" w:cs="Times New Roman" w:eastAsia="Times New Roman" w:hAnsi="Times New Roman"/>
                <w:sz w:val="16"/>
                <w:szCs w:val="16"/>
                <w:color w:val="121212"/>
              </w:rPr>
              <w:t xml:space="preserve">Yes </w:t>
            </w:r>
            <w:r>
              <w:rPr>
                <w:rFonts w:ascii="PMingLiU" w:cs="PMingLiU" w:eastAsia="PMingLiU" w:hAnsi="PMingLiU"/>
                <w:sz w:val="16"/>
                <w:szCs w:val="16"/>
                <w:color w:val="121212"/>
              </w:rPr>
              <w:t/>
            </w:r>
          </w:p>
        </w:tc>
        <w:tc>
          <w:tcPr>
            <w:tcW w:w="1660" w:type="dxa"/>
            <w:vAlign w:val="bottom"/>
            <w:vMerge w:val="restart"/>
          </w:tcPr>
          <w:p>
            <w:pPr>
              <w:spacing w:after="0" w:line="195" w:lineRule="exact"/>
              <w:rPr>
                <w:sz w:val="20"/>
                <w:szCs w:val="20"/>
                <w:color w:val="auto"/>
              </w:rPr>
            </w:pPr>
            <w:r>
              <w:rPr>
                <w:rFonts w:ascii="Times New Roman" w:cs="Times New Roman" w:eastAsia="Times New Roman" w:hAnsi="Times New Roman"/>
                <w:sz w:val="16"/>
                <w:szCs w:val="16"/>
                <w:color w:val="121212"/>
              </w:rPr>
              <w:t xml:space="preserve">No </w:t>
            </w:r>
            <w:r>
              <w:rPr>
                <w:rFonts w:ascii="PMingLiU" w:cs="PMingLiU" w:eastAsia="PMingLiU" w:hAnsi="PMingLiU"/>
                <w:sz w:val="16"/>
                <w:szCs w:val="16"/>
                <w:color w:val="121212"/>
              </w:rPr>
              <w:t/>
            </w:r>
          </w:p>
        </w:tc>
        <w:tc>
          <w:tcPr>
            <w:tcW w:w="0" w:type="dxa"/>
            <w:vAlign w:val="bottom"/>
          </w:tcPr>
          <w:p>
            <w:pPr>
              <w:spacing w:after="0"/>
              <w:rPr>
                <w:sz w:val="1"/>
                <w:szCs w:val="1"/>
                <w:color w:val="auto"/>
              </w:rPr>
            </w:pPr>
          </w:p>
        </w:tc>
      </w:tr>
      <w:tr>
        <w:trPr>
          <w:trHeight w:val="255"/>
        </w:trPr>
        <w:tc>
          <w:tcPr>
            <w:tcW w:w="816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121212"/>
              </w:rPr>
              <w:t>Indicate by check mark if the registrant is a well-known seasoned issuer, as defined in Rule 405 of the Securities Act.</w:t>
            </w:r>
          </w:p>
        </w:tc>
        <w:tc>
          <w:tcPr>
            <w:tcW w:w="620" w:type="dxa"/>
            <w:vAlign w:val="bottom"/>
            <w:vMerge w:val="continue"/>
          </w:tcPr>
          <w:p>
            <w:pPr>
              <w:spacing w:after="0"/>
              <w:rPr>
                <w:sz w:val="22"/>
                <w:szCs w:val="22"/>
                <w:color w:val="auto"/>
              </w:rPr>
            </w:pPr>
          </w:p>
        </w:tc>
        <w:tc>
          <w:tcPr>
            <w:tcW w:w="1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16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121212"/>
              </w:rPr>
              <w:t>Indicate by check mark if the registrant is not required to file reports pursuant to Section 13 or Section 15(d) of the Act.</w:t>
            </w:r>
          </w:p>
        </w:tc>
        <w:tc>
          <w:tcPr>
            <w:tcW w:w="620" w:type="dxa"/>
            <w:vAlign w:val="bottom"/>
          </w:tcPr>
          <w:p>
            <w:pPr>
              <w:ind w:left="140"/>
              <w:spacing w:after="0" w:line="195" w:lineRule="exact"/>
              <w:rPr>
                <w:sz w:val="20"/>
                <w:szCs w:val="20"/>
                <w:color w:val="auto"/>
              </w:rPr>
            </w:pPr>
            <w:r>
              <w:rPr>
                <w:rFonts w:ascii="Times New Roman" w:cs="Times New Roman" w:eastAsia="Times New Roman" w:hAnsi="Times New Roman"/>
                <w:sz w:val="16"/>
                <w:szCs w:val="16"/>
                <w:color w:val="121212"/>
              </w:rPr>
              <w:t xml:space="preserve">Yes </w:t>
            </w:r>
            <w:r>
              <w:rPr>
                <w:rFonts w:ascii="PMingLiU" w:cs="PMingLiU" w:eastAsia="PMingLiU" w:hAnsi="PMingLiU"/>
                <w:sz w:val="16"/>
                <w:szCs w:val="16"/>
                <w:color w:val="121212"/>
              </w:rPr>
              <w:t/>
            </w:r>
          </w:p>
        </w:tc>
        <w:tc>
          <w:tcPr>
            <w:tcW w:w="1660" w:type="dxa"/>
            <w:vAlign w:val="bottom"/>
          </w:tcPr>
          <w:p>
            <w:pPr>
              <w:ind w:left="140"/>
              <w:spacing w:after="0" w:line="195" w:lineRule="exact"/>
              <w:rPr>
                <w:sz w:val="20"/>
                <w:szCs w:val="20"/>
                <w:color w:val="auto"/>
              </w:rPr>
            </w:pPr>
            <w:r>
              <w:rPr>
                <w:rFonts w:ascii="Times New Roman" w:cs="Times New Roman" w:eastAsia="Times New Roman" w:hAnsi="Times New Roman"/>
                <w:sz w:val="16"/>
                <w:szCs w:val="16"/>
                <w:color w:val="121212"/>
              </w:rPr>
              <w:t xml:space="preserve">No </w:t>
            </w:r>
            <w:r>
              <w:rPr>
                <w:rFonts w:ascii="PMingLiU" w:cs="PMingLiU" w:eastAsia="PMingLiU" w:hAnsi="PMingLiU"/>
                <w:sz w:val="16"/>
                <w:szCs w:val="16"/>
                <w:color w:val="121212"/>
              </w:rPr>
              <w:t/>
            </w:r>
          </w:p>
        </w:tc>
        <w:tc>
          <w:tcPr>
            <w:tcW w:w="0" w:type="dxa"/>
            <w:vAlign w:val="bottom"/>
          </w:tcPr>
          <w:p>
            <w:pPr>
              <w:spacing w:after="0"/>
              <w:rPr>
                <w:sz w:val="1"/>
                <w:szCs w:val="1"/>
                <w:color w:val="auto"/>
              </w:rPr>
            </w:pPr>
          </w:p>
        </w:tc>
      </w:tr>
    </w:tbl>
    <w:p>
      <w:pPr>
        <w:jc w:val="both"/>
        <w:ind w:left="7" w:firstLine="490"/>
        <w:spacing w:after="0" w:line="251" w:lineRule="auto"/>
        <w:rPr>
          <w:sz w:val="20"/>
          <w:szCs w:val="20"/>
          <w:color w:val="auto"/>
        </w:rPr>
      </w:pPr>
      <w:r>
        <w:rPr>
          <w:rFonts w:ascii="Times New Roman" w:cs="Times New Roman" w:eastAsia="Times New Roman" w:hAnsi="Times New Roman"/>
          <w:sz w:val="15"/>
          <w:szCs w:val="15"/>
          <w:color w:val="121212"/>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ind w:left="7"/>
        <w:spacing w:after="0" w:line="195" w:lineRule="exact"/>
        <w:tabs>
          <w:tab w:leader="none" w:pos="1427" w:val="left"/>
          <w:tab w:leader="none" w:pos="2067" w:val="left"/>
        </w:tabs>
        <w:rPr>
          <w:sz w:val="20"/>
          <w:szCs w:val="20"/>
          <w:color w:val="auto"/>
        </w:rPr>
      </w:pPr>
      <w:r>
        <w:rPr>
          <w:rFonts w:ascii="Times New Roman" w:cs="Times New Roman" w:eastAsia="Times New Roman" w:hAnsi="Times New Roman"/>
          <w:sz w:val="16"/>
          <w:szCs w:val="16"/>
          <w:color w:val="121212"/>
        </w:rPr>
        <w:t>for the past 90 days.</w:t>
        <w:tab/>
        <w:t xml:space="preserve">Yes </w:t>
      </w:r>
      <w:r>
        <w:rPr>
          <w:rFonts w:ascii="PMingLiU" w:cs="PMingLiU" w:eastAsia="PMingLiU" w:hAnsi="PMingLiU"/>
          <w:sz w:val="16"/>
          <w:szCs w:val="16"/>
          <w:color w:val="121212"/>
        </w:rPr>
        <w:t/>
      </w:r>
      <w:r>
        <w:rPr>
          <w:rFonts w:ascii="Times New Roman" w:cs="Times New Roman" w:eastAsia="Times New Roman" w:hAnsi="Times New Roman"/>
          <w:sz w:val="16"/>
          <w:szCs w:val="16"/>
          <w:color w:val="121212"/>
        </w:rPr>
        <w:tab/>
        <w:t xml:space="preserve">No </w:t>
      </w:r>
      <w:r>
        <w:rPr>
          <w:rFonts w:ascii="PMingLiU" w:cs="PMingLiU" w:eastAsia="PMingLiU" w:hAnsi="PMingLiU"/>
          <w:sz w:val="16"/>
          <w:szCs w:val="16"/>
          <w:color w:val="121212"/>
        </w:rPr>
        <w:t/>
      </w:r>
    </w:p>
    <w:p>
      <w:pPr>
        <w:spacing w:after="0" w:line="45" w:lineRule="exact"/>
        <w:rPr>
          <w:sz w:val="20"/>
          <w:szCs w:val="20"/>
          <w:color w:val="auto"/>
        </w:rPr>
      </w:pPr>
    </w:p>
    <w:p>
      <w:pPr>
        <w:ind w:left="7" w:right="160" w:firstLine="490"/>
        <w:spacing w:after="0" w:line="235" w:lineRule="auto"/>
        <w:rPr>
          <w:sz w:val="20"/>
          <w:szCs w:val="20"/>
          <w:color w:val="auto"/>
        </w:rPr>
      </w:pPr>
      <w:r>
        <w:rPr>
          <w:rFonts w:ascii="Times New Roman" w:cs="Times New Roman" w:eastAsia="Times New Roman" w:hAnsi="Times New Roman"/>
          <w:sz w:val="16"/>
          <w:szCs w:val="16"/>
          <w:color w:val="121212"/>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0"/>
          <w:szCs w:val="20"/>
          <w:color w:val="auto"/>
        </w:rPr>
      </w:pPr>
    </w:p>
    <w:p>
      <w:pPr>
        <w:ind w:left="307" w:hanging="307"/>
        <w:spacing w:after="0" w:line="195" w:lineRule="exact"/>
        <w:tabs>
          <w:tab w:leader="none" w:pos="307" w:val="left"/>
        </w:tabs>
        <w:numPr>
          <w:ilvl w:val="0"/>
          <w:numId w:val="3"/>
        </w:numPr>
        <w:rPr>
          <w:rFonts w:ascii="PMingLiU" w:cs="PMingLiU" w:eastAsia="PMingLiU" w:hAnsi="PMingLiU"/>
          <w:sz w:val="16"/>
          <w:szCs w:val="16"/>
          <w:color w:val="121212"/>
        </w:rPr>
      </w:pPr>
      <w:r>
        <w:rPr>
          <w:rFonts w:ascii="Times New Roman" w:cs="Times New Roman" w:eastAsia="Times New Roman" w:hAnsi="Times New Roman"/>
          <w:sz w:val="16"/>
          <w:szCs w:val="16"/>
          <w:color w:val="121212"/>
        </w:rPr>
        <w:t xml:space="preserve">No </w:t>
      </w:r>
      <w:r>
        <w:rPr>
          <w:rFonts w:ascii="PMingLiU" w:cs="PMingLiU" w:eastAsia="PMingLiU" w:hAnsi="PMingLiU"/>
          <w:sz w:val="16"/>
          <w:szCs w:val="16"/>
          <w:color w:val="121212"/>
        </w:rPr>
        <w:t/>
      </w:r>
    </w:p>
    <w:p>
      <w:pPr>
        <w:spacing w:after="0" w:line="45" w:lineRule="exact"/>
        <w:rPr>
          <w:sz w:val="20"/>
          <w:szCs w:val="20"/>
          <w:color w:val="auto"/>
        </w:rPr>
      </w:pPr>
    </w:p>
    <w:p>
      <w:pPr>
        <w:jc w:val="both"/>
        <w:ind w:left="7" w:right="140" w:firstLine="490"/>
        <w:spacing w:after="0" w:line="242" w:lineRule="auto"/>
        <w:rPr>
          <w:sz w:val="20"/>
          <w:szCs w:val="20"/>
          <w:color w:val="auto"/>
        </w:rPr>
      </w:pPr>
      <w:r>
        <w:rPr>
          <w:rFonts w:ascii="Times New Roman" w:cs="Times New Roman" w:eastAsia="Times New Roman" w:hAnsi="Times New Roman"/>
          <w:sz w:val="16"/>
          <w:szCs w:val="16"/>
          <w:color w:val="12121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227"/>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121212"/>
              </w:rPr>
              <w:t>Large accelerated filer</w:t>
            </w:r>
          </w:p>
        </w:tc>
        <w:tc>
          <w:tcPr>
            <w:tcW w:w="3280" w:type="dxa"/>
            <w:vAlign w:val="bottom"/>
          </w:tcPr>
          <w:p>
            <w:pPr>
              <w:jc w:val="right"/>
              <w:ind w:right="2960"/>
              <w:spacing w:after="0" w:line="192" w:lineRule="exact"/>
              <w:rPr>
                <w:sz w:val="20"/>
                <w:szCs w:val="20"/>
                <w:color w:val="auto"/>
              </w:rPr>
            </w:pPr>
            <w:r>
              <w:rPr>
                <w:rFonts w:ascii="PMingLiU" w:cs="PMingLiU" w:eastAsia="PMingLiU" w:hAnsi="PMingLiU"/>
                <w:sz w:val="16"/>
                <w:szCs w:val="16"/>
                <w:color w:val="121212"/>
              </w:rPr>
              <w:t/>
            </w: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121212"/>
              </w:rPr>
              <w:t>Accelerated filer</w:t>
            </w: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121212"/>
              </w:rPr>
              <w:t/>
            </w:r>
          </w:p>
        </w:tc>
      </w:tr>
      <w:tr>
        <w:trPr>
          <w:trHeight w:val="236"/>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121212"/>
              </w:rPr>
              <w:t>Non-accelerated filer</w:t>
            </w:r>
          </w:p>
        </w:tc>
        <w:tc>
          <w:tcPr>
            <w:tcW w:w="3280" w:type="dxa"/>
            <w:vAlign w:val="bottom"/>
          </w:tcPr>
          <w:p>
            <w:pPr>
              <w:jc w:val="right"/>
              <w:ind w:right="2960"/>
              <w:spacing w:after="0" w:line="192" w:lineRule="exact"/>
              <w:rPr>
                <w:sz w:val="20"/>
                <w:szCs w:val="20"/>
                <w:color w:val="auto"/>
              </w:rPr>
            </w:pPr>
            <w:r>
              <w:rPr>
                <w:rFonts w:ascii="PMingLiU" w:cs="PMingLiU" w:eastAsia="PMingLiU" w:hAnsi="PMingLiU"/>
                <w:sz w:val="16"/>
                <w:szCs w:val="16"/>
                <w:color w:val="121212"/>
              </w:rPr>
              <w:t/>
            </w: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121212"/>
              </w:rPr>
              <w:t>Smaller reporting company</w:t>
            </w: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121212"/>
              </w:rPr>
              <w:t/>
            </w:r>
          </w:p>
        </w:tc>
      </w:tr>
      <w:tr>
        <w:trPr>
          <w:trHeight w:val="258"/>
        </w:trPr>
        <w:tc>
          <w:tcPr>
            <w:tcW w:w="1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5040" w:type="dxa"/>
            <w:vAlign w:val="bottom"/>
          </w:tcPr>
          <w:p>
            <w:pPr>
              <w:ind w:left="3060"/>
              <w:spacing w:after="0"/>
              <w:rPr>
                <w:sz w:val="20"/>
                <w:szCs w:val="20"/>
                <w:color w:val="auto"/>
              </w:rPr>
            </w:pPr>
            <w:r>
              <w:rPr>
                <w:rFonts w:ascii="Times New Roman" w:cs="Times New Roman" w:eastAsia="Times New Roman" w:hAnsi="Times New Roman"/>
                <w:sz w:val="16"/>
                <w:szCs w:val="16"/>
                <w:color w:val="121212"/>
              </w:rPr>
              <w:t>Emerging growth company</w:t>
            </w:r>
          </w:p>
        </w:tc>
        <w:tc>
          <w:tcPr>
            <w:tcW w:w="380" w:type="dxa"/>
            <w:vAlign w:val="bottom"/>
          </w:tcPr>
          <w:p>
            <w:pPr>
              <w:jc w:val="right"/>
              <w:spacing w:after="0" w:line="192" w:lineRule="exact"/>
              <w:rPr>
                <w:sz w:val="20"/>
                <w:szCs w:val="20"/>
                <w:color w:val="auto"/>
              </w:rPr>
            </w:pPr>
            <w:r>
              <w:rPr>
                <w:rFonts w:ascii="PMingLiU" w:cs="PMingLiU" w:eastAsia="PMingLiU" w:hAnsi="PMingLiU"/>
                <w:sz w:val="16"/>
                <w:szCs w:val="16"/>
                <w:color w:val="121212"/>
              </w:rPr>
              <w:t/>
            </w:r>
          </w:p>
        </w:tc>
      </w:tr>
    </w:tbl>
    <w:p>
      <w:pPr>
        <w:ind w:left="7" w:right="100" w:firstLine="490"/>
        <w:spacing w:after="0" w:line="209" w:lineRule="exact"/>
        <w:rPr>
          <w:sz w:val="20"/>
          <w:szCs w:val="20"/>
          <w:color w:val="auto"/>
        </w:rPr>
      </w:pPr>
      <w:r>
        <w:rPr>
          <w:rFonts w:ascii="Times New Roman" w:cs="Times New Roman" w:eastAsia="Times New Roman" w:hAnsi="Times New Roman"/>
          <w:sz w:val="16"/>
          <w:szCs w:val="16"/>
          <w:color w:val="12121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121212"/>
        </w:rPr>
        <w:t/>
      </w:r>
    </w:p>
    <w:p>
      <w:pPr>
        <w:ind w:left="7" w:right="320" w:firstLine="490"/>
        <w:spacing w:after="0" w:line="235" w:lineRule="auto"/>
        <w:rPr>
          <w:sz w:val="20"/>
          <w:szCs w:val="20"/>
          <w:color w:val="auto"/>
        </w:rPr>
      </w:pPr>
      <w:r>
        <w:rPr>
          <w:rFonts w:ascii="Times New Roman" w:cs="Times New Roman" w:eastAsia="Times New Roman" w:hAnsi="Times New Roman"/>
          <w:sz w:val="16"/>
          <w:szCs w:val="16"/>
          <w:color w:val="121212"/>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ind w:left="7"/>
        <w:spacing w:after="0" w:line="195" w:lineRule="exact"/>
        <w:rPr>
          <w:sz w:val="20"/>
          <w:szCs w:val="20"/>
          <w:color w:val="auto"/>
        </w:rPr>
      </w:pPr>
      <w:r>
        <w:rPr>
          <w:rFonts w:ascii="Times New Roman" w:cs="Times New Roman" w:eastAsia="Times New Roman" w:hAnsi="Times New Roman"/>
          <w:sz w:val="16"/>
          <w:szCs w:val="16"/>
          <w:color w:val="121212"/>
        </w:rPr>
        <w:t xml:space="preserve">issued its audit report. </w:t>
      </w:r>
      <w:r>
        <w:rPr>
          <w:rFonts w:ascii="PMingLiU" w:cs="PMingLiU" w:eastAsia="PMingLiU" w:hAnsi="PMingLiU"/>
          <w:sz w:val="16"/>
          <w:szCs w:val="16"/>
          <w:color w:val="121212"/>
        </w:rPr>
        <w:t/>
      </w:r>
    </w:p>
    <w:p>
      <w:pPr>
        <w:spacing w:after="0" w:line="45" w:lineRule="exact"/>
        <w:rPr>
          <w:sz w:val="20"/>
          <w:szCs w:val="20"/>
          <w:color w:val="auto"/>
        </w:rPr>
      </w:pPr>
    </w:p>
    <w:p>
      <w:pPr>
        <w:ind w:left="7" w:right="240" w:firstLine="490"/>
        <w:spacing w:after="0" w:line="209" w:lineRule="exact"/>
        <w:rPr>
          <w:sz w:val="20"/>
          <w:szCs w:val="20"/>
          <w:color w:val="auto"/>
        </w:rPr>
      </w:pPr>
      <w:r>
        <w:rPr>
          <w:rFonts w:ascii="Times New Roman" w:cs="Times New Roman" w:eastAsia="Times New Roman" w:hAnsi="Times New Roman"/>
          <w:sz w:val="16"/>
          <w:szCs w:val="16"/>
          <w:color w:val="121212"/>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121212"/>
        </w:rPr>
        <w:t/>
      </w:r>
    </w:p>
    <w:p>
      <w:pPr>
        <w:ind w:left="7" w:right="60" w:firstLine="490"/>
        <w:spacing w:after="0" w:line="205" w:lineRule="exact"/>
        <w:rPr>
          <w:sz w:val="20"/>
          <w:szCs w:val="20"/>
          <w:color w:val="auto"/>
        </w:rPr>
      </w:pPr>
      <w:r>
        <w:rPr>
          <w:rFonts w:ascii="Times New Roman" w:cs="Times New Roman" w:eastAsia="Times New Roman" w:hAnsi="Times New Roman"/>
          <w:sz w:val="16"/>
          <w:szCs w:val="16"/>
          <w:color w:val="121212"/>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121212"/>
        </w:rPr>
        <w:t/>
      </w:r>
    </w:p>
    <w:p>
      <w:pPr>
        <w:spacing w:after="0" w:line="1" w:lineRule="exact"/>
        <w:rPr>
          <w:sz w:val="20"/>
          <w:szCs w:val="20"/>
          <w:color w:val="auto"/>
        </w:rPr>
      </w:pPr>
    </w:p>
    <w:p>
      <w:pPr>
        <w:ind w:left="487"/>
        <w:spacing w:after="0" w:line="195" w:lineRule="exact"/>
        <w:tabs>
          <w:tab w:leader="none" w:pos="7907" w:val="left"/>
          <w:tab w:leader="none" w:pos="8527" w:val="left"/>
        </w:tabs>
        <w:rPr>
          <w:sz w:val="20"/>
          <w:szCs w:val="20"/>
          <w:color w:val="auto"/>
        </w:rPr>
      </w:pPr>
      <w:r>
        <w:rPr>
          <w:rFonts w:ascii="Times New Roman" w:cs="Times New Roman" w:eastAsia="Times New Roman" w:hAnsi="Times New Roman"/>
          <w:sz w:val="16"/>
          <w:szCs w:val="16"/>
          <w:color w:val="121212"/>
        </w:rPr>
        <w:t>Indicate by check mark whether the registrant is a shell company (as defined in Rule 12b-2 of the Exchange Act).</w:t>
        <w:tab/>
        <w:t xml:space="preserve">Yes </w:t>
      </w:r>
      <w:r>
        <w:rPr>
          <w:rFonts w:ascii="PMingLiU" w:cs="PMingLiU" w:eastAsia="PMingLiU" w:hAnsi="PMingLiU"/>
          <w:sz w:val="16"/>
          <w:szCs w:val="16"/>
          <w:color w:val="121212"/>
        </w:rPr>
        <w:t/>
      </w:r>
      <w:r>
        <w:rPr>
          <w:rFonts w:ascii="Times New Roman" w:cs="Times New Roman" w:eastAsia="Times New Roman" w:hAnsi="Times New Roman"/>
          <w:sz w:val="16"/>
          <w:szCs w:val="16"/>
          <w:color w:val="121212"/>
        </w:rPr>
        <w:tab/>
        <w:t xml:space="preserve">No </w:t>
      </w:r>
      <w:r>
        <w:rPr>
          <w:rFonts w:ascii="PMingLiU" w:cs="PMingLiU" w:eastAsia="PMingLiU" w:hAnsi="PMingLiU"/>
          <w:sz w:val="16"/>
          <w:szCs w:val="16"/>
          <w:color w:val="121212"/>
        </w:rPr>
        <w:t/>
      </w:r>
    </w:p>
    <w:p>
      <w:pPr>
        <w:spacing w:after="0" w:line="45" w:lineRule="exact"/>
        <w:rPr>
          <w:sz w:val="20"/>
          <w:szCs w:val="20"/>
          <w:color w:val="auto"/>
        </w:rPr>
      </w:pPr>
    </w:p>
    <w:p>
      <w:pPr>
        <w:ind w:left="7" w:right="20" w:firstLine="490"/>
        <w:spacing w:after="0"/>
        <w:rPr>
          <w:sz w:val="20"/>
          <w:szCs w:val="20"/>
          <w:color w:val="auto"/>
        </w:rPr>
      </w:pPr>
      <w:r>
        <w:rPr>
          <w:rFonts w:ascii="Times New Roman" w:cs="Times New Roman" w:eastAsia="Times New Roman" w:hAnsi="Times New Roman"/>
          <w:sz w:val="16"/>
          <w:szCs w:val="16"/>
          <w:color w:val="121212"/>
        </w:rPr>
        <w:t>The aggregate market value of Common Stock held by non-affiliates of the registrant computed by reference to the price of the registrant’s Common Stock as of June 30, 2023, the last business day of the registrant’s most recently completed second fiscal quarter, was approximately $507.8 million (based on the last reported sale price on the Nasdaq Global Market as of such date). For this computation, the registrant has excluded the market value of all shares of Common Stock reported as beneficially owned by its executive officer and directors; such exclusion shall not be deemed to constitute an admission that any such person is an affiliate of the registrant.</w:t>
      </w:r>
    </w:p>
    <w:p>
      <w:pPr>
        <w:ind w:left="487"/>
        <w:spacing w:after="0"/>
        <w:rPr>
          <w:sz w:val="20"/>
          <w:szCs w:val="20"/>
          <w:color w:val="auto"/>
        </w:rPr>
      </w:pPr>
      <w:r>
        <w:rPr>
          <w:rFonts w:ascii="Times New Roman" w:cs="Times New Roman" w:eastAsia="Times New Roman" w:hAnsi="Times New Roman"/>
          <w:sz w:val="16"/>
          <w:szCs w:val="16"/>
          <w:color w:val="121212"/>
        </w:rPr>
        <w:t>As of February 29, 2024, there were 24,681,028 shares of the registrant’s Common Stock, $0.0001 par value per share, outstanding.</w:t>
      </w:r>
    </w:p>
    <w:p>
      <w:pPr>
        <w:spacing w:after="0" w:line="162" w:lineRule="exact"/>
        <w:rPr>
          <w:sz w:val="20"/>
          <w:szCs w:val="20"/>
          <w:color w:val="auto"/>
        </w:rPr>
      </w:pPr>
    </w:p>
    <w:p>
      <w:pPr>
        <w:ind w:left="67"/>
        <w:spacing w:after="0"/>
        <w:tabs>
          <w:tab w:leader="none" w:pos="2067" w:val="left"/>
          <w:tab w:leader="none" w:pos="2807" w:val="left"/>
          <w:tab w:leader="none" w:pos="4427" w:val="left"/>
          <w:tab w:leader="none" w:pos="6947" w:val="left"/>
          <w:tab w:leader="none" w:pos="8687" w:val="left"/>
        </w:tabs>
        <w:rPr>
          <w:sz w:val="20"/>
          <w:szCs w:val="20"/>
          <w:color w:val="auto"/>
        </w:rPr>
      </w:pPr>
      <w:r>
        <w:rPr>
          <w:rFonts w:ascii="Times New Roman" w:cs="Times New Roman" w:eastAsia="Times New Roman" w:hAnsi="Times New Roman"/>
          <w:sz w:val="16"/>
          <w:szCs w:val="16"/>
          <w:color w:val="121212"/>
        </w:rPr>
        <w:t>Auditor Firm Id:</w:t>
      </w:r>
      <w:r>
        <w:rPr>
          <w:sz w:val="20"/>
          <w:szCs w:val="20"/>
          <w:color w:val="auto"/>
        </w:rPr>
        <w:tab/>
      </w:r>
      <w:r>
        <w:rPr>
          <w:rFonts w:ascii="Times New Roman" w:cs="Times New Roman" w:eastAsia="Times New Roman" w:hAnsi="Times New Roman"/>
          <w:sz w:val="16"/>
          <w:szCs w:val="16"/>
          <w:color w:val="121212"/>
        </w:rPr>
        <w:t>42</w:t>
      </w:r>
      <w:r>
        <w:rPr>
          <w:sz w:val="20"/>
          <w:szCs w:val="20"/>
          <w:color w:val="auto"/>
        </w:rPr>
        <w:tab/>
      </w:r>
      <w:r>
        <w:rPr>
          <w:rFonts w:ascii="Times New Roman" w:cs="Times New Roman" w:eastAsia="Times New Roman" w:hAnsi="Times New Roman"/>
          <w:sz w:val="16"/>
          <w:szCs w:val="16"/>
          <w:color w:val="121212"/>
        </w:rPr>
        <w:t>Auditor Name:</w:t>
      </w:r>
      <w:r>
        <w:rPr>
          <w:sz w:val="20"/>
          <w:szCs w:val="20"/>
          <w:color w:val="auto"/>
        </w:rPr>
        <w:tab/>
      </w:r>
      <w:r>
        <w:rPr>
          <w:rFonts w:ascii="Times New Roman" w:cs="Times New Roman" w:eastAsia="Times New Roman" w:hAnsi="Times New Roman"/>
          <w:sz w:val="16"/>
          <w:szCs w:val="16"/>
          <w:color w:val="121212"/>
        </w:rPr>
        <w:t>Ernst &amp; Young LLP</w:t>
      </w:r>
      <w:r>
        <w:rPr>
          <w:sz w:val="20"/>
          <w:szCs w:val="20"/>
          <w:color w:val="auto"/>
        </w:rPr>
        <w:tab/>
      </w:r>
      <w:r>
        <w:rPr>
          <w:rFonts w:ascii="Times New Roman" w:cs="Times New Roman" w:eastAsia="Times New Roman" w:hAnsi="Times New Roman"/>
          <w:sz w:val="16"/>
          <w:szCs w:val="16"/>
          <w:color w:val="121212"/>
        </w:rPr>
        <w:t>Auditor Location:</w:t>
      </w:r>
      <w:r>
        <w:rPr>
          <w:sz w:val="20"/>
          <w:szCs w:val="20"/>
          <w:color w:val="auto"/>
        </w:rPr>
        <w:tab/>
      </w:r>
      <w:r>
        <w:rPr>
          <w:rFonts w:ascii="Times New Roman" w:cs="Times New Roman" w:eastAsia="Times New Roman" w:hAnsi="Times New Roman"/>
          <w:sz w:val="16"/>
          <w:szCs w:val="16"/>
          <w:color w:val="121212"/>
        </w:rPr>
        <w:t>Boston, Massachusetts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256540</wp:posOffset>
                </wp:positionV>
                <wp:extent cx="667512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9525">
                          <a:solidFill>
                            <a:srgbClr val="121212"/>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20.2pt" to="524.15pt,20.2pt" o:allowincell="f" strokecolor="#121212"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237490</wp:posOffset>
                </wp:positionV>
                <wp:extent cx="667512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75120" cy="4763"/>
                        </a:xfrm>
                        <a:prstGeom prst="line">
                          <a:avLst/>
                        </a:prstGeom>
                        <a:solidFill>
                          <a:srgbClr val="FFFFFF"/>
                        </a:solidFill>
                        <a:ln w="9525">
                          <a:solidFill>
                            <a:srgbClr val="121212"/>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8.7pt" to="524.15pt,18.7pt" o:allowincell="f" strokecolor="#121212" strokeweight="0.75pt"/>
            </w:pict>
          </mc:Fallback>
        </mc:AlternateContent>
      </w:r>
    </w:p>
    <w:p>
      <w:pPr>
        <w:sectPr>
          <w:pgSz w:w="12240" w:h="15840" w:orient="portrait"/>
          <w:cols w:equalWidth="0" w:num="1">
            <w:col w:w="10447"/>
          </w:cols>
          <w:pgMar w:left="893" w:top="797" w:right="90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ind w:left="4400"/>
        <w:spacing w:after="0"/>
        <w:rPr>
          <w:sz w:val="20"/>
          <w:szCs w:val="20"/>
          <w:color w:val="auto"/>
        </w:rPr>
      </w:pPr>
      <w:r>
        <w:rPr>
          <w:rFonts w:ascii="Times New Roman" w:cs="Times New Roman" w:eastAsia="Times New Roman" w:hAnsi="Times New Roman"/>
          <w:sz w:val="20"/>
          <w:szCs w:val="20"/>
          <w:b w:val="1"/>
          <w:bCs w:val="1"/>
          <w:color w:val="121212"/>
        </w:rPr>
        <w:t>Disc Medicine, Inc.</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121212"/>
        </w:rPr>
        <w:t>Index</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121212"/>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27305</wp:posOffset>
            </wp:positionV>
            <wp:extent cx="4635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463550" cy="9525"/>
                    </a:xfrm>
                    <a:prstGeom prst="rect">
                      <a:avLst/>
                    </a:prstGeom>
                    <a:noFill/>
                  </pic:spPr>
                </pic:pic>
              </a:graphicData>
            </a:graphic>
          </wp:anchor>
        </w:drawing>
      </w:r>
    </w:p>
    <w:p>
      <w:pPr>
        <w:spacing w:after="0" w:line="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5" w:lineRule="exact"/>
        <w:rPr>
          <w:sz w:val="20"/>
          <w:szCs w:val="20"/>
          <w:color w:val="auto"/>
        </w:rPr>
      </w:pPr>
    </w:p>
    <w:p>
      <w:pPr>
        <w:spacing w:after="0"/>
        <w:tabs>
          <w:tab w:leader="none" w:pos="820" w:val="left"/>
          <w:tab w:leader="dot" w:pos="10000" w:val="left"/>
        </w:tabs>
        <w:rPr>
          <w:sz w:val="20"/>
          <w:szCs w:val="20"/>
          <w:color w:val="auto"/>
        </w:rPr>
      </w:pPr>
      <w:r>
        <w:rPr>
          <w:rFonts w:ascii="Times New Roman" w:cs="Times New Roman" w:eastAsia="Times New Roman" w:hAnsi="Times New Roman"/>
          <w:sz w:val="20"/>
          <w:szCs w:val="20"/>
          <w:color w:val="121212"/>
        </w:rPr>
        <w:t>Item 1.</w:t>
      </w:r>
      <w:r>
        <w:rPr>
          <w:rFonts w:ascii="Times New Roman" w:cs="Times New Roman" w:eastAsia="Times New Roman" w:hAnsi="Times New Roman"/>
          <w:sz w:val="20"/>
          <w:szCs w:val="20"/>
          <w:color w:val="auto"/>
        </w:rPr>
        <w:tab/>
        <w:t>Business</w:t>
      </w:r>
      <w:r>
        <w:rPr>
          <w:sz w:val="20"/>
          <w:szCs w:val="20"/>
          <w:color w:val="auto"/>
        </w:rPr>
        <w:tab/>
      </w:r>
      <w:r>
        <w:rPr>
          <w:rFonts w:ascii="Times New Roman" w:cs="Times New Roman" w:eastAsia="Times New Roman" w:hAnsi="Times New Roman"/>
          <w:sz w:val="20"/>
          <w:szCs w:val="20"/>
          <w:color w:val="121212"/>
        </w:rPr>
        <w:t>1</w:t>
      </w:r>
    </w:p>
    <w:p>
      <w:pPr>
        <w:spacing w:after="0" w:line="28" w:lineRule="exact"/>
        <w:rPr>
          <w:sz w:val="20"/>
          <w:szCs w:val="20"/>
          <w:color w:val="auto"/>
        </w:rPr>
      </w:pPr>
    </w:p>
    <w:p>
      <w:pPr>
        <w:spacing w:after="0"/>
        <w:tabs>
          <w:tab w:leader="dot" w:pos="9960" w:val="left"/>
        </w:tabs>
        <w:rPr>
          <w:sz w:val="20"/>
          <w:szCs w:val="20"/>
          <w:color w:val="auto"/>
        </w:rPr>
      </w:pPr>
      <w:r>
        <w:rPr>
          <w:rFonts w:ascii="Times New Roman" w:cs="Times New Roman" w:eastAsia="Times New Roman" w:hAnsi="Times New Roman"/>
          <w:sz w:val="20"/>
          <w:szCs w:val="20"/>
          <w:color w:val="121212"/>
        </w:rPr>
        <w:t xml:space="preserve">Item 1A. </w:t>
      </w:r>
      <w:r>
        <w:rPr>
          <w:rFonts w:ascii="Times New Roman" w:cs="Times New Roman" w:eastAsia="Times New Roman" w:hAnsi="Times New Roman"/>
          <w:sz w:val="20"/>
          <w:szCs w:val="20"/>
          <w:color w:val="000000"/>
        </w:rPr>
        <w:t>Risk Factors</w:t>
      </w:r>
      <w:r>
        <w:rPr>
          <w:sz w:val="20"/>
          <w:szCs w:val="20"/>
          <w:color w:val="auto"/>
        </w:rPr>
        <w:tab/>
      </w:r>
      <w:r>
        <w:rPr>
          <w:rFonts w:ascii="Times New Roman" w:cs="Times New Roman" w:eastAsia="Times New Roman" w:hAnsi="Times New Roman"/>
          <w:sz w:val="20"/>
          <w:szCs w:val="20"/>
          <w:color w:val="121212"/>
        </w:rPr>
        <w:t>44</w:t>
      </w:r>
    </w:p>
    <w:p>
      <w:pPr>
        <w:spacing w:after="0"/>
        <w:tabs>
          <w:tab w:leader="dot" w:pos="9960" w:val="left"/>
        </w:tabs>
        <w:rPr>
          <w:sz w:val="20"/>
          <w:szCs w:val="20"/>
          <w:color w:val="auto"/>
        </w:rPr>
      </w:pPr>
      <w:r>
        <w:rPr>
          <w:rFonts w:ascii="Times New Roman" w:cs="Times New Roman" w:eastAsia="Times New Roman" w:hAnsi="Times New Roman"/>
          <w:sz w:val="20"/>
          <w:szCs w:val="20"/>
          <w:color w:val="121212"/>
        </w:rPr>
        <w:t xml:space="preserve">Item 1B.  </w:t>
      </w:r>
      <w:r>
        <w:rPr>
          <w:rFonts w:ascii="Times New Roman" w:cs="Times New Roman" w:eastAsia="Times New Roman" w:hAnsi="Times New Roman"/>
          <w:sz w:val="20"/>
          <w:szCs w:val="20"/>
          <w:color w:val="000000"/>
        </w:rPr>
        <w:t>Unresolved Staff Comments</w:t>
      </w:r>
      <w:r>
        <w:rPr>
          <w:sz w:val="20"/>
          <w:szCs w:val="20"/>
          <w:color w:val="auto"/>
        </w:rPr>
        <w:tab/>
      </w:r>
      <w:r>
        <w:rPr>
          <w:rFonts w:ascii="Times New Roman" w:cs="Times New Roman" w:eastAsia="Times New Roman" w:hAnsi="Times New Roman"/>
          <w:sz w:val="20"/>
          <w:szCs w:val="20"/>
          <w:color w:val="121212"/>
        </w:rPr>
        <w:t>94</w:t>
      </w:r>
    </w:p>
    <w:p>
      <w:pPr>
        <w:spacing w:after="0"/>
        <w:tabs>
          <w:tab w:leader="dot" w:pos="9960" w:val="left"/>
        </w:tabs>
        <w:rPr>
          <w:sz w:val="20"/>
          <w:szCs w:val="20"/>
          <w:color w:val="auto"/>
        </w:rPr>
      </w:pPr>
      <w:r>
        <w:rPr>
          <w:rFonts w:ascii="Times New Roman" w:cs="Times New Roman" w:eastAsia="Times New Roman" w:hAnsi="Times New Roman"/>
          <w:sz w:val="20"/>
          <w:szCs w:val="20"/>
          <w:color w:val="121212"/>
        </w:rPr>
        <w:t xml:space="preserve">Item 1C.  </w:t>
      </w:r>
      <w:r>
        <w:rPr>
          <w:rFonts w:ascii="Times New Roman" w:cs="Times New Roman" w:eastAsia="Times New Roman" w:hAnsi="Times New Roman"/>
          <w:sz w:val="20"/>
          <w:szCs w:val="20"/>
          <w:color w:val="000000"/>
        </w:rPr>
        <w:t>Cybersecurity</w:t>
      </w:r>
      <w:r>
        <w:rPr>
          <w:sz w:val="20"/>
          <w:szCs w:val="20"/>
          <w:color w:val="auto"/>
        </w:rPr>
        <w:tab/>
      </w:r>
      <w:r>
        <w:rPr>
          <w:rFonts w:ascii="Times New Roman" w:cs="Times New Roman" w:eastAsia="Times New Roman" w:hAnsi="Times New Roman"/>
          <w:sz w:val="20"/>
          <w:szCs w:val="20"/>
          <w:color w:val="121212"/>
        </w:rPr>
        <w:t>94</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121212"/>
        </w:rPr>
        <w:t>Item 2.</w:t>
      </w:r>
      <w:r>
        <w:rPr>
          <w:rFonts w:ascii="Times New Roman" w:cs="Times New Roman" w:eastAsia="Times New Roman" w:hAnsi="Times New Roman"/>
          <w:sz w:val="20"/>
          <w:szCs w:val="20"/>
          <w:color w:val="auto"/>
        </w:rPr>
        <w:tab/>
        <w:t>Properties</w:t>
      </w:r>
      <w:r>
        <w:rPr>
          <w:sz w:val="20"/>
          <w:szCs w:val="20"/>
          <w:color w:val="auto"/>
        </w:rPr>
        <w:tab/>
      </w:r>
      <w:r>
        <w:rPr>
          <w:rFonts w:ascii="Times New Roman" w:cs="Times New Roman" w:eastAsia="Times New Roman" w:hAnsi="Times New Roman"/>
          <w:sz w:val="20"/>
          <w:szCs w:val="20"/>
          <w:color w:val="121212"/>
        </w:rPr>
        <w:t>94</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121212"/>
        </w:rPr>
        <w:t>Item 3.</w:t>
      </w:r>
      <w:r>
        <w:rPr>
          <w:rFonts w:ascii="Times New Roman" w:cs="Times New Roman" w:eastAsia="Times New Roman" w:hAnsi="Times New Roman"/>
          <w:sz w:val="20"/>
          <w:szCs w:val="20"/>
          <w:color w:val="auto"/>
        </w:rPr>
        <w:tab/>
        <w:t>Legal Proceedings</w:t>
      </w:r>
      <w:r>
        <w:rPr>
          <w:sz w:val="20"/>
          <w:szCs w:val="20"/>
          <w:color w:val="auto"/>
        </w:rPr>
        <w:tab/>
      </w:r>
      <w:r>
        <w:rPr>
          <w:rFonts w:ascii="Times New Roman" w:cs="Times New Roman" w:eastAsia="Times New Roman" w:hAnsi="Times New Roman"/>
          <w:sz w:val="20"/>
          <w:szCs w:val="20"/>
          <w:color w:val="121212"/>
        </w:rPr>
        <w:t>95</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121212"/>
        </w:rPr>
        <w:t>Item 4.</w:t>
      </w:r>
      <w:r>
        <w:rPr>
          <w:rFonts w:ascii="Times New Roman" w:cs="Times New Roman" w:eastAsia="Times New Roman" w:hAnsi="Times New Roman"/>
          <w:sz w:val="20"/>
          <w:szCs w:val="20"/>
          <w:color w:val="auto"/>
        </w:rPr>
        <w:tab/>
        <w:t>Mine Safety Disclosures</w:t>
      </w:r>
      <w:r>
        <w:rPr>
          <w:sz w:val="20"/>
          <w:szCs w:val="20"/>
          <w:color w:val="auto"/>
        </w:rPr>
        <w:tab/>
      </w:r>
      <w:r>
        <w:rPr>
          <w:rFonts w:ascii="Times New Roman" w:cs="Times New Roman" w:eastAsia="Times New Roman" w:hAnsi="Times New Roman"/>
          <w:sz w:val="20"/>
          <w:szCs w:val="20"/>
          <w:color w:val="121212"/>
        </w:rPr>
        <w:t>95</w:t>
      </w:r>
    </w:p>
    <w:p>
      <w:pPr>
        <w:spacing w:after="0" w:line="19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121212"/>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 of Equity</w:t>
      </w:r>
    </w:p>
    <w:p>
      <w:pPr>
        <w:spacing w:after="0" w:line="28" w:lineRule="exact"/>
        <w:rPr>
          <w:sz w:val="20"/>
          <w:szCs w:val="20"/>
          <w:color w:val="auto"/>
        </w:rPr>
      </w:pPr>
    </w:p>
    <w:p>
      <w:pPr>
        <w:ind w:left="840"/>
        <w:spacing w:after="0"/>
        <w:tabs>
          <w:tab w:leader="dot" w:pos="9960" w:val="left"/>
        </w:tabs>
        <w:rPr>
          <w:sz w:val="20"/>
          <w:szCs w:val="20"/>
          <w:color w:val="auto"/>
        </w:rPr>
      </w:pPr>
      <w:r>
        <w:rPr>
          <w:rFonts w:ascii="Times New Roman" w:cs="Times New Roman" w:eastAsia="Times New Roman" w:hAnsi="Times New Roman"/>
          <w:sz w:val="20"/>
          <w:szCs w:val="20"/>
          <w:color w:val="auto"/>
        </w:rPr>
        <w:t>Securities</w:t>
      </w:r>
      <w:r>
        <w:rPr>
          <w:sz w:val="20"/>
          <w:szCs w:val="20"/>
          <w:color w:val="auto"/>
        </w:rPr>
        <w:tab/>
      </w:r>
      <w:r>
        <w:rPr>
          <w:rFonts w:ascii="Times New Roman" w:cs="Times New Roman" w:eastAsia="Times New Roman" w:hAnsi="Times New Roman"/>
          <w:sz w:val="20"/>
          <w:szCs w:val="20"/>
          <w:color w:val="121212"/>
        </w:rPr>
        <w:t>96</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121212"/>
        </w:rPr>
        <w:t>Item 6.</w:t>
      </w:r>
      <w:r>
        <w:rPr>
          <w:rFonts w:ascii="Times New Roman" w:cs="Times New Roman" w:eastAsia="Times New Roman" w:hAnsi="Times New Roman"/>
          <w:sz w:val="20"/>
          <w:szCs w:val="20"/>
          <w:color w:val="auto"/>
        </w:rPr>
        <w:tab/>
        <w:t>Reserved</w:t>
      </w:r>
      <w:r>
        <w:rPr>
          <w:sz w:val="20"/>
          <w:szCs w:val="20"/>
          <w:color w:val="auto"/>
        </w:rPr>
        <w:tab/>
      </w:r>
      <w:r>
        <w:rPr>
          <w:rFonts w:ascii="Times New Roman" w:cs="Times New Roman" w:eastAsia="Times New Roman" w:hAnsi="Times New Roman"/>
          <w:sz w:val="20"/>
          <w:szCs w:val="20"/>
          <w:color w:val="121212"/>
        </w:rPr>
        <w:t>96</w:t>
      </w:r>
    </w:p>
    <w:p>
      <w:pPr>
        <w:spacing w:after="0"/>
        <w:tabs>
          <w:tab w:leader="none" w:pos="820" w:val="left"/>
          <w:tab w:leader="dot" w:pos="9960" w:val="left"/>
        </w:tabs>
        <w:rPr>
          <w:sz w:val="20"/>
          <w:szCs w:val="20"/>
          <w:color w:val="auto"/>
        </w:rPr>
      </w:pPr>
      <w:r>
        <w:rPr>
          <w:rFonts w:ascii="Times New Roman" w:cs="Times New Roman" w:eastAsia="Times New Roman" w:hAnsi="Times New Roman"/>
          <w:sz w:val="20"/>
          <w:szCs w:val="20"/>
          <w:color w:val="121212"/>
        </w:rPr>
        <w:t>Item 7.</w:t>
      </w:r>
      <w:r>
        <w:rPr>
          <w:rFonts w:ascii="Times New Roman" w:cs="Times New Roman" w:eastAsia="Times New Roman" w:hAnsi="Times New Roman"/>
          <w:sz w:val="20"/>
          <w:szCs w:val="20"/>
          <w:color w:val="auto"/>
        </w:rPr>
        <w:tab/>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121212"/>
        </w:rPr>
        <w:t>97</w:t>
      </w:r>
    </w:p>
    <w:p>
      <w:pPr>
        <w:spacing w:after="0"/>
        <w:tabs>
          <w:tab w:leader="dot" w:pos="9900" w:val="left"/>
        </w:tabs>
        <w:rPr>
          <w:sz w:val="20"/>
          <w:szCs w:val="20"/>
          <w:color w:val="auto"/>
        </w:rPr>
      </w:pPr>
      <w:r>
        <w:rPr>
          <w:rFonts w:ascii="Times New Roman" w:cs="Times New Roman" w:eastAsia="Times New Roman" w:hAnsi="Times New Roman"/>
          <w:sz w:val="20"/>
          <w:szCs w:val="20"/>
          <w:color w:val="121212"/>
        </w:rPr>
        <w:t xml:space="preserve">Item 7A. </w:t>
      </w:r>
      <w:r>
        <w:rPr>
          <w:rFonts w:ascii="Times New Roman" w:cs="Times New Roman" w:eastAsia="Times New Roman" w:hAnsi="Times New Roman"/>
          <w:sz w:val="20"/>
          <w:szCs w:val="20"/>
          <w:color w:val="000000"/>
        </w:rPr>
        <w:t>Quantitative and Qualitative Disclosures About Market Risk</w:t>
      </w:r>
      <w:r>
        <w:rPr>
          <w:sz w:val="20"/>
          <w:szCs w:val="20"/>
          <w:color w:val="auto"/>
        </w:rPr>
        <w:tab/>
      </w:r>
      <w:r>
        <w:rPr>
          <w:rFonts w:ascii="Times New Roman" w:cs="Times New Roman" w:eastAsia="Times New Roman" w:hAnsi="Times New Roman"/>
          <w:sz w:val="20"/>
          <w:szCs w:val="20"/>
          <w:color w:val="121212"/>
        </w:rPr>
        <w:t>106</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8.</w:t>
      </w:r>
      <w:r>
        <w:rPr>
          <w:rFonts w:ascii="Times New Roman" w:cs="Times New Roman" w:eastAsia="Times New Roman" w:hAnsi="Times New Roman"/>
          <w:sz w:val="20"/>
          <w:szCs w:val="20"/>
          <w:color w:val="auto"/>
        </w:rPr>
        <w:tab/>
        <w:t>Financial Statements and Supplementary Data</w:t>
      </w:r>
      <w:r>
        <w:rPr>
          <w:sz w:val="20"/>
          <w:szCs w:val="20"/>
          <w:color w:val="auto"/>
        </w:rPr>
        <w:tab/>
      </w:r>
      <w:r>
        <w:rPr>
          <w:rFonts w:ascii="Times New Roman" w:cs="Times New Roman" w:eastAsia="Times New Roman" w:hAnsi="Times New Roman"/>
          <w:sz w:val="20"/>
          <w:szCs w:val="20"/>
          <w:color w:val="121212"/>
        </w:rPr>
        <w:t>107</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9.</w:t>
      </w:r>
      <w:r>
        <w:rPr>
          <w:rFonts w:ascii="Times New Roman" w:cs="Times New Roman" w:eastAsia="Times New Roman" w:hAnsi="Times New Roman"/>
          <w:sz w:val="20"/>
          <w:szCs w:val="20"/>
          <w:color w:val="auto"/>
        </w:rPr>
        <w:tab/>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121212"/>
        </w:rPr>
        <w:t>133</w:t>
      </w:r>
    </w:p>
    <w:p>
      <w:pPr>
        <w:spacing w:after="0"/>
        <w:tabs>
          <w:tab w:leader="dot" w:pos="9900" w:val="left"/>
        </w:tabs>
        <w:rPr>
          <w:sz w:val="20"/>
          <w:szCs w:val="20"/>
          <w:color w:val="auto"/>
        </w:rPr>
      </w:pPr>
      <w:r>
        <w:rPr>
          <w:rFonts w:ascii="Times New Roman" w:cs="Times New Roman" w:eastAsia="Times New Roman" w:hAnsi="Times New Roman"/>
          <w:sz w:val="20"/>
          <w:szCs w:val="20"/>
          <w:color w:val="121212"/>
        </w:rPr>
        <w:t xml:space="preserve">Item 9A. </w:t>
      </w:r>
      <w:r>
        <w:rPr>
          <w:rFonts w:ascii="Times New Roman" w:cs="Times New Roman" w:eastAsia="Times New Roman" w:hAnsi="Times New Roman"/>
          <w:sz w:val="20"/>
          <w:szCs w:val="20"/>
          <w:color w:val="000000"/>
        </w:rPr>
        <w:t>Controls and Procedures</w:t>
      </w:r>
      <w:r>
        <w:rPr>
          <w:sz w:val="20"/>
          <w:szCs w:val="20"/>
          <w:color w:val="auto"/>
        </w:rPr>
        <w:tab/>
      </w:r>
      <w:r>
        <w:rPr>
          <w:rFonts w:ascii="Times New Roman" w:cs="Times New Roman" w:eastAsia="Times New Roman" w:hAnsi="Times New Roman"/>
          <w:sz w:val="20"/>
          <w:szCs w:val="20"/>
          <w:color w:val="121212"/>
        </w:rPr>
        <w:t>133</w:t>
      </w:r>
    </w:p>
    <w:p>
      <w:pPr>
        <w:spacing w:after="0"/>
        <w:tabs>
          <w:tab w:leader="dot" w:pos="9900" w:val="left"/>
        </w:tabs>
        <w:rPr>
          <w:sz w:val="20"/>
          <w:szCs w:val="20"/>
          <w:color w:val="auto"/>
        </w:rPr>
      </w:pPr>
      <w:r>
        <w:rPr>
          <w:rFonts w:ascii="Times New Roman" w:cs="Times New Roman" w:eastAsia="Times New Roman" w:hAnsi="Times New Roman"/>
          <w:sz w:val="20"/>
          <w:szCs w:val="20"/>
          <w:color w:val="121212"/>
        </w:rPr>
        <w:t xml:space="preserve">Item 9B.  </w:t>
      </w:r>
      <w:r>
        <w:rPr>
          <w:rFonts w:ascii="Times New Roman" w:cs="Times New Roman" w:eastAsia="Times New Roman" w:hAnsi="Times New Roman"/>
          <w:sz w:val="20"/>
          <w:szCs w:val="20"/>
          <w:color w:val="000000"/>
        </w:rPr>
        <w:t>Other Information</w:t>
      </w:r>
      <w:r>
        <w:rPr>
          <w:sz w:val="20"/>
          <w:szCs w:val="20"/>
          <w:color w:val="auto"/>
        </w:rPr>
        <w:tab/>
      </w:r>
      <w:r>
        <w:rPr>
          <w:rFonts w:ascii="Times New Roman" w:cs="Times New Roman" w:eastAsia="Times New Roman" w:hAnsi="Times New Roman"/>
          <w:sz w:val="20"/>
          <w:szCs w:val="20"/>
          <w:color w:val="121212"/>
        </w:rPr>
        <w:t>134</w:t>
      </w:r>
    </w:p>
    <w:p>
      <w:pPr>
        <w:spacing w:after="0"/>
        <w:tabs>
          <w:tab w:leader="dot" w:pos="9900" w:val="left"/>
        </w:tabs>
        <w:rPr>
          <w:sz w:val="20"/>
          <w:szCs w:val="20"/>
          <w:color w:val="auto"/>
        </w:rPr>
      </w:pPr>
      <w:r>
        <w:rPr>
          <w:rFonts w:ascii="Times New Roman" w:cs="Times New Roman" w:eastAsia="Times New Roman" w:hAnsi="Times New Roman"/>
          <w:sz w:val="20"/>
          <w:szCs w:val="20"/>
          <w:color w:val="121212"/>
        </w:rPr>
        <w:t xml:space="preserve">Item 9C.  </w:t>
      </w:r>
      <w:r>
        <w:rPr>
          <w:rFonts w:ascii="Times New Roman" w:cs="Times New Roman" w:eastAsia="Times New Roman" w:hAnsi="Times New Roman"/>
          <w:sz w:val="20"/>
          <w:szCs w:val="20"/>
          <w:color w:val="000000"/>
        </w:rPr>
        <w:t>Disclosures Regarding Foreign Jurisdictions That Prevent Inspections</w:t>
      </w:r>
      <w:r>
        <w:rPr>
          <w:sz w:val="20"/>
          <w:szCs w:val="20"/>
          <w:color w:val="auto"/>
        </w:rPr>
        <w:tab/>
      </w:r>
      <w:r>
        <w:rPr>
          <w:rFonts w:ascii="Times New Roman" w:cs="Times New Roman" w:eastAsia="Times New Roman" w:hAnsi="Times New Roman"/>
          <w:sz w:val="20"/>
          <w:szCs w:val="20"/>
          <w:color w:val="121212"/>
        </w:rPr>
        <w:t>134</w:t>
      </w:r>
    </w:p>
    <w:p>
      <w:pPr>
        <w:spacing w:after="0" w:line="1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4" w:lineRule="exact"/>
        <w:rPr>
          <w:sz w:val="20"/>
          <w:szCs w:val="20"/>
          <w:color w:val="auto"/>
        </w:rPr>
      </w:pP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10.</w:t>
      </w:r>
      <w:r>
        <w:rPr>
          <w:rFonts w:ascii="Times New Roman" w:cs="Times New Roman" w:eastAsia="Times New Roman" w:hAnsi="Times New Roman"/>
          <w:sz w:val="20"/>
          <w:szCs w:val="20"/>
          <w:color w:val="auto"/>
        </w:rPr>
        <w:tab/>
        <w:t>Directors, Executive Officers and Corporate Governance</w:t>
      </w:r>
      <w:r>
        <w:rPr>
          <w:sz w:val="20"/>
          <w:szCs w:val="20"/>
          <w:color w:val="auto"/>
        </w:rPr>
        <w:tab/>
      </w:r>
      <w:r>
        <w:rPr>
          <w:rFonts w:ascii="Times New Roman" w:cs="Times New Roman" w:eastAsia="Times New Roman" w:hAnsi="Times New Roman"/>
          <w:sz w:val="20"/>
          <w:szCs w:val="20"/>
          <w:color w:val="121212"/>
        </w:rPr>
        <w:t>135</w:t>
      </w:r>
    </w:p>
    <w:p>
      <w:pPr>
        <w:spacing w:after="0" w:line="28" w:lineRule="exact"/>
        <w:rPr>
          <w:sz w:val="20"/>
          <w:szCs w:val="20"/>
          <w:color w:val="auto"/>
        </w:rPr>
      </w:pP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11.</w:t>
      </w:r>
      <w:r>
        <w:rPr>
          <w:rFonts w:ascii="Times New Roman" w:cs="Times New Roman" w:eastAsia="Times New Roman" w:hAnsi="Times New Roman"/>
          <w:sz w:val="20"/>
          <w:szCs w:val="20"/>
          <w:color w:val="auto"/>
        </w:rPr>
        <w:tab/>
        <w:t>Executive Compensation</w:t>
      </w:r>
      <w:r>
        <w:rPr>
          <w:sz w:val="20"/>
          <w:szCs w:val="20"/>
          <w:color w:val="auto"/>
        </w:rPr>
        <w:tab/>
      </w:r>
      <w:r>
        <w:rPr>
          <w:rFonts w:ascii="Times New Roman" w:cs="Times New Roman" w:eastAsia="Times New Roman" w:hAnsi="Times New Roman"/>
          <w:sz w:val="20"/>
          <w:szCs w:val="20"/>
          <w:color w:val="121212"/>
        </w:rPr>
        <w:t>144</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12.</w:t>
      </w:r>
      <w:r>
        <w:rPr>
          <w:rFonts w:ascii="Times New Roman" w:cs="Times New Roman" w:eastAsia="Times New Roman" w:hAnsi="Times New Roman"/>
          <w:sz w:val="20"/>
          <w:szCs w:val="20"/>
          <w:color w:val="auto"/>
        </w:rPr>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20"/>
          <w:szCs w:val="20"/>
          <w:color w:val="121212"/>
        </w:rPr>
        <w:t>149</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13.</w:t>
      </w:r>
      <w:r>
        <w:rPr>
          <w:rFonts w:ascii="Times New Roman" w:cs="Times New Roman" w:eastAsia="Times New Roman" w:hAnsi="Times New Roman"/>
          <w:sz w:val="20"/>
          <w:szCs w:val="20"/>
          <w:color w:val="auto"/>
        </w:rPr>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121212"/>
        </w:rPr>
        <w:t>152</w:t>
      </w: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14.</w:t>
      </w:r>
      <w:r>
        <w:rPr>
          <w:rFonts w:ascii="Times New Roman" w:cs="Times New Roman" w:eastAsia="Times New Roman" w:hAnsi="Times New Roman"/>
          <w:sz w:val="20"/>
          <w:szCs w:val="20"/>
          <w:color w:val="auto"/>
        </w:rPr>
        <w:tab/>
        <w:t>Principal Accounting Fees and Services</w:t>
      </w:r>
      <w:r>
        <w:rPr>
          <w:sz w:val="20"/>
          <w:szCs w:val="20"/>
          <w:color w:val="auto"/>
        </w:rPr>
        <w:tab/>
      </w:r>
      <w:r>
        <w:rPr>
          <w:rFonts w:ascii="Times New Roman" w:cs="Times New Roman" w:eastAsia="Times New Roman" w:hAnsi="Times New Roman"/>
          <w:sz w:val="20"/>
          <w:szCs w:val="20"/>
          <w:color w:val="121212"/>
        </w:rPr>
        <w:t>153</w:t>
      </w:r>
    </w:p>
    <w:p>
      <w:pPr>
        <w:spacing w:after="0" w:line="19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4" w:lineRule="exact"/>
        <w:rPr>
          <w:sz w:val="20"/>
          <w:szCs w:val="20"/>
          <w:color w:val="auto"/>
        </w:rPr>
      </w:pP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15.</w:t>
      </w:r>
      <w:r>
        <w:rPr>
          <w:rFonts w:ascii="Times New Roman" w:cs="Times New Roman" w:eastAsia="Times New Roman" w:hAnsi="Times New Roman"/>
          <w:sz w:val="20"/>
          <w:szCs w:val="20"/>
          <w:color w:val="auto"/>
        </w:rPr>
        <w:tab/>
        <w:t>Exhibits, Financial Statement Schedules</w:t>
      </w:r>
      <w:r>
        <w:rPr>
          <w:sz w:val="20"/>
          <w:szCs w:val="20"/>
          <w:color w:val="auto"/>
        </w:rPr>
        <w:tab/>
      </w:r>
      <w:r>
        <w:rPr>
          <w:rFonts w:ascii="Times New Roman" w:cs="Times New Roman" w:eastAsia="Times New Roman" w:hAnsi="Times New Roman"/>
          <w:sz w:val="20"/>
          <w:szCs w:val="20"/>
          <w:color w:val="121212"/>
        </w:rPr>
        <w:t>155</w:t>
      </w:r>
    </w:p>
    <w:p>
      <w:pPr>
        <w:spacing w:after="0" w:line="28" w:lineRule="exact"/>
        <w:rPr>
          <w:sz w:val="20"/>
          <w:szCs w:val="20"/>
          <w:color w:val="auto"/>
        </w:rPr>
      </w:pPr>
    </w:p>
    <w:p>
      <w:pPr>
        <w:spacing w:after="0"/>
        <w:tabs>
          <w:tab w:leader="none" w:pos="820" w:val="left"/>
          <w:tab w:leader="dot" w:pos="9900" w:val="left"/>
        </w:tabs>
        <w:rPr>
          <w:sz w:val="20"/>
          <w:szCs w:val="20"/>
          <w:color w:val="auto"/>
        </w:rPr>
      </w:pPr>
      <w:r>
        <w:rPr>
          <w:rFonts w:ascii="Times New Roman" w:cs="Times New Roman" w:eastAsia="Times New Roman" w:hAnsi="Times New Roman"/>
          <w:sz w:val="20"/>
          <w:szCs w:val="20"/>
          <w:color w:val="121212"/>
        </w:rPr>
        <w:t>Item 16.</w:t>
      </w:r>
      <w:r>
        <w:rPr>
          <w:rFonts w:ascii="Times New Roman" w:cs="Times New Roman" w:eastAsia="Times New Roman" w:hAnsi="Times New Roman"/>
          <w:sz w:val="20"/>
          <w:szCs w:val="20"/>
          <w:color w:val="auto"/>
        </w:rPr>
        <w:tab/>
        <w:t>Form 10-K Summary</w:t>
      </w:r>
      <w:r>
        <w:rPr>
          <w:sz w:val="20"/>
          <w:szCs w:val="20"/>
          <w:color w:val="auto"/>
        </w:rPr>
        <w:tab/>
      </w:r>
      <w:r>
        <w:rPr>
          <w:rFonts w:ascii="Times New Roman" w:cs="Times New Roman" w:eastAsia="Times New Roman" w:hAnsi="Times New Roman"/>
          <w:sz w:val="20"/>
          <w:szCs w:val="20"/>
          <w:color w:val="121212"/>
        </w:rPr>
        <w:t>158</w:t>
      </w:r>
    </w:p>
    <w:p>
      <w:pPr>
        <w:spacing w:after="0"/>
        <w:tabs>
          <w:tab w:leader="dot" w:pos="990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121212"/>
        </w:rPr>
        <w:t>159</w:t>
      </w:r>
    </w:p>
    <w:p>
      <w:pPr>
        <w:sectPr>
          <w:pgSz w:w="12240" w:h="15840" w:orient="portrait"/>
          <w:cols w:equalWidth="0" w:num="1">
            <w:col w:w="10280"/>
          </w:cols>
          <w:pgMar w:left="900" w:top="926" w:right="106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121212"/>
        </w:rPr>
        <w:t>i</w:t>
      </w:r>
    </w:p>
    <w:p>
      <w:pPr>
        <w:sectPr>
          <w:pgSz w:w="12240" w:h="15840" w:orient="portrait"/>
          <w:cols w:equalWidth="0" w:num="1">
            <w:col w:w="10280"/>
          </w:cols>
          <w:pgMar w:left="900" w:top="926" w:right="1060" w:bottom="244" w:gutter="0" w:footer="0" w:header="0"/>
          <w:type w:val="continuous"/>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20"/>
          <w:szCs w:val="20"/>
          <w:b w:val="1"/>
          <w:bCs w:val="1"/>
          <w:color w:val="121212"/>
        </w:rPr>
        <w:t>FORWARD-LOOKING STATEMENTS</w:t>
      </w:r>
    </w:p>
    <w:p>
      <w:pPr>
        <w:spacing w:after="0" w:line="24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This Annual Report on Form 10-K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Annual Report on Form 10-K may include, for example, statements about:</w:t>
      </w:r>
    </w:p>
    <w:p>
      <w:pPr>
        <w:spacing w:after="0" w:line="100" w:lineRule="exact"/>
        <w:rPr>
          <w:sz w:val="20"/>
          <w:szCs w:val="20"/>
          <w:color w:val="auto"/>
        </w:rPr>
      </w:pPr>
    </w:p>
    <w:p>
      <w:pPr>
        <w:ind w:left="720" w:right="20" w:hanging="367"/>
        <w:spacing w:after="0" w:line="252" w:lineRule="auto"/>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7"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efficiently discover and develop product candidates;</w:t>
      </w:r>
    </w:p>
    <w:p>
      <w:pPr>
        <w:spacing w:after="0" w:line="133" w:lineRule="exact"/>
        <w:rPr>
          <w:rFonts w:ascii="Arial" w:cs="Arial" w:eastAsia="Arial" w:hAnsi="Arial"/>
          <w:sz w:val="20"/>
          <w:szCs w:val="20"/>
          <w:color w:val="121212"/>
        </w:rPr>
      </w:pPr>
    </w:p>
    <w:p>
      <w:pPr>
        <w:ind w:left="720" w:right="80" w:hanging="367"/>
        <w:spacing w:after="0" w:line="276" w:lineRule="auto"/>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and the potential to successfully manufacture our drug substances and product candidates for preclinical use, for clinical trials and on a larger scale for commercial use, if approved;</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obtain funding for our operations necessary to complete further development and commercialization of our product candidates;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obtain and maintain regulatory approval of our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commercialize our products, if approved;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pricing and reimbursement of our product candidates, if approved;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implementation of our business model, and strategic plans for our business and product candidates;</w:t>
      </w:r>
    </w:p>
    <w:p>
      <w:pPr>
        <w:spacing w:after="0" w:line="133" w:lineRule="exact"/>
        <w:rPr>
          <w:rFonts w:ascii="Arial" w:cs="Arial" w:eastAsia="Arial" w:hAnsi="Arial"/>
          <w:sz w:val="20"/>
          <w:szCs w:val="20"/>
          <w:color w:val="121212"/>
        </w:rPr>
      </w:pPr>
    </w:p>
    <w:p>
      <w:pPr>
        <w:ind w:left="720" w:right="620" w:hanging="367"/>
        <w:spacing w:after="0" w:line="276" w:lineRule="auto"/>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scope of protection we are able to establish and maintain for intellectual property rights covering our product candidates;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estimates of our future expenses, revenues, capital requirements, and our needs for additional financing;</w:t>
      </w:r>
    </w:p>
    <w:p>
      <w:pPr>
        <w:spacing w:after="0" w:line="133" w:lineRule="exact"/>
        <w:rPr>
          <w:rFonts w:ascii="Arial" w:cs="Arial" w:eastAsia="Arial" w:hAnsi="Arial"/>
          <w:sz w:val="20"/>
          <w:szCs w:val="20"/>
          <w:color w:val="121212"/>
        </w:rPr>
      </w:pPr>
    </w:p>
    <w:p>
      <w:pPr>
        <w:ind w:left="720" w:right="340" w:hanging="367"/>
        <w:spacing w:after="0" w:line="304" w:lineRule="auto"/>
        <w:tabs>
          <w:tab w:leader="none" w:pos="720" w:val="left"/>
        </w:tabs>
        <w:numPr>
          <w:ilvl w:val="0"/>
          <w:numId w:val="4"/>
        </w:numPr>
        <w:rPr>
          <w:rFonts w:ascii="Arial" w:cs="Arial" w:eastAsia="Arial" w:hAnsi="Arial"/>
          <w:sz w:val="19"/>
          <w:szCs w:val="19"/>
          <w:color w:val="121212"/>
        </w:rPr>
      </w:pPr>
      <w:r>
        <w:rPr>
          <w:rFonts w:ascii="Times New Roman" w:cs="Times New Roman" w:eastAsia="Times New Roman" w:hAnsi="Times New Roman"/>
          <w:sz w:val="19"/>
          <w:szCs w:val="19"/>
          <w:color w:val="121212"/>
        </w:rPr>
        <w:t>the potential benefits of strategic collaboration agreements, our ability to enter into strategic collaborations or arrangements, and our ability to attract collaborators with development, regulatory and commercialization expertise;</w:t>
      </w:r>
    </w:p>
    <w:p>
      <w:pPr>
        <w:spacing w:after="0" w:line="39" w:lineRule="exact"/>
        <w:rPr>
          <w:rFonts w:ascii="Arial" w:cs="Arial" w:eastAsia="Arial" w:hAnsi="Arial"/>
          <w:sz w:val="19"/>
          <w:szCs w:val="19"/>
          <w:color w:val="121212"/>
        </w:rPr>
      </w:pPr>
    </w:p>
    <w:p>
      <w:pPr>
        <w:ind w:left="720" w:right="500" w:hanging="367"/>
        <w:spacing w:after="0" w:line="276" w:lineRule="auto"/>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future agreements with third parties in connection with the commercialization of product candidates and any other approved product;</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size and growth potential of the markets for our product candidates, and our ability to serve those markets;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financial performance;</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rate and degree of market acceptance of our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regulatory developments in the United States and foreign countries;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contract with third-party suppliers and manufacturers and their ability to perform adequately;</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produce our products or product candidates with advantages in turnaround times or manufacturing cost;</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success of competing therapies that are or may become available;</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attract and retain key scientific or management personnel;</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impact of laws and regulations;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developments relating to our competitors and our industry;</w:t>
      </w:r>
    </w:p>
    <w:p>
      <w:pPr>
        <w:spacing w:after="0" w:line="133" w:lineRule="exact"/>
        <w:rPr>
          <w:rFonts w:ascii="Arial" w:cs="Arial" w:eastAsia="Arial" w:hAnsi="Arial"/>
          <w:sz w:val="20"/>
          <w:szCs w:val="20"/>
          <w:color w:val="121212"/>
        </w:rPr>
      </w:pPr>
    </w:p>
    <w:p>
      <w:pPr>
        <w:ind w:left="720" w:right="100" w:hanging="367"/>
        <w:spacing w:after="0" w:line="252" w:lineRule="auto"/>
        <w:tabs>
          <w:tab w:leader="none" w:pos="720" w:val="left"/>
        </w:tabs>
        <w:numPr>
          <w:ilvl w:val="0"/>
          <w:numId w:val="4"/>
        </w:numPr>
        <w:rPr>
          <w:rFonts w:ascii="Arial" w:cs="Arial" w:eastAsia="Arial" w:hAnsi="Arial"/>
          <w:sz w:val="20"/>
          <w:szCs w:val="20"/>
          <w:color w:val="121212"/>
        </w:rPr>
      </w:pPr>
      <w:r>
        <w:rPr>
          <w:rFonts w:ascii="Times New Roman" w:cs="Times New Roman" w:eastAsia="Times New Roman" w:hAnsi="Times New Roman"/>
          <w:sz w:val="20"/>
          <w:szCs w:val="20"/>
          <w:color w:val="121212"/>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ectPr>
          <w:pgSz w:w="12240" w:h="15840" w:orient="portrait"/>
          <w:cols w:equalWidth="0" w:num="1">
            <w:col w:w="10360"/>
          </w:cols>
          <w:pgMar w:left="900" w:top="926" w:right="980" w:bottom="17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21212"/>
        </w:rPr>
        <w:t>ii</w:t>
      </w:r>
    </w:p>
    <w:p>
      <w:pPr>
        <w:sectPr>
          <w:pgSz w:w="12240" w:h="15840" w:orient="portrait"/>
          <w:cols w:equalWidth="0" w:num="1">
            <w:col w:w="10360"/>
          </w:cols>
          <w:pgMar w:left="900" w:top="926" w:right="980" w:bottom="175" w:gutter="0" w:footer="0" w:header="0"/>
          <w:type w:val="continuous"/>
        </w:sectPr>
      </w:pPr>
    </w:p>
    <w:bookmarkStart w:id="6" w:name="page7"/>
    <w:bookmarkEnd w:id="6"/>
    <w:p>
      <w:pPr>
        <w:ind w:left="720" w:hanging="367"/>
        <w:spacing w:after="0"/>
        <w:tabs>
          <w:tab w:leader="none" w:pos="720" w:val="left"/>
        </w:tabs>
        <w:numPr>
          <w:ilvl w:val="0"/>
          <w:numId w:val="5"/>
        </w:numPr>
        <w:rPr>
          <w:rFonts w:ascii="Arial" w:cs="Arial" w:eastAsia="Arial" w:hAnsi="Arial"/>
          <w:sz w:val="20"/>
          <w:szCs w:val="20"/>
          <w:color w:val="121212"/>
        </w:rPr>
      </w:pPr>
      <w:r>
        <w:rPr>
          <w:rFonts w:ascii="Times New Roman" w:cs="Times New Roman" w:eastAsia="Times New Roman" w:hAnsi="Times New Roman"/>
          <w:sz w:val="20"/>
          <w:szCs w:val="20"/>
          <w:color w:val="121212"/>
        </w:rPr>
        <w:t>other risks and uncertainties, including those listed under the caption “Risk Factors.”</w:t>
      </w:r>
    </w:p>
    <w:p>
      <w:pPr>
        <w:spacing w:after="0" w:line="11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21212"/>
        </w:rPr>
        <w:t>These forward-looking statements are based on information available to us at the time of this Annual Report on Form 10-K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7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8" w:lineRule="exact"/>
        <w:rPr>
          <w:sz w:val="20"/>
          <w:szCs w:val="20"/>
          <w:color w:val="auto"/>
        </w:rPr>
      </w:pPr>
    </w:p>
    <w:p>
      <w:pPr>
        <w:ind w:left="720" w:hanging="367"/>
        <w:spacing w:after="0"/>
        <w:tabs>
          <w:tab w:leader="none" w:pos="720" w:val="left"/>
        </w:tabs>
        <w:numPr>
          <w:ilvl w:val="0"/>
          <w:numId w:val="6"/>
        </w:numPr>
        <w:rPr>
          <w:rFonts w:ascii="Arial" w:cs="Arial" w:eastAsia="Arial" w:hAnsi="Arial"/>
          <w:sz w:val="20"/>
          <w:szCs w:val="20"/>
          <w:color w:val="121212"/>
        </w:rPr>
      </w:pPr>
      <w:r>
        <w:rPr>
          <w:rFonts w:ascii="Times New Roman" w:cs="Times New Roman" w:eastAsia="Times New Roman" w:hAnsi="Times New Roman"/>
          <w:sz w:val="20"/>
          <w:szCs w:val="20"/>
          <w:color w:val="121212"/>
        </w:rPr>
        <w:t>the ability to maintain the listing of our common stock on Nasdaq;</w:t>
      </w:r>
    </w:p>
    <w:p>
      <w:pPr>
        <w:spacing w:after="0" w:line="133" w:lineRule="exact"/>
        <w:rPr>
          <w:rFonts w:ascii="Arial" w:cs="Arial" w:eastAsia="Arial" w:hAnsi="Arial"/>
          <w:sz w:val="20"/>
          <w:szCs w:val="20"/>
          <w:color w:val="121212"/>
        </w:rPr>
      </w:pPr>
    </w:p>
    <w:p>
      <w:pPr>
        <w:ind w:left="720" w:right="80" w:hanging="367"/>
        <w:spacing w:after="0" w:line="258" w:lineRule="auto"/>
        <w:tabs>
          <w:tab w:leader="none" w:pos="720" w:val="left"/>
        </w:tabs>
        <w:numPr>
          <w:ilvl w:val="0"/>
          <w:numId w:val="6"/>
        </w:numPr>
        <w:rPr>
          <w:rFonts w:ascii="Arial" w:cs="Arial" w:eastAsia="Arial" w:hAnsi="Arial"/>
          <w:sz w:val="20"/>
          <w:szCs w:val="20"/>
          <w:color w:val="121212"/>
        </w:rPr>
      </w:pPr>
      <w:r>
        <w:rPr>
          <w:rFonts w:ascii="Times New Roman" w:cs="Times New Roman" w:eastAsia="Times New Roman" w:hAnsi="Times New Roman"/>
          <w:sz w:val="20"/>
          <w:szCs w:val="20"/>
          <w:color w:val="121212"/>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81" w:lineRule="exact"/>
        <w:rPr>
          <w:rFonts w:ascii="Arial" w:cs="Arial" w:eastAsia="Arial" w:hAnsi="Arial"/>
          <w:sz w:val="20"/>
          <w:szCs w:val="20"/>
          <w:color w:val="121212"/>
        </w:rPr>
      </w:pPr>
    </w:p>
    <w:p>
      <w:pPr>
        <w:ind w:left="720" w:right="40" w:hanging="367"/>
        <w:spacing w:after="0" w:line="276" w:lineRule="auto"/>
        <w:tabs>
          <w:tab w:leader="none" w:pos="720" w:val="left"/>
        </w:tabs>
        <w:numPr>
          <w:ilvl w:val="0"/>
          <w:numId w:val="6"/>
        </w:numPr>
        <w:rPr>
          <w:rFonts w:ascii="Arial" w:cs="Arial" w:eastAsia="Arial" w:hAnsi="Arial"/>
          <w:sz w:val="20"/>
          <w:szCs w:val="20"/>
          <w:color w:val="121212"/>
        </w:rPr>
      </w:pPr>
      <w:r>
        <w:rPr>
          <w:rFonts w:ascii="Times New Roman" w:cs="Times New Roman" w:eastAsia="Times New Roman" w:hAnsi="Times New Roman"/>
          <w:sz w:val="20"/>
          <w:szCs w:val="20"/>
          <w:color w:val="121212"/>
        </w:rPr>
        <w:t>the risk of downturns in the economy and the possibility of rapid change in the highly competitive industry in which we operate;</w:t>
      </w:r>
    </w:p>
    <w:p>
      <w:pPr>
        <w:spacing w:after="0" w:line="64" w:lineRule="exact"/>
        <w:rPr>
          <w:rFonts w:ascii="Arial" w:cs="Arial" w:eastAsia="Arial" w:hAnsi="Arial"/>
          <w:sz w:val="20"/>
          <w:szCs w:val="20"/>
          <w:color w:val="121212"/>
        </w:rPr>
      </w:pPr>
    </w:p>
    <w:p>
      <w:pPr>
        <w:ind w:left="720" w:right="680" w:hanging="367"/>
        <w:spacing w:after="0" w:line="276" w:lineRule="auto"/>
        <w:tabs>
          <w:tab w:leader="none" w:pos="720" w:val="left"/>
        </w:tabs>
        <w:numPr>
          <w:ilvl w:val="0"/>
          <w:numId w:val="6"/>
        </w:numPr>
        <w:rPr>
          <w:rFonts w:ascii="Arial" w:cs="Arial" w:eastAsia="Arial" w:hAnsi="Arial"/>
          <w:sz w:val="20"/>
          <w:szCs w:val="20"/>
          <w:color w:val="121212"/>
        </w:rPr>
      </w:pPr>
      <w:r>
        <w:rPr>
          <w:rFonts w:ascii="Times New Roman" w:cs="Times New Roman" w:eastAsia="Times New Roman" w:hAnsi="Times New Roman"/>
          <w:sz w:val="20"/>
          <w:szCs w:val="20"/>
          <w:color w:val="121212"/>
        </w:rPr>
        <w:t>the risk that we will need to raise additional capital to execute our business plan, which may not be available on acceptable terms or at all; and</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6"/>
        </w:numPr>
        <w:rPr>
          <w:rFonts w:ascii="Arial" w:cs="Arial" w:eastAsia="Arial" w:hAnsi="Arial"/>
          <w:sz w:val="20"/>
          <w:szCs w:val="20"/>
          <w:color w:val="121212"/>
        </w:rPr>
      </w:pPr>
      <w:r>
        <w:rPr>
          <w:rFonts w:ascii="Times New Roman" w:cs="Times New Roman" w:eastAsia="Times New Roman" w:hAnsi="Times New Roman"/>
          <w:sz w:val="20"/>
          <w:szCs w:val="20"/>
          <w:color w:val="121212"/>
        </w:rPr>
        <w:t>the risk that we experience difficulties in managing our growth and expanding operations.</w:t>
      </w:r>
    </w:p>
    <w:p>
      <w:pPr>
        <w:sectPr>
          <w:pgSz w:w="12240" w:h="15840" w:orient="portrait"/>
          <w:cols w:equalWidth="0" w:num="1">
            <w:col w:w="10340"/>
          </w:cols>
          <w:pgMar w:left="900" w:top="945" w:right="10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121212"/>
        </w:rPr>
        <w:t>iii</w:t>
      </w:r>
    </w:p>
    <w:p>
      <w:pPr>
        <w:sectPr>
          <w:pgSz w:w="12240" w:h="15840" w:orient="portrait"/>
          <w:cols w:equalWidth="0" w:num="1">
            <w:col w:w="10340"/>
          </w:cols>
          <w:pgMar w:left="900" w:top="945" w:right="1000" w:bottom="186" w:gutter="0" w:footer="0" w:header="0"/>
          <w:type w:val="continuous"/>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20"/>
          <w:szCs w:val="20"/>
          <w:b w:val="1"/>
          <w:bCs w:val="1"/>
          <w:color w:val="121212"/>
        </w:rPr>
        <w:t>RISK FACTOR SUMMARY</w:t>
      </w:r>
    </w:p>
    <w:p>
      <w:pPr>
        <w:spacing w:after="0" w:line="24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88" w:lineRule="exact"/>
        <w:rPr>
          <w:sz w:val="20"/>
          <w:szCs w:val="20"/>
          <w:color w:val="auto"/>
        </w:rPr>
      </w:pPr>
    </w:p>
    <w:p>
      <w:pPr>
        <w:ind w:left="980" w:right="420" w:hanging="498"/>
        <w:spacing w:after="0" w:line="276"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Our limited operating history may make it difficult for you to evaluate the success of our business to date and to assess our future viability.</w:t>
      </w:r>
    </w:p>
    <w:p>
      <w:pPr>
        <w:spacing w:after="0" w:line="64" w:lineRule="exact"/>
        <w:rPr>
          <w:rFonts w:ascii="Arial" w:cs="Arial" w:eastAsia="Arial" w:hAnsi="Arial"/>
          <w:sz w:val="20"/>
          <w:szCs w:val="20"/>
          <w:color w:val="121212"/>
        </w:rPr>
      </w:pPr>
    </w:p>
    <w:p>
      <w:pPr>
        <w:ind w:left="980" w:hanging="498"/>
        <w:spacing w:after="0" w:line="276"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We have incurred significant net losses since our inception and anticipate that we will continue to incur losses for the foreseeable future.</w:t>
      </w:r>
    </w:p>
    <w:p>
      <w:pPr>
        <w:spacing w:after="0" w:line="64" w:lineRule="exact"/>
        <w:rPr>
          <w:rFonts w:ascii="Arial" w:cs="Arial" w:eastAsia="Arial" w:hAnsi="Arial"/>
          <w:sz w:val="20"/>
          <w:szCs w:val="20"/>
          <w:color w:val="121212"/>
        </w:rPr>
      </w:pPr>
    </w:p>
    <w:p>
      <w:pPr>
        <w:ind w:left="980" w:hanging="498"/>
        <w:spacing w:after="0"/>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We have no products approved for commercial sale and have not generated any revenue from product sales.</w:t>
      </w:r>
    </w:p>
    <w:p>
      <w:pPr>
        <w:spacing w:after="0" w:line="133" w:lineRule="exact"/>
        <w:rPr>
          <w:rFonts w:ascii="Arial" w:cs="Arial" w:eastAsia="Arial" w:hAnsi="Arial"/>
          <w:sz w:val="20"/>
          <w:szCs w:val="20"/>
          <w:color w:val="121212"/>
        </w:rPr>
      </w:pPr>
    </w:p>
    <w:p>
      <w:pPr>
        <w:ind w:left="980" w:right="420" w:hanging="498"/>
        <w:spacing w:after="0" w:line="258"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81" w:lineRule="exact"/>
        <w:rPr>
          <w:rFonts w:ascii="Arial" w:cs="Arial" w:eastAsia="Arial" w:hAnsi="Arial"/>
          <w:sz w:val="20"/>
          <w:szCs w:val="20"/>
          <w:color w:val="121212"/>
        </w:rPr>
      </w:pPr>
    </w:p>
    <w:p>
      <w:pPr>
        <w:ind w:left="980" w:right="380" w:hanging="498"/>
        <w:spacing w:after="0" w:line="258"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81" w:lineRule="exact"/>
        <w:rPr>
          <w:rFonts w:ascii="Arial" w:cs="Arial" w:eastAsia="Arial" w:hAnsi="Arial"/>
          <w:sz w:val="20"/>
          <w:szCs w:val="20"/>
          <w:color w:val="121212"/>
        </w:rPr>
      </w:pPr>
    </w:p>
    <w:p>
      <w:pPr>
        <w:ind w:left="980" w:right="40" w:hanging="498"/>
        <w:spacing w:after="0" w:line="258"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81" w:lineRule="exact"/>
        <w:rPr>
          <w:rFonts w:ascii="Arial" w:cs="Arial" w:eastAsia="Arial" w:hAnsi="Arial"/>
          <w:sz w:val="20"/>
          <w:szCs w:val="20"/>
          <w:color w:val="121212"/>
        </w:rPr>
      </w:pPr>
    </w:p>
    <w:p>
      <w:pPr>
        <w:ind w:left="980" w:hanging="498"/>
        <w:spacing w:after="0" w:line="258"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81" w:lineRule="exact"/>
        <w:rPr>
          <w:rFonts w:ascii="Arial" w:cs="Arial" w:eastAsia="Arial" w:hAnsi="Arial"/>
          <w:sz w:val="20"/>
          <w:szCs w:val="20"/>
          <w:color w:val="121212"/>
        </w:rPr>
      </w:pPr>
    </w:p>
    <w:p>
      <w:pPr>
        <w:ind w:left="980" w:right="760" w:hanging="498"/>
        <w:spacing w:after="0" w:line="276"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If we experience delays or difficulties in the enrollment of patients in clinical trials, our receipt of necessary regulatory approvals could be delayed or prevented.</w:t>
      </w:r>
    </w:p>
    <w:p>
      <w:pPr>
        <w:spacing w:after="0" w:line="64" w:lineRule="exact"/>
        <w:rPr>
          <w:rFonts w:ascii="Arial" w:cs="Arial" w:eastAsia="Arial" w:hAnsi="Arial"/>
          <w:sz w:val="20"/>
          <w:szCs w:val="20"/>
          <w:color w:val="121212"/>
        </w:rPr>
      </w:pPr>
    </w:p>
    <w:p>
      <w:pPr>
        <w:ind w:left="980" w:right="80" w:hanging="498"/>
        <w:spacing w:after="0" w:line="249"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90" w:lineRule="exact"/>
        <w:rPr>
          <w:rFonts w:ascii="Arial" w:cs="Arial" w:eastAsia="Arial" w:hAnsi="Arial"/>
          <w:sz w:val="20"/>
          <w:szCs w:val="20"/>
          <w:color w:val="121212"/>
        </w:rPr>
      </w:pPr>
    </w:p>
    <w:p>
      <w:pPr>
        <w:ind w:left="980" w:right="80" w:hanging="498"/>
        <w:spacing w:after="0" w:line="258"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81" w:lineRule="exact"/>
        <w:rPr>
          <w:rFonts w:ascii="Arial" w:cs="Arial" w:eastAsia="Arial" w:hAnsi="Arial"/>
          <w:sz w:val="20"/>
          <w:szCs w:val="20"/>
          <w:color w:val="121212"/>
        </w:rPr>
      </w:pPr>
    </w:p>
    <w:p>
      <w:pPr>
        <w:ind w:left="980" w:right="80" w:hanging="498"/>
        <w:spacing w:after="0" w:line="258"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81" w:lineRule="exact"/>
        <w:rPr>
          <w:rFonts w:ascii="Arial" w:cs="Arial" w:eastAsia="Arial" w:hAnsi="Arial"/>
          <w:sz w:val="20"/>
          <w:szCs w:val="20"/>
          <w:color w:val="121212"/>
        </w:rPr>
      </w:pPr>
    </w:p>
    <w:p>
      <w:pPr>
        <w:ind w:left="980" w:right="280" w:hanging="498"/>
        <w:spacing w:after="0" w:line="258"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81" w:lineRule="exact"/>
        <w:rPr>
          <w:rFonts w:ascii="Arial" w:cs="Arial" w:eastAsia="Arial" w:hAnsi="Arial"/>
          <w:sz w:val="20"/>
          <w:szCs w:val="20"/>
          <w:color w:val="121212"/>
        </w:rPr>
      </w:pPr>
    </w:p>
    <w:p>
      <w:pPr>
        <w:ind w:left="980" w:right="40" w:hanging="498"/>
        <w:spacing w:after="0" w:line="258"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81" w:lineRule="exact"/>
        <w:rPr>
          <w:rFonts w:ascii="Arial" w:cs="Arial" w:eastAsia="Arial" w:hAnsi="Arial"/>
          <w:sz w:val="20"/>
          <w:szCs w:val="20"/>
          <w:color w:val="121212"/>
        </w:rPr>
      </w:pPr>
    </w:p>
    <w:p>
      <w:pPr>
        <w:ind w:left="980" w:right="220" w:hanging="498"/>
        <w:spacing w:after="0" w:line="276"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We face substantial competition, which may result in others discovering, developing, or commercializing products before or more successfully than we do.</w:t>
      </w:r>
    </w:p>
    <w:p>
      <w:pPr>
        <w:spacing w:after="0" w:line="64" w:lineRule="exact"/>
        <w:rPr>
          <w:rFonts w:ascii="Arial" w:cs="Arial" w:eastAsia="Arial" w:hAnsi="Arial"/>
          <w:sz w:val="20"/>
          <w:szCs w:val="20"/>
          <w:color w:val="121212"/>
        </w:rPr>
      </w:pPr>
    </w:p>
    <w:p>
      <w:pPr>
        <w:ind w:left="980" w:right="520" w:hanging="498"/>
        <w:spacing w:after="0" w:line="276" w:lineRule="auto"/>
        <w:tabs>
          <w:tab w:leader="none" w:pos="980" w:val="left"/>
        </w:tabs>
        <w:numPr>
          <w:ilvl w:val="0"/>
          <w:numId w:val="7"/>
        </w:numPr>
        <w:rPr>
          <w:rFonts w:ascii="Arial" w:cs="Arial" w:eastAsia="Arial" w:hAnsi="Arial"/>
          <w:sz w:val="20"/>
          <w:szCs w:val="20"/>
          <w:color w:val="121212"/>
        </w:rPr>
      </w:pPr>
      <w:r>
        <w:rPr>
          <w:rFonts w:ascii="Times New Roman" w:cs="Times New Roman" w:eastAsia="Times New Roman" w:hAnsi="Times New Roman"/>
          <w:sz w:val="20"/>
          <w:szCs w:val="20"/>
          <w:color w:val="121212"/>
        </w:rPr>
        <w:t>If our current product candidates or any future product candidates do not achieve broad market acceptance, the revenue that we generate from our sales may be limited, and we may never become profitable.</w:t>
      </w:r>
    </w:p>
    <w:p>
      <w:pPr>
        <w:sectPr>
          <w:pgSz w:w="12240" w:h="15840" w:orient="portrait"/>
          <w:cols w:equalWidth="0" w:num="1">
            <w:col w:w="10360"/>
          </w:cols>
          <w:pgMar w:left="900" w:top="926" w:right="9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21212"/>
        </w:rPr>
        <w:t>iv</w:t>
      </w:r>
    </w:p>
    <w:p>
      <w:pPr>
        <w:sectPr>
          <w:pgSz w:w="12240" w:h="15840" w:orient="portrait"/>
          <w:cols w:equalWidth="0" w:num="1">
            <w:col w:w="10360"/>
          </w:cols>
          <w:pgMar w:left="900" w:top="926" w:right="980" w:bottom="175" w:gutter="0" w:footer="0" w:header="0"/>
          <w:type w:val="continuous"/>
        </w:sectPr>
      </w:pPr>
    </w:p>
    <w:bookmarkStart w:id="8" w:name="page9"/>
    <w:bookmarkEnd w:id="8"/>
    <w:p>
      <w:pPr>
        <w:ind w:left="980" w:right="280" w:hanging="498"/>
        <w:spacing w:after="0" w:line="246"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We rely on third parties to conduct our Phase 2 clinical trials of bitopertin, Phase 1b/2 clinical trials of DISC-0974 and Phase 1 clinical trial of DISC-3405 (formerly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meet expected deadlines, or if the prior work conducted by these third parties is incomplete, we may not be able to obtain regulatory approval for or commercialize our product candidates and our business could be substantially harmed.</w:t>
      </w:r>
    </w:p>
    <w:p>
      <w:pPr>
        <w:spacing w:after="0" w:line="93" w:lineRule="exact"/>
        <w:rPr>
          <w:rFonts w:ascii="Arial" w:cs="Arial" w:eastAsia="Arial" w:hAnsi="Arial"/>
          <w:sz w:val="20"/>
          <w:szCs w:val="20"/>
          <w:color w:val="121212"/>
        </w:rPr>
      </w:pPr>
    </w:p>
    <w:p>
      <w:pPr>
        <w:ind w:left="980" w:right="700" w:hanging="498"/>
        <w:spacing w:after="0" w:line="276"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We might not realize the anticipated benefits of our current collaborations with Mabwell or NIH, or any other collaborations we enter into in the future.</w:t>
      </w:r>
    </w:p>
    <w:p>
      <w:pPr>
        <w:spacing w:after="0" w:line="64" w:lineRule="exact"/>
        <w:rPr>
          <w:rFonts w:ascii="Arial" w:cs="Arial" w:eastAsia="Arial" w:hAnsi="Arial"/>
          <w:sz w:val="20"/>
          <w:szCs w:val="20"/>
          <w:color w:val="121212"/>
        </w:rPr>
      </w:pPr>
    </w:p>
    <w:p>
      <w:pPr>
        <w:jc w:val="both"/>
        <w:ind w:left="980" w:hanging="498"/>
        <w:spacing w:after="0" w:line="252"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87" w:lineRule="exact"/>
        <w:rPr>
          <w:rFonts w:ascii="Arial" w:cs="Arial" w:eastAsia="Arial" w:hAnsi="Arial"/>
          <w:sz w:val="20"/>
          <w:szCs w:val="20"/>
          <w:color w:val="121212"/>
        </w:rPr>
      </w:pPr>
    </w:p>
    <w:p>
      <w:pPr>
        <w:ind w:left="980" w:right="380" w:hanging="498"/>
        <w:spacing w:after="0" w:line="249"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90" w:lineRule="exact"/>
        <w:rPr>
          <w:rFonts w:ascii="Arial" w:cs="Arial" w:eastAsia="Arial" w:hAnsi="Arial"/>
          <w:sz w:val="20"/>
          <w:szCs w:val="20"/>
          <w:color w:val="121212"/>
        </w:rPr>
      </w:pPr>
    </w:p>
    <w:p>
      <w:pPr>
        <w:ind w:left="980" w:right="780" w:hanging="498"/>
        <w:spacing w:after="0" w:line="276"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not obtain or grant licenses or sublicenses to intellectual property rights in all markets on equally or sufficiently favorable terms with third parties.</w:t>
      </w:r>
    </w:p>
    <w:p>
      <w:pPr>
        <w:spacing w:after="0" w:line="64" w:lineRule="exact"/>
        <w:rPr>
          <w:rFonts w:ascii="Arial" w:cs="Arial" w:eastAsia="Arial" w:hAnsi="Arial"/>
          <w:sz w:val="20"/>
          <w:szCs w:val="20"/>
          <w:color w:val="121212"/>
        </w:rPr>
      </w:pPr>
    </w:p>
    <w:p>
      <w:pPr>
        <w:jc w:val="both"/>
        <w:ind w:left="980" w:right="460" w:hanging="498"/>
        <w:spacing w:after="0" w:line="258"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81" w:lineRule="exact"/>
        <w:rPr>
          <w:rFonts w:ascii="Arial" w:cs="Arial" w:eastAsia="Arial" w:hAnsi="Arial"/>
          <w:sz w:val="20"/>
          <w:szCs w:val="20"/>
          <w:color w:val="121212"/>
        </w:rPr>
      </w:pPr>
    </w:p>
    <w:p>
      <w:pPr>
        <w:ind w:left="980" w:right="260" w:hanging="498"/>
        <w:spacing w:after="0" w:line="276"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Obtaining and maintaining regulatory approval of our product candidates in one jurisdiction does not mean that we will be successful in obtaining regulatory approval of our product candidates in other jurisdictions.</w:t>
      </w:r>
    </w:p>
    <w:p>
      <w:pPr>
        <w:spacing w:after="0" w:line="64" w:lineRule="exact"/>
        <w:rPr>
          <w:rFonts w:ascii="Arial" w:cs="Arial" w:eastAsia="Arial" w:hAnsi="Arial"/>
          <w:sz w:val="20"/>
          <w:szCs w:val="20"/>
          <w:color w:val="121212"/>
        </w:rPr>
      </w:pPr>
    </w:p>
    <w:p>
      <w:pPr>
        <w:ind w:left="980" w:right="20" w:hanging="498"/>
        <w:spacing w:after="0" w:line="276"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Our future success depends on our ability to retain key executives and experienced scientists and to attract, retain, and motivate qualified personnel.</w:t>
      </w:r>
    </w:p>
    <w:p>
      <w:pPr>
        <w:spacing w:after="0" w:line="64" w:lineRule="exact"/>
        <w:rPr>
          <w:rFonts w:ascii="Arial" w:cs="Arial" w:eastAsia="Arial" w:hAnsi="Arial"/>
          <w:sz w:val="20"/>
          <w:szCs w:val="20"/>
          <w:color w:val="121212"/>
        </w:rPr>
      </w:pPr>
    </w:p>
    <w:p>
      <w:pPr>
        <w:ind w:left="980" w:right="80" w:hanging="498"/>
        <w:spacing w:after="0" w:line="258"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81" w:lineRule="exact"/>
        <w:rPr>
          <w:rFonts w:ascii="Arial" w:cs="Arial" w:eastAsia="Arial" w:hAnsi="Arial"/>
          <w:sz w:val="20"/>
          <w:szCs w:val="20"/>
          <w:color w:val="121212"/>
        </w:rPr>
      </w:pPr>
    </w:p>
    <w:p>
      <w:pPr>
        <w:ind w:left="980" w:right="740" w:hanging="498"/>
        <w:spacing w:after="0" w:line="276"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Unfavorable global economic conditions could adversely affect our business, financial condition or results of operations.</w:t>
      </w:r>
    </w:p>
    <w:p>
      <w:pPr>
        <w:spacing w:after="0" w:line="64" w:lineRule="exact"/>
        <w:rPr>
          <w:rFonts w:ascii="Arial" w:cs="Arial" w:eastAsia="Arial" w:hAnsi="Arial"/>
          <w:sz w:val="20"/>
          <w:szCs w:val="20"/>
          <w:color w:val="121212"/>
        </w:rPr>
      </w:pPr>
    </w:p>
    <w:p>
      <w:pPr>
        <w:ind w:left="980" w:hanging="498"/>
        <w:spacing w:after="0"/>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The market price of our common stock is expected to be volatile.</w:t>
      </w:r>
    </w:p>
    <w:p>
      <w:pPr>
        <w:spacing w:after="0" w:line="133" w:lineRule="exact"/>
        <w:rPr>
          <w:rFonts w:ascii="Arial" w:cs="Arial" w:eastAsia="Arial" w:hAnsi="Arial"/>
          <w:sz w:val="20"/>
          <w:szCs w:val="20"/>
          <w:color w:val="121212"/>
        </w:rPr>
      </w:pPr>
    </w:p>
    <w:p>
      <w:pPr>
        <w:ind w:left="980" w:right="220" w:hanging="498"/>
        <w:spacing w:after="0" w:line="276"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We will incur additional costs and increased demands upon management as a result of complying with the laws and regulations affecting public companies.</w:t>
      </w:r>
    </w:p>
    <w:p>
      <w:pPr>
        <w:spacing w:after="0" w:line="64" w:lineRule="exact"/>
        <w:rPr>
          <w:rFonts w:ascii="Arial" w:cs="Arial" w:eastAsia="Arial" w:hAnsi="Arial"/>
          <w:sz w:val="20"/>
          <w:szCs w:val="20"/>
          <w:color w:val="121212"/>
        </w:rPr>
      </w:pPr>
    </w:p>
    <w:p>
      <w:pPr>
        <w:ind w:left="980" w:right="60" w:hanging="498"/>
        <w:spacing w:after="0" w:line="258"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81" w:lineRule="exact"/>
        <w:rPr>
          <w:rFonts w:ascii="Arial" w:cs="Arial" w:eastAsia="Arial" w:hAnsi="Arial"/>
          <w:sz w:val="20"/>
          <w:szCs w:val="20"/>
          <w:color w:val="121212"/>
        </w:rPr>
      </w:pPr>
    </w:p>
    <w:p>
      <w:pPr>
        <w:ind w:left="980" w:right="100" w:hanging="498"/>
        <w:spacing w:after="0" w:line="258" w:lineRule="auto"/>
        <w:tabs>
          <w:tab w:leader="none" w:pos="980" w:val="left"/>
        </w:tabs>
        <w:numPr>
          <w:ilvl w:val="0"/>
          <w:numId w:val="8"/>
        </w:numPr>
        <w:rPr>
          <w:rFonts w:ascii="Arial" w:cs="Arial" w:eastAsia="Arial" w:hAnsi="Arial"/>
          <w:sz w:val="20"/>
          <w:szCs w:val="20"/>
          <w:color w:val="121212"/>
        </w:rPr>
      </w:pPr>
      <w:r>
        <w:rPr>
          <w:rFonts w:ascii="Times New Roman" w:cs="Times New Roman" w:eastAsia="Times New Roman" w:hAnsi="Times New Roman"/>
          <w:sz w:val="20"/>
          <w:szCs w:val="20"/>
          <w:color w:val="121212"/>
        </w:rPr>
        <w:t>Provisions in our charter documents and under Delaware law could make an acquisition of us more difficult and may discourage any takeover attempts our stockholders may consider favorable, and may lead to entrenchment of management.</w:t>
      </w:r>
    </w:p>
    <w:p>
      <w:pPr>
        <w:spacing w:after="0" w:line="223"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121212"/>
        </w:rPr>
        <w:t>This section contains forward-looking statements. You should refer to the explanation of the qualifications and limitations on forward-looking statements beginning on page ii.</w:t>
      </w:r>
    </w:p>
    <w:p>
      <w:pPr>
        <w:sectPr>
          <w:pgSz w:w="12240" w:h="15840" w:orient="portrait"/>
          <w:cols w:equalWidth="0" w:num="1">
            <w:col w:w="10440"/>
          </w:cols>
          <w:pgMar w:left="900" w:top="945"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v</w:t>
      </w:r>
    </w:p>
    <w:p>
      <w:pPr>
        <w:sectPr>
          <w:pgSz w:w="12240" w:h="15840" w:orient="portrait"/>
          <w:cols w:equalWidth="0" w:num="1">
            <w:col w:w="10440"/>
          </w:cols>
          <w:pgMar w:left="900" w:top="945" w:right="900" w:bottom="175"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121212"/>
        </w:rPr>
        <w:t>PART I</w:t>
      </w:r>
    </w:p>
    <w:p>
      <w:pPr>
        <w:spacing w:after="0" w:line="246" w:lineRule="exact"/>
        <w:rPr>
          <w:sz w:val="20"/>
          <w:szCs w:val="20"/>
          <w:color w:val="auto"/>
        </w:rPr>
      </w:pPr>
    </w:p>
    <w:p>
      <w:pPr>
        <w:ind w:right="400" w:firstLine="490"/>
        <w:spacing w:after="0" w:line="275" w:lineRule="auto"/>
        <w:rPr>
          <w:sz w:val="20"/>
          <w:szCs w:val="20"/>
          <w:color w:val="auto"/>
        </w:rPr>
      </w:pPr>
      <w:r>
        <w:rPr>
          <w:rFonts w:ascii="Times New Roman" w:cs="Times New Roman" w:eastAsia="Times New Roman" w:hAnsi="Times New Roman"/>
          <w:sz w:val="20"/>
          <w:szCs w:val="20"/>
          <w:i w:val="1"/>
          <w:iCs w:val="1"/>
          <w:color w:val="121212"/>
        </w:rPr>
        <w:t>Except where the context otherwise requires or where otherwise indicated, the terms “Disc,” “we,” “us,” “our,” “our company,” “the company,” and “our business” refer to Disc Medicine, Inc. and its consolidated subsidiaries.</w:t>
      </w:r>
    </w:p>
    <w:p>
      <w:pPr>
        <w:spacing w:after="0" w:line="6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1.</w:t>
      </w:r>
      <w:r>
        <w:rPr>
          <w:sz w:val="20"/>
          <w:szCs w:val="20"/>
          <w:color w:val="auto"/>
        </w:rPr>
        <w:tab/>
      </w:r>
      <w:r>
        <w:rPr>
          <w:rFonts w:ascii="Times New Roman" w:cs="Times New Roman" w:eastAsia="Times New Roman" w:hAnsi="Times New Roman"/>
          <w:sz w:val="19"/>
          <w:szCs w:val="19"/>
          <w:b w:val="1"/>
          <w:bCs w:val="1"/>
          <w:color w:val="121212"/>
        </w:rPr>
        <w:t>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Overview</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21212"/>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8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expect topline data from AURORA in March or April 2024. Additional analysis of the full population in the BEACON trial is anticipated to be presented in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8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anticipate additional interim data presentations in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21212"/>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is anticipated to be presented in the first and second halves of 2024. We expect to develop DISC-3405 for the treatment of PV and other hematologic disorders.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Heme Biosynthesis Modulation: Bitopertin</w:t>
      </w:r>
    </w:p>
    <w:p>
      <w:pPr>
        <w:spacing w:after="0" w:line="118" w:lineRule="exact"/>
        <w:rPr>
          <w:sz w:val="20"/>
          <w:szCs w:val="20"/>
          <w:color w:val="auto"/>
        </w:rPr>
      </w:pPr>
    </w:p>
    <w:p>
      <w:pPr>
        <w:ind w:right="120" w:firstLine="490"/>
        <w:spacing w:after="0" w:line="261" w:lineRule="auto"/>
        <w:rPr>
          <w:sz w:val="20"/>
          <w:szCs w:val="20"/>
          <w:color w:val="auto"/>
        </w:rPr>
      </w:pPr>
      <w:r>
        <w:rPr>
          <w:rFonts w:ascii="Times New Roman" w:cs="Times New Roman" w:eastAsia="Times New Roman" w:hAnsi="Times New Roman"/>
          <w:sz w:val="19"/>
          <w:szCs w:val="19"/>
          <w:color w:val="121212"/>
        </w:rPr>
        <w:t>Our first therapeutic approach is focused on the modulation of heme biosynthesis, a multistep enzymatic process that is highly active in the formation of new red blood cells. We believe this approach has the potential to address a wide range of hematologic diseases where red blood cell formation becomes dysregulated. This includes a family of rare diseases called porphyrias, which are caused by genetic or acquired defects in the enzymes that mediate heme biosynthesis and result in the accumulation of toxic metabolites called porphyrins. Bitopertin is the most advanced product candidate in our heme biosynthesis portfolio. It is designed to be an oral, selective inhibitor of GlyT1, a key membrane transporter required to supply developing red blood cells with sufficient amounts of the amino acid glycine to support erythropoiesis. Glycine is necessary for the first step of</w:t>
      </w:r>
    </w:p>
    <w:p>
      <w:pPr>
        <w:sectPr>
          <w:pgSz w:w="12240" w:h="15840" w:orient="portrait"/>
          <w:cols w:equalWidth="0" w:num="1">
            <w:col w:w="10440"/>
          </w:cols>
          <w:pgMar w:left="900" w:top="1166" w:right="900" w:bottom="175"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w:t>
      </w:r>
    </w:p>
    <w:p>
      <w:pPr>
        <w:sectPr>
          <w:pgSz w:w="12240" w:h="15840" w:orient="portrait"/>
          <w:cols w:equalWidth="0" w:num="1">
            <w:col w:w="10440"/>
          </w:cols>
          <w:pgMar w:left="900" w:top="1166" w:right="900" w:bottom="175" w:gutter="0" w:footer="0" w:header="0"/>
          <w:type w:val="continuous"/>
        </w:sectPr>
      </w:pPr>
    </w:p>
    <w:bookmarkStart w:id="11" w:name="page12"/>
    <w:bookmarkEnd w:id="11"/>
    <w:p>
      <w:pPr>
        <w:ind w:right="460"/>
        <w:spacing w:after="0" w:line="277" w:lineRule="auto"/>
        <w:rPr>
          <w:sz w:val="20"/>
          <w:szCs w:val="20"/>
          <w:color w:val="auto"/>
        </w:rPr>
      </w:pPr>
      <w:r>
        <w:rPr>
          <w:rFonts w:ascii="Times New Roman" w:cs="Times New Roman" w:eastAsia="Times New Roman" w:hAnsi="Times New Roman"/>
          <w:sz w:val="20"/>
          <w:szCs w:val="20"/>
          <w:color w:val="121212"/>
        </w:rPr>
        <w:t>heme biosynthesis, and by limiting glycine uptake in newly forming red blood cells, bitopertin has the potential to reduce the activity of the heme biosynthesis pathway, thereby reducing the pathological accumulation of toxic metabolites.</w:t>
      </w:r>
    </w:p>
    <w:p>
      <w:pPr>
        <w:spacing w:after="0" w:line="4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21212"/>
        </w:rPr>
        <w:t>In May 2021, we licensed the worldwide rights to develop and commercialize bitopertin from Roche, a pharmaceutical company that had previously evaluated bitopertin in a comprehensive clinical program in over 4,000 individuals, originally with a focus on treating certain neurologic disorders. The data generated in these clinical trials failed to establish the efficacy of bitopertin in neurologic disorders. However, the data did demonstrate that by limiting glycine uptake in newly forming red blood cells, bitopertin reduced the activity of the heme biosynthesis pathway, and we believe that this effect has the potential to treat many hematologic disorders. In addition, bitopertin was observed to be well tolerated in humans, with adverse events reported to be generally mild and infrequent across all trials conducted by Roche including at daily oral doses well above those that we plan to use in our clinical trials. We are initially focused on developing bitopertin for the treatment of EPP and XLP which are both diseases marked by severe photosensitivity and damage to the hepatobiliary system caused by the accumulation of protoporphyrin IX, or PPIX, a toxic metabolite of the heme biosynthesis pathway. Based on the demonstrated activity of bitopertin as a GlyT1 inhibitor and suppressor of heme biosynthesis in the clinical trials conducted by Roche, as well as the preclinical data we have generated in disease-relevant animal models and human cellular models, we have initiated a clinical program of bitopertin for EPP and XLP. In July 2022, we initiated BEACON, a Phase 2 open-label, parallel-dose clinical trial of bitopertin in EPP and XLP patients that is being conducted at sites in Australia. Interim data was presented in 2023. Separately, in October 2022, we initiated AURORA, a Phase 2, randomized, double-blind, placebo-controlled clinical trial of bitopertin in EPP patients that is being conducted at sites in the United States. Topline data from AURORA is expected by March or April 2024. We also plan to explore the potential of bitopertin to treat other hematologic diseases, and entered into a collaborative research and development agreement with the NIH to conduct an NIH-sponsored clinical trial of bitopertin in DBA. The FDA authorized the clinical trial to proceed and the trial began in July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Targeting the Hepcidin Pathway to Modulate Iron Homeostasis: Anti-Hemojuvelin mAbs and TMPRSS6 inhibitor Programs</w:t>
      </w:r>
    </w:p>
    <w:p>
      <w:pPr>
        <w:spacing w:after="0" w:line="118"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121212"/>
        </w:rPr>
        <w:t>We are also developing a portfolio of product candidates focused on modulating iron homeostasis. Our initial product candidates aim to control the production of hepcidin, which is the master regulator of iron homeostasis. Iron is an essential element that is required for erythropoiesis as well as other important biological functions, and when iron homeostasis becomes dysregulated, it can cause a wide range of diseases. We believe that modulating the production of hepcidin to correct pathologic alterations in iron homeostasis has the potential to be a powerful therapeutic strategy. We are leveraging two approaches that are designed to either suppress or induce hepcidin production in order to increase or decrease serum iron levels, respectively.</w:t>
      </w:r>
    </w:p>
    <w:p>
      <w:pPr>
        <w:spacing w:after="0" w:line="80"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19"/>
          <w:szCs w:val="19"/>
          <w:color w:val="121212"/>
        </w:rPr>
        <w:t>The lead product candidate in our iron homeostasis portfolio, DISC-0974, is designed to suppress hepcidin production and is in development for the treatment of anemia associated with inflammatory diseases. DISC-0974, an antibody that we in-licensed from AbbVie, is designed to inhibit HJV, a critical regulator of hepcidin production. We selected this target because the effects of inhibiting HJV, namely decreased hepcidin and increased serum iron levels, have been genetically demonstrated in both animal knockout studies and in patients with juvenile hemochromatosis who lack fully functional genes encoding HJV. We have completed our Phase 1, placebo-controlled, single-ascending dose clinical trial of DISC-0974 in healthy volunteers. Data from the Phase 1 clinical trial showed an acceptable tolerability profile and evidence of target engagement and iron mobilization and augmented erythropoiesis. At the highest dose, a single 56 mg dose delivered by subcutaneous administration, DISC-0974 increased hemoglobin levels by greater than 1 g/dL relative to the placebo group. Data from the Phase 1 trial were presented in 2022. We initiated a Phase 1b/2 open-label clinical trial in patients with anemia of MF in July 2022 and initiated a separate Phase 1b/2 placebo controlled, single- and multiple-ascending dose clinical trial in patients with non-dialysis dependent CKD and anemia in February 2023. Interim data from both of these trials was presented in December 2023. In addition, we are developing a preclinical anti-HJV monoclonal antibody, DISC-0998, which also is designed to target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74"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121212"/>
        </w:rPr>
        <w:t>As part of our portfolio to modulate iron homeostasis, we are also advancing DISC-3405, a monoclonal antibody against TMPRSS6 that we in-licensed from Mabwell. DISC-3405 is part of our iron homeostasis portfolio and is designed to induce hepcidin production and reduce serum iron levels. An IND for DISC-3405 has been cleared by the FDA, and a Phase 1 clinical trial in healthy volunteers was initiated in October 2023. We plan to develop DISC-3405 for the treatment of disease where iron restriction may be beneficial, initially for patients with PV as well as diseases of iron overload. We selected this target based on the genetic confirmation of the effects of decreased TMPRSS6 activity in both animal knockout studies and in patients with iron-refractory iron deficiency anemia who lack fully functional genes encoding TMPRSS6.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Our Pipeline</w:t>
      </w:r>
    </w:p>
    <w:p>
      <w:pPr>
        <w:spacing w:after="0" w:line="124"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121212"/>
        </w:rPr>
        <w:t>We are building an innovative pipeline of product candidates that aim to modify fundamental biological pathways associated with the formation and function of red blood cells. We have obtained exclusive, worldwide licenses for the development and</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2</w:t>
      </w:r>
    </w:p>
    <w:p>
      <w:pPr>
        <w:sectPr>
          <w:pgSz w:w="12240" w:h="15840" w:orient="portrait"/>
          <w:cols w:equalWidth="0" w:num="1">
            <w:col w:w="10460"/>
          </w:cols>
          <w:pgMar w:left="900" w:top="930" w:right="880" w:bottom="175" w:gutter="0" w:footer="0" w:header="0"/>
          <w:type w:val="continuous"/>
        </w:sectPr>
      </w:pPr>
    </w:p>
    <w:bookmarkStart w:id="12" w:name="page13"/>
    <w:bookmarkEnd w:id="12"/>
    <w:p>
      <w:pPr>
        <w:jc w:val="both"/>
        <w:spacing w:after="0" w:line="277" w:lineRule="auto"/>
        <w:rPr>
          <w:sz w:val="20"/>
          <w:szCs w:val="20"/>
          <w:color w:val="auto"/>
        </w:rPr>
      </w:pPr>
      <w:r>
        <w:rPr>
          <w:rFonts w:ascii="Times New Roman" w:cs="Times New Roman" w:eastAsia="Times New Roman" w:hAnsi="Times New Roman"/>
          <w:sz w:val="20"/>
          <w:szCs w:val="20"/>
          <w:color w:val="121212"/>
        </w:rPr>
        <w:t>commercialization of bitopertin, DISC-0974, and DISC-0998, and exclusive rights for DISC-3405 and related antibodies in all territories outside of Greater China and Southeast Asia.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Clinical-Stage Product Candidates</w:t>
      </w:r>
    </w:p>
    <w:p>
      <w:pPr>
        <w:spacing w:after="0" w:line="118"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The diagram below reflects the status of the clinical-stage product candidates, bitopertin, DISC-0974 and DISC-3405, and clinical trials that have been completed, are ongoing or are expected to initiate by the end of 2024. The timelines described reflect our current expectations and beliefs based on our internal plans and certain limited regulatory interactions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106680</wp:posOffset>
            </wp:positionV>
            <wp:extent cx="5943600" cy="2609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5943600" cy="260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2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21212"/>
        </w:rPr>
        <w:t>We also plan to develop bitopertin, DISC-0974 and DISC-3405 for other indications. For example, we are exploring the potential of bitopertin as a treatment for macrocytic anemias, such as DBA and certain types of myelodysplastic syndromes, or MDS, in preclinical studies and have entered into a collaborative research and development agreement with the NIH to conduct an NIH-sponsored clinical trial of bitopertin in DBA. The trial began in July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Preclinical Product Candidates</w:t>
      </w:r>
    </w:p>
    <w:p>
      <w:pPr>
        <w:spacing w:after="0" w:line="118"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121212"/>
        </w:rPr>
        <w:t>We also have preclinical-stage programs in development. This includes DISC-0998: a separate, preclinical anti-HJV monoclonal antibody, which is also designed to target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Our Corporate History and Team</w:t>
      </w:r>
    </w:p>
    <w:p>
      <w:pPr>
        <w:spacing w:after="0" w:line="124"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121212"/>
        </w:rPr>
        <w:t>We were founded in 2017 with the mission to design, develop, and commercialize medicines for patients with hematologic diseases. Since inception, we have focused on building our pipeline of product candidates through both internal drug discovery activities and external business development, conducting preclinical studies and clinical trials, and establishing and maintaining our intellectual property portfolio.</w:t>
      </w:r>
    </w:p>
    <w:p>
      <w:pPr>
        <w:spacing w:after="0" w:line="74"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121212"/>
        </w:rPr>
        <w:t>We have assembled a management team with extensive experience in successfully developing, manufacturing, and commercializing transformative therapies as well as in business development and alliance management. Collectively, our team led, or was involved in, the development, regulatory approval, and commercialization of therapies for hematologic diseases, such as Idhifa, Reblozyl, Pyrukynd, Adynovate and Tibsovo, as well as numerous late-stage clinical and approved therapies for other therapeutic areas. Our team has significant previous experience at leading biotechnology and pharmaceutical companies, including Acceleron Pharma, Inc., Agios Pharmaceuticals, Inc., Albireo Pharma, Inc., Astellas Pharma, Inc., Bristol-Myers Squibb Company, GlaxoSmithKline, Genzyme Corporation, Johnson &amp; Johnson, Merck &amp; Co., Inc., Pfizer Inc., Replimune Group, Inc., Takeda Pharmaceutical Co., Vertex Pharmaceuticals Incorporated, and The Medicines Company. Our management team’s wide-ranging expertise in rare diseases, hematology, medicinal chemistry, protein biochemistry, and clinical development provide a singular vision for building a company focused on fundamental mechanisms to develop treatments for patients with hematologic diseases.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3</w:t>
      </w:r>
    </w:p>
    <w:p>
      <w:pPr>
        <w:sectPr>
          <w:pgSz w:w="12240" w:h="15840" w:orient="portrait"/>
          <w:cols w:equalWidth="0" w:num="1">
            <w:col w:w="10460"/>
          </w:cols>
          <w:pgMar w:left="900" w:top="930" w:right="880" w:bottom="17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121212"/>
        </w:rPr>
        <w:t>Our Strategy</w:t>
      </w:r>
    </w:p>
    <w:p>
      <w:pPr>
        <w:spacing w:after="0" w:line="124" w:lineRule="exact"/>
        <w:rPr>
          <w:sz w:val="20"/>
          <w:szCs w:val="20"/>
          <w:color w:val="auto"/>
        </w:rPr>
      </w:pPr>
    </w:p>
    <w:p>
      <w:pPr>
        <w:ind w:right="460" w:firstLine="490"/>
        <w:spacing w:after="0" w:line="258" w:lineRule="auto"/>
        <w:rPr>
          <w:sz w:val="20"/>
          <w:szCs w:val="20"/>
          <w:color w:val="auto"/>
        </w:rPr>
      </w:pPr>
      <w:r>
        <w:rPr>
          <w:rFonts w:ascii="Times New Roman" w:cs="Times New Roman" w:eastAsia="Times New Roman" w:hAnsi="Times New Roman"/>
          <w:sz w:val="20"/>
          <w:szCs w:val="20"/>
          <w:color w:val="121212"/>
        </w:rPr>
        <w:t>Our mission is to significantly improve the lives of patients suffering from hematologic diseases by developing differentiated product candidates, including ones designed to target fundamental pathways associated with the formation and function of red blood cells. To achieve our mission, we are focused on the following key elements of our strategy:</w:t>
      </w:r>
    </w:p>
    <w:p>
      <w:pPr>
        <w:spacing w:after="0" w:line="217" w:lineRule="exact"/>
        <w:rPr>
          <w:sz w:val="20"/>
          <w:szCs w:val="20"/>
          <w:color w:val="auto"/>
        </w:rPr>
      </w:pPr>
    </w:p>
    <w:p>
      <w:pPr>
        <w:ind w:left="720" w:hanging="367"/>
        <w:spacing w:after="0" w:line="243" w:lineRule="auto"/>
        <w:tabs>
          <w:tab w:leader="none" w:pos="720" w:val="left"/>
        </w:tabs>
        <w:numPr>
          <w:ilvl w:val="0"/>
          <w:numId w:val="9"/>
        </w:numPr>
        <w:rPr>
          <w:rFonts w:ascii="Arial" w:cs="Arial" w:eastAsia="Arial" w:hAnsi="Arial"/>
          <w:sz w:val="20"/>
          <w:szCs w:val="20"/>
          <w:color w:val="121212"/>
        </w:rPr>
      </w:pPr>
      <w:r>
        <w:rPr>
          <w:rFonts w:ascii="Times New Roman" w:cs="Times New Roman" w:eastAsia="Times New Roman" w:hAnsi="Times New Roman"/>
          <w:sz w:val="20"/>
          <w:szCs w:val="20"/>
          <w:b w:val="1"/>
          <w:bCs w:val="1"/>
          <w:color w:val="121212"/>
        </w:rPr>
        <w:t xml:space="preserve">Advance the clinical development of bitopertin for the treatment of patients with EPP and XLP and expand into other diseases characterized by dysregulation of the heme biosynthesis pathway. </w:t>
      </w:r>
      <w:r>
        <w:rPr>
          <w:rFonts w:ascii="Times New Roman" w:cs="Times New Roman" w:eastAsia="Times New Roman" w:hAnsi="Times New Roman"/>
          <w:sz w:val="20"/>
          <w:szCs w:val="20"/>
          <w:color w:val="121212"/>
        </w:rPr>
        <w:t>In multiple clinical trials conducted</w:t>
      </w:r>
      <w:r>
        <w:rPr>
          <w:rFonts w:ascii="Times New Roman" w:cs="Times New Roman" w:eastAsia="Times New Roman" w:hAnsi="Times New Roman"/>
          <w:sz w:val="20"/>
          <w:szCs w:val="20"/>
          <w:b w:val="1"/>
          <w:bCs w:val="1"/>
          <w:color w:val="121212"/>
        </w:rPr>
        <w:t xml:space="preserve"> </w:t>
      </w:r>
      <w:r>
        <w:rPr>
          <w:rFonts w:ascii="Times New Roman" w:cs="Times New Roman" w:eastAsia="Times New Roman" w:hAnsi="Times New Roman"/>
          <w:sz w:val="20"/>
          <w:szCs w:val="20"/>
          <w:color w:val="121212"/>
        </w:rPr>
        <w:t>by Roche in other indications, bitopertin was observed to be a regulator of heme biosynthesis. We are initially developing bitopertin for the treatment of patients with EPP and XLP, which are part of a group of severe diseases, known as porphyrias, caused by defects in the heme biosynthesis pathway that cause an accumulation of toxic metabolites referred to as porphyrins. Based on the clinical data generated by Roche in multiple clinical trials in other indications and the compelling preclinical data we have generated, we believe bitopertin has the potential to be a disease-modifying treatment for these patients. In July 2022, we initiated BEACON, a Phase 2 open-label, parallel-dose clinical trial of bitopertin in EPP and XLP patients that is being conducted at sites in Australia. Interim data was presented in 2023. Separately, in July 2022, we received IND clearance from the FDA and in October 2022 initiated AURORA. AURORA is a Phase 2, randomized, double-blind, placebo-controlled clinical trial of bitopertin in EPP patients that is being conducted at sites in the United States. Topline data from AURORA is expected by March or April 2024. We also plan to explore the potential of bitopertin to treat other hematologic diseases, including DBA.</w:t>
      </w:r>
    </w:p>
    <w:p>
      <w:pPr>
        <w:spacing w:after="0" w:line="96" w:lineRule="exact"/>
        <w:rPr>
          <w:rFonts w:ascii="Arial" w:cs="Arial" w:eastAsia="Arial" w:hAnsi="Arial"/>
          <w:sz w:val="20"/>
          <w:szCs w:val="20"/>
          <w:color w:val="121212"/>
        </w:rPr>
      </w:pPr>
    </w:p>
    <w:p>
      <w:pPr>
        <w:ind w:left="720" w:hanging="367"/>
        <w:spacing w:after="0" w:line="244" w:lineRule="auto"/>
        <w:tabs>
          <w:tab w:leader="none" w:pos="720" w:val="left"/>
        </w:tabs>
        <w:numPr>
          <w:ilvl w:val="0"/>
          <w:numId w:val="9"/>
        </w:numPr>
        <w:rPr>
          <w:rFonts w:ascii="Arial" w:cs="Arial" w:eastAsia="Arial" w:hAnsi="Arial"/>
          <w:sz w:val="20"/>
          <w:szCs w:val="20"/>
          <w:color w:val="121212"/>
        </w:rPr>
      </w:pPr>
      <w:r>
        <w:rPr>
          <w:rFonts w:ascii="Times New Roman" w:cs="Times New Roman" w:eastAsia="Times New Roman" w:hAnsi="Times New Roman"/>
          <w:sz w:val="20"/>
          <w:szCs w:val="20"/>
          <w:b w:val="1"/>
          <w:bCs w:val="1"/>
          <w:color w:val="121212"/>
        </w:rPr>
        <w:t xml:space="preserve">Advance the clinical development of DISC-0974 for the treatment of anemia associated with MF, CKD and other inflammatory diseases. </w:t>
      </w:r>
      <w:r>
        <w:rPr>
          <w:rFonts w:ascii="Times New Roman" w:cs="Times New Roman" w:eastAsia="Times New Roman" w:hAnsi="Times New Roman"/>
          <w:sz w:val="20"/>
          <w:szCs w:val="20"/>
          <w:color w:val="121212"/>
        </w:rPr>
        <w:t>We are initially developing our lead hepcidin-suppressing program, DISC-0974, for the</w:t>
      </w:r>
      <w:r>
        <w:rPr>
          <w:rFonts w:ascii="Times New Roman" w:cs="Times New Roman" w:eastAsia="Times New Roman" w:hAnsi="Times New Roman"/>
          <w:sz w:val="20"/>
          <w:szCs w:val="20"/>
          <w:b w:val="1"/>
          <w:bCs w:val="1"/>
          <w:color w:val="121212"/>
        </w:rPr>
        <w:t xml:space="preserve"> </w:t>
      </w:r>
      <w:r>
        <w:rPr>
          <w:rFonts w:ascii="Times New Roman" w:cs="Times New Roman" w:eastAsia="Times New Roman" w:hAnsi="Times New Roman"/>
          <w:sz w:val="20"/>
          <w:szCs w:val="20"/>
          <w:color w:val="121212"/>
        </w:rPr>
        <w:t>treatment of anemia associated with MF and CKD. We have completed a Phase 1, placebo-controlled, single-ascending dose clinical trial of DISC-0974 in healthy volunteers. Data from the Phase 1 clinical trial showed an acceptable tolerability profile and evidence of target engagement and iron mobilization and augmented erythropoiesis. We initiated a Phase 1b/2 open-label clinical trial in patients with anemia of MF in June 2022 and initiated a separate Phase 1b/2 placebo controlled, single/multiple ascending dose clinical trial in patients with non-dialysis dependent CKD and anemia in February 2023. Interim data from these two trials was presented in December 2023. We also plan to further expand the development of DISC-0974 into anemias associated with other inflammatory diseases, such as inflammatory bowel disease.</w:t>
      </w:r>
    </w:p>
    <w:p>
      <w:pPr>
        <w:spacing w:after="0" w:line="95" w:lineRule="exact"/>
        <w:rPr>
          <w:rFonts w:ascii="Arial" w:cs="Arial" w:eastAsia="Arial" w:hAnsi="Arial"/>
          <w:sz w:val="20"/>
          <w:szCs w:val="20"/>
          <w:color w:val="121212"/>
        </w:rPr>
      </w:pPr>
    </w:p>
    <w:p>
      <w:pPr>
        <w:ind w:left="720" w:hanging="367"/>
        <w:spacing w:after="0" w:line="246" w:lineRule="auto"/>
        <w:tabs>
          <w:tab w:leader="none" w:pos="720" w:val="left"/>
        </w:tabs>
        <w:numPr>
          <w:ilvl w:val="0"/>
          <w:numId w:val="9"/>
        </w:numPr>
        <w:rPr>
          <w:rFonts w:ascii="Arial" w:cs="Arial" w:eastAsia="Arial" w:hAnsi="Arial"/>
          <w:sz w:val="20"/>
          <w:szCs w:val="20"/>
          <w:color w:val="121212"/>
        </w:rPr>
      </w:pPr>
      <w:r>
        <w:rPr>
          <w:rFonts w:ascii="Times New Roman" w:cs="Times New Roman" w:eastAsia="Times New Roman" w:hAnsi="Times New Roman"/>
          <w:sz w:val="20"/>
          <w:szCs w:val="20"/>
          <w:b w:val="1"/>
          <w:bCs w:val="1"/>
          <w:color w:val="121212"/>
        </w:rPr>
        <w:t xml:space="preserve">Advance the clinical development of DISC-3405 for the treatment of PV and expand into other diseases associated with excess iron availability. </w:t>
      </w:r>
      <w:r>
        <w:rPr>
          <w:rFonts w:ascii="Times New Roman" w:cs="Times New Roman" w:eastAsia="Times New Roman" w:hAnsi="Times New Roman"/>
          <w:sz w:val="20"/>
          <w:szCs w:val="20"/>
          <w:color w:val="121212"/>
        </w:rPr>
        <w:t>The second program in our iron homeostasis portfolio is DISC-3405, which is designed to</w:t>
      </w:r>
      <w:r>
        <w:rPr>
          <w:rFonts w:ascii="Times New Roman" w:cs="Times New Roman" w:eastAsia="Times New Roman" w:hAnsi="Times New Roman"/>
          <w:sz w:val="20"/>
          <w:szCs w:val="20"/>
          <w:b w:val="1"/>
          <w:bCs w:val="1"/>
          <w:color w:val="121212"/>
        </w:rPr>
        <w:t xml:space="preserve"> </w:t>
      </w:r>
      <w:r>
        <w:rPr>
          <w:rFonts w:ascii="Times New Roman" w:cs="Times New Roman" w:eastAsia="Times New Roman" w:hAnsi="Times New Roman"/>
          <w:sz w:val="20"/>
          <w:szCs w:val="20"/>
          <w:color w:val="121212"/>
        </w:rPr>
        <w:t>induce hepcidin production. We initiated a Phase 1 clinical trial in healthy volunteers in October 2023, which we plan to follow with a study in patients with PV. The inhibition of TMPRSS6 has been shown in non-clinical studies to increase hepcidin levels and restrict iron availability, and DISC-3405 demonstrated activity in disease models of PV and beta-thalassemia. In clinical trials conducted by third parties, iron restriction through a hepcidin mechanism resulted in disease control in patients with PV, which is our initial indication of focus for this program.</w:t>
      </w:r>
    </w:p>
    <w:p>
      <w:pPr>
        <w:spacing w:after="0" w:line="93" w:lineRule="exact"/>
        <w:rPr>
          <w:rFonts w:ascii="Arial" w:cs="Arial" w:eastAsia="Arial" w:hAnsi="Arial"/>
          <w:sz w:val="20"/>
          <w:szCs w:val="20"/>
          <w:color w:val="121212"/>
        </w:rPr>
      </w:pPr>
    </w:p>
    <w:p>
      <w:pPr>
        <w:ind w:left="720" w:hanging="367"/>
        <w:spacing w:after="0" w:line="244" w:lineRule="auto"/>
        <w:tabs>
          <w:tab w:leader="none" w:pos="720" w:val="left"/>
        </w:tabs>
        <w:numPr>
          <w:ilvl w:val="0"/>
          <w:numId w:val="9"/>
        </w:numPr>
        <w:rPr>
          <w:rFonts w:ascii="Arial" w:cs="Arial" w:eastAsia="Arial" w:hAnsi="Arial"/>
          <w:sz w:val="20"/>
          <w:szCs w:val="20"/>
          <w:color w:val="121212"/>
        </w:rPr>
      </w:pPr>
      <w:r>
        <w:rPr>
          <w:rFonts w:ascii="Times New Roman" w:cs="Times New Roman" w:eastAsia="Times New Roman" w:hAnsi="Times New Roman"/>
          <w:sz w:val="20"/>
          <w:szCs w:val="20"/>
          <w:b w:val="1"/>
          <w:bCs w:val="1"/>
          <w:color w:val="121212"/>
        </w:rPr>
        <w:t xml:space="preserve">Continue to build our pipeline through internal research or business development. </w:t>
      </w:r>
      <w:r>
        <w:rPr>
          <w:rFonts w:ascii="Times New Roman" w:cs="Times New Roman" w:eastAsia="Times New Roman" w:hAnsi="Times New Roman"/>
          <w:sz w:val="20"/>
          <w:szCs w:val="20"/>
          <w:color w:val="121212"/>
        </w:rPr>
        <w:t>Though we have yet to generate</w:t>
      </w:r>
      <w:r>
        <w:rPr>
          <w:rFonts w:ascii="Times New Roman" w:cs="Times New Roman" w:eastAsia="Times New Roman" w:hAnsi="Times New Roman"/>
          <w:sz w:val="20"/>
          <w:szCs w:val="20"/>
          <w:b w:val="1"/>
          <w:bCs w:val="1"/>
          <w:color w:val="121212"/>
        </w:rPr>
        <w:t xml:space="preserve"> </w:t>
      </w:r>
      <w:r>
        <w:rPr>
          <w:rFonts w:ascii="Times New Roman" w:cs="Times New Roman" w:eastAsia="Times New Roman" w:hAnsi="Times New Roman"/>
          <w:sz w:val="20"/>
          <w:szCs w:val="20"/>
          <w:color w:val="121212"/>
        </w:rPr>
        <w:t>complete clinical data for our product candidates, we believe that all of our current product candidates, if approved, could have pipeline-in-a-product potential, and for each product candidate, we plan to explore its potential across multiple hematologic diseases. In addition, we plan to leverage our expertise in hematology to further grow our pipeline through both internal discovery and development of new therapeutic candidates and in-licensing of external assets. This approach includes developing both next-generation programs to support our existing heme biosynthesis and iron homeostasis portfolios as well as molecules that target other pathways associated with red blood cells that may be of strategic and biological interest. For example, we are developing DISC-0998, a preclinical monoclonal antibody as a next generation product candidate against HJV, the same target as DISC-0974. We believe DISC-0998 has improved pharmacokinetic, or PK, and pharmacodynamic, or PD, properties that may benefit certain subsets of patients with anemia associated with inflammatory diseases.</w:t>
      </w:r>
    </w:p>
    <w:p>
      <w:pPr>
        <w:spacing w:after="0" w:line="91" w:lineRule="exact"/>
        <w:rPr>
          <w:rFonts w:ascii="Arial" w:cs="Arial" w:eastAsia="Arial" w:hAnsi="Arial"/>
          <w:sz w:val="20"/>
          <w:szCs w:val="20"/>
          <w:color w:val="121212"/>
        </w:rPr>
      </w:pPr>
    </w:p>
    <w:p>
      <w:pPr>
        <w:ind w:left="720" w:hanging="367"/>
        <w:spacing w:after="0" w:line="259" w:lineRule="auto"/>
        <w:tabs>
          <w:tab w:leader="none" w:pos="720" w:val="left"/>
        </w:tabs>
        <w:numPr>
          <w:ilvl w:val="0"/>
          <w:numId w:val="9"/>
        </w:numPr>
        <w:rPr>
          <w:rFonts w:ascii="Arial" w:cs="Arial" w:eastAsia="Arial" w:hAnsi="Arial"/>
          <w:sz w:val="19"/>
          <w:szCs w:val="19"/>
          <w:color w:val="121212"/>
        </w:rPr>
      </w:pPr>
      <w:r>
        <w:rPr>
          <w:rFonts w:ascii="Times New Roman" w:cs="Times New Roman" w:eastAsia="Times New Roman" w:hAnsi="Times New Roman"/>
          <w:sz w:val="19"/>
          <w:szCs w:val="19"/>
          <w:b w:val="1"/>
          <w:bCs w:val="1"/>
          <w:color w:val="121212"/>
        </w:rPr>
        <w:t xml:space="preserve">Opportunistically evaluate strategic collaborations to maximize the value of our product candidates and preclinical programs. </w:t>
      </w:r>
      <w:r>
        <w:rPr>
          <w:rFonts w:ascii="Times New Roman" w:cs="Times New Roman" w:eastAsia="Times New Roman" w:hAnsi="Times New Roman"/>
          <w:sz w:val="19"/>
          <w:szCs w:val="19"/>
          <w:color w:val="121212"/>
        </w:rPr>
        <w:t>We have obtained exclusive, worldwide licenses for the development and commercialization of</w:t>
      </w:r>
      <w:r>
        <w:rPr>
          <w:rFonts w:ascii="Times New Roman" w:cs="Times New Roman" w:eastAsia="Times New Roman" w:hAnsi="Times New Roman"/>
          <w:sz w:val="19"/>
          <w:szCs w:val="19"/>
          <w:b w:val="1"/>
          <w:bCs w:val="1"/>
          <w:color w:val="121212"/>
        </w:rPr>
        <w:t xml:space="preserve"> </w:t>
      </w:r>
      <w:r>
        <w:rPr>
          <w:rFonts w:ascii="Times New Roman" w:cs="Times New Roman" w:eastAsia="Times New Roman" w:hAnsi="Times New Roman"/>
          <w:sz w:val="19"/>
          <w:szCs w:val="19"/>
          <w:color w:val="121212"/>
        </w:rPr>
        <w:t>bitopertin, DISC-0974, and DISC-0998, and exclusive rights for DISC-3405 (formerly MWTX-003) and related antibodies in all territories outside of Greater China and Southeast Asia. As we advance the development of our product candidates and preclinical programs across multiple indications and continue to generate additional data, we intend to continuously evaluate our options for maximizing the value of our overall portfolio. For example, in certain geographies, we may opportunistically enter into strategic collaborations to accelerate the development and maximize the commercial potential of any or all of our product candidates or preclinical programs. For each product candidate, preclinical program, indication, and geographic region, our goal is to find the best path forward for the development of our product candidates</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4</w:t>
      </w:r>
    </w:p>
    <w:p>
      <w:pPr>
        <w:sectPr>
          <w:pgSz w:w="12240" w:h="15840" w:orient="portrait"/>
          <w:cols w:equalWidth="0" w:num="1">
            <w:col w:w="10440"/>
          </w:cols>
          <w:pgMar w:left="900" w:top="926" w:right="900" w:bottom="175" w:gutter="0" w:footer="0" w:header="0"/>
          <w:type w:val="continuous"/>
        </w:sectPr>
      </w:pPr>
    </w:p>
    <w:bookmarkStart w:id="14" w:name="page15"/>
    <w:bookmarkEnd w:id="14"/>
    <w:p>
      <w:pPr>
        <w:ind w:left="720" w:right="780"/>
        <w:spacing w:after="0" w:line="277" w:lineRule="auto"/>
        <w:rPr>
          <w:sz w:val="20"/>
          <w:szCs w:val="20"/>
          <w:color w:val="auto"/>
        </w:rPr>
      </w:pPr>
      <w:r>
        <w:rPr>
          <w:rFonts w:ascii="Times New Roman" w:cs="Times New Roman" w:eastAsia="Times New Roman" w:hAnsi="Times New Roman"/>
          <w:sz w:val="20"/>
          <w:szCs w:val="20"/>
          <w:color w:val="121212"/>
        </w:rPr>
        <w:t>and preclinical programs in order to treat patients in need of new therapies, while also maximizing value for our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Our Approach</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21212"/>
        </w:rPr>
        <w:t>Our goal is to continue to build and advance a portfolio of product candidates that focus on fundamental biological pathways associated with the formation and function of red blood cells. Red blood cells have the essential role of carrying oxygen via hemoglobin to all tissues and organs in the body. The biological processes that are required to maintain normal levels of functional red blood cells are complex, and a variety of congenital and acquired diseases occur due to imbalances or deficiencies in red blood cell formation and function. Two key components needed to support the formation and function of red blood cells are heme and iron. Heme is an essential part of red blood cells, and when complexed into the hemoglobin protein, it performs the vital function of transporting oxygen throughout the body. Iron is a key component of heme, and therefore both iron and heme are required for erythropoiesis, the biological process by which precursor cells in the bone marrow mature to become red blood cells. Based on previously conducted animal models and preclinical data, we believe our product candidate portfolio, by targeting fundamental pathways in red blood cell biology, has the potential to address a range of hematologic diseases in which modification of iron and heme plays a critical function.</w:t>
      </w:r>
    </w:p>
    <w:p>
      <w:pPr>
        <w:spacing w:after="0" w:line="89"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121212"/>
        </w:rPr>
        <w:t>We are focused on therapeutic approaches that modulate heme and iron to address diseases of heme biosynthesis and red blood cell production. Our current pipeline is focused on the following three approaches:</w:t>
      </w:r>
    </w:p>
    <w:p>
      <w:pPr>
        <w:spacing w:after="0" w:line="64" w:lineRule="exact"/>
        <w:rPr>
          <w:sz w:val="20"/>
          <w:szCs w:val="20"/>
          <w:color w:val="auto"/>
        </w:rPr>
      </w:pPr>
    </w:p>
    <w:p>
      <w:pPr>
        <w:ind w:left="720" w:right="440" w:hanging="367"/>
        <w:spacing w:after="0" w:line="276" w:lineRule="auto"/>
        <w:tabs>
          <w:tab w:leader="none" w:pos="720" w:val="left"/>
        </w:tabs>
        <w:numPr>
          <w:ilvl w:val="0"/>
          <w:numId w:val="10"/>
        </w:numPr>
        <w:rPr>
          <w:rFonts w:ascii="Arial" w:cs="Arial" w:eastAsia="Arial" w:hAnsi="Arial"/>
          <w:sz w:val="20"/>
          <w:szCs w:val="20"/>
          <w:color w:val="121212"/>
        </w:rPr>
      </w:pPr>
      <w:r>
        <w:rPr>
          <w:rFonts w:ascii="Times New Roman" w:cs="Times New Roman" w:eastAsia="Times New Roman" w:hAnsi="Times New Roman"/>
          <w:sz w:val="20"/>
          <w:szCs w:val="20"/>
          <w:color w:val="121212"/>
        </w:rPr>
        <w:t>Modulating the heme biosynthesis pathway, which is anticipated to be useful in diseases caused by excesses in toxic heme pathway metabolites, e.g. EPs;</w:t>
      </w:r>
    </w:p>
    <w:p>
      <w:pPr>
        <w:spacing w:after="0" w:line="64" w:lineRule="exact"/>
        <w:rPr>
          <w:rFonts w:ascii="Arial" w:cs="Arial" w:eastAsia="Arial" w:hAnsi="Arial"/>
          <w:sz w:val="20"/>
          <w:szCs w:val="20"/>
          <w:color w:val="121212"/>
        </w:rPr>
      </w:pPr>
    </w:p>
    <w:p>
      <w:pPr>
        <w:ind w:left="720" w:right="40" w:hanging="367"/>
        <w:spacing w:after="0" w:line="258" w:lineRule="auto"/>
        <w:tabs>
          <w:tab w:leader="none" w:pos="720" w:val="left"/>
        </w:tabs>
        <w:numPr>
          <w:ilvl w:val="0"/>
          <w:numId w:val="10"/>
        </w:numPr>
        <w:rPr>
          <w:rFonts w:ascii="Arial" w:cs="Arial" w:eastAsia="Arial" w:hAnsi="Arial"/>
          <w:sz w:val="20"/>
          <w:szCs w:val="20"/>
          <w:color w:val="121212"/>
        </w:rPr>
      </w:pPr>
      <w:r>
        <w:rPr>
          <w:rFonts w:ascii="Times New Roman" w:cs="Times New Roman" w:eastAsia="Times New Roman" w:hAnsi="Times New Roman"/>
          <w:sz w:val="20"/>
          <w:szCs w:val="20"/>
          <w:color w:val="121212"/>
        </w:rPr>
        <w:t>Increasing iron availability to red blood cell precursors, which is anticipated to have direct effects on increasing red blood cell production to correct anemia in diseases of iron restriction, e.g. anemia associated with inflammatory diseases; and</w:t>
      </w:r>
    </w:p>
    <w:p>
      <w:pPr>
        <w:spacing w:after="0" w:line="81" w:lineRule="exact"/>
        <w:rPr>
          <w:rFonts w:ascii="Arial" w:cs="Arial" w:eastAsia="Arial" w:hAnsi="Arial"/>
          <w:sz w:val="20"/>
          <w:szCs w:val="20"/>
          <w:color w:val="121212"/>
        </w:rPr>
      </w:pPr>
    </w:p>
    <w:p>
      <w:pPr>
        <w:ind w:left="720" w:right="460" w:hanging="367"/>
        <w:spacing w:after="0" w:line="276" w:lineRule="auto"/>
        <w:tabs>
          <w:tab w:leader="none" w:pos="720" w:val="left"/>
        </w:tabs>
        <w:numPr>
          <w:ilvl w:val="0"/>
          <w:numId w:val="10"/>
        </w:numPr>
        <w:rPr>
          <w:rFonts w:ascii="Arial" w:cs="Arial" w:eastAsia="Arial" w:hAnsi="Arial"/>
          <w:sz w:val="20"/>
          <w:szCs w:val="20"/>
          <w:color w:val="121212"/>
        </w:rPr>
      </w:pPr>
      <w:r>
        <w:rPr>
          <w:rFonts w:ascii="Times New Roman" w:cs="Times New Roman" w:eastAsia="Times New Roman" w:hAnsi="Times New Roman"/>
          <w:sz w:val="20"/>
          <w:szCs w:val="20"/>
          <w:color w:val="121212"/>
        </w:rPr>
        <w:t>Decreasing iron availability, which is anticipated to lower red blood cell production in diseases of excessive red cell production, e.g. PV.</w:t>
      </w:r>
    </w:p>
    <w:p>
      <w:pPr>
        <w:spacing w:after="0" w:line="13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21212"/>
        </w:rPr>
        <w:t>Additionally, we focus on therapeutic mechanisms that have been validated in humans, through evidence from either human genetics or third-party clinical trials. For example, our lead program, bitopertin, which has been evaluated in over 4,000 individuals, has demonstrated suppression of heme biosynthesis in multiple clinical trials conducted by Roche. The targets of our iron homeostasis portfolio, HJV and TMPRSS6, have both been genetically validated in humans and shown to have a role in the regulation of hepcidin and iron homeostasis. For example, individuals with inherited loss of the HJV gene exhibit low levels of hepcidin and individuals with inherited loss of the TMPRSS6 gene exhibit elevated levels of hepcidin.</w:t>
      </w:r>
    </w:p>
    <w:p>
      <w:pPr>
        <w:spacing w:after="0" w:line="80"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121212"/>
        </w:rPr>
        <w:t>By focusing on fundamental red blood cell biology that is validated in humans, we believe that our product candidates are more likely to exhibit well-defined biological effects in clinical trials and have the potential for broad applicability across a wide range of hematologic diseases.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Our Heme Biosynthesis Modulation Portfolio</w:t>
      </w:r>
    </w:p>
    <w:p>
      <w:pPr>
        <w:spacing w:after="0" w:line="124"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Our first therapeutic approach is focused on the treatment of diseases caused by defects in heme biosynthesis, a multistep enzymatic process that is critical for the formation of new red blood cells. Heme is an essential part of red blood cells, and when complexed into the hemoglobin protein, it performs the vital function of transporting oxygen throughout the body. However, genetic or acquired defects in the enzymes that mediate heme biosynthesis, as well as deficiencies in the incorporation of heme into hemoglobin, can result in the accumulation of toxic metabolites, leading to a range of hematologic diseases.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Heme Biosynthesis: Fundamental to Erythropoiesis</w:t>
      </w:r>
    </w:p>
    <w:p>
      <w:pPr>
        <w:spacing w:after="0" w:line="12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21212"/>
        </w:rPr>
        <w:t>Erythropoiesis is the biological process by which precursor cells in the bone marrow mature to become red blood cells. The primary function of red blood cells is to transport oxygen throughout the body. Hemoglobin, an iron-containing protein found in all red blood cells, is responsible for binding to oxygen in the lungs, transporting it throughout the body and releasing it in peripheral tissues. The key oxygen binding function of hemoglobin is mediated by its heme component, a molecular complex comprising a porphyrin molecule and iron. Because red blood cells consist largely of heme-containing hemoglobin, newly forming red blood cells must synthesize tremendous amounts of heme. Heme biosynthesis is a complex process that begins with the amino acid glycine and requires multiple subsequent enzymatic reactions, as shown in the figure below. Heme is a highly reactive and potentially toxic complex, as are many of the porphyrin molecules that are generated as metabolic intermediates during heme biosynthesis. As a result, heme biosynthesis is tightly regulated to avoid a build-up of free heme or porphyrins. As new red blood cells are forming in the bone marrow, the heme biosynthesis pathway is tightly coordinated with the expression of the protein subunits of hemoglobin, the globins, and the uptake of iron. The vast majority of newly synthesized heme is incorporated into hemoglobin and does not accumulate in free form to toxic levels. Moreover, the entire process of erythropoiesis</w:t>
      </w:r>
    </w:p>
    <w:p>
      <w:pPr>
        <w:sectPr>
          <w:pgSz w:w="12240" w:h="15840" w:orient="portrait"/>
          <w:cols w:equalWidth="0" w:num="1">
            <w:col w:w="10460"/>
          </w:cols>
          <w:pgMar w:left="900" w:top="930" w:right="880" w:bottom="175"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5</w:t>
      </w:r>
    </w:p>
    <w:p>
      <w:pPr>
        <w:sectPr>
          <w:pgSz w:w="12240" w:h="15840" w:orient="portrait"/>
          <w:cols w:equalWidth="0" w:num="1">
            <w:col w:w="10460"/>
          </w:cols>
          <w:pgMar w:left="900" w:top="930" w:right="880" w:bottom="175" w:gutter="0" w:footer="0" w:header="0"/>
          <w:type w:val="continuous"/>
        </w:sectPr>
      </w:pPr>
    </w:p>
    <w:bookmarkStart w:id="15" w:name="page16"/>
    <w:bookmarkEnd w:id="15"/>
    <w:p>
      <w:pPr>
        <w:ind w:right="160"/>
        <w:spacing w:after="0" w:line="277" w:lineRule="auto"/>
        <w:rPr>
          <w:sz w:val="20"/>
          <w:szCs w:val="20"/>
          <w:color w:val="auto"/>
        </w:rPr>
      </w:pPr>
      <w:r>
        <w:rPr>
          <w:rFonts w:ascii="Times New Roman" w:cs="Times New Roman" w:eastAsia="Times New Roman" w:hAnsi="Times New Roman"/>
          <w:sz w:val="20"/>
          <w:szCs w:val="20"/>
          <w:color w:val="121212"/>
        </w:rPr>
        <w:t>is regulated by the availability of heme. As a result, agents that affect heme biosynthesis have broad potential to treat diseases of the heme and hemoglobin biosynthesis pathways and other hematologic diseases resulting from dysregulated erythropoiesis.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Overview of the Heme Biosynthesis Process - Eight Enzymatic Steps from Glycine to 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189230</wp:posOffset>
            </wp:positionV>
            <wp:extent cx="5105400" cy="1924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5105400" cy="192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Heme Biosynthesis as a Therapeutic Target for Diseases</w:t>
      </w:r>
    </w:p>
    <w:p>
      <w:pPr>
        <w:spacing w:after="0" w:line="12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121212"/>
        </w:rPr>
        <w:t>In many hematologic diseases, there is abnormal proliferation and differentiation of the progenitor cells that develop into red blood cells. An alteration in any aspect of red blood cell maturation can result in the build-up of metabolic intermediates from heme and hemoglobin biosynthesis, and these intermediates can cause a variety of disease states. Defects of the heme biosynthesis enzymes in the erythroid lineage can cause the build -up of metabolic intermediates called porphyrins and lead to a set of diseases referred to as EPs. In EPs, porphyrins accumulate to inappropriately high levels and cause damage, particularly in the skin, gallbladder, and liver. Similarly, defects in globin biosynthesis, often caused by mutations in the ribosomes that are necessary for mediating globin biosynthesis, result in the build-up of heme that is not complexed with globin. This free heme can damage newly forming red blood cells, leading to forms of anemia observed in DBA and in certain types of MDS. In diseases characterized by defects in the genes coding for the globins, such as sickle cell disease and beta thalassemia, the reduction of heme biosynthesis has the potential to reduce the production of pathologically altered globins that aggregate or polymerize, causing oxidative damage and hemolysis. In people without globin abnormalities, excessive production of red blood cells with normal hemoglobin can cause PV, in which the higher hematocrit can lead to thrombotic disease, including stroke. Restricting heme formation has the potential to ameliorate symptoms in certain patients with these hemoglobinopathies and disorders of red blood cell excess. Therefore, we believe that inhibitors of heme biosynthesis have the potential to treat a wide range of hematologic diseases by restricting the production of damaging metabolites, including porphyrins, heme and globins.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rPr>
          <w:sz w:val="20"/>
          <w:szCs w:val="20"/>
          <w:color w:val="auto"/>
        </w:rPr>
      </w:pPr>
      <w:r>
        <w:rPr>
          <w:rFonts w:ascii="Times New Roman" w:cs="Times New Roman" w:eastAsia="Times New Roman" w:hAnsi="Times New Roman"/>
          <w:sz w:val="20"/>
          <w:szCs w:val="20"/>
          <w:i w:val="1"/>
          <w:iCs w:val="1"/>
          <w:color w:val="121212"/>
        </w:rPr>
        <w:t>Erythropoietic Porphyrias</w:t>
      </w:r>
    </w:p>
    <w:p>
      <w:pPr>
        <w:spacing w:after="0" w:line="92" w:lineRule="exact"/>
        <w:rPr>
          <w:sz w:val="20"/>
          <w:szCs w:val="20"/>
          <w:color w:val="auto"/>
        </w:rPr>
      </w:pPr>
    </w:p>
    <w:p>
      <w:pPr>
        <w:ind w:right="40" w:firstLine="490"/>
        <w:spacing w:after="0" w:line="257" w:lineRule="auto"/>
        <w:rPr>
          <w:sz w:val="20"/>
          <w:szCs w:val="20"/>
          <w:color w:val="auto"/>
        </w:rPr>
      </w:pPr>
      <w:r>
        <w:rPr>
          <w:rFonts w:ascii="Times New Roman" w:cs="Times New Roman" w:eastAsia="Times New Roman" w:hAnsi="Times New Roman"/>
          <w:sz w:val="19"/>
          <w:szCs w:val="19"/>
          <w:color w:val="121212"/>
        </w:rPr>
        <w:t>EPs are a family of rare, debilitating, and potentially life-threatening diseases caused by mutations that affect the heme biosynthesis pathway. These mutations result in the toxic accumulation of metabolic intermediates in the blood called porphyrins, which can absorb light through the skin and mediate the generation of toxic reactive oxygen species that cause damage to the skin and other tissues. Consequently, when patients with porphyria are exposed to sunlight, they experience excruciating pain, blistering, and edema in the skin. This severe phototoxicity often results in a lifelong aversion to and fear of light, which has a negative impact on patients and their families, particularly for young children. These effects include impaired psychosocial development and conditions, such as anxiety, depression, and social isolation that may require significant adjustments to career and other life choices. EPs comprise three subtypes that are each linked to a specific mutation or deficiency in one of the enzymes in the heme biosynthesis pathway: (1) EPP, which is linked to the ferrochelatase, or FECH, enzyme; (2) XLP, which is linked to the delta-aminolevulinic acid synthase-2, or ALAS2, enzyme; and (3) congenital erythropoietic porphyria, or CEP, which is linked to the uroporphyrinogen III cosynthase, or UROS, enzyme. As shown below, mutations in the FECH and ALAS2 enzymes lead to a pathological accumulation of PPIX, and as a result, patients with EPP or XLP typically have high levels of PPIX.</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6</w:t>
      </w:r>
    </w:p>
    <w:p>
      <w:pPr>
        <w:sectPr>
          <w:pgSz w:w="12240" w:h="15840" w:orient="portrait"/>
          <w:cols w:equalWidth="0" w:num="1">
            <w:col w:w="10440"/>
          </w:cols>
          <w:pgMar w:left="900" w:top="930" w:right="900" w:bottom="175"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121212"/>
        </w:rPr>
        <w:t>Genetic and Biochemical Basis for EPP and XLP: FECH and ALAS2 Mutations Increase PPIX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195580</wp:posOffset>
            </wp:positionV>
            <wp:extent cx="3200400" cy="2809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3200400" cy="280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28" w:lineRule="exact"/>
        <w:rPr>
          <w:sz w:val="20"/>
          <w:szCs w:val="20"/>
          <w:color w:val="auto"/>
        </w:rPr>
      </w:pPr>
    </w:p>
    <w:p>
      <w:pPr>
        <w:ind w:firstLine="490"/>
        <w:spacing w:after="0"/>
        <w:rPr>
          <w:sz w:val="20"/>
          <w:szCs w:val="20"/>
          <w:color w:val="auto"/>
        </w:rPr>
      </w:pPr>
      <w:r>
        <w:rPr>
          <w:rFonts w:ascii="Times New Roman" w:cs="Times New Roman" w:eastAsia="Times New Roman" w:hAnsi="Times New Roman"/>
          <w:sz w:val="20"/>
          <w:szCs w:val="20"/>
          <w:color w:val="121212"/>
        </w:rPr>
        <w:t>EPP is a rare, inherited metabolic disease characterized by a deficiency of the FECH enzyme. FECH is responsible for the last step in heme biosynthesis and catalyzes the insertion of iron into PPIX to create the final heme moiety. In patients with EPP who have abnormally low levels of FECH, excessive amounts of PPIX accumulate in the bone marrow, blood plasma, and red blood cells. This accumulation of PPIX, which becomes highly reactive and toxic when exposed to light, causes the hallmark EPP symptom of photosensitivity, or skin hypersensitivity to sunlight and some types of artificial light, such as fluorescent lights. After exposure to light, the patient’s skin may initially become itchy and red, and then affected individuals often experience a severe burning sensation that may persist for days. PPIX also accumulates in the gallbladder and liver and causes complications in these organs for some patients. An estimated 25% of patients may develop gallstones that require surgical removal. Many patients live with subclinical liver damage, which progresses to overt liver failure and requires liver transplant in approximately 2% to 5% of patients. The onset of symptoms affecting the skin usually occurs in early childhood; however, in some cases, onset may not occur until adolescence or adulthood. EPP has been reported worldwide, with prevalence between 1 in 75,000 to 1 in 200,000, but a recent genetic study suggests that the genetic prevalence may be higher at approximately 1 in 17,000, and recent analyses we completed of medical claims data using the ICD-10 code for EPP suggests a prevalence ranging from 1 in 100,000 up to 1 in 24,000, depending on the definition used.</w:t>
      </w:r>
    </w:p>
    <w:p>
      <w:pPr>
        <w:spacing w:after="0" w:line="9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21212"/>
        </w:rPr>
        <w:t>XLP is a genetically distinct inherited metabolic disease with a clinical presentation that is similar to EPP. The causative mutation in XLP occurs in the ALAS2 gene, which codes for the first enzyme in the heme biosynthesis pathway that is found on the X chromosome and inherited with an X-linked pattern. The mutation causes increased ALAS2 function, which results in pathologic accumulation of PPIX. XLP affects both males and females, but males usually develop a severe form of the disease. Females with an ALAS2 mutation may also develop the disease, but severity can range from being asymptomatic to a severe form. Similar to EPP, the major symptom of this disease is skin hypersensitivity to sunlight and some types of artificial light. The exact incidence or prevalence of XLP is unknown, but it is often estimated at one-tenth the incidence of EPP. EPP and XLP, when combined, are the third most common porphyria.</w:t>
      </w:r>
    </w:p>
    <w:p>
      <w:pPr>
        <w:spacing w:after="0" w:line="82"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121212"/>
        </w:rPr>
        <w:t>CEP, also known as Günther Disease, is the rarest and most severe form of the EPs and results from the deficient function in UROS, the fourth enzyme in the heme biosynthesis pathway. In CEP, the impaired function of this enzyme leads to the accumulation of excessive amounts of certain porphyrins, particularly in the bone marrow, plasma, red blood cells, urine, teeth, and bones. Similar to EPP and XLP, the major symptom of this disease is skin hypersensitivity to sunlight and some types of artificial light. However, in patients with CEP, the photoactivated porphyrins in the skin cause more profound blistering and scarring. Additionally, the accumulation of porphyrins in the bone impairs bone metabolism and can cause bone loss and deformities. CEP is extremely rare and there have been about 220 affected individuals reported to date.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Current Treatment Options for Erythropoietic Porphyrias</w:t>
      </w:r>
    </w:p>
    <w:p>
      <w:pPr>
        <w:spacing w:after="0" w:line="11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There are currently no disease-modifying therapies available to treat EPs other than bone marrow transplantation, which is associated with high rates of morbidity and mortality. Lifestyle alterations to avoid light exposure are the primary approach to managing phototoxicity in EP patients. Sunscreens, tinted windows, and protective clothing are also commonly used in addition to behavioral modifications. The only class of approved therapies for patients with EP are melanocortin 1 receptor agonists, which</w:t>
      </w:r>
    </w:p>
    <w:p>
      <w:pPr>
        <w:sectPr>
          <w:pgSz w:w="12240" w:h="15840" w:orient="portrait"/>
          <w:cols w:equalWidth="0" w:num="1">
            <w:col w:w="10440"/>
          </w:cols>
          <w:pgMar w:left="900" w:top="926" w:right="900" w:bottom="175"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7</w:t>
      </w:r>
    </w:p>
    <w:p>
      <w:pPr>
        <w:sectPr>
          <w:pgSz w:w="12240" w:h="15840" w:orient="portrait"/>
          <w:cols w:equalWidth="0" w:num="1">
            <w:col w:w="10440"/>
          </w:cols>
          <w:pgMar w:left="900" w:top="926" w:right="900" w:bottom="175" w:gutter="0" w:footer="0" w:header="0"/>
          <w:type w:val="continuous"/>
        </w:sectPr>
      </w:pPr>
    </w:p>
    <w:bookmarkStart w:id="17" w:name="page18"/>
    <w:bookmarkEnd w:id="17"/>
    <w:p>
      <w:pPr>
        <w:ind w:right="20"/>
        <w:spacing w:after="0" w:line="244" w:lineRule="auto"/>
        <w:rPr>
          <w:sz w:val="20"/>
          <w:szCs w:val="20"/>
          <w:color w:val="auto"/>
        </w:rPr>
      </w:pPr>
      <w:r>
        <w:rPr>
          <w:rFonts w:ascii="Times New Roman" w:cs="Times New Roman" w:eastAsia="Times New Roman" w:hAnsi="Times New Roman"/>
          <w:sz w:val="20"/>
          <w:szCs w:val="20"/>
          <w:color w:val="121212"/>
        </w:rPr>
        <w:t>are designed to promote melanin production, or tanning, and thereby increase patient tolerance to sunlight. Afamelanotide, an a-melanocyte-stimulating hormone analog delivered by a surgically-administered subcutaneous implant, was approved by the FDA in 2019 for the treatment of EPP. Afamelanotide provides reduction in photosensitivity, but is not designed to reduce PPIX production and is associated with side effects, such as nausea, hyperpigmentation and a darkening of or increase in melanocytic nevi. In a pivotal trial, afamelanotide increased the median number of pain free hours in daytime (10am to 6pm) over 180 days from 40.5 hours in a placebo group to 64.1 hours in the treatment group. Another melanocortin 1 receptor agonist, dersimelagon, which is orally administered, is currently in Phase 3 development by a third party. Overall, there remains a significant unmet need despite the use of melanocortin 1 receptor agonists, as they provide incomplete resolution of photosensitivity and more importantly, are not designed to reduce the production of protoporphyrins or address hepatobiliary complications, such as gallstones and progressive liver disease.</w:t>
      </w:r>
    </w:p>
    <w:p>
      <w:pPr>
        <w:spacing w:after="0" w:line="8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Patients with EP who have progressive liver damage are managed through periodic monitoring, and in cases of liver failure, transplantation is required. While bone marrow transplantation has been used to cure EPs, it is associated with high rates of morbidity and mortality. Therefore, this procedure is usually considered only for younger patients after a liver transplant, for older patients with recurrent disease affecting the liver allograft, or for patients with progressive liver disease.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Our Solution: Bitopertin, an Oral, Selective GlyT1 Inhibitor</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121212"/>
        </w:rPr>
        <w:t>Bitopertin is designed to be an oral, selective inhibitor of GlyT1, a key membrane transporter required to supply developing red blood cells with sufficient glycine to support erythropoiesis. By limiting glycine uptake at the first step in heme biosynthesis in newly forming red blood cells, bitopertin is designed to reduce the activity of this pathway, as shown below, and therefore has the potential to treat a range of hematologic disorders associated with the biosynthesis of heme and hemoglobin.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21212"/>
        </w:rPr>
        <w:t>Bitopertin May Treat a Range of Hematologic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189230</wp:posOffset>
            </wp:positionV>
            <wp:extent cx="5362575" cy="129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5362575" cy="129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28" w:lineRule="exact"/>
        <w:rPr>
          <w:sz w:val="20"/>
          <w:szCs w:val="20"/>
          <w:color w:val="auto"/>
        </w:rPr>
      </w:pPr>
    </w:p>
    <w:p>
      <w:pPr>
        <w:jc w:val="both"/>
        <w:ind w:right="540" w:firstLine="490"/>
        <w:spacing w:after="0" w:line="244" w:lineRule="auto"/>
        <w:rPr>
          <w:sz w:val="20"/>
          <w:szCs w:val="20"/>
          <w:color w:val="auto"/>
        </w:rPr>
      </w:pPr>
      <w:r>
        <w:rPr>
          <w:rFonts w:ascii="Times New Roman" w:cs="Times New Roman" w:eastAsia="Times New Roman" w:hAnsi="Times New Roman"/>
          <w:sz w:val="20"/>
          <w:szCs w:val="20"/>
          <w:color w:val="121212"/>
        </w:rPr>
        <w:t>We are initially focused on the ability of bitopertin to suppress the accumulation of PPIX, as shown below, based on preclinical data from cellular and mouse models of disease. Based on its mechanism of action, we believe bitopertin has the potential to be a disease-modifying treatment for EPP and XLP.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113665</wp:posOffset>
            </wp:positionV>
            <wp:extent cx="3105150" cy="2085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3105150" cy="208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28"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121212"/>
        </w:rPr>
        <w:t>EPP and XLP are diseases marked by severe photosensitivity and damage to the hepatobiliary system caused by the accumulation of PPIX. PPIX has been well-characterized to absorb light and induce inflammation and tissue damage, manifesting clinically as painful phototoxic reactions. Lower levels of PPIX are associated with lower disease severity. Epidemiologic data correlate increasing PPIX concentrations with decreased light tolerance, and interventions that reduce PPIX in patients correlate directly with increased light tolerance. Lower PPIX levels (by roughly 30-50%) increased light tolerance in patients. 25% of patients with lower PPIX levels experienced symptoms versus 75-100% of patients with medium to high PPIX levels under</w:t>
      </w:r>
    </w:p>
    <w:p>
      <w:pPr>
        <w:sectPr>
          <w:pgSz w:w="12240" w:h="15840" w:orient="portrait"/>
          <w:cols w:equalWidth="0" w:num="1">
            <w:col w:w="10420"/>
          </w:cols>
          <w:pgMar w:left="900" w:top="930" w:right="920" w:bottom="175"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21212"/>
        </w:rPr>
        <w:t>8</w:t>
      </w:r>
    </w:p>
    <w:p>
      <w:pPr>
        <w:sectPr>
          <w:pgSz w:w="12240" w:h="15840" w:orient="portrait"/>
          <w:cols w:equalWidth="0" w:num="1">
            <w:col w:w="10420"/>
          </w:cols>
          <w:pgMar w:left="900" w:top="930" w:right="920" w:bottom="175" w:gutter="0" w:footer="0" w:header="0"/>
          <w:type w:val="continuous"/>
        </w:sectPr>
      </w:pPr>
    </w:p>
    <w:bookmarkStart w:id="18" w:name="page19"/>
    <w:bookmarkEnd w:id="18"/>
    <w:p>
      <w:pPr>
        <w:spacing w:after="0" w:line="243" w:lineRule="auto"/>
        <w:rPr>
          <w:sz w:val="20"/>
          <w:szCs w:val="20"/>
          <w:color w:val="auto"/>
        </w:rPr>
      </w:pPr>
      <w:r>
        <w:rPr>
          <w:rFonts w:ascii="Times New Roman" w:cs="Times New Roman" w:eastAsia="Times New Roman" w:hAnsi="Times New Roman"/>
          <w:sz w:val="20"/>
          <w:szCs w:val="20"/>
          <w:color w:val="121212"/>
        </w:rPr>
        <w:t>controlled light exposure. During pregnancy, women with EPP experience temporary disease remissions that increase sunlight tolerance and coincide with a reduction in PPIX levels. For example, in a study conducted by a third-party, pregnant women were observed to have a median reduction of 53% in PPIX levels during pregnancy, resulting in a significant reduction in their EPP symptoms. Disease symptoms return after delivery when PPIX levels revert to pre-pregnancy levels, leading to the hypothesis that the fetus may utilize plasma PPIX as a substrate for its own escalating heme biosynthesis requirements, thus reducing PPIX levels in the mother’s bloodstream. In a third-party study of extracorporeal photoinactivation, a process that reduces circulating PPIX levels, symptoms were markedly improved after reduction in blood PPIX concentrations. In this study, blood was removed from the body and illuminated with controlled wavelength light to inactivate PPIX, and the blood in which the PPIX was inactivated was re-infused. This procedure resulted in PPIX reductions of approximately 30% and light tolerance was temporarily increased 14-fold, a level of improvement that is expected to permit near-normal patient lifestyle. However, given the technical complexities associated with this procedure, it has not been widely adopted as a therapeutic option in patients.</w:t>
      </w:r>
    </w:p>
    <w:p>
      <w:pPr>
        <w:spacing w:after="0" w:line="8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Bitopertin has been evaluated in an extensive clinical program focused on neurological disease conducted by Roche in over 4,000 individuals, which demonstrated the activity of bitopertin as a GlyT1 inhibitor and suppressor of heme biosynthesis. We have also conducted preclinical studies in cellular models of EPP and animal models of EPP and XLP, which showed that bitopertin significantly decreased PPIX by 45 and 73%, respectively, which is more than the threshold 30% reduction that has been associated with marked symptom improvement in the studies described above. In a separate study, we also demonstrated that bitopertin reduced liver fibrosis in an animal model of EPP. Based on the aggregate of these results, we have initiated a clinical program to study bitopertin in EPP and XLP. In July 2022, we initiated BEACON, a Phase 2 open-label, parallel-dose clinical trial of bitopertin in EPP and XLP patients that is being conducted at sites in Australia. Interim data from BEACON was presented in 2023 and showed dose dependent reductions in PPIX of approximately 40% across the 20 mg and 60 mg dose groups. This PPIX reduction was associated with increases in light tolerance, as measured by participant diary light exposure data, and improvements in quality of life, as assessed by patient reported outcomes. Separately, in July 2022, we received IND clearance from the FDA and initiated AURORA in October 2022. AURORA is a Phase 2, randomized, double-blind, placebo-controlled clinical trial of bitopertin in EPP patients that is being conducted at sites in the United States. Topline data from AURORA is expected by March or April 2024. We also plan to explore the potential of bitopertin to treat other hematologic diseases, and have entered into a collaborative research and development agreement with the NIH to initiate an NIH-sponsored clinical trial of bitopertin in DBA. The trial initiated in July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Clinical Data</w:t>
      </w:r>
    </w:p>
    <w:p>
      <w:pPr>
        <w:spacing w:after="0" w:line="1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21212"/>
        </w:rPr>
        <w:t>In May 2021, we licensed exclusive worldwide rights to develop and commercialize bitopertin from Roche. Roche had previously developed bitopertin as a potential therapy for certain symptoms of schizophrenia and obsessive-compulsive disorder, but chose to discontinue the program due to failure to meet primary endpoints in Phase 3 trials for those indications after completing over 30 clinical trials in more than 4,000 individuals. Roche conducted a pilot study for the treatment of anemia in 12 patients with beta-thalassemia, a population with a normal heme biosynthesis pathway; this trial did not show consistent increases in hemoglobin at the doses tested. Despite the observed lack of efficacy, the clinical program established a well-defined and generally well-tolerated profile for bitopertin. Importantly, these trials confirmed that bitopertin inhibits glycine uptake in red blood cells and demonstrated the role of GlyT1 inhibition in heme biosynthesis during red blood cell production. This was observed in multiple clinical trials by a mild, dose-dependent decrease in heme biosynthesis, which manifested as a decrease in hemoglobin of approximately 0.5 to 2 g/dL that stabilized after approximately 16 weeks, the approximate lifespan of a red blood cell.</w:t>
      </w:r>
    </w:p>
    <w:p>
      <w:pPr>
        <w:spacing w:after="0" w:line="89"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121212"/>
        </w:rPr>
        <w:t>For example, a single dose clinical trial in healthy volunteers evaluating bitopertin at doses ranging from 3 mg to 80 mg administered once-daily in 24 individuals demonstrated dose-dependent inhibition of erythrocyte glycine uptake levels, as shown below.</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9</w:t>
      </w:r>
    </w:p>
    <w:p>
      <w:pPr>
        <w:sectPr>
          <w:pgSz w:w="12240" w:h="15840" w:orient="portrait"/>
          <w:cols w:equalWidth="0" w:num="1">
            <w:col w:w="10440"/>
          </w:cols>
          <w:pgMar w:left="900" w:top="930" w:right="900" w:bottom="175"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20"/>
          <w:szCs w:val="20"/>
          <w:b w:val="1"/>
          <w:bCs w:val="1"/>
          <w:color w:val="121212"/>
        </w:rPr>
        <w:t>Bitopertin Inhibited Erythrocyte Glycine Uptake in Humans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195580</wp:posOffset>
            </wp:positionV>
            <wp:extent cx="5562600" cy="2095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5562600"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21212"/>
        </w:rPr>
        <w:t>In multiple Phase 3 clinical trials, Roche demonstrated that in patients with schizophrenia who are otherwise hematologically normal, inhibition of glycine uptake resulted in a reduction in hemoglobin production. Patients were administered placebo or bitopertin at 10 mg/day or 20 mg/day dose levels. The effect on hemoglobin was dose-dependent, with patients receiving 10 mg/day and 20 mg/day of bitopertin experiencing a mean decrease in hemoglobin at 52 weeks of approximately 0.5 g/dL and approximately 1.0 g/dL, respectively. The effect of bitopertin on hemoglobin reached a plateau at approximately week 26 and effects were generally stable for the remainder of the 52-week trial.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Clinical Development Plan</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21212"/>
        </w:rPr>
        <w:t>We believe that the findings from our preclinical studies and the clinical trials conducted by Roche demonstrate that bitopertin has the potential to act as a durable, and well-tolerated inhibitor of heme biosynthesis in humans. Importantly, we believe these studies support the potential for bitopertin to reduce PPIX to a degree that has, in third-party studies, been associated with marked symptom improvement in patients with EPP and XLP. Accordingly, we have initiated a clinical program to study bitopertin in EPP and XLP. In July 2022, we initiated BEACON, a Phase 2 open-label, parallel-dose clinical trial of bitopertin in EPP and XLP patients that is being conducted at sites in Australia. Interim data was presented in 2023 and additional data will be presented in 2024. Separately, in October 2022 we initiated AURORA, a Phase 2, randomized, double-blind, placebo-controlled clinical trial of bitopertin in EPP patients being conducted at sites in the United States. We filed an IND for this study with the FDA in April 2022 and were on clinical hold until the study design was finalized with the FDA. In July 2022, we received IND clearance from the FDA to initiate the study and the trial began in October 2022. Topline data from AURORA is expected March or April 2024. We also plan to explore the potential of bitopertin to treat other hematologic diseases, and have entered into a collaborative research and development agreement with the NIH to initiate an NIH-sponsored clinical trial of bitopertin in DBA. The FDA authorized the clinical trial to proceed and the trial began in July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Phase 2 Clinical Development Program in Patients with EPP and XLP</w:t>
      </w:r>
    </w:p>
    <w:p>
      <w:pPr>
        <w:spacing w:after="0" w:line="11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121212"/>
        </w:rPr>
        <w:t>As part of our clinical development program, we have initiated a clinical development program that consists of two separate Phase 2 clinical trials of bitopertin in patients with EPP and XLP.</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In July 2022, we initiated BEACON, a Phase 2 clinical trial of bitopertin in EPP and XLP patients that is being conducted at sites in Australia. The study is a randomized, open- label, parallel-dose clinical trial designed to evaluate the safety, tolerability, and efficacy of bitopertin. It was designed to enroll approximately 20 adult patients with EPP or XLP at sites in Australia, and in 2023, upon completion of enrollment for adults, the study was expanded to include adolescents. The study will primarily assess changes in levels of PPIX as well as the PK profile, safety and tolerability of bitopertin in EPP or XLP patients. It will also include measures of photosensitivity, daylight tolerance, pain and exploratory biomarkers of hepatobiliary disease. Patients will receive orally-administered bitopertin for 24 weeks at doses of either 20 mg once-daily or 60 mg once-daily. These dose levels have a well-understood profile and similar dosage strengths have been shown to provide substantial inhibition of erythroid glycine uptake in the clinical trials conducted by Roche. Upon completion of the 24-week treatment period, patients may enroll in an open label extension study. The trial design is summarized in the figure below.</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10</w:t>
      </w:r>
    </w:p>
    <w:p>
      <w:pPr>
        <w:sectPr>
          <w:pgSz w:w="12240" w:h="15840" w:orient="portrait"/>
          <w:cols w:equalWidth="0" w:num="1">
            <w:col w:w="10440"/>
          </w:cols>
          <w:pgMar w:left="900" w:top="926" w:right="900" w:bottom="175"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color w:val="121212"/>
        </w:rPr>
        <w:t>BEACON Trial Design: Open-Label, Phase 2 Clinical Trial of Bitopertin in Patients with EPP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21212"/>
        </w:rPr>
        <w:t>or XLP (N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121285</wp:posOffset>
            </wp:positionV>
            <wp:extent cx="5943600" cy="1647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5943600" cy="164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Interim data from BEACON were presented at the European Hematology Association annual meeting in June 2023 and at the American Society of Hematology annual meeting in December 2023. As of the December 2023 presentation (with a data cutoff of September 18, 2023 for PPIX data and October 20, 2023 for all other endpoints), all 22 adults planned for enrollment had completed at least 6 weeks on study, with 14 having completed 24 weeks of dosing. The average age of participants was 44 years, with 64% being female. Bitopertin significantly reduced whole blood metal-free PPIX by &gt;40% in the overall study population, with greater reductions in the 60 mg group than the 20 mg group. Most of the PPIX reduction occurred in the first 6 weeks of treatment. Overall, there was a 92% reduction in the incidence of patient-reported full phototoxic reactions compared to baseline. The proportion of symptom-free days improved from 33% at baseline to 78% while taking bitopertin. Sunlight tolerance improved in a series of sunlight challenges that participants self-administered weekly, according to the protocol. People with EPP experience prodromes, or early warning symptoms, of an impending full phototoxic reaction. These prodromes are reversible when sunlight exposure is discontinued, and the time until a prodrome starts is an indicator of light tolerance. Combining data from all participants showed a &gt;3-fold improvement in average time to prodrome, as compared to baseline (p&lt;0.001). The proportion of participants who conducted a sunlight challenge that did not elicit a prodrome increased from 7% at baseline to 54% while taking bitopertin. Of the participants that completed the treatment period (n=14), nearly all participants who completed the quality of life responses (n=13) reported improvements in quality of life measures, with 12 of 13 reporting that their EPP was “much better” or “a little better”, 12 of 13 reporting that their EPP was “not at all” or “mild” in severity, and 11 of 13 reporting that EPP impacted their quality of life in the last 7 days “not at all” or “a little bit”. Safety analyses showed no serious adverse events, stable hemoglobin levels, and no anemia adverse events reported. There was one discontinuation due to a Grade 3 headache. Overall, 32% of participants reported dizziness, 23% lightheadedness, 18% headache, and 14% nausea.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1395730</wp:posOffset>
            </wp:positionH>
            <wp:positionV relativeFrom="paragraph">
              <wp:posOffset>116205</wp:posOffset>
            </wp:positionV>
            <wp:extent cx="3838575" cy="2133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3838575" cy="2133600"/>
                    </a:xfrm>
                    <a:prstGeom prst="rect">
                      <a:avLst/>
                    </a:prstGeom>
                    <a:noFill/>
                  </pic:spPr>
                </pic:pic>
              </a:graphicData>
            </a:graphic>
          </wp:anchor>
        </w:drawing>
      </w:r>
    </w:p>
    <w:p>
      <w:pPr>
        <w:sectPr>
          <w:pgSz w:w="12240" w:h="15840" w:orient="portrait"/>
          <w:cols w:equalWidth="0" w:num="1">
            <w:col w:w="10420"/>
          </w:cols>
          <w:pgMar w:left="900" w:top="926"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11</w:t>
      </w:r>
    </w:p>
    <w:p>
      <w:pPr>
        <w:sectPr>
          <w:pgSz w:w="12240" w:h="15840" w:orient="portrait"/>
          <w:cols w:equalWidth="0" w:num="1">
            <w:col w:w="10420"/>
          </w:cols>
          <w:pgMar w:left="900" w:top="926" w:right="920" w:bottom="175"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2238375</wp:posOffset>
            </wp:positionH>
            <wp:positionV relativeFrom="page">
              <wp:posOffset>603250</wp:posOffset>
            </wp:positionV>
            <wp:extent cx="3295650" cy="179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295650" cy="179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Separately, in October 2022 we initiated AURORA, a Phase 2, randomized, double-blind, placebo-controlled, parallel dosing trial in 75 adult patients with EPP. We enrolled patients into a placebo group, a 20 mg/day dose group and a 60 mg/day dose group, with bitopertin delivered as tablets taken orally once per day for a period of 17 weeks. These dose levels have a well-understood profile and similar dosage strengths have been shown to provide substantial inhibition of erythroid glycine uptake based on the clinical trials conducted by Roche. This trial will include assessments of blood PPIX levels and patient photosensitivity. Additional study measures will include time to prodromal symptom, hepatobiliary markers, quality of life, safety and tolerability, among others. The FDA has previously approved afamelanotide for the treatment of photosensitivity in EPP patients on the basis of a clinical endpoint measuring a change in pain-free time spent in sunlight in treated patients, relative to patients treated with placebo. Topline data is expected by March or April 2024. The trial design is summarized in the figure below.</w:t>
      </w:r>
    </w:p>
    <w:p>
      <w:pPr>
        <w:spacing w:after="0" w:line="19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0"/>
          <w:szCs w:val="20"/>
          <w:b w:val="1"/>
          <w:bCs w:val="1"/>
          <w:color w:val="121212"/>
        </w:rPr>
        <w:t>AURORA Trial Design: Randomized, Double-Blind, Placebo-Controlled Phase 2 Clinical Trial of Bitopertin in Patients with EPP (N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85725</wp:posOffset>
            </wp:positionV>
            <wp:extent cx="5162550" cy="1514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5162550" cy="151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Additional Safety Data from Selected Clinical Trials Conducted by Roche</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Based on the comprehensive data package from Roche’s healthy volunteer trials, we anticipate that bitopertin will have an acceptable tolerability profile. The identified risks established by Roche across the development program are (percentage bitopertin treated vs. percentage placebo treated): headache (9.8% vs. 6.7%), somnolence (5.2% vs. 3.7%), and dizziness (4.2% vs. 3.6%). The results of single dose bitopertin clinical trials in healthy volunteers at doses ranging from 3 mg to 240 mg (n=290) and multiple dose trials at doses ranging from 10 mg to 180 mg daily for 10 to 120 days (n&gt; 360) demonstrated a comprehensive tolerability profile. In one multiple ascending dose trial, reversible blurred vision was observed in 5 subjects (20%) at or above the 80 mg/day dose level. In a four-month pharmacodynamics study, 11.8% of subjects receiving an active dose noted dysphoria/low mood (mostly at 30 mg/day), as compared to 6.3% of placebo, and dermatological adverse events on hands and feet were observed in 15.7% of subjects (mostly at 60 mg/day). In Phase 3 studies, no association with bitopertin was found for dermatological adverse events or adverse events of blurred vision or low mood. The amount of hemoglobin per red blood cell or per reticulocyte decreased in a dose-dependent manner. No hematologic parameter reached a level at which we would expect clinical signs or symptoms. Roche’s Phase 3 program in schizophrenia consisted of six Phase 3 clinical trials (total n=2,438) of 5 mg, 10 mg, and 20 mg doses of bitopertin for up to 52 weeks, followed by extension phases. In these trials, bitopertin treatment was not associated with any significant tolerability issues. Most of the adverse events were considered mild or moderate in severity in all trials.</w:t>
      </w:r>
    </w:p>
    <w:p>
      <w:pPr>
        <w:sectPr>
          <w:pgSz w:w="12240" w:h="15840" w:orient="portrait"/>
          <w:cols w:equalWidth="0" w:num="1">
            <w:col w:w="10440"/>
          </w:cols>
          <w:pgMar w:left="900" w:top="144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12</w:t>
      </w:r>
    </w:p>
    <w:p>
      <w:pPr>
        <w:sectPr>
          <w:pgSz w:w="12240" w:h="15840" w:orient="portrait"/>
          <w:cols w:equalWidth="0" w:num="1">
            <w:col w:w="10440"/>
          </w:cols>
          <w:pgMar w:left="900" w:top="1440" w:right="900" w:bottom="17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i w:val="1"/>
          <w:iCs w:val="1"/>
          <w:color w:val="121212"/>
        </w:rPr>
        <w:t>Additional Preclinical Safety Data from Studies Conducted by Roche</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There is also comprehensive nonclinical safety data for bitopertin supporting further development in the EPP and other hematologic diseases. The main targets for bitopertin toxicity in repeat-dose toxicity studies were identified as the CNS and the intended PD effect of altered erythropoiesis. No primary histopathological findings attributable to bitopertin were noted in any organ. The CNS-related effects following repeated treatment with bitopertin were generally mild and reversible upon cessation of treatment. The incidence, severity, and onset of the CNS-related effects were dose-dependent, and histopathology evaluation did not show any morphological lesions. The repeat-dose toxicity studies were performed in rats for up to 26 weeks and in non-human primates, or NHPs, for up to 52 weeks. Two-year carcinogenicity studies showed that bitopertin was not carcinogenic in mice or rats. In juvenile toxicity studies conducted in rats, treatment was generally well-tolerated and no effects specific to the juvenile rat were identified on development or behavior at any dose level tested.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Bitopertin in Additional Indications: Diamond-Blackfan Anemia and Macrocytic Anemias</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We believe that bitopertin may be therapeutically beneficial for the treatment of DBA and other anemias that are characterized as macrocytic anemias. DBA is a genetic condition marked by defective erythropoiesis that is usually caused by genetic mutations in genes coding for ribosomal proteins. Clinically, DBA is a lifelong anemia that presents in infancy and has a 25% mortality rate by age 50. Standard therapy includes chronic steroid treatment and/or regular blood transfusions, and hematopoietic stem cell transplantation is the only known cure for DBA. The ribosomal defects in patients with DBA are thought to cause a build-up of free heme in newly forming red blood cells, and this free heme exerts a toxic effect, resulting in poor red blood cell formation and anemia. Inhibitors of heme biosynthesis have shown marked effects in improving red blood cell production in third-party cellular and animal models of DBA. Accordingly, we anticipate that bitopertin may be able to provide relief from anemia and transfusion in patients with DBA by restricting the accumulation of toxic, free heme. Other anemias characterized by ribosomal defects exhibit a similar phenotype and are collectively referred to as macrocytic anemias. An example is the form of MDS characterized by a deletion in the 5q chromosomal locus, or Del(5q) MDS. Heme biosynthesis inhibitors have shown benefits on red blood cell formation in patient-derived cells from patients with Del(5q) MDS, and therefore we expect bitopertin may be therapeutically beneficial in these related conditions. We are continuing to explore the potential of bitopertin in these additional indications in preclinical studies. We have entered into a collaborative research and development agreement with the NIH to conduct an NIH-sponsored clinical trial of bitopertin in DBA. The FDA authorized the clinical trial to proceed and the trial began in July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Our Iron Homeostasis Portfolio</w:t>
      </w:r>
    </w:p>
    <w:p>
      <w:pPr>
        <w:spacing w:after="0" w:line="12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121212"/>
        </w:rPr>
        <w:t>In addition to our heme biosynthesis therapeutic approach, we are developing a portfolio of product candidates focused on the modulation of the hepcidin pathway to normalize iron homeostasis. Iron is an essential element that is required for erythropoiesis as well as other important biological functions. Nearly 70% of iron in the human body resides in red blood cells, where it is a fundamental component of hemoglobin, the protein that enables red blood cells to carry and transport oxygen. Although iron is critical to an array of biological functions, excessive levels can be toxic. Consequently, the management of iron levels in the body is a critical and carefully controlled process. Hepcidin is a potent hormone produced in the liver that serves as the primary regulator of iron homeostasis and plays a central role in controlling how iron is absorbed, utilized, stored, and recycled systemically. If this process becomes dysregulated, a wide range of serious, debilitating, and potentially fatal conditions can arise.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Hepcidin: The Master Regulator of Iron Homeostasis</w:t>
      </w:r>
    </w:p>
    <w:p>
      <w:pPr>
        <w:spacing w:after="0" w:line="120"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121212"/>
        </w:rPr>
        <w:t>Iron typically enters the body when it is absorbed in the intestine from dietary intake. As it enters circulation, iron is bound to carrier proteins. Iron is a highly reactive metal that can cause oxidative stress and tissue damage in an unbound state. Iron is utilized in target tissues, such as the bone marrow, to support erythropoiesis, and the remaining surplus is directed to specific storage tissues, such as the spleen, where it can be sequestered in specialized macrophages and redeployed when needed. This process is governed by hepcidin, which serves as a gatekeeper in tissues that are a source of iron, both blocking absorption of dietary iron from the intestine and preventing the release of stored iron from the spleen, as shown in the figure below. The body exerts control and responds to demands for iron by increasing or reducing the production of hepcidin, which leads to a reduction or increase in iron availability, respectively.</w:t>
      </w:r>
    </w:p>
    <w:p>
      <w:pPr>
        <w:sectPr>
          <w:pgSz w:w="12240" w:h="15840" w:orient="portrait"/>
          <w:cols w:equalWidth="0" w:num="1">
            <w:col w:w="10440"/>
          </w:cols>
          <w:pgMar w:left="900" w:top="932"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13</w:t>
      </w:r>
    </w:p>
    <w:p>
      <w:pPr>
        <w:sectPr>
          <w:pgSz w:w="12240" w:h="15840" w:orient="portrait"/>
          <w:cols w:equalWidth="0" w:num="1">
            <w:col w:w="10440"/>
          </w:cols>
          <w:pgMar w:left="900" w:top="932" w:right="900" w:bottom="175"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color w:val="121212"/>
        </w:rPr>
        <w:t>Hepcidin Plays a Central Role in Iron Metabolism and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189230</wp:posOffset>
            </wp:positionV>
            <wp:extent cx="5648325" cy="2171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564832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Hepcidin is a Therapeutic Target for Diseases of Iron Metabolism</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Because iron is critical to so many biological functions, particularly in red blood cells, disruptions in its homeostasis, often due to the dysregulated production of hepcidin, can result in a wide range of hematologic diseases, as shown in the figure below. These include diseases that can cause abnormally high production of hepcidin, which deprives developing red blood cells of iron and causes anemia, a frequent complication of cancer, autoimmune conditions, and other inflammatory diseases. Conversely, in certain diseases with abnormally low production of hepcidin, increasing hepcidin and restricting iron availability are expected to provide a therapeutic benefit. For example, in PV, iron restriction through a hepcidin mechanism has been demonstrated to control pathologic production of red blood cells. In other diseases, such as hereditary hemochromatosis, or HH, beta-thalassemia, and MDS, iron levels are pathologically high due to inadequate hepcidin production, and agents that increase hepcidin could be beneficial.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Dysregulated Hepcidin Drives a Wide Range of Hematologic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189230</wp:posOffset>
            </wp:positionV>
            <wp:extent cx="5648325" cy="1752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5648325" cy="175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right="60" w:firstLine="490"/>
        <w:spacing w:after="0" w:line="270" w:lineRule="auto"/>
        <w:rPr>
          <w:sz w:val="20"/>
          <w:szCs w:val="20"/>
          <w:color w:val="auto"/>
        </w:rPr>
      </w:pPr>
      <w:r>
        <w:rPr>
          <w:rFonts w:ascii="Times New Roman" w:cs="Times New Roman" w:eastAsia="Times New Roman" w:hAnsi="Times New Roman"/>
          <w:sz w:val="19"/>
          <w:szCs w:val="19"/>
          <w:color w:val="121212"/>
        </w:rPr>
        <w:t>We believe that modulating the production of hepcidin to correct pathologic alterations in iron metabolism has the potential to be a powerful therapeutic strategy to address a wide range of diseases. We are leveraging two approaches that are designed to suppress or induce hepcidin production in order to increase or decrease serum iron levels, respectively. Our product candidates target novel pathways whose biological functions have been validated by human genetics and are specific to iron modulation.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Hepcidin Suppression</w:t>
      </w:r>
    </w:p>
    <w:p>
      <w:pPr>
        <w:spacing w:after="0" w:line="118" w:lineRule="exact"/>
        <w:rPr>
          <w:sz w:val="20"/>
          <w:szCs w:val="20"/>
          <w:color w:val="auto"/>
        </w:rPr>
      </w:pPr>
    </w:p>
    <w:p>
      <w:pPr>
        <w:ind w:right="160" w:firstLine="490"/>
        <w:spacing w:after="0" w:line="265" w:lineRule="auto"/>
        <w:rPr>
          <w:sz w:val="20"/>
          <w:szCs w:val="20"/>
          <w:color w:val="auto"/>
        </w:rPr>
      </w:pPr>
      <w:r>
        <w:rPr>
          <w:rFonts w:ascii="Times New Roman" w:cs="Times New Roman" w:eastAsia="Times New Roman" w:hAnsi="Times New Roman"/>
          <w:sz w:val="19"/>
          <w:szCs w:val="19"/>
          <w:color w:val="121212"/>
        </w:rPr>
        <w:t>We are developing a portfolio of product candidates designed to lower hepcidin and restore serum iron levels to address anemia of inflammatory diseases. Our lead product candidate, DISC-0974, is a monoclonal antibody, which we in-licensed from AbbVie, that is designed to inhibit HJV, a critical target for hepcidin production. We selected this target because the effects of inhibiting HJV, namely decreased hepcidin and increased iron availability, have been genetically demonstrated in both animal knockout studies and in patients with juvenile hemochromatosis who lack fully functional genes encoding HJV. We have</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14</w:t>
      </w:r>
    </w:p>
    <w:p>
      <w:pPr>
        <w:sectPr>
          <w:pgSz w:w="12240" w:h="15840" w:orient="portrait"/>
          <w:cols w:equalWidth="0" w:num="1">
            <w:col w:w="10440"/>
          </w:cols>
          <w:pgMar w:left="900" w:top="926" w:right="900" w:bottom="175" w:gutter="0" w:footer="0" w:header="0"/>
          <w:type w:val="continuous"/>
        </w:sectPr>
      </w:pPr>
    </w:p>
    <w:bookmarkStart w:id="24" w:name="page25"/>
    <w:bookmarkEnd w:id="24"/>
    <w:p>
      <w:pPr>
        <w:ind w:right="840"/>
        <w:spacing w:after="0" w:line="277" w:lineRule="auto"/>
        <w:rPr>
          <w:sz w:val="20"/>
          <w:szCs w:val="20"/>
          <w:color w:val="auto"/>
        </w:rPr>
      </w:pPr>
      <w:r>
        <w:rPr>
          <w:rFonts w:ascii="Times New Roman" w:cs="Times New Roman" w:eastAsia="Times New Roman" w:hAnsi="Times New Roman"/>
          <w:sz w:val="20"/>
          <w:szCs w:val="20"/>
          <w:color w:val="121212"/>
        </w:rPr>
        <w:t>observed the effects of DISC-0974 on hepcidin and serum iron levels in preclinical studies, and have completed a single ascending dose Phase 1 clinical trial to evaluate these effects in healthy volunteers.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Hepcidin Induction</w:t>
      </w:r>
    </w:p>
    <w:p>
      <w:pPr>
        <w:spacing w:after="0" w:line="118"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121212"/>
        </w:rPr>
        <w:t>We are also developing a portfolio of product candidates designed to increase hepcidin and decrease serum iron levels, an approach that has the potential to address a range of diseases where restricting iron would be beneficial, such as excessive red blood cell production in PV and diseases of iron overload. Our lead program, DISC-3405 is a monoclonal antibody designed to inhibit TMPRSS6, a serine protease that normally serves to limit hepcidin production. By inhibiting TMPRSS6, our compounds have the potential to increase production of hepcidin and, in turn, restrict iron availability. We selected this target based on the genetic confirmation of the effects of inhibiting TMPRSS6 in both animal knockout studies and in patients with iron-refractory iron deficiency anemia who lack fully functional genes encoding TMPRSS6. We in-licensed DISC-3405 from Mabwell and an IND for DISC-3405 has been accepted by the FDA. We initiated a Phase 1 clinical trial of DISC-3405 in healthy volunteers in October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Our Lead Hepcidin Suppression Program: DISC-0974 For the Treatment of Anemia of Inflammatory Diseases</w:t>
      </w:r>
    </w:p>
    <w:p>
      <w:pPr>
        <w:spacing w:after="0" w:line="124"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121212"/>
        </w:rPr>
        <w:t>We are developing DISC-0974, our lead antibody product candidate targeting hepcidin suppression, for the treatment of anemia resulting from iron restriction that typically occurs in the setting of inflammatory diseases. DISC-0974 is designed to be a selective inhibitor of HJV, a bone morphogenetic protein, or BMP, co-receptor. Inflammatory signals, potentiated by BMP signaling, are an underlying cause of elevated levels of hepcidin, leading to low iron bioavailability and subsequent anemia in a broad range of diseases. We believe that abnormally high levels of hepcidin are an important driver of anemia associated with inflammatory diseases and that suppression of hepcidin with DISC-0974 has the potential to provide meaningful benefit in these patients. In July 2021, we initiated a single ascending dose Phase 1 clinical trial of DISC-0974 in healthy volunteers. We have completed our Phase 1 clinical trial. Data from the Phase 1 clinical trial showed an acceptable tolerability profile and evidence of target engagement and iron mobilization and augmented erythropoiesis. We initiated a Phase 1b/2 clinical trial in patients with anemia of MF in June 2022 and initiated a separate Phase 1b/2 placebo controlled, single/multiple ascending dose clinical trial in patients with non-dialysis dependent CKD and anemia in February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Overview of Anemia Associated with Inflammatory Diseases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Anemia of inflammation is a hallmark of a wide range of autoimmune and chronic diseases, including MF, CKD, rheumatoid arthritis, inflammatory bowel disease, cancer, obesity, chronic obstructive pulmonary disease, and cardiovascular disease. Anemia occurs frequently in these diseases and for example, affects approximately 87% of myelofibrosis, 17-50% of chronic kidney disease, 25-35% of inflammatory bowel disease, 35-80% of cancer, and 50% of lupus patients. It is a common cause of chronic anemia and has been estimated to affect over one billion individuals worldwide. This type of anemia is caused by the sustained inflammation associated with these diseases, which produces a host of pro-inflammatory cytokines that impair erythropoiesis. Importantly, these cytokines have an impact on iron homeostasis by inducing the production of hepcidin, which in turn deprives developing erythrocytes of iron. There are currently no approved therapies designed to primarily lower hepcidin, and most patients remain anemic or untreated.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Anemia of Myelofibrosis</w:t>
      </w:r>
    </w:p>
    <w:p>
      <w:pPr>
        <w:spacing w:after="0" w:line="11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21212"/>
        </w:rPr>
        <w:t>MF is a rare, chronic blood cancer that currently affects an estimated 16,000 to 18,500 patients in the United States. It is characterized by progressive fibrosis of the bone marrow brought on by the proliferation of cytokine-producing myeloid cells, which creates a state of chronic inflammation. Severe, progressive, and treatment- resistant anemia is the primary clinical manifestation of MF, and a study in over 200 patients at the Mayo Clinic showed that hepcidin is elevated by approximately 12-fold in these patients, as shown below. Elevated hepcidin levels are correlated with disease severity, anemia, and the need for red blood cell transfusions.</w:t>
      </w:r>
    </w:p>
    <w:p>
      <w:pPr>
        <w:spacing w:after="0" w:line="8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At diagnosis, approximately 87% of patients with MF have anemia, which progressively worsens over time and ultimately renders the majority of patients dependent on chronic red blood cell transfusions. In a study conducted by the Mayo Clinic, within a year of diagnosis, 58% of patients with MF had severe anemia, defined as hemoglobin levels of less than 10 g/dL, and 46% were transfusion-dependent, meaning they required regular transfusion therapy, as shown below. Moreover, existing treatments, such as erythropoiesis-stimulating agents, or ESAs, androgens, corticosteroids, immunomodulators, and splenectomy, are generally viewed as providing minimally effective or inconsistent results, are associated with safety concerns, and do not directly target hepcidin. This is in contrast to the effects observed in a recently published study of a hepcidin-targeted agent conducted in patients with advanced, transfusion-dependent myelofibrosis. In this clinical trial, a partial reduction of hepcidin levels led to approximately 85% of patients having lower transfusion requirements, 41% of patients becoming transfusion independent, increased hemoglobin and improved markers of iron homeostasis.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15</w:t>
      </w:r>
    </w:p>
    <w:p>
      <w:pPr>
        <w:sectPr>
          <w:pgSz w:w="12240" w:h="15840" w:orient="portrait"/>
          <w:cols w:equalWidth="0" w:num="1">
            <w:col w:w="10460"/>
          </w:cols>
          <w:pgMar w:left="900" w:top="930" w:right="880" w:bottom="175" w:gutter="0" w:footer="0" w:header="0"/>
          <w:type w:val="continuous"/>
        </w:sectPr>
      </w:pPr>
    </w:p>
    <w:bookmarkStart w:id="25" w:name="page26"/>
    <w:bookmarkEnd w:id="25"/>
    <w:p>
      <w:pPr>
        <w:ind w:firstLine="490"/>
        <w:spacing w:after="0" w:line="258" w:lineRule="auto"/>
        <w:rPr>
          <w:sz w:val="20"/>
          <w:szCs w:val="20"/>
          <w:color w:val="auto"/>
        </w:rPr>
      </w:pPr>
      <w:r>
        <w:rPr>
          <w:rFonts w:ascii="Times New Roman" w:cs="Times New Roman" w:eastAsia="Times New Roman" w:hAnsi="Times New Roman"/>
          <w:sz w:val="20"/>
          <w:szCs w:val="20"/>
          <w:color w:val="121212"/>
        </w:rPr>
        <w:t>Currently, patients with MF are treated with JAK inhibitors approved to treat intermediate or high risk MF, including ruxolitinib and fedratinib, which reduce splenomegaly and other symptoms, but typically worsen anemia to the point that patients frequently discontinue treatment.</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121212"/>
        </w:rPr>
        <w:t>Elevated Hepcidin Levels in Patients with MF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1371600</wp:posOffset>
            </wp:positionH>
            <wp:positionV relativeFrom="paragraph">
              <wp:posOffset>189230</wp:posOffset>
            </wp:positionV>
            <wp:extent cx="3886200" cy="2619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388620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121212"/>
        </w:rPr>
        <w:t>Anemia of MF is Progressive and Severe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195580</wp:posOffset>
            </wp:positionV>
            <wp:extent cx="2819400" cy="2105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2819400" cy="210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Anemia of Chronic Kidney Disease</w:t>
      </w:r>
    </w:p>
    <w:p>
      <w:pPr>
        <w:spacing w:after="0" w:line="92"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21212"/>
        </w:rPr>
        <w:t>CKD is a highly prevalent disease characterized by the progressive loss of kidney function that eventually leads to kidney failure or end-stage renal disease necessitating dialysis or a kidney transplant for survival. It is caused by a constellation of underlying chronic conditions, such as diabetes, hypertension, and heart disease, that damage the kidneys over time and create a chronically inflamed state. CKD is widespread and is estimated to affect nearly 700 million patients worldwide. While it is most common in developed countries, CKD cases are growing rapidly in populous, emerging markets, such as China and India. In the U.S. alone, there are an estimated 39 million patients with CKD, the vast majority of which have not initiated dialysis.</w:t>
      </w:r>
    </w:p>
    <w:p>
      <w:pPr>
        <w:spacing w:after="0" w:line="8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21212"/>
        </w:rPr>
        <w:t>Anemia is a hallmark of CKD and both worsens and becomes increasingly common as kidney function deteriorates. It is associated with increased risk of hospitalization, cardiovascular complications, and death, and frequently causes significant fatigue, cognitive dysfunction, and declining quality of life. The prevalence of anemia in CKD varies depending on the stage of disease and ranges from approximately 17% to 50% in patients with earlier-stage CKD who do not require dialysis to nearly all patients with end-stage renal disease who are dialysis-dependent.</w:t>
      </w:r>
    </w:p>
    <w:p>
      <w:pPr>
        <w:spacing w:after="0" w:line="77" w:lineRule="exact"/>
        <w:rPr>
          <w:sz w:val="20"/>
          <w:szCs w:val="20"/>
          <w:color w:val="auto"/>
        </w:rPr>
      </w:pPr>
    </w:p>
    <w:p>
      <w:pPr>
        <w:ind w:right="320" w:firstLine="490"/>
        <w:spacing w:after="0" w:line="278" w:lineRule="auto"/>
        <w:rPr>
          <w:sz w:val="20"/>
          <w:szCs w:val="20"/>
          <w:color w:val="auto"/>
        </w:rPr>
      </w:pPr>
      <w:r>
        <w:rPr>
          <w:rFonts w:ascii="Times New Roman" w:cs="Times New Roman" w:eastAsia="Times New Roman" w:hAnsi="Times New Roman"/>
          <w:sz w:val="19"/>
          <w:szCs w:val="19"/>
          <w:color w:val="121212"/>
        </w:rPr>
        <w:t>While the underlying cause of anemia of CKD is multifactorial, among the primary molecular drivers are declining production by kidney cells of erythropoietin, or EPO, a growth factor that normally stimulates red blood cell production, and elevated hepcidin levels, which suppress the iron supply needed to support erythropoiesis. Hepcidin levels are correlated with</w:t>
      </w:r>
    </w:p>
    <w:p>
      <w:pPr>
        <w:sectPr>
          <w:pgSz w:w="12240" w:h="15840" w:orient="portrait"/>
          <w:cols w:equalWidth="0" w:num="1">
            <w:col w:w="10360"/>
          </w:cols>
          <w:pgMar w:left="900" w:top="930" w:right="980" w:bottom="175" w:gutter="0" w:footer="0" w:header="0"/>
        </w:sectPr>
      </w:pP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21212"/>
        </w:rPr>
        <w:t>16</w:t>
      </w:r>
    </w:p>
    <w:p>
      <w:pPr>
        <w:sectPr>
          <w:pgSz w:w="12240" w:h="15840" w:orient="portrait"/>
          <w:cols w:equalWidth="0" w:num="1">
            <w:col w:w="10360"/>
          </w:cols>
          <w:pgMar w:left="900" w:top="930" w:right="980" w:bottom="175" w:gutter="0" w:footer="0" w:header="0"/>
          <w:type w:val="continuous"/>
        </w:sectPr>
      </w:pPr>
    </w:p>
    <w:bookmarkStart w:id="26" w:name="page27"/>
    <w:bookmarkEnd w:id="26"/>
    <w:p>
      <w:pPr>
        <w:ind w:right="240"/>
        <w:spacing w:after="0" w:line="252" w:lineRule="auto"/>
        <w:rPr>
          <w:sz w:val="20"/>
          <w:szCs w:val="20"/>
          <w:color w:val="auto"/>
        </w:rPr>
      </w:pPr>
      <w:r>
        <w:rPr>
          <w:rFonts w:ascii="Times New Roman" w:cs="Times New Roman" w:eastAsia="Times New Roman" w:hAnsi="Times New Roman"/>
          <w:sz w:val="20"/>
          <w:szCs w:val="20"/>
          <w:color w:val="121212"/>
        </w:rPr>
        <w:t>CKD disease stage and severity of anemia and can be nearly 20-fold higher in patients with CKD than in healthy individuals, as shown in the graph below. Hepcidin elevation results from dysregulated overproduction induced by chronic inflammation and accumulation as the body is unable to excrete hepcidin from the kidney. This combination results in a cycle where patients become progressively more anemic and incapable of erythropoiesis as their disease progresses.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21212"/>
        </w:rPr>
        <w:t>Hepcidin Levels Are Elevated in Patients with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195580</wp:posOffset>
            </wp:positionV>
            <wp:extent cx="3590925" cy="256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3590925"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21212"/>
        </w:rPr>
        <w:t>Historically, the treatment of anemia of CKD has relied on red blood cell transfusions, but risks associated with iron overload, infection, and the development of antibodies precluding the ability to receive organ transplants have reduced the use of transfusions over time. Beginning in the 1990s, the standard of care shifted to injectable recombinant ESAs, such as EPOGEN (epoetin alfa) and Aranesp (darbepoetin alfa), which are administered to provide supraphysiological levels of erythropoietin to stimulate production of red blood cells. While hemoglobin levels were raised, several large clinical studies conducted by others revealed significant safety risks with the ESAs, including thrombosis, stroke, myocardial infarction, and death, which led to regulatory actions, including a black box warning and other label restrictions. In addition, changes in reimbursement and clinical practice guidelines have all significantly curtailed the use of ESAs for the treatment of anemia of CKD. As a result, a high proportion of patients with anemia of CKD today are either untreated or sub-optimally treated, despite being severely anemic. For example, according to the U.S. Renal Data System, the mean hemoglobin levels of patients who are about to initiate dialysis treatment is 9.3 g/dL, which is significantly below the normal range.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Our Solution: DISC-0974, an Anti-HJV Monoclonal Antibody</w:t>
      </w:r>
    </w:p>
    <w:p>
      <w:pPr>
        <w:spacing w:after="0" w:line="12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DISC -0974 is designed to be an injectable, selective monoclonal antibody targeting HJV, a co-receptor required for hepcidin expression. In multiple preclinical studies, we have demonstrated that DISC-0974 suppressed endogenous production of hepcidin and, as a consequence, increased serum iron levels. Based on this early confirmation of its mechanism, we believe DISC-0974 has the potential to treat a wide range of anemias associated with inflammatory diseases where hepcidin levels are pathologically elevated and serum iron levels for erythropoiesis are restricted. Based on data from our IND-enabling studies, we intend to develop DISC-0974 as a once-monthly, subcutaneous injection.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Hemojuvelin Has a Critical and Specific Role for Hepcidin Regulation and Homeostasis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HJV, also called repulsive guidance molecule-c, is a cell surface co-receptor that is primarily expressed in the liver and other tissues with a significant role in iron metabolism, such as skeletal muscle, and is critical for hepcidin production. Signaling through the HJV pathway involves a complex of ligands of the TGF-b superfamily (BMP2/4/6) and other receptors (ALK2/3/6) that induce SMAD phosphorylation and hepcidin (HAMP gene) expression, as shown below. Many components of the BMP signaling pathway are expressed in tissues throughout the body and participate in a range of biological processes, including bone formation and immune cell production. As a result, therapeutic efforts to control hepcidin by targeting the ALK receptors or BMP ligands may affect other tissues and result in off-target side effects. However, based on the phenotype caused by the genetic loss of function of HJV in rodents and humans, we believe that the role of HJV is restricted to iron homeostasis and hepcidin expression, and therefore, we believe that targeting HJV has the potential to result in an improved risk-benefit profile as compared to targeting other members of the BMP pathway.</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17</w:t>
      </w:r>
    </w:p>
    <w:p>
      <w:pPr>
        <w:sectPr>
          <w:pgSz w:w="12240" w:h="15840" w:orient="portrait"/>
          <w:cols w:equalWidth="0" w:num="1">
            <w:col w:w="10460"/>
          </w:cols>
          <w:pgMar w:left="900" w:top="930" w:right="880" w:bottom="175" w:gutter="0" w:footer="0" w:header="0"/>
          <w:type w:val="continuous"/>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20"/>
          <w:szCs w:val="20"/>
          <w:b w:val="1"/>
          <w:bCs w:val="1"/>
          <w:color w:val="121212"/>
        </w:rPr>
        <w:t>Hemojuvelin is a Critical and Specific Target for Hepcidin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195580</wp:posOffset>
            </wp:positionV>
            <wp:extent cx="2333625" cy="2371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2333625"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21212"/>
        </w:rPr>
        <w:t>The importance of HJV in hepcidin expression and iron homeostasis was established through genetic studies in both animals and humans. Specifically, mutations that result in a partial or complete lack of HJV result in significantly reduced hepcidin production and are phenotypically indistinguishable from loss-of-function mutations in hepcidin itself. For example, in a study in mice conducted by a third-party, a knockout of the HJV gene resulted in significantly reduced hepcidin levels in untreated animals as well as in animals challenged with LPS, an inflammatory stimulus, as compared to mice with a functional HJV gene, as shown below.</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121212"/>
        </w:rPr>
        <w:t>HJV Gene Knockout in Mice Resulted in Significantly Reduced Hepcidin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195580</wp:posOffset>
            </wp:positionV>
            <wp:extent cx="3343275" cy="2543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3343275" cy="254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21212"/>
        </w:rPr>
        <w:t>In addition, mutations in the HJV gene in humans markedly reduce hepcidin expression in the liver and result in juvenile hemochromatosis, the most severe form of diseases of iron overload. This genetic evidence suggests that the function of HJV is specific to hepcidin and iron regulation. We believe this specificity is an important attribute in selecting HJV as a target and may result in an improved therapeutic outcome by avoiding unwanted side effects that can result from systemic changes in TGF-b superfamily signaling, such as changes in bone mineral density and immune function. By targeting HJV to reduce hepcidin production, we believe that DISC-0974 has the potential to normalize serum iron levels and restore the production of red blood cells, thereby addressing a key underlying driver of anemia of inflammatory diseases.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Phase 1 Clinical Trial</w:t>
      </w:r>
    </w:p>
    <w:p>
      <w:pPr>
        <w:sectPr>
          <w:pgSz w:w="12240" w:h="15840" w:orient="portrait"/>
          <w:cols w:equalWidth="0" w:num="1">
            <w:col w:w="10380"/>
          </w:cols>
          <w:pgMar w:left="900" w:top="926" w:right="9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21212"/>
        </w:rPr>
        <w:t>18</w:t>
      </w:r>
    </w:p>
    <w:p>
      <w:pPr>
        <w:sectPr>
          <w:pgSz w:w="12240" w:h="15840" w:orient="portrait"/>
          <w:cols w:equalWidth="0" w:num="1">
            <w:col w:w="10380"/>
          </w:cols>
          <w:pgMar w:left="900" w:top="926" w:right="960" w:bottom="175" w:gutter="0" w:footer="0" w:header="0"/>
          <w:type w:val="continuous"/>
        </w:sectPr>
      </w:pPr>
    </w:p>
    <w:bookmarkStart w:id="28" w:name="page29"/>
    <w:bookmarkEnd w:id="28"/>
    <w:p>
      <w:pPr>
        <w:ind w:firstLine="490"/>
        <w:spacing w:after="0" w:line="265" w:lineRule="auto"/>
        <w:rPr>
          <w:sz w:val="20"/>
          <w:szCs w:val="20"/>
          <w:color w:val="auto"/>
        </w:rPr>
      </w:pPr>
      <w:r>
        <w:rPr>
          <w:rFonts w:ascii="Times New Roman" w:cs="Times New Roman" w:eastAsia="Times New Roman" w:hAnsi="Times New Roman"/>
          <w:sz w:val="19"/>
          <w:szCs w:val="19"/>
          <w:color w:val="121212"/>
        </w:rPr>
        <w:t>In July 2021, we initiated a first-in-human, Phase 1, single ascending dose, randomized, double-blind, placebo-controlled clinical trial of DISC-0974 in healthy volunteers to evaluate safety, tolerability, PK, and PD markers such as hepcidin, serum iron levels, TSAT and measures of erythropoiesis. In the initial cohort of the Phase 1 trial, DISC-0974 was administered intravenously. Subsequent cohorts were dosed with DISC-0974 by subcutaneous administration, which has been shown to be comparable and well-tolerated as compared to intravenous administration in preclinical studies. The trial design is summarized in the figure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DISC-0974 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189230</wp:posOffset>
            </wp:positionV>
            <wp:extent cx="5648325" cy="2143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56483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right="160" w:firstLine="490"/>
        <w:spacing w:after="0" w:line="305" w:lineRule="auto"/>
        <w:rPr>
          <w:sz w:val="20"/>
          <w:szCs w:val="20"/>
          <w:color w:val="auto"/>
        </w:rPr>
      </w:pPr>
      <w:r>
        <w:rPr>
          <w:rFonts w:ascii="Times New Roman" w:cs="Times New Roman" w:eastAsia="Times New Roman" w:hAnsi="Times New Roman"/>
          <w:sz w:val="19"/>
          <w:szCs w:val="19"/>
          <w:color w:val="121212"/>
        </w:rPr>
        <w:t>We have completed this Phase 1 clinical trial. Data from the Phase 1 clinical trial showed an acceptable tolerability profile and evidence of target engagement and iron mobilization and augmented erythropoiesis. Additional data are discussed below.</w:t>
      </w:r>
    </w:p>
    <w:p>
      <w:pPr>
        <w:spacing w:after="0" w:line="25"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21212"/>
        </w:rPr>
        <w:t>Specifically, in this Phase 1 study, a single dose of DISC-0974 resulted in rapid, dose-dependent and sustained decrease in serum hepcidin and a corresponding, robust increase in measures of circulating iron. This included more than a doubling of transferrin saturation from baseline at the highest dose level (56 mg SC). Changes in serum iron also corresponded with markers of iron mobilization and erythropoiesis, including decreased ferritin levels, increased reticulocyte hemoglobin, and increased mean corpuscular hemoglobin. These findings are consistent with the mechanism of action of DISC-0974.</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DISC-0974 Phase 1 SAD Study in Healthy Volunteers: Effects on Hepcidin and Transferrin Saturation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195580</wp:posOffset>
            </wp:positionV>
            <wp:extent cx="5562600" cy="2095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5562600" cy="209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right="160" w:firstLine="490"/>
        <w:spacing w:after="0" w:line="305" w:lineRule="auto"/>
        <w:rPr>
          <w:sz w:val="20"/>
          <w:szCs w:val="20"/>
          <w:color w:val="auto"/>
        </w:rPr>
      </w:pPr>
      <w:r>
        <w:rPr>
          <w:rFonts w:ascii="Times New Roman" w:cs="Times New Roman" w:eastAsia="Times New Roman" w:hAnsi="Times New Roman"/>
          <w:sz w:val="19"/>
          <w:szCs w:val="19"/>
          <w:color w:val="121212"/>
        </w:rPr>
        <w:t>Notably, at the 56 mg SC dose level, a single administration of DISC-0974 resulted in a statistically significant improvement in hemoglobin compared to placebo (+1.1 g/dL, p=0.009) at Day 42 and a marked increase in red blood cell count.</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19</w:t>
      </w:r>
    </w:p>
    <w:p>
      <w:pPr>
        <w:sectPr>
          <w:pgSz w:w="12240" w:h="15840" w:orient="portrait"/>
          <w:cols w:equalWidth="0" w:num="1">
            <w:col w:w="10440"/>
          </w:cols>
          <w:pgMar w:left="900" w:top="930" w:right="900" w:bottom="175"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20"/>
          <w:szCs w:val="20"/>
          <w:b w:val="1"/>
          <w:bCs w:val="1"/>
          <w:color w:val="121212"/>
        </w:rPr>
        <w:t>DISC-0974 Phase 1 SAD Study in Healthy Volunteers: Single 56 mg SC Dose Increases Hemoglobin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195580</wp:posOffset>
            </wp:positionV>
            <wp:extent cx="5257800" cy="1962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5257800"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21212"/>
        </w:rPr>
        <w:t>DISC-0974 was well-tolerated at all dose levels with no serious or severe adverse events, no adverse events leading to study withdrawal, and no adverse event greater than Grade 1. Plasma exposure was dose-related in the 14 to 56 mg SC range and effects were observed through 28 days post-dose, indicating a sustained and potentially clinically meaningful duration of action. These findings were presented at the 2022 European Hematology Association meeting in June 2022 and the 2022 American Society of Hematology annual meeting.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Phase 1b / 2 Clinical Development Program in Anemia of Inflammation</w:t>
      </w:r>
    </w:p>
    <w:p>
      <w:pPr>
        <w:spacing w:after="0" w:line="12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121212"/>
        </w:rPr>
        <w:t>Based on these findings, we initiated multiple Phase 1b/2 clinical trials of DISC-0974 in patients with anemia of different inflammatory diseases. This includes a Phase 1b/2 clinical trial of DISC-0974 in patients with anemia of MF, which was initiated in June 2022, and a separate Phase 1b/2 clinical trial of DISC-0974 in patients with non-dialysis dependent CKD, and anemia which was initiated in February 2023. We reported interim data from both of these studies in December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Phase 1b/2 Clinical Trial in Myelofibrosis Patients</w:t>
      </w:r>
    </w:p>
    <w:p>
      <w:pPr>
        <w:spacing w:after="0" w:line="118"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21212"/>
        </w:rPr>
        <w:t>In June 2022, we initiated an open-label, multi-center, Phase 1b/2 trial to evaluate the safety, tolerability, and efficacy of DISC-0974 in patients with anemia of MF. The study endpoints include hepcidin levels, serum iron and markers of iron mobilization and measures of anemia benefit such as hemoglobin, reductions in transfusion burden and transfusion independence (TI) rate. The study allows enrollment of patients receiving stable background therapy, including Janus Kinase (JAK) inhibitors. The study will be conducted in two parts:</w:t>
      </w:r>
    </w:p>
    <w:p>
      <w:pPr>
        <w:spacing w:after="0" w:line="91" w:lineRule="exact"/>
        <w:rPr>
          <w:sz w:val="20"/>
          <w:szCs w:val="20"/>
          <w:color w:val="auto"/>
        </w:rPr>
      </w:pPr>
    </w:p>
    <w:p>
      <w:pPr>
        <w:ind w:left="720" w:right="60" w:hanging="367"/>
        <w:spacing w:after="0" w:line="258" w:lineRule="auto"/>
        <w:tabs>
          <w:tab w:leader="none" w:pos="720" w:val="left"/>
        </w:tabs>
        <w:numPr>
          <w:ilvl w:val="0"/>
          <w:numId w:val="11"/>
        </w:numPr>
        <w:rPr>
          <w:rFonts w:ascii="Arial" w:cs="Arial" w:eastAsia="Arial" w:hAnsi="Arial"/>
          <w:sz w:val="20"/>
          <w:szCs w:val="20"/>
          <w:color w:val="121212"/>
        </w:rPr>
      </w:pPr>
      <w:r>
        <w:rPr>
          <w:rFonts w:ascii="Times New Roman" w:cs="Times New Roman" w:eastAsia="Times New Roman" w:hAnsi="Times New Roman"/>
          <w:sz w:val="20"/>
          <w:szCs w:val="20"/>
          <w:color w:val="121212"/>
        </w:rPr>
        <w:t>Phase 1b (Dose-Escalation): Ascending, monthly doses of DISC-0974 administered for six months to patients with anemia of MF, (Hb levels &lt; 10 g/dL,), where a dose level will be selected based on optimal increases in hemoglobin and serum iron;</w:t>
      </w:r>
    </w:p>
    <w:p>
      <w:pPr>
        <w:spacing w:after="0" w:line="81" w:lineRule="exact"/>
        <w:rPr>
          <w:rFonts w:ascii="Arial" w:cs="Arial" w:eastAsia="Arial" w:hAnsi="Arial"/>
          <w:sz w:val="20"/>
          <w:szCs w:val="20"/>
          <w:color w:val="121212"/>
        </w:rPr>
      </w:pPr>
    </w:p>
    <w:p>
      <w:pPr>
        <w:ind w:left="720" w:right="20" w:hanging="367"/>
        <w:spacing w:after="0" w:line="258" w:lineRule="auto"/>
        <w:tabs>
          <w:tab w:leader="none" w:pos="720" w:val="left"/>
        </w:tabs>
        <w:numPr>
          <w:ilvl w:val="0"/>
          <w:numId w:val="11"/>
        </w:numPr>
        <w:rPr>
          <w:rFonts w:ascii="Arial" w:cs="Arial" w:eastAsia="Arial" w:hAnsi="Arial"/>
          <w:sz w:val="20"/>
          <w:szCs w:val="20"/>
          <w:color w:val="121212"/>
        </w:rPr>
      </w:pPr>
      <w:r>
        <w:rPr>
          <w:rFonts w:ascii="Times New Roman" w:cs="Times New Roman" w:eastAsia="Times New Roman" w:hAnsi="Times New Roman"/>
          <w:sz w:val="20"/>
          <w:szCs w:val="20"/>
          <w:color w:val="121212"/>
        </w:rPr>
        <w:t>Phase 2 (Expansion Stage): Multiple, doses of DISC-0974 administered once-a-month at the dose level selected from the Phase 1b portion of the study to patients with anemia of MF who are transfusion dependent (TD) or non-transfusion dependent (NTD), generally defined according to the baseline transfusion burden in a 12-week period.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21212"/>
        </w:rPr>
        <w:t>Phase 1b/2 Open-Label, Clinical Trial of DISC-0974 in Myelofibrosis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141605</wp:posOffset>
            </wp:positionV>
            <wp:extent cx="5943600" cy="1485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59436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ectPr>
          <w:pgSz w:w="12240" w:h="15840" w:orient="portrait"/>
          <w:cols w:equalWidth="0" w:num="1">
            <w:col w:w="10420"/>
          </w:cols>
          <w:pgMar w:left="900" w:top="926"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20</w:t>
      </w:r>
    </w:p>
    <w:p>
      <w:pPr>
        <w:sectPr>
          <w:pgSz w:w="12240" w:h="15840" w:orient="portrait"/>
          <w:cols w:equalWidth="0" w:num="1">
            <w:col w:w="10420"/>
          </w:cols>
          <w:pgMar w:left="900" w:top="926" w:right="920" w:bottom="175" w:gutter="0" w:footer="0" w:header="0"/>
          <w:type w:val="continuous"/>
        </w:sectPr>
      </w:pPr>
    </w:p>
    <w:bookmarkStart w:id="30" w:name="page31"/>
    <w:bookmarkEnd w:id="30"/>
    <w:p>
      <w:pPr>
        <w:ind w:firstLine="490"/>
        <w:spacing w:after="0" w:line="243" w:lineRule="auto"/>
        <w:rPr>
          <w:sz w:val="20"/>
          <w:szCs w:val="20"/>
          <w:color w:val="auto"/>
        </w:rPr>
      </w:pPr>
      <w:r>
        <w:rPr>
          <w:rFonts w:ascii="Times New Roman" w:cs="Times New Roman" w:eastAsia="Times New Roman" w:hAnsi="Times New Roman"/>
          <w:sz w:val="20"/>
          <w:szCs w:val="20"/>
          <w:color w:val="121212"/>
        </w:rPr>
        <w:t>Interim data from this trial was presented at the American Society of Hematology annual meeting in December 2023. Data from 11 evaluable participants in the first 3 dose cohorts (14 mg, 28, 50 mg) were presented as of an October 20, 2023 data cutoff date. Four of 11 participants were taking concomitant JAK inhibitors, and two were transfusion dependent. Hepcidin data from the 14 mg (n=1) and 28 mg (n=7) groups showed a dose-dependent decrease in hepcidin, exceeding 75% reduction in the 28 mg group. The anticipated reciprocal increase in iron was observed in a dose-dependent manner as well, with sustained 75% increases in serum iron observed in the 28 mg group. Hemoglobin response data in a combined 28 mg (n=7) and 50 mg (n=2 [1 participant at 50 mg had follow up &lt;4 weeks and was not included]) showed a 1.5 g/dL increase in four of seven participants, regardless of concomitant JAK inhibitor use. One of two transfusion dependent participants achieved transfusion independence, defined as no blood transfusion in 12 weeks. Safety analyses showed that DISC-0974 was generally well tolerated. There was one serious adverse event of hip pain, assessed as unrelated to DISC-0974. Grade 3 adverse events included anemia (n=3) and headache (n=1). One DISC-0974-related adverse event of diarrhea (Grade 2) was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138430</wp:posOffset>
            </wp:positionV>
            <wp:extent cx="3300095" cy="6148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extLst>
                    </a:blip>
                    <a:srcRect/>
                    <a:stretch>
                      <a:fillRect/>
                    </a:stretch>
                  </pic:blipFill>
                  <pic:spPr bwMode="auto">
                    <a:xfrm>
                      <a:off x="0" y="0"/>
                      <a:ext cx="3300095" cy="614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Phase 1b/2 Clinical Trial in Patients with Non-Dialysis Dependent Chronic Kidney Disease (NDD-CKD)</w:t>
      </w:r>
    </w:p>
    <w:p>
      <w:pPr>
        <w:spacing w:after="0" w:line="118"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121212"/>
        </w:rPr>
        <w:t>In February 2023, we initiated a Phase 1b/2 clinical trial to evaluate the safety, tolerability and efficacy of DISC-0974 in patients with CKD who are not receiving dialysis and are anemic. The study consists of two parts, including: a Phase 1b,</w:t>
      </w:r>
    </w:p>
    <w:p>
      <w:pPr>
        <w:sectPr>
          <w:pgSz w:w="12240" w:h="15840" w:orient="portrait"/>
          <w:cols w:equalWidth="0" w:num="1">
            <w:col w:w="10420"/>
          </w:cols>
          <w:pgMar w:left="900" w:top="930" w:right="920" w:bottom="175"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21</w:t>
      </w:r>
    </w:p>
    <w:p>
      <w:pPr>
        <w:sectPr>
          <w:pgSz w:w="12240" w:h="15840" w:orient="portrait"/>
          <w:cols w:equalWidth="0" w:num="1">
            <w:col w:w="10420"/>
          </w:cols>
          <w:pgMar w:left="900" w:top="930" w:right="920" w:bottom="175" w:gutter="0" w:footer="0" w:header="0"/>
          <w:type w:val="continuous"/>
        </w:sectPr>
      </w:pPr>
    </w:p>
    <w:bookmarkStart w:id="31" w:name="page32"/>
    <w:bookmarkEnd w:id="31"/>
    <w:p>
      <w:pPr>
        <w:jc w:val="both"/>
        <w:ind w:right="260"/>
        <w:spacing w:after="0" w:line="252" w:lineRule="auto"/>
        <w:rPr>
          <w:sz w:val="20"/>
          <w:szCs w:val="20"/>
          <w:color w:val="auto"/>
        </w:rPr>
      </w:pPr>
      <w:r>
        <w:rPr>
          <w:rFonts w:ascii="Times New Roman" w:cs="Times New Roman" w:eastAsia="Times New Roman" w:hAnsi="Times New Roman"/>
          <w:sz w:val="20"/>
          <w:szCs w:val="20"/>
          <w:color w:val="121212"/>
        </w:rPr>
        <w:t>randomized, placebo-controlled, single-ascending dose stage, where a dose level will be selected based on optimal increases in serum iron; followed by a Phase 2, open-label, expansion stage where patients will receive multiple doses of DISC-0974 at the selected dose level. The study endpoints include hepcidin levels, serum iron and markers of iron mobilization and measures of anemia benefit such as hemoglobin.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121212"/>
        </w:rPr>
        <w:t>Phase 1b/2 Clinical Trial of DISC-0974 in NDD-CKD Patients with Anemia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160655</wp:posOffset>
            </wp:positionV>
            <wp:extent cx="5943600" cy="1485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extLst>
                    </a:blip>
                    <a:srcRect/>
                    <a:stretch>
                      <a:fillRect/>
                    </a:stretch>
                  </pic:blipFill>
                  <pic:spPr bwMode="auto">
                    <a:xfrm>
                      <a:off x="0" y="0"/>
                      <a:ext cx="59436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21212"/>
        </w:rPr>
        <w:t>Interim data from the initial 28 mg single dose cohort showed consistent suppression of hepcidin that led to iron increases that were comparable to iron increases observed in the 28 mg single dose cohort of the healthy volunteer DISC-0974 study. In the CKD population, DISC-0974 was generally well tolerated as of the October 20, 2023 data cutoff date; two subjects treated with DISC-0974 28 mg had a treatment emergent adverse event (33%) compared to two on placebo (100%); two treated subjects had serious adverse events deemed not related to DISC-0974 (atrial fibrillation and worsening of end stage renal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172085</wp:posOffset>
            </wp:positionV>
            <wp:extent cx="5946775" cy="1631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extLst>
                    </a:blip>
                    <a:srcRect/>
                    <a:stretch>
                      <a:fillRect/>
                    </a:stretch>
                  </pic:blipFill>
                  <pic:spPr bwMode="auto">
                    <a:xfrm>
                      <a:off x="0" y="0"/>
                      <a:ext cx="5946775" cy="163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Our Second Hepcidin Suppression Program: DISC-0998</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We are also developing a preclinical product candidate targeting hepcidin suppression, DISC-0998, an anti-HJV monoclonal antibody in-licensed from AbbVie. DISC-0998 is designed to be a highly selective anti-HJV mAb with an adapted Fc region to increase PK half-life. In preclinical studies DISC-0998 demonstrated biological activity, low immunogenicity potential, and desirable PK and PD properties.</w:t>
      </w:r>
    </w:p>
    <w:p>
      <w:pPr>
        <w:spacing w:after="0" w:line="74" w:lineRule="exact"/>
        <w:rPr>
          <w:sz w:val="20"/>
          <w:szCs w:val="20"/>
          <w:color w:val="auto"/>
        </w:rPr>
      </w:pPr>
    </w:p>
    <w:p>
      <w:pPr>
        <w:ind w:right="40" w:firstLine="490"/>
        <w:spacing w:after="0" w:line="278" w:lineRule="auto"/>
        <w:rPr>
          <w:sz w:val="20"/>
          <w:szCs w:val="20"/>
          <w:color w:val="auto"/>
        </w:rPr>
      </w:pPr>
      <w:r>
        <w:rPr>
          <w:rFonts w:ascii="Times New Roman" w:cs="Times New Roman" w:eastAsia="Times New Roman" w:hAnsi="Times New Roman"/>
          <w:sz w:val="19"/>
          <w:szCs w:val="19"/>
          <w:color w:val="121212"/>
        </w:rPr>
        <w:t>A dose response PK/PD study of DISC-0998 in NHPs demonstrated that it had a lower clearance (~30 - 40%), higher volume of distribution (~30 - 70%), and longer half-life (~2 times), which translated to a longer duration of PD effects compared to DISC-0974. As shown below, a single dose of DISC-0998 resulted in sustained elevation of serum iron levels. If these data are</w:t>
      </w:r>
    </w:p>
    <w:p>
      <w:pPr>
        <w:sectPr>
          <w:pgSz w:w="12240" w:h="15840" w:orient="portrait"/>
          <w:cols w:equalWidth="0" w:num="1">
            <w:col w:w="10400"/>
          </w:cols>
          <w:pgMar w:left="900" w:top="930" w:right="9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21212"/>
        </w:rPr>
        <w:t>22</w:t>
      </w:r>
    </w:p>
    <w:p>
      <w:pPr>
        <w:sectPr>
          <w:pgSz w:w="12240" w:h="15840" w:orient="portrait"/>
          <w:cols w:equalWidth="0" w:num="1">
            <w:col w:w="10400"/>
          </w:cols>
          <w:pgMar w:left="900" w:top="930" w:right="940" w:bottom="175" w:gutter="0" w:footer="0" w:header="0"/>
          <w:type w:val="continuous"/>
        </w:sectPr>
      </w:pPr>
    </w:p>
    <w:bookmarkStart w:id="32" w:name="page33"/>
    <w:bookmarkEnd w:id="32"/>
    <w:p>
      <w:pPr>
        <w:ind w:right="560"/>
        <w:spacing w:after="0" w:line="277" w:lineRule="auto"/>
        <w:rPr>
          <w:sz w:val="20"/>
          <w:szCs w:val="20"/>
          <w:color w:val="auto"/>
        </w:rPr>
      </w:pPr>
      <w:r>
        <w:rPr>
          <w:rFonts w:ascii="Times New Roman" w:cs="Times New Roman" w:eastAsia="Times New Roman" w:hAnsi="Times New Roman"/>
          <w:sz w:val="20"/>
          <w:szCs w:val="20"/>
          <w:color w:val="121212"/>
        </w:rPr>
        <w:t>confirmed in humans, it would suggest the potential for an infrequent dosing regimen (such as potentially once every 2 or 3 months). We expect that such a dosing regimen would be perceived as convenient by patients and promote compliance.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DISC-0998 Dose Response PK / PD Study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195580</wp:posOffset>
            </wp:positionV>
            <wp:extent cx="5476875" cy="3000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extLst>
                    </a:blip>
                    <a:srcRect/>
                    <a:stretch>
                      <a:fillRect/>
                    </a:stretch>
                  </pic:blipFill>
                  <pic:spPr bwMode="auto">
                    <a:xfrm>
                      <a:off x="0" y="0"/>
                      <a:ext cx="547687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Our Hepcidin Induction Program</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We are also focused on developing product candidates designed to increase hepcidin levels and decrease serum iron levels to address a range of diseases where restricting iron would be beneficial, such as erythrocytosis of PV and diseases of iron overload, including HH, beta-thalassemia, and MDS. Our lead hepcidin induction program, DISC-3405, is a Phase 1 ready monoclonal antibody that is designed to target TMPRSS6. TMPRSS6 proteolytically degrades HJV in liver cells, as shown below. Inhibitors of TMPRSS6 are expected to increase HJV levels and thereby increase the expression of hepcidin. By inhibiting TMPRSS6, our compounds are designed to increase hepcidin production and, in turn, restrict iron availability. We selected TMPRSS6 as our target because the effects of reducing TMPRSS6 levels have been genetically confirmed in both animal knockout studies and in patients with iron-refractory iron deficiency anemia who lack fully functional genes encoding TMPRSS6. An IND for DISC-3405 has been accepted by the FDA, and initiated a Phase 1 clinical trial in healthy volunteers in October 2023.</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TMPRSS6 Suppresses Hepcidin by Degrading HJV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189230</wp:posOffset>
            </wp:positionV>
            <wp:extent cx="2695575" cy="2752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extLst>
                    </a:blip>
                    <a:srcRect/>
                    <a:stretch>
                      <a:fillRect/>
                    </a:stretch>
                  </pic:blipFill>
                  <pic:spPr bwMode="auto">
                    <a:xfrm>
                      <a:off x="0" y="0"/>
                      <a:ext cx="2695575" cy="2752725"/>
                    </a:xfrm>
                    <a:prstGeom prst="rect">
                      <a:avLst/>
                    </a:prstGeom>
                    <a:noFill/>
                  </pic:spPr>
                </pic:pic>
              </a:graphicData>
            </a:graphic>
          </wp:anchor>
        </w:drawing>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23</w:t>
      </w:r>
    </w:p>
    <w:p>
      <w:pPr>
        <w:sectPr>
          <w:pgSz w:w="12240" w:h="15840" w:orient="portrait"/>
          <w:cols w:equalWidth="0" w:num="1">
            <w:col w:w="10440"/>
          </w:cols>
          <w:pgMar w:left="900" w:top="930" w:right="900" w:bottom="175"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121212"/>
        </w:rPr>
        <w:t>N</w:t>
      </w:r>
      <w:r>
        <w:rPr>
          <w:rFonts w:ascii="Times New Roman" w:cs="Times New Roman" w:eastAsia="Times New Roman" w:hAnsi="Times New Roman"/>
          <w:sz w:val="20"/>
          <w:szCs w:val="20"/>
          <w:b w:val="1"/>
          <w:bCs w:val="1"/>
          <w:i w:val="1"/>
          <w:iCs w:val="1"/>
          <w:color w:val="121212"/>
        </w:rPr>
        <w:t>Polycythemia Vera</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21212"/>
        </w:rPr>
        <w:t>PV is a chronic and rare myeloproliferative neoplasm characterized by the overproduction of red blood cells and increased red cell mass. It is frequently caused by acquired mutations of the JAK2 gene that drive abnormal proliferation of red blood cells. The increased number of red blood cells alters the viscosity of blood, causing it to thicken and placing patients at an increased risk of cardiovascular and thromboembolic events, such as heart attack and stroke. The prevalence of PV is estimated to be 44 to 57 cases per 100,000 persons, with approximately 150,000 patients with PV in the United States and with prevalence estimates in Europe ranging from 10 to 50 cases per 100,000 persons. PV tends to primarily affect individuals over 60 years old.</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21212"/>
        </w:rPr>
        <w:t>Current management of PV centers around depleting the number of red blood cells to maintain a patient’s hematocrit (a measure of red blood cell mass) below 45%, the target threshold recommended by the National Comprehensive Cancer Network to reduce the risk of cardiovascular or thromboembolic events. Most patients receive low-dose aspirin and chronic therapeutic phlebotomy to physically remove blood and iron to limit erythropoiesis. However, most patients fail to achieve their target hematocrit levels and remain at risk for thrombosis and other complications. Moreover, phlebotomy causes discomfort and inconvenience for patients as well as side effects such as headaches, ringing in the ears, dizziness, and, over time, iron deficiency. Cytoreductive chemotherapy is recommended for patients at higher risk of thrombosis, including those who fail to meet their hematocrit threshold, or conversion to leukemia. These include hydroxyurea, interferons, or ruxolitinib, marketed as Jakafi, each of which are associated with side effects and can affect multiple cell types. There is currently no oral, non-cytoreductive option for the treatment of PV, which we believe would be beneficial for both low and high-risk patients.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Hereditary Hemochromatosis</w:t>
      </w:r>
    </w:p>
    <w:p>
      <w:pPr>
        <w:spacing w:after="0" w:line="120" w:lineRule="exact"/>
        <w:rPr>
          <w:sz w:val="20"/>
          <w:szCs w:val="20"/>
          <w:color w:val="auto"/>
        </w:rPr>
      </w:pPr>
    </w:p>
    <w:p>
      <w:pPr>
        <w:ind w:right="60" w:firstLine="483"/>
        <w:spacing w:after="0" w:line="247" w:lineRule="auto"/>
        <w:tabs>
          <w:tab w:leader="none" w:pos="829" w:val="left"/>
        </w:tabs>
        <w:numPr>
          <w:ilvl w:val="0"/>
          <w:numId w:val="12"/>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is an inherited iron overload disorder caused by genetic mutations that lead to a deficiency in hepcidin production. This results in lifelong, abnormal iron homeostasis, specifically excessive absorption of iron from a patient’s diet and dysregulated distribution of iron stores in the body. Over time, this leads to the accumulation of iron at toxic levels in multiple organs, including the liver, heart, joints, skin, and others, which, if left untreated, can lead to severe organ damage and potentially organ failure. HH is one of the most common genetic disorders among Whites, affecting millions worldwide, including over 1 million individuals in the United States alone.</w:t>
      </w:r>
    </w:p>
    <w:p>
      <w:pPr>
        <w:spacing w:after="0" w:line="8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There are currently no approved pharmacologic therapies for the treatment of HH and the standard of care is regular and lifelong therapeutic phlebotomy to deplete iron. However, similar to PV, phlebotomy can be a significant burden to patients due to discomfort, frequency of treatments required, and patient inconvenience. Additionally, despite not being approved for HH, iron chelators may be used off-label in certain cases but are often associated with toxicities, particularly with chronic use.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Other Iron Overload Disorders: Beta-Thalassemia and Myelodysplastic Syndromes</w:t>
      </w:r>
    </w:p>
    <w:p>
      <w:pPr>
        <w:spacing w:after="0" w:line="12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21212"/>
        </w:rPr>
        <w:t>Iron overload is a serious and potentially fatal complication of blood disorders associated with ineffective erythropoiesis, such as beta-thalassemia or MDS. Patients with these conditions become severely anemic due to mutations that affect the production of functional red blood cells. This results in persistent and pathologic suppression of hepcidin, leading to unchecked increases in iron and, ultimately, accumulation of toxic iron levels in organs such as the heart, liver, and kidneys, as well as in the bone marrow, which exacerbates anemia.</w:t>
      </w:r>
    </w:p>
    <w:p>
      <w:pPr>
        <w:spacing w:after="0" w:line="77"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19"/>
          <w:szCs w:val="19"/>
          <w:color w:val="121212"/>
        </w:rPr>
        <w:t>Both beta-thalassemia and MDS arise from mutations that cause ineffective erythropoiesis. In the case of beta-thalassemia, the genetic defects are inherited and result in impaired synthesis of beta-globin chains, a critical subunit of hemoglobin. This deficiency results in the premature death of developing erythrocytes in the marrow or peripheral circulation, resulting in severe anemia. Globally, beta-thalassemia has an incidence of approximately 1 in 100,000 individuals, but can range significantly depending on the region. In Europe, where it is more common, beta-thalassemia has an incidence of 1 in 10,000 individuals, while it is rare in the United States, and exact numbers are not known. In contrast, MDS is a form of cancer where mutations prevent precursor cells in the marrow from maturing into functional erythrocytes, which results in severe anemia and other cytopenias. MDS tends to affect older patients and has an overall estimated annual incidence of 20-50 cases per 100,000 individuals over 60 years old. There are an estimated 60,000 to 170,000 patients with MDS in the United States and a similar number in Europe.</w:t>
      </w:r>
    </w:p>
    <w:p>
      <w:pPr>
        <w:spacing w:after="0" w:line="6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Currently, chronic red blood cell transfusions are a mainstay of treatment for anemia caused by beta-thalassemia and MDS. However, the benefit is transient and transfusions are burdensome and carry the risk of further iron overload. While iron chelation therapy may be used in conjunction, it requires careful dose titration and is often associated with toxicities. Recently, luspatercept (marketed as Reblozyl), a red blood cell maturation agent, was approved by the FDA and EMA to treat certain forms of beta-thalassemia and MDS, with a response rate of 21.4% and 37.9% for a primary endpoint of transfusion independence in the respective pivotal trials. Based on these response rates, many patients do not respond and would benefit from an alternative treatment. Lentiglobin, marketed as Zynteglo, is a gene therapy that was approved by the FDA and EMA for the treatment of a subset of patients with beta-thalassemia requiring RBC transfusions, but uptake has been limited. Patients with more advanced forms of MDS may receive additional therapies such as lenalidomide, demethylating agents such as 5-azacitidine and decitabine, and chemotherapy.</w:t>
      </w:r>
    </w:p>
    <w:p>
      <w:pPr>
        <w:sectPr>
          <w:pgSz w:w="12240" w:h="15840" w:orient="portrait"/>
          <w:cols w:equalWidth="0" w:num="1">
            <w:col w:w="10440"/>
          </w:cols>
          <w:pgMar w:left="900" w:top="930" w:right="900" w:bottom="175"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24</w:t>
      </w:r>
    </w:p>
    <w:p>
      <w:pPr>
        <w:sectPr>
          <w:pgSz w:w="12240" w:h="15840" w:orient="portrait"/>
          <w:cols w:equalWidth="0" w:num="1">
            <w:col w:w="10440"/>
          </w:cols>
          <w:pgMar w:left="900" w:top="930" w:right="900" w:bottom="175"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121212"/>
        </w:rPr>
        <w:t>Our Solution: DISC-3405 (MWTX-003), an anti-TMPRSS6 monoclonal antibody</w:t>
      </w:r>
    </w:p>
    <w:p>
      <w:pPr>
        <w:spacing w:after="0" w:line="120"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121212"/>
        </w:rPr>
        <w:t>In January 2023, we in-licensed MWTX-003 and other related molecules from Mabwell. In the Disc compound catalog, MWTX-003 is named DISC-3405. DISC-3405 is a monoclonal antibody designed to inhibit TMPRSS6, a serine protease that degrades HJV, a receptor required for hepcidin expression. TMPRSS6 plays a critical and specific function in iron metabolism by limiting the production of hepcidin. By inhibiting TMPRSS6, DISC-3405 has been shown in preclinical studies to increase endogenous production of hepcidin and reduce serum iron levels. This mechanism has been validated by human genetics, where patients with mutations in TMPRSS6 develop elevated hepcidin levels and an iron restrictive phenotype. In addition, iron restriction has been recently validated as a potential approach to treat PV. In a Phase 2 clinical trial conducted by a third-party, a peptide hepcidin mimetic administered weekly by subcutaneous injection lowered iron availability and reduced hematocrit in patients with PV, resulting in a substantial reduction in requirements for phlebotomy and improvements in disease symptoms. We are initially focused on developing our anti-TMPRSS6 programs as a potential treatment for PV with plans to expand development to encompass diseases of iron overload and other conditions where restriction of iron would have therapeutic benefit.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Preclinical Data</w:t>
      </w:r>
    </w:p>
    <w:p>
      <w:pPr>
        <w:spacing w:after="0" w:line="118"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121212"/>
        </w:rPr>
        <w:t>Preclinical studies of MWTX-003 have demonstrated that TMPRSS6 inhibition with a monoclonal antibody can induce hepcidin expression and consequently restrict iron availability. Specifically, preclinical studies have demonstrated:</w:t>
      </w:r>
    </w:p>
    <w:p>
      <w:pPr>
        <w:spacing w:after="0" w:line="64" w:lineRule="exact"/>
        <w:rPr>
          <w:sz w:val="20"/>
          <w:szCs w:val="20"/>
          <w:color w:val="auto"/>
        </w:rPr>
      </w:pPr>
    </w:p>
    <w:p>
      <w:pPr>
        <w:ind w:left="720" w:hanging="367"/>
        <w:spacing w:after="0"/>
        <w:tabs>
          <w:tab w:leader="none" w:pos="720" w:val="left"/>
        </w:tabs>
        <w:numPr>
          <w:ilvl w:val="0"/>
          <w:numId w:val="13"/>
        </w:numPr>
        <w:rPr>
          <w:rFonts w:ascii="Arial" w:cs="Arial" w:eastAsia="Arial" w:hAnsi="Arial"/>
          <w:sz w:val="20"/>
          <w:szCs w:val="20"/>
          <w:color w:val="121212"/>
        </w:rPr>
      </w:pPr>
      <w:r>
        <w:rPr>
          <w:rFonts w:ascii="Times New Roman" w:cs="Times New Roman" w:eastAsia="Times New Roman" w:hAnsi="Times New Roman"/>
          <w:sz w:val="20"/>
          <w:szCs w:val="20"/>
          <w:color w:val="121212"/>
        </w:rPr>
        <w:t>Dose-dependent induction of endogenous hepcidin production in rodent and NHP studies;</w:t>
      </w:r>
    </w:p>
    <w:p>
      <w:pPr>
        <w:spacing w:after="0" w:line="133" w:lineRule="exact"/>
        <w:rPr>
          <w:rFonts w:ascii="Arial" w:cs="Arial" w:eastAsia="Arial" w:hAnsi="Arial"/>
          <w:sz w:val="20"/>
          <w:szCs w:val="20"/>
          <w:color w:val="121212"/>
        </w:rPr>
      </w:pPr>
    </w:p>
    <w:p>
      <w:pPr>
        <w:ind w:left="720" w:right="440" w:hanging="367"/>
        <w:spacing w:after="0" w:line="276" w:lineRule="auto"/>
        <w:tabs>
          <w:tab w:leader="none" w:pos="720" w:val="left"/>
        </w:tabs>
        <w:numPr>
          <w:ilvl w:val="0"/>
          <w:numId w:val="13"/>
        </w:numPr>
        <w:rPr>
          <w:rFonts w:ascii="Arial" w:cs="Arial" w:eastAsia="Arial" w:hAnsi="Arial"/>
          <w:sz w:val="20"/>
          <w:szCs w:val="20"/>
          <w:color w:val="121212"/>
        </w:rPr>
      </w:pPr>
      <w:r>
        <w:rPr>
          <w:rFonts w:ascii="Times New Roman" w:cs="Times New Roman" w:eastAsia="Times New Roman" w:hAnsi="Times New Roman"/>
          <w:sz w:val="20"/>
          <w:szCs w:val="20"/>
          <w:color w:val="121212"/>
        </w:rPr>
        <w:t>Increases in hepcidin, reductions in serum and liver iron, and increases in red blood cells in a murine model of beta-thalassemia; and</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13"/>
        </w:numPr>
        <w:rPr>
          <w:rFonts w:ascii="Arial" w:cs="Arial" w:eastAsia="Arial" w:hAnsi="Arial"/>
          <w:sz w:val="20"/>
          <w:szCs w:val="20"/>
          <w:color w:val="121212"/>
        </w:rPr>
      </w:pPr>
      <w:r>
        <w:rPr>
          <w:rFonts w:ascii="Times New Roman" w:cs="Times New Roman" w:eastAsia="Times New Roman" w:hAnsi="Times New Roman"/>
          <w:sz w:val="20"/>
          <w:szCs w:val="20"/>
          <w:color w:val="121212"/>
        </w:rPr>
        <w:t>Reductions in iron and hematocrit in a murine model of PV.</w:t>
      </w:r>
    </w:p>
    <w:p>
      <w:pPr>
        <w:spacing w:after="0" w:line="199" w:lineRule="exact"/>
        <w:rPr>
          <w:sz w:val="20"/>
          <w:szCs w:val="20"/>
          <w:color w:val="auto"/>
        </w:rPr>
      </w:pPr>
    </w:p>
    <w:p>
      <w:pPr>
        <w:jc w:val="both"/>
        <w:ind w:right="420" w:firstLine="490"/>
        <w:spacing w:after="0" w:line="252" w:lineRule="auto"/>
        <w:rPr>
          <w:sz w:val="20"/>
          <w:szCs w:val="20"/>
          <w:color w:val="auto"/>
        </w:rPr>
      </w:pPr>
      <w:r>
        <w:rPr>
          <w:rFonts w:ascii="Times New Roman" w:cs="Times New Roman" w:eastAsia="Times New Roman" w:hAnsi="Times New Roman"/>
          <w:sz w:val="20"/>
          <w:szCs w:val="20"/>
          <w:color w:val="121212"/>
        </w:rPr>
        <w:t>Across several preclinical studies in both rodents and non-human primates, treatment with MWTX-003 was shown to increase hepcidin production and reduce serum iron levels. For example, in the below experiment in NHPs, treatment with a single, intravenously administered 30 mg/kg or 150 mg/kg dose of MWTX-003 resulted in deep and sustained suppression of serum iron levels for at least 3 weeks.</w:t>
      </w:r>
    </w:p>
    <w:p>
      <w:pPr>
        <w:spacing w:after="0" w:line="19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20"/>
          <w:szCs w:val="20"/>
          <w:b w:val="1"/>
          <w:bCs w:val="1"/>
          <w:color w:val="121212"/>
        </w:rPr>
        <w:t>Treatment with MWTX-003 resulted in deep and sustained suppression of serum iron levels in normal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34925</wp:posOffset>
            </wp:positionV>
            <wp:extent cx="3811270" cy="2348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3811270" cy="234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firstLine="490"/>
        <w:spacing w:after="0" w:line="236" w:lineRule="auto"/>
        <w:rPr>
          <w:sz w:val="20"/>
          <w:szCs w:val="20"/>
          <w:color w:val="auto"/>
        </w:rPr>
      </w:pPr>
      <w:r>
        <w:rPr>
          <w:rFonts w:ascii="Times New Roman" w:cs="Times New Roman" w:eastAsia="Times New Roman" w:hAnsi="Times New Roman"/>
          <w:sz w:val="20"/>
          <w:szCs w:val="20"/>
          <w:color w:val="121212"/>
        </w:rPr>
        <w:t>The potential efficacy of MWTX-003 was also assessed in HbbTh3/+ mice, an established, genetic rodent model of beta-thalassemia. In this study, mice with mutations in the Hbb gene leading to underproduction of beta-globin genes were treated with 10 mg/kg MWTX-003 once every 3 days for 4 weeks which resulted in recapitulated features of beta-thalassemia such as ineffective erythropoiesis, iron overload and enlarged spleens. Treated mice showed decreased serum iron levels and liver non-heme iron, reduced splenomegaly and improved ineffective erythropoiesis compared to control. Additionally, a study was conducted assessing the efficacy of MWTX-003 in PV using a Jak2</w:t>
      </w:r>
      <w:r>
        <w:rPr>
          <w:rFonts w:ascii="Times New Roman" w:cs="Times New Roman" w:eastAsia="Times New Roman" w:hAnsi="Times New Roman"/>
          <w:sz w:val="26"/>
          <w:szCs w:val="26"/>
          <w:color w:val="121212"/>
          <w:vertAlign w:val="superscript"/>
        </w:rPr>
        <w:t>V617F</w:t>
      </w:r>
      <w:r>
        <w:rPr>
          <w:rFonts w:ascii="Times New Roman" w:cs="Times New Roman" w:eastAsia="Times New Roman" w:hAnsi="Times New Roman"/>
          <w:sz w:val="20"/>
          <w:szCs w:val="20"/>
          <w:color w:val="121212"/>
        </w:rPr>
        <w:t xml:space="preserve"> bone marrow transplantation mouse model. In these mice, treatment with MWTX-003 at 2-10 mg/kg every 4 days for 3 weeks led to significantly increased serum hepcidin with reduced hematocrit levels, red blood cell counts, and hemoglobin concentration that were comparable to that of wildtype control mice.</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25</w:t>
      </w:r>
    </w:p>
    <w:p>
      <w:pPr>
        <w:sectPr>
          <w:pgSz w:w="12240" w:h="15840" w:orient="portrait"/>
          <w:cols w:equalWidth="0" w:num="1">
            <w:col w:w="10440"/>
          </w:cols>
          <w:pgMar w:left="900" w:top="930" w:right="900" w:bottom="175"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i w:val="1"/>
          <w:iCs w:val="1"/>
          <w:color w:val="121212"/>
        </w:rPr>
        <w:t>Next Steps</w:t>
      </w:r>
    </w:p>
    <w:p>
      <w:pPr>
        <w:spacing w:after="0" w:line="118"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121212"/>
        </w:rPr>
        <w:t>We believe our preclinical studies have demonstrated that DISC-3405 has the potential to increase hepcidin levels sufficiently to reduce iron availability in a variety of animal models. DISC-3405 received clearance of an IND from the FDA in November 2022. We initiated a Phase 1 clinical trial of DISC-3405 in healthy volunteers in October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Manufacturing</w:t>
      </w:r>
    </w:p>
    <w:p>
      <w:pPr>
        <w:spacing w:after="0" w:line="124" w:lineRule="exact"/>
        <w:rPr>
          <w:sz w:val="20"/>
          <w:szCs w:val="20"/>
          <w:color w:val="auto"/>
        </w:rPr>
      </w:pPr>
    </w:p>
    <w:p>
      <w:pPr>
        <w:ind w:right="20" w:firstLine="490"/>
        <w:spacing w:after="0" w:line="263" w:lineRule="auto"/>
        <w:rPr>
          <w:sz w:val="20"/>
          <w:szCs w:val="20"/>
          <w:color w:val="auto"/>
        </w:rPr>
      </w:pPr>
      <w:r>
        <w:rPr>
          <w:rFonts w:ascii="Times New Roman" w:cs="Times New Roman" w:eastAsia="Times New Roman" w:hAnsi="Times New Roman"/>
          <w:sz w:val="19"/>
          <w:szCs w:val="19"/>
          <w:color w:val="121212"/>
        </w:rPr>
        <w:t>We do not own or operate, and currently have no plans to establish, any manufacturing facilities. We rely on, and expect to continue to rely on for the foreseeable future, third-party contract development and manufacturing organizations, or CDMOs, to produce our product candidates and preclinical materials, including bitopertin, DISC-0974, DISC-0998, DISC-3405 and any candidates arising from our research programs, for preclinical and clinical use. We plan to continue to rely on third-party CDMOs for any future trials as well as for the commercial manufacture of our product candidates and preclinical materials, if approved. In addition, we contract with additional CDMOs to package, label, and distribute drug product for preclinical and clinical use.</w:t>
      </w:r>
    </w:p>
    <w:p>
      <w:pPr>
        <w:spacing w:after="0" w:line="6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21212"/>
        </w:rPr>
        <w:t>Manufacturing biologics is complex, especially in large quantities. Biologic products must be made consistently and in compliance with a clearly defined manufacturing process. We require that our CDMOs produce bulk drug substances and finished drug products in accordance with current Good Manufacturing Practices, or cGMPs, and all other applicable laws and regulations. We have assembled a team of experienced employees and external consultants to provide the required technical, quality, and regulatory oversight of our CDMOs and have implemented a comprehensive plan for regular audits of our CDMOs. We maintain agreements with our manufacturers that include confidentiality and intellectual property provisions to protect our proprietary rights related to our product candidates.</w:t>
      </w:r>
    </w:p>
    <w:p>
      <w:pPr>
        <w:spacing w:after="0" w:line="8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21212"/>
        </w:rPr>
        <w:t>We obtain supplies of our product candidates from single-source CDMOs on a purchase order basis and do not currently have any long-term supply arrangements in place. While any reduction or halt in supply of our product candidates from these CDMOs could limit our ability to develop our product candidates until we find a qualified replacement CDMO, we have procured or are in the process of procuring sufficient supply to support our planned Phase 2 trials for bitopertin and DISC-0974. In addition, we believe that we can identify and establish additional CDMOs to provide API and finished drug product without significant disruption to our business or clinical development timelines. As our pipeline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8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21212"/>
        </w:rPr>
        <w:t>A commercial-scale production process has been designed for bitopertin, including a four-step chemical synthesis and an optimized oral formulation. The API has been shown to be highly stable for at least 5 years, and we have access to substantial drug substance supplies of bitopertin manufactured and stored by Roche under cGMP conditions. To support our Phase 2 clinical trials, we have requalified, including establishing a shelf-life that would enable its use in clinical trials, Roche-manufactured drug substance and formulating it as film-coated tablets. To support pivotal clinical trials and commercial launch, if approved, we are establishing the manufacturing process at a CDMO.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Competition</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21212"/>
        </w:rPr>
        <w:t>The biotechnology and pharmaceutical industries are characterized by rapidly advancing technologies, intense competition, and a strong emphasis on intellectual property. While we believe that our product candidates, preclinical programs, scientific capabilities, know-how, and experience provide us with competitive advantages, we compete in a highly competitive industry and face significant competition from many sources, including pharmaceutical and biotechnology companies, as well as academic institutions, governmental agencies, and private and public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w:t>
      </w:r>
    </w:p>
    <w:p>
      <w:pPr>
        <w:spacing w:after="0" w:line="83"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121212"/>
        </w:rPr>
        <w:t>We face competition more specifically from companies that discover, develop, and market therapies for the treatment of hematologic diseases, including porphyrias and anemia associated with inflammatory diseases. There are many other companies, including large biotechnology and pharmaceutical companies, that have commercialized or are developing therapies for the same diseases that we are targeting with our product candidates. These companies include, but are not limited to, Agios Pharmaceuticals, Inc., Akebia Therapeutics, Inc., Amgen, Inc., Astellas Pharma, Inc., Bristol-Myers Squibb Company, FibroGen,</w:t>
      </w:r>
    </w:p>
    <w:p>
      <w:pPr>
        <w:sectPr>
          <w:pgSz w:w="12240" w:h="15840" w:orient="portrait"/>
          <w:cols w:equalWidth="0" w:num="1">
            <w:col w:w="10420"/>
          </w:cols>
          <w:pgMar w:left="900" w:top="1208" w:right="920" w:bottom="17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26</w:t>
      </w:r>
    </w:p>
    <w:p>
      <w:pPr>
        <w:sectPr>
          <w:pgSz w:w="12240" w:h="15840" w:orient="portrait"/>
          <w:cols w:equalWidth="0" w:num="1">
            <w:col w:w="10420"/>
          </w:cols>
          <w:pgMar w:left="900" w:top="1208" w:right="920" w:bottom="175" w:gutter="0" w:footer="0" w:header="0"/>
          <w:type w:val="continuous"/>
        </w:sectPr>
      </w:pPr>
    </w:p>
    <w:bookmarkStart w:id="36" w:name="page37"/>
    <w:bookmarkEnd w:id="36"/>
    <w:p>
      <w:pPr>
        <w:ind w:right="100"/>
        <w:spacing w:after="0" w:line="277" w:lineRule="auto"/>
        <w:rPr>
          <w:sz w:val="20"/>
          <w:szCs w:val="20"/>
          <w:color w:val="auto"/>
        </w:rPr>
      </w:pPr>
      <w:r>
        <w:rPr>
          <w:rFonts w:ascii="Times New Roman" w:cs="Times New Roman" w:eastAsia="Times New Roman" w:hAnsi="Times New Roman"/>
          <w:sz w:val="20"/>
          <w:szCs w:val="20"/>
          <w:color w:val="121212"/>
        </w:rPr>
        <w:t>Inc., GlaxoSmithKline, plc, Incyte Corporation, Ionis Pharmaceuticals, Inc., Keros Therapeutics, Inc., Merck &amp; Co., Inc., Otsuka Pharmaceutical Co., Ltd. and Vifor Pharma AG, among others.</w:t>
      </w:r>
    </w:p>
    <w:p>
      <w:pPr>
        <w:spacing w:after="0" w:line="4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121212"/>
        </w:rPr>
        <w:t>We are developing bitopertin, our lead product candidate in our heme biosynthesis modulation portfolio, for the treatment of EPs. If approved, bitopertin will face competition from melanocortin-1 receptor agonists, including afamelanotide, a subcutaneously implanted therapy that is approved in the U.S. and other territories and marketed as Scenesse by Clinuvel, and dersimelagon, an oral therapy in Phase 3 development by Mitsubishi Tanabe Pharma Corporation. In addition, there are other potential treatments currently in the discovery stages of development that may become competitors in the future. These therapies include, but are not limited to, gene therapies, heme biosynthesis modulators that target GlyT1 or other enzymes in the heme biosynthesis pathway, and molecules that target porphyrin export.</w:t>
      </w:r>
    </w:p>
    <w:p>
      <w:pPr>
        <w:spacing w:after="0" w:line="8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Bitopertin is a selective inhibitor of GlyT1 that we are developing to treat porphyrias and hematologic diseases. GlyT1 inhibition has been pursued in the past as an approach to treat schizophrenia. We are aware that Boehringer Ingelheim is conducting a Phase 3 clinical study of BI 425809 (iclepertin), a GlyT1 inhibitor, for the improvement of cognition in patients with schizophrenia. Other companies have also had research programs designed to inhibit GlyT1 as a treatment for schizophrenia, but to our knowledge, all of these have been discontinued at various stages of development. These include PF-03463275 (Pfizer Inc.), LY2365109 (Eli Lilly and Company), ORG25935 (Organon &amp; Co.), ALX5407 (NPS Pharmaceuticals, Inc., now Shire plc), ASP2535 (Astellas Pharma Inc.) and others. We believe bitopertin has an optimal profile for development as a potential treatment for EP. However, we recognize that other companies may choose to develop a novel GlyT1 inhibitor or repurpose an existing one; if successfully developed as a treatment for EP, such a program would be a potential competitor to bitopertin. Additionally, BridgeBio Pharma, Inc. is developing an ABCG2 inhibitor for EPP.</w:t>
      </w:r>
    </w:p>
    <w:p>
      <w:pPr>
        <w:spacing w:after="0" w:line="8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We are also developing DISC-0974, our lead program in our hepcidin suppression portfolio, for the treatment of anemia caused by inflammatory diseases, including MF and CKD. For the treatment of anemia of MF, there are no approved therapies, but several classes of drugs are used off-label, including ESAs, such as Procrit (Janssen Pharmaceuticals, Inc.), Epogen and Aranesp (Amgen, Inc.), and Mircera (Roche), corticosteroids, and androgenic hormones, such as danazol. There are also multiple classes of drugs in development for the treatment of anemia. For example, multiple erythroid maturation agents are in development, such as luspatercept, which is in a myelofibrosis Phase 3 trial by Bristol-Myers Squibb, and KER-050, which is in a Phase 2 trial by Keros, Inc. In addition, multiple ALK2 inhibitors, which work by a hepcidin-lowering mechanism similar to, but less specific than that of DISC-0974, are in Phase 1/2 development, including INCB00928 (zilurgisertib) by Incyte Corporation. Sierra Oncology, Inc. (recently acquired by GlaxoSmithKline) is developing a JAK2 kinase inhibitor, momelotinib, which was approved by the FDA to treat myelofibrosis with anemia.</w:t>
      </w:r>
    </w:p>
    <w:p>
      <w:pPr>
        <w:spacing w:after="0" w:line="8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21212"/>
        </w:rPr>
        <w:t>For the treatment of non-dialysis dependent CKD and anemia, there are several therapies approved or in clinical development, including, but not limited to, ESAs, oral hypoxia inducible factor-prolyl hydroxylase inhibitors, or HIF- PHIs, which are approved in ex-U.S. territories but not in the U.S., and various forms of intravenous iron. We are not aware of any therapies in clinical development for the treatment of anemia of CKD that work by decreasing hepcidin levels. There are several therapies in development for the treatment of MF and CKD that do not directly target anemia, but their approvals may potentially change the treatment landscape and affect our ability to compete.</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21212"/>
        </w:rPr>
        <w:t>We are developing DISC-3405, an anti-TMPRSS6 monoclonal antibody designed to induce hepcidin production and restrict serum iron levels. There are several therapies in development that are also designed to increase hepcidin production or mimic hepcidin activity, such as hepcidin mimetics, TMPRSS6 inhibitors, and ferroportin inhibitors. These are in various stages of development by companies, including Regeneron, Silence Therapeutics plc, Ionis Pharmaceuticals, Inc., Rallybio, Protagonist Therapeutics, Inc., and CSL Vifor, among others. We may also face competition from therapies that are currently marketed or in development that affect pathways unrelated to hepcidin, including growth and differentiation factor-based therapies, cytoreductive therapies, and chemotherapeutic agents, among others.</w:t>
      </w:r>
    </w:p>
    <w:p>
      <w:pPr>
        <w:spacing w:after="0" w:line="8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21212"/>
        </w:rPr>
        <w:t>We could see a reduction or elimination of our commercial opportunity if our competitors develop and commercialize products that are safer, more effective, have fewer or less severe side effects, are more convenient to administer, are less expensive, or receive a more favorable label than any products that we may develop. Our competitors also may obtain FDA or other regulatory approval for their products more rapidly than we may obtain approval for our products,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Collaborations and License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2019 Exclusive License Agreement with AbbVie Deutschland GmbH &amp; Co. KG</w:t>
      </w:r>
    </w:p>
    <w:p>
      <w:pPr>
        <w:spacing w:after="0" w:line="120" w:lineRule="exact"/>
        <w:rPr>
          <w:sz w:val="20"/>
          <w:szCs w:val="20"/>
          <w:color w:val="auto"/>
        </w:rPr>
      </w:pPr>
    </w:p>
    <w:p>
      <w:pPr>
        <w:ind w:right="140" w:firstLine="490"/>
        <w:spacing w:after="0" w:line="278" w:lineRule="auto"/>
        <w:rPr>
          <w:sz w:val="20"/>
          <w:szCs w:val="20"/>
          <w:color w:val="auto"/>
        </w:rPr>
      </w:pPr>
      <w:r>
        <w:rPr>
          <w:rFonts w:ascii="Times New Roman" w:cs="Times New Roman" w:eastAsia="Times New Roman" w:hAnsi="Times New Roman"/>
          <w:sz w:val="19"/>
          <w:szCs w:val="19"/>
          <w:color w:val="121212"/>
        </w:rPr>
        <w:t>In September 2019, we entered into an exclusive license agreement with AbbVie. Under the license agreement with AbbVie, or the AbbVie Agreement, we obtained an exclusive, worldwide license, with the right to sublicense to commercial pharmaceutical and biopharmaceutical companies (subject to AbbVie’s prior consent or pre-authorization, except with respect to</w:t>
      </w:r>
    </w:p>
    <w:p>
      <w:pPr>
        <w:sectPr>
          <w:pgSz w:w="12240" w:h="15840" w:orient="portrait"/>
          <w:cols w:equalWidth="0" w:num="1">
            <w:col w:w="10440"/>
          </w:cols>
          <w:pgMar w:left="900" w:top="930" w:right="900" w:bottom="175"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27</w:t>
      </w:r>
    </w:p>
    <w:p>
      <w:pPr>
        <w:sectPr>
          <w:pgSz w:w="12240" w:h="15840" w:orient="portrait"/>
          <w:cols w:equalWidth="0" w:num="1">
            <w:col w:w="10440"/>
          </w:cols>
          <w:pgMar w:left="900" w:top="930" w:right="900" w:bottom="175" w:gutter="0" w:footer="0" w:header="0"/>
          <w:type w:val="continuous"/>
        </w:sectPr>
      </w:pPr>
    </w:p>
    <w:bookmarkStart w:id="37" w:name="page38"/>
    <w:bookmarkEnd w:id="37"/>
    <w:p>
      <w:pPr>
        <w:ind w:right="120"/>
        <w:spacing w:after="0" w:line="247" w:lineRule="auto"/>
        <w:rPr>
          <w:sz w:val="20"/>
          <w:szCs w:val="20"/>
          <w:color w:val="auto"/>
        </w:rPr>
      </w:pPr>
      <w:r>
        <w:rPr>
          <w:rFonts w:ascii="Times New Roman" w:cs="Times New Roman" w:eastAsia="Times New Roman" w:hAnsi="Times New Roman"/>
          <w:sz w:val="20"/>
          <w:szCs w:val="20"/>
          <w:color w:val="121212"/>
        </w:rPr>
        <w:t>our affiliates), under certain patents and technical information of AbbVie, to make, have made, use, have used, sell, have sold, lease, have leased, import, have imported or otherwise transfer licensed products for all therapeutic, diagnostic and prophylactic uses in humans and animals, excluding uses in neuroscience and neurology. The anti-hemojuvelin antibodies, DISC-0974 and DISC-0998, are licensed products under the AbbVie Agreement. We are required to use commercially reasonable efforts to develop and commercialize at least one licensed product in certain major markets and to maximize net sales of licensed products in certain major markets.</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Under the terms of the AbbVie Agreement, we made an initial license payment to AbbVie of $0.6 million. Additionally, we are required to pay certain development milestone payments for each licensed product, which milestone payments are up to $18.0 million in the aggregate, certain commercial milestone payments for each licensed product, which milestone payments are up to $45.0 million in the aggregate, and certain milestone payments based on the level of net sales of all licensed products worldwide, which milestone payments are up to $ 87.5 million in aggregate. The first potential milestone is a $3.0 million payment payable upon the initiation of the first Phase 2 clinical trial with a licensed product. We are also obligated to pay a royalty on net sales of licensed products at a low-single digit rate. The royalty rates are subject to up to a high first decile percentage reduction for lack of a valid claim on a country-by-country basis. See “Business-Intellectual Property-Iron Homeostasis Portfolio” for additional information concerning the intellectual property related to the AbbVie Agreement.</w:t>
      </w:r>
    </w:p>
    <w:p>
      <w:pPr>
        <w:spacing w:after="0" w:line="8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21212"/>
        </w:rPr>
        <w:t>The obligation to pay royalties under the AbbVie Agreement expires on a licensed product-by-licensed product and country-by-country basis upon the later of expiry of (a) (i) the last valid claim of the licensed patents that cover such licensed product or the exploitation thereof in such country or (ii) the last-to-expire improvement patent in such country, whichever is later, (b) the expiration of regulatory exclusivity in such country, and (c) ten years from the first commercial sale of such product in such country.</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21212"/>
        </w:rPr>
        <w:t>The AbbVie Agreement expires upon expiry of the last remaining royalty obligation for the last licensed product. Under the AbbVie Agreement, either party may terminate the agreement upon the other party’s uncured material breach or insolvency, and AbbVie may also terminate the agreement upon our failure to conduct any relevant material development or commercialization activity in a 12-month period, or, to the extent AbbVie is permitted pursuant to applicable law, a challenge by us of the licensed patents. We may terminate the agreement for any reason upon specified prior written notice to AbbVie.</w:t>
      </w:r>
    </w:p>
    <w:p>
      <w:pPr>
        <w:spacing w:after="0" w:line="77" w:lineRule="exact"/>
        <w:rPr>
          <w:sz w:val="20"/>
          <w:szCs w:val="20"/>
          <w:color w:val="auto"/>
        </w:rPr>
      </w:pPr>
    </w:p>
    <w:p>
      <w:pPr>
        <w:ind w:right="340" w:firstLine="490"/>
        <w:spacing w:after="0" w:line="263" w:lineRule="auto"/>
        <w:rPr>
          <w:sz w:val="20"/>
          <w:szCs w:val="20"/>
          <w:color w:val="auto"/>
        </w:rPr>
      </w:pPr>
      <w:r>
        <w:rPr>
          <w:rFonts w:ascii="Times New Roman" w:cs="Times New Roman" w:eastAsia="Times New Roman" w:hAnsi="Times New Roman"/>
          <w:sz w:val="19"/>
          <w:szCs w:val="19"/>
          <w:color w:val="121212"/>
        </w:rPr>
        <w:t>In connection with the AbbVie Agreement, we also entered into a stock purchase agreement with AbbVie in September 2019, pursuant to which we agreed to issue 4,336,841 shares of our common stock to AbbVie, with 2,295,174 shares vesting immediately and 2,041,667 shares subject to a performance condition tied to the second and third subsequent closings of our Series A Preferred Stock financing. During the year ended December 31, 2020, the performance conditions were met and the remaining 2,041,667 shares vested. At the closing of the merger, shares of our common stock held before the merger were exchanged for shares of common stock in the combined publicly-traded company based on an exchange ratio of 0.1096.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2021 Exclusive License Agreement with F. Hoffmann-La Roche Ltd and Hoffmann-La Roche Inc.</w:t>
      </w:r>
    </w:p>
    <w:p>
      <w:pPr>
        <w:spacing w:after="0" w:line="12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21212"/>
        </w:rPr>
        <w:t>In May 2021, we entered into a license agreement, or the Roche Agreement, with F. Hoffmann-La Roche Ltd. and Hoffmann-La Roche Inc., or together, Roche, pursuant to which Roche granted us an exclusive and sublicensable (subject to Roche’s consent, not to be unreasonably withheld, except with respect to affiliates) worldwide license under certain of Roche’s patent rights and know-how to develop and commercialize bitopertin, including certain backup compounds and derivatives, in all indications and for all therapeutic and prophylactic uses, except diagnostic use. Roche retained the rights with respect to diagnostic uses and its own internal non-clinical research purposes.</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21212"/>
        </w:rPr>
        <w:t>Under the Roche Agreement, Roche has an exclusive right to negotiate a license or purchase of all licensed compounds and products in certain specified circumstances. If we, for a specified period of time following entry into the Roche Agreement or before completion of a Phase 3 clinical trial of a licensed product (whichever is later), intend to enter into a sublicense or assignment of the Roche Agreement granting rights in the U.S., China or one or more major EU countries, then Roche will have a specified amount of time to perform diligence and negotiate the applicable license, purchase, or acquisition. If the parties are not able to come to terms during the applicable negotiation period, we are free to enter into the applicable transaction, provided that we may not enter into such a transaction on terms less favorable to us than the terms offered by Roche during a specified period after the conclusion of the negotiation period.</w:t>
      </w:r>
    </w:p>
    <w:p>
      <w:pPr>
        <w:spacing w:after="0" w:line="82"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121212"/>
        </w:rPr>
        <w:t>We are required to use commercially reasonable efforts to develop, seek regulatory approval and, on a country-by-country basis where such regulatory approval has been obtained, commercialize at least one licensed product in each such country.</w:t>
      </w:r>
    </w:p>
    <w:p>
      <w:pPr>
        <w:spacing w:after="0" w:line="49"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21212"/>
        </w:rPr>
        <w:t>Under the Roche Agreement, we paid Roche an initial license payment of $4.5 million and we will pay Roche up to an aggregate of $50.0 million in development and regulatory milestone payments for development and approval in a first indication, up to an aggregate of $35.0 million in development and regulatory milestone payments for development and approval in a second indication. The first potential milestone is a $ 10.0 million payment upon the initiation of the first Phase 3 clinical trial with a licensed product in a first indication. We will also pay Roche up to an aggregate of $120.0 million based on achievement of certain thresholds for annual net sales of licensed products. We are also obligated to pay a royalty on net sales of licensed</w:t>
      </w:r>
    </w:p>
    <w:p>
      <w:pPr>
        <w:sectPr>
          <w:pgSz w:w="12240" w:h="15840" w:orient="portrait"/>
          <w:cols w:equalWidth="0" w:num="1">
            <w:col w:w="10400"/>
          </w:cols>
          <w:pgMar w:left="900" w:top="930" w:right="940" w:bottom="175" w:gutter="0" w:footer="0" w:header="0"/>
        </w:sect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21212"/>
        </w:rPr>
        <w:t>28</w:t>
      </w:r>
    </w:p>
    <w:p>
      <w:pPr>
        <w:sectPr>
          <w:pgSz w:w="12240" w:h="15840" w:orient="portrait"/>
          <w:cols w:equalWidth="0" w:num="1">
            <w:col w:w="10400"/>
          </w:cols>
          <w:pgMar w:left="900" w:top="930" w:right="940" w:bottom="175" w:gutter="0" w:footer="0" w:header="0"/>
          <w:type w:val="continuous"/>
        </w:sectPr>
      </w:pPr>
    </w:p>
    <w:bookmarkStart w:id="38" w:name="page39"/>
    <w:bookmarkEnd w:id="38"/>
    <w:p>
      <w:pPr>
        <w:ind w:right="120"/>
        <w:spacing w:after="0" w:line="252" w:lineRule="auto"/>
        <w:rPr>
          <w:sz w:val="20"/>
          <w:szCs w:val="20"/>
          <w:color w:val="auto"/>
        </w:rPr>
      </w:pPr>
      <w:r>
        <w:rPr>
          <w:rFonts w:ascii="Times New Roman" w:cs="Times New Roman" w:eastAsia="Times New Roman" w:hAnsi="Times New Roman"/>
          <w:sz w:val="20"/>
          <w:szCs w:val="20"/>
          <w:color w:val="121212"/>
        </w:rPr>
        <w:t>products at a tiered rate ranging from the high-single digits to the high teens. The royalty rates are subject to a reduction (i) by 25% for lack of a valid claim covering the licensed product generating such sales, and (ii) by 50% for prevalence of generic products (or 25% if there are generic products on the market but there is still a valid claim), in each case on a country-by-country basis. Additionally, royalties are apportioned where licensed compounds are commercialized in combination products.</w:t>
      </w:r>
    </w:p>
    <w:p>
      <w:pPr>
        <w:spacing w:after="0" w:line="7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21212"/>
        </w:rPr>
        <w:t>The obligation to pay royalties under the Roche Agreement expires on a licensed product-by-licensed product and country-by-country basis upon the later of (a) expiry of the last valid claim of the licensed and improvement patents that cover such licensed product in such country, (b) the expiration of regulatory exclusivity in such country, and (c) twelve years from the first commercial sale of such product in such country. The expiry of the last valid claim of the licensed and improvement patents subject to the Roche agreement is currently scheduled to occur in April 2035.</w:t>
      </w:r>
    </w:p>
    <w:p>
      <w:pPr>
        <w:spacing w:after="0" w:line="7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21212"/>
        </w:rPr>
        <w:t>In connection with the Roche Agreement and pursuant to an addendum to the Roche Agreement between the parties executed in December 2021, we agreed to issue to Roche or its affiliates, immediately following the closing of the merger and for no additional consideration, shares of common stock estimated to be approximately 2.85% of the combined company’s issued and outstanding capitalization immediately following the closing of our merger with Gemini Therapeutics, Inc., or Gemini, and our pre-closing financing. Upon completion of the merger, we issued 482,313 shares of common stock to Roche.</w:t>
      </w:r>
    </w:p>
    <w:p>
      <w:pPr>
        <w:spacing w:after="0" w:line="77"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21212"/>
        </w:rPr>
        <w:t>The Roche Agreement expires upon expiry of the last remaining royalty obligation for the last licensed product. Under the Roche Agreement, either party may terminate the agreement upon the other party’s uncured material breach or insolvency. We may terminate the agreement for any reason upon specified prior written notice to Roche. In the event the Roche Agreement is terminated for certain causes, if Roche elects to continue development or commercialization of licensed products, certain single-digit royalties may be owed to us in connection with such continued development or commercialization.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2023 Exclusive License Agreement with Mabwell Therapeutics, Inc.</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21212"/>
        </w:rPr>
        <w:t>On January 19, 2023, we entered into an exclusive license agreement with Mabwell (a wholly-owned subsidiary of Mabwell (Shanghai) Bioscience Co., Ltd), or the Mabwell Agreement, pursuant to which Mabwell granted us an exclusive and sublicensable license under certain patent rights, know-how, and materials to develop and commercialize antibody products containing Mabwell’s MWTX- 001, MWTX-002, and MWTX-003 antibodies, along with limited variants thereof, in all fields of use, in all territories other than Greater China (Mainland China, Hong Kong, Macau and Taiwan) and Southeast Asia (Brunei, Myanmar, Cambodia, Timor-Leste, Indonesia, Laos, Malaysia, Philippines, Singapore, Thailand and Vietnam). We also granted Mabwell an exclusive, sublicensable, royalty-free license under our patents and know-how arising under the Mabwell Agreement to develop and commercialize licensed antibody products in Greater China and Southeast Asia.</w:t>
      </w:r>
    </w:p>
    <w:p>
      <w:pPr>
        <w:spacing w:after="0" w:line="82"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121212"/>
        </w:rPr>
        <w:t>The Mabwell Agreement requires us to pay Mabwell an upfront payment of $10.0 million dollars, and certain development and regulatory milestone payments for the licensed antibody products, for up to three indications, up to a maximum aggregate amount of $127.5 million dollars, as well as certain commercial milestone payments for certain licensed antibody product net sales achievements, up to a maximum aggregate amount of $275 million dollars. In October 2023, the first patient was dosed in the Phase 1 clinical trial of polycythemia vera for DISC-3405, resulting in a milestone payment of $5.0 million due to Mabwell. We are further obligated to pay a tiered percentage of revenue that we receive from our sublicensees (excluding revenue that is attributable to net sales on which royalty payments are due), ranging from a low third decile percentage if the sublicense is granted prior to the initiation of a phase 1 clinical trial of the licensed antibody product, to a low first decile percentage if the sublicense is granted after regulatory approval of the licensed antibody product. No sublicense revenue is due if the sublicense is granted after the first commercial sale of the licensed antibody product.</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In addition, we are obligated to pay Mabwell a royalty on annual net sales of all licensed antibody products at a tiered rate ranging from low single-digits to high single-digits, subject to customary royalty reductions for (i) lack of a valid patent claim covering the licensed antibody product generating such sales, (ii) entry of a biosimilar product that equals or exceeds 20% of the total market share of the licensed antibody product, and (iii) a portion of any royalties paid to a third party for patents that claim the composition of matter or method of use of the licensed antibodies. Further, royalties are subject to customary apportionment calculations where the licensed antibodies are commercialized in combination products. The obligation to pay royalties under the Mabwell Agreement expires on a licensed antibody product-by-licensed antibody product and country-by-country basis upon the later of (a) expiration of the last valid patent claim of the licensed patents that cover such licensed antibody product in such country, (b) expiration of regulatory exclusivity for such licensed antibody product in such country, and (c) ten years from the first commercial sale of such licensed antibody product in such country.</w:t>
      </w:r>
    </w:p>
    <w:p>
      <w:pPr>
        <w:spacing w:after="0" w:line="82" w:lineRule="exact"/>
        <w:rPr>
          <w:sz w:val="20"/>
          <w:szCs w:val="20"/>
          <w:color w:val="auto"/>
        </w:rPr>
      </w:pPr>
    </w:p>
    <w:p>
      <w:pPr>
        <w:ind w:right="20" w:firstLine="490"/>
        <w:spacing w:after="0" w:line="263" w:lineRule="auto"/>
        <w:rPr>
          <w:sz w:val="20"/>
          <w:szCs w:val="20"/>
          <w:color w:val="auto"/>
        </w:rPr>
      </w:pPr>
      <w:r>
        <w:rPr>
          <w:rFonts w:ascii="Times New Roman" w:cs="Times New Roman" w:eastAsia="Times New Roman" w:hAnsi="Times New Roman"/>
          <w:sz w:val="19"/>
          <w:szCs w:val="19"/>
          <w:color w:val="121212"/>
        </w:rPr>
        <w:t>Our license grant expires upon expiration of the last remaining royalty obligation for the last licensed antibody product in the last country. Either party may terminate the Mabwell Agreement prior to its expiration upon the other party’s uncured material breach, insolvency, or a challenge of the validity or enforceability of the patents licensed to such other party under the agreement. We may also terminate the Mabwell Agreement for convenience on 60 days’ written notice to Mabwell. In the event the Mabwell Agreement is terminated other than by us for cause, we have agreed to grant Mabwell an exclusive, sublicensable, worldwide license under our patent rights and know-how arising under the Mabwell Agreement to develop and commercialize products</w:t>
      </w:r>
    </w:p>
    <w:p>
      <w:pPr>
        <w:sectPr>
          <w:pgSz w:w="12240" w:h="15840" w:orient="portrait"/>
          <w:cols w:equalWidth="0" w:num="1">
            <w:col w:w="10440"/>
          </w:cols>
          <w:pgMar w:left="900" w:top="930" w:right="900" w:bottom="175"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29</w:t>
      </w:r>
    </w:p>
    <w:p>
      <w:pPr>
        <w:sectPr>
          <w:pgSz w:w="12240" w:h="15840" w:orient="portrait"/>
          <w:cols w:equalWidth="0" w:num="1">
            <w:col w:w="10440"/>
          </w:cols>
          <w:pgMar w:left="900" w:top="930" w:right="900" w:bottom="175" w:gutter="0" w:footer="0" w:header="0"/>
          <w:type w:val="continuous"/>
        </w:sectPr>
      </w:pPr>
    </w:p>
    <w:bookmarkStart w:id="39" w:name="page40"/>
    <w:bookmarkEnd w:id="39"/>
    <w:p>
      <w:pPr>
        <w:ind w:right="160"/>
        <w:spacing w:after="0" w:line="277" w:lineRule="auto"/>
        <w:rPr>
          <w:sz w:val="20"/>
          <w:szCs w:val="20"/>
          <w:color w:val="auto"/>
        </w:rPr>
      </w:pPr>
      <w:r>
        <w:rPr>
          <w:rFonts w:ascii="Times New Roman" w:cs="Times New Roman" w:eastAsia="Times New Roman" w:hAnsi="Times New Roman"/>
          <w:sz w:val="20"/>
          <w:szCs w:val="20"/>
          <w:color w:val="121212"/>
        </w:rPr>
        <w:t>containing the licensed antibodies. In such circumstances, we and Mabwell will negotiate a royalty to be paid by Mabwell on the net sales of such products in the licensed territory.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Intellectual Property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Overview</w:t>
      </w:r>
    </w:p>
    <w:p>
      <w:pPr>
        <w:spacing w:after="0" w:line="118" w:lineRule="exact"/>
        <w:rPr>
          <w:sz w:val="20"/>
          <w:szCs w:val="20"/>
          <w:color w:val="auto"/>
        </w:rPr>
      </w:pPr>
    </w:p>
    <w:p>
      <w:pPr>
        <w:ind w:right="180" w:firstLine="490"/>
        <w:spacing w:after="0" w:line="270" w:lineRule="auto"/>
        <w:rPr>
          <w:sz w:val="20"/>
          <w:szCs w:val="20"/>
          <w:color w:val="auto"/>
        </w:rPr>
      </w:pPr>
      <w:r>
        <w:rPr>
          <w:rFonts w:ascii="Times New Roman" w:cs="Times New Roman" w:eastAsia="Times New Roman" w:hAnsi="Times New Roman"/>
          <w:sz w:val="19"/>
          <w:szCs w:val="19"/>
          <w:color w:val="121212"/>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57"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121212"/>
        </w:rPr>
        <w:t>We seek to obtain domestic and international patent protection, and endeavor to promptly file patent applications for new commercially valuable inventions. We also rely on trade secrets to protect aspects of our business that are not amenable to, or that we do not consider appropriate for, patent protection.</w:t>
      </w:r>
    </w:p>
    <w:p>
      <w:pPr>
        <w:spacing w:after="0" w:line="68"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121212"/>
        </w:rPr>
        <w:t>We plan to continue to expand our intellectual property estate by filing patent applications directed to pharmaceutical compositions, methods of treatment, methods of manufacture or identified from our ongoing development of our product candidates, which include both small molecule and biologic products, such as antibodies.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8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21212"/>
        </w:rPr>
        <w:t>The patent positions of companies like ours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pacing w:after="0" w:line="89"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21212"/>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 For more information regarding the risks related to our intellectual property, see “Risk Factors-Risks Related to Our Intellectual Property.”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Patent Portfolio</w:t>
      </w:r>
    </w:p>
    <w:p>
      <w:pPr>
        <w:spacing w:after="0" w:line="120"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121212"/>
        </w:rPr>
        <w:t>Our patent portfolio includes patents and patent applications in the United States and selected jurisdictions outside of the United States. As of February 29, 2024, our patent portfolio in total consisted of 15 issued U.S. patents and 211 issued patents in foreign jurisdictions (e.g., Australia, China, United Kingdom, Germany, Mexico, Japan, and others), five PCT applications, 107 pending non-provisional applications (U.S., EP and other jurisdictions), and eight pending U.S. provisional applications, which include claims directed to compositions and methods of use.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The patent portfolio includes patents and applications with claims related to the following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Heme Biosynthesis Modulation Portfolio - GlyT1 Inhibition - Bitopertin</w:t>
      </w:r>
    </w:p>
    <w:p>
      <w:pPr>
        <w:spacing w:after="0" w:line="118"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121212"/>
        </w:rPr>
        <w:t>With regard to our heme biosynthesis modulation program, we own eleven pending patent families directed to GlyT1 inhibitors (e.g., bitopertin) and various methods of treatment and use claims related, but not limited to EPP, XLP, CEP, DBA, PV, and hepatic porphyrias. Patents and pending applications directed to GlyT1 inhibitors (e.g., bitopertin) and methods of making and using them are expected to expire between 2041 and 2044, without accounting for any potential terminal disclaimers, available patent term adjustments or extensions. In particular, our first and second families are directed to methods of treating EPP, XLP, and CEP with bitopertin and related compounds, and solid forms of bitopertin, and these families, upon grant, will have a twenty-year statutory expiration date of 2041 and 2042, respectively. The first family has entered the national phase in the U.S. Australia,</w:t>
      </w:r>
    </w:p>
    <w:p>
      <w:pPr>
        <w:sectPr>
          <w:pgSz w:w="12240" w:h="15840" w:orient="portrait"/>
          <w:cols w:equalWidth="0" w:num="1">
            <w:col w:w="10460"/>
          </w:cols>
          <w:pgMar w:left="900" w:top="930" w:right="880" w:bottom="175" w:gutter="0" w:footer="0" w:header="0"/>
        </w:sect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30</w:t>
      </w:r>
    </w:p>
    <w:p>
      <w:pPr>
        <w:sectPr>
          <w:pgSz w:w="12240" w:h="15840" w:orient="portrait"/>
          <w:cols w:equalWidth="0" w:num="1">
            <w:col w:w="10460"/>
          </w:cols>
          <w:pgMar w:left="900" w:top="930" w:right="880" w:bottom="175" w:gutter="0" w:footer="0" w:header="0"/>
          <w:type w:val="continuous"/>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9"/>
          <w:szCs w:val="19"/>
          <w:color w:val="121212"/>
        </w:rPr>
        <w:t>Canada, China, Europe, Hong Kong, Japan, and Korea. One U.S patent has granted from the first patent family and is directed to methods of treating EPP or XLP with bitopertin. This patent is expected to expire in 2041, without accounting for any potential terminal disclaimers, available patent term adjustments or extensions. The second family has entered the national phase in the U.S., Australia, Canada, China, Europe, and Japan. Our third family is directed to methods of treating polycythemias, including PV, with bitopertin and related compounds, and this family, upon grant, will have a twenty-year statutory expiration date of 2042, without accounting for any potential terminal disclaimers, available patent term adjustments or extensions. The third patent family has entered the national phase in the U.S. Australia, Brazil, Canada, China, Europe, Israel, Japan, Korea, and Mexico. Our fourth family is directed to methods of treating anemia associated with a ribosomal disorder (e.g., DBA) with bitopertin and related compounds, and this family, upon grant, will have a twenty-year statutory expiration date of 2042, without accounting for any potential terminal disclaimers, available patent term adjustments or extensions. The fourth patent family has entered the national phase in the U.S. Australia, Brazil, Canada, China, Europe, Israel, Japan, Korea, and Mexico. Our fifth family is directed to methods of treating hepatic porphyrias with bitopertin and related compounds, and this family, upon grant, will have a twenty-year statutory expiration date of 2043, without accounting for any potential terminal disclaimers, available patent term adjustments or extensions. The fifth family is a pending PCT application. Our sixth family is directed to methods of treating EPP, XLP, and CEP with additional GlyT1 inhibitors, and this family, upon grant, will have a twenty-year statutory expiration date of 2042, without accounting for any potential terminal disclaimers, available patent term adjustments or extensions. The sixth patent family has entered the national phase in the U.S. Australia, Canada, China, Europe, Japan. Our remaining five patent families are all U.S. provisional applications directed to GlyT1 inhibitors (e.g., bitopertin) and methods of treating various disorders and conditions. These provisional patent families, upon grant, will have a twenty-year statutory expiration date of 2044. We have also in-licensed multiple patent families from F. Hoffmann-La Roche Ltd and Hoffmann-La Roche Inc. comprising eight issued U.S. patents and additional granted patents in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Malta, Mexico, Monaco, Montenegro, Morocco, Netherlands, New Zealand, Norway, Philippines, Poland, Portugal, Republic of Korea, Republic of Serbia, Romania, Russian Federation, Singapore, Slovak Republic, Slovenia, South Africa, Spain, Sweden, Switzerland, Taiwan, Thailand, Turkey, Ukraine, and Vietnam. Patents and pending applications directed to bitopertin, synthetic intermediates, synthetic methods, synthetic processes of making bitopertin, treatment of hematologic disorders characterized by elevated cellular hemoglobin, and crystalline forms of bitopertin are expected to expire between 2024 and 2035, without accounting for any potential terminal disclaimers, available patent term adjustments or extensions. In particular, the first family is directed to composition of matter of bitopertin and processes of preparation, and this family has a twenty-year statutory expiration date of 2024. This family has issued patents in the U.S. and the following jurisdictions: Algeria, Australia, Austria, Belarus, Belgium, Brazil, Bulgaria, Canada, Chile, China, Colombia, Costa Rica, Croatia, Cyprus, Czech Republic, Denmark, Ecuador, Egypt, Estonia, Eurasian Patent Convention, European Patent Convention, Finland, France, Germany, Great Britain, Greece, Gulf Cooperation Council, Hong Kong, Hungary, India, Indonesia, Ireland, Israel, Italy, Japan, Kazakhstan, Kosovo, Latvia, Lithuania, Luxembourg, Malaysia, Mexico, Monaco, Montenegro, Morocco, Netherlands, New Zealand, Norway, Philippines, Poland, Portugal, Republic of Korea, Republic of Serbia, Romania, Russian Federation, Singapore, Slovak Republic, Slovenia, South Africa, Spain, Sweden, Switzerland, Taiwan, Thailand, Turkey, Ukraine, and Vietnam. The second family is directed to processes of preparation of bitopertin, and this family has a twenty-year statutory expiration date of 2028. This family has issued patents in the U.S. and the following jurisdictions: Australia, Austria, Belgium, Brazil, Canada, China, European Patent Convention, Finland, France, Germany, Great Britain, Hungary, Ireland, Israel, Italy, Japan, Mexico, Netherlands, Republic of Korea, Spain, Sweden, and Switzerland. The third and fourth families are directed to synthetic processes for synthetic intermediates, and these families have twenty-year statutory expiration dates of 2026 and 2027, respectively. These families each have issued patents in the U.S. and the following jurisdictions: China, European Patent Convention, France, Germany, Great Britain, Japan, and Switzerland. The fifth family is directed to methods of treating hematological disorders characterized by elevated cellular hemoglobin levels with bitopertin, and this family has a twenty-year statutory expiration date of 2035. This family has issued patents in the U.S. and the following jurisdictions: Algeria, China, Croatia, Cyprus, European Patent Convention, France, Germany, Great Britain, Greece, Hong Kong, Indonesia, Italy, Japan, Malaysia, Morocco, Philippines, Portugal, Republic of Korea, Republic of Serbia, Slovenia, South Africa, Spain, Switzerland, and Turkey. The sixth family is directed composition of matter of additional GlyT1 inhibitors, and this family has a twenty-year statutory expiration date of 2026. This family has issued patents in the U.S. and the following jurisdictions: China, European Patent Convention, France, Germany, Great Britain, Hong Kong, Japan, and Switzerland. The seventh family is directed to crystalline forms of bitopertin, and this family has a twenty-year statutory expiration date of 2027. This family has issued patents in the following jurisdictions: Australia, Austria, Belgium, Brazil, Bulgaria, Chile, Croatia, Cyprus, Czech Republic, Denmark, Estonia, European Patent Convention, Finland, France, Germany, Great Britain, Greece, Gulf Cooperation Council, Hungary, Indonesia, Ireland, Italy, Japan, Latvia, Lithuania, Luxembourg, Malaysia, Malta, Mexico, Monaco, Morocco, Netherlands, New Zealand, Norway, Philippines, Poland, Portugal, Republic of Korea, Republic of Serbia, Romania, Russian Federation, Singapore, Slovak Republic, Slovenia, South Africa, Spain, Sweden, Switzerland, Taiwan, Turkey, Ukraine, and Vietnam.</w:t>
      </w:r>
    </w:p>
    <w:p>
      <w:pPr>
        <w:spacing w:after="0" w:line="200" w:lineRule="exact"/>
        <w:rPr>
          <w:sz w:val="20"/>
          <w:szCs w:val="20"/>
          <w:color w:val="auto"/>
        </w:rPr>
      </w:pPr>
    </w:p>
    <w:p>
      <w:pPr>
        <w:spacing w:after="0" w:line="363" w:lineRule="exact"/>
        <w:rPr>
          <w:sz w:val="20"/>
          <w:szCs w:val="20"/>
          <w:color w:val="auto"/>
        </w:rPr>
      </w:pPr>
    </w:p>
    <w:p>
      <w:pPr>
        <w:ind w:right="380" w:firstLine="490"/>
        <w:spacing w:after="0" w:line="305" w:lineRule="auto"/>
        <w:rPr>
          <w:sz w:val="20"/>
          <w:szCs w:val="20"/>
          <w:color w:val="auto"/>
        </w:rPr>
      </w:pPr>
      <w:r>
        <w:rPr>
          <w:rFonts w:ascii="Times New Roman" w:cs="Times New Roman" w:eastAsia="Times New Roman" w:hAnsi="Times New Roman"/>
          <w:sz w:val="19"/>
          <w:szCs w:val="19"/>
          <w:color w:val="121212"/>
        </w:rPr>
        <w:t>Several of the indications that we expect to pursue with bitopertin, including EPP, XLP and DBA, are rare diseases. We have received orphan drug designation from the FDA for bitopertin for the treatment of EPP and the European Committee for</w:t>
      </w:r>
    </w:p>
    <w:p>
      <w:pPr>
        <w:sectPr>
          <w:pgSz w:w="12240" w:h="15840" w:orient="portrait"/>
          <w:cols w:equalWidth="0" w:num="1">
            <w:col w:w="10460"/>
          </w:cols>
          <w:pgMar w:left="900" w:top="930" w:right="880" w:bottom="175" w:gutter="0" w:footer="0" w:header="0"/>
        </w:sectPr>
      </w:pP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31</w:t>
      </w:r>
    </w:p>
    <w:p>
      <w:pPr>
        <w:sectPr>
          <w:pgSz w:w="12240" w:h="15840" w:orient="portrait"/>
          <w:cols w:equalWidth="0" w:num="1">
            <w:col w:w="10460"/>
          </w:cols>
          <w:pgMar w:left="900" w:top="930" w:right="880" w:bottom="175" w:gutter="0" w:footer="0" w:header="0"/>
          <w:type w:val="continuous"/>
        </w:sectPr>
      </w:pPr>
    </w:p>
    <w:bookmarkStart w:id="41" w:name="page42"/>
    <w:bookmarkEnd w:id="41"/>
    <w:p>
      <w:pPr>
        <w:ind w:right="20"/>
        <w:spacing w:after="0" w:line="252" w:lineRule="auto"/>
        <w:rPr>
          <w:sz w:val="20"/>
          <w:szCs w:val="20"/>
          <w:color w:val="auto"/>
        </w:rPr>
      </w:pPr>
      <w:r>
        <w:rPr>
          <w:rFonts w:ascii="Times New Roman" w:cs="Times New Roman" w:eastAsia="Times New Roman" w:hAnsi="Times New Roman"/>
          <w:sz w:val="20"/>
          <w:szCs w:val="20"/>
          <w:color w:val="121212"/>
        </w:rPr>
        <w:t>Orphan Medical Products adopted a positive opinion on Orphan Designation for bitopertin for treatment of EPP. We expect to file for an orphan drug designation for other indications in the United States and other relevant jurisdictions. If successful, orphan drug designation may provide a form of exclusivity for a period of years, described in greater detail below. See “Our Business-Governmental Regulation-Orphan Drug Designation and Exclusivity.”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Iron Homeostasis Portfolio – Hepcidin Suppression – DISC-0974 and DISC-0998</w:t>
      </w:r>
    </w:p>
    <w:p>
      <w:pPr>
        <w:spacing w:after="0" w:line="11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With regard to our iron homeostasis portfolio, including our DISC-0974 and DISC-0998 programs, we own seven patent families, including one PCT patent application that has entered the national phase in Australia, Canada, China, Europe, Hong Kong, Israel, Japan, Korea, and United States, one PCT patent application that has entered the national phase in Europe, and United States, one PCT patent application that has entered the national phase in Australia, Canada, China, Europe, Hong Kong, Israel, Japan, Korea, and United States, one PCT patent application that has entered the national phase in Australia, Brazil, Canada, China, Europe, Hong Kong, Israel, India, Japan, Korea, Mexico, New Zealand, Singapore, and United States, two pending PCT patent applications, and one pending U.S. provisional application containing composition of matter, method of treatment and use claims related to our initial indications, anemia of myelofibrosis and chronic kidney disease as well as other indications, e.g., anemia of inflammatory bowel disease and other anemias of chronic disease involving iron restriction from elevated hepcidin. Patents issuing from these PCT applications are expected to expire between, 2040 and 2044 without accounting for any potential terminal disclaimers, available patent term adjustments or extensions. Further, several of the above owned patent applications within our iron homeostasis portfolio are Joint Patents according to the AbbVie Agreement, whereby we own the patent applications and any patents granted thereon jointly with AbbVie, and we hold an exclusive license to AbbVie’s interest in the patent applications and any patents granted thereon pursuant to the AbbVie Agreement.</w:t>
      </w:r>
    </w:p>
    <w:p>
      <w:pPr>
        <w:spacing w:after="0" w:line="93"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21212"/>
        </w:rPr>
        <w:t>We also in-license a patent family from AbbVie comprised of two issued U.S. patents that are expected to expire in 2032 and 2035, and issued patents in Australia, Canada, Brazil, China, the United Kingdom, Germany, Mexico, and Japan that are each expected to expire in 2032. These in-licensed patents include composition of matter claims, as well as method of treatment and use claims related to diseases of iron metabolism, such as anemia of chronic disease, iron-refractory iron-deficiency anemia, and anemia of chronic kidney disease. This in-licensed patent family also includes eight pending non-provisional applications in the United States, Australia, Brazil, Canada, China, Europe, Japan, and Mexico. Any patents that issue on these pending non-provisional applications are likewise expected to expire in 2032, without accounting for any potential terminal disclaimers, available patent term adjustments or extensions.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Iron Homeostasis Portfolio – Hepcidin Induction – MWTX-001, MWTX-002, and DISC-3405 (formerly MWTX-003)</w:t>
      </w:r>
    </w:p>
    <w:p>
      <w:pPr>
        <w:spacing w:after="0" w:line="118"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121212"/>
        </w:rPr>
        <w:t>With regard to our TMPRSS6 inhibitor program, we in-license a patent family from Mabwell comprised of eight pending non-provisional applications in Australia, Canada, Europe, India, Japan, Korea, and United States, one pending PCT application, and one pending U.S. provisional application. These in-licensed patent applications include composition of matter claims to antibodies designed to inhibit TMPRSS6, including MWTX-001, MWTX-002, and DISC-3405, as well as method of treatment and use claims related to diseases of iron metabolism (e.g., PV). One U.S patent has granted from the in-licensed patent family and is directed to the DISC-3405 TMPRSS antibody. This patent is expected to expire in 2041, without accounting for any potential terminal disclaimers, available patent term adjustments or extensions. We also own one provisional patent application directed to methods of treatment claims related to diseases of iron metabolism. This application, upon grant, will have a twenty-year statutory expiration date of 2044, without accounting for any potential terminal disclaimers, available patent term adjustments or extensions.</w:t>
      </w:r>
    </w:p>
    <w:p>
      <w:pPr>
        <w:spacing w:after="0" w:line="8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21212"/>
        </w:rPr>
        <w:t>We also own a patent family comprising seven pending non-provisional applications in U.S., Europe, Japan, Australia, Canada, China, and India and a second patent family comprising one pending PCT international application and one non-provisional application in the U.S. directed to compounds that inhibit TMPRSS6 and methods of using the same. Any patents that issue on the non-provisional applications in the first family are expected to expire in 2039, without accounting for any potential terminal disclaimers, available patent term adjustments or extensions. Any patent that issue on applications claiming priority to the PCT application or patents that issue from the non-provisional application in the second family are expected to expire in 2041, without accounting for any potential terminal disclaimers, available patent term adjustments or extensions.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Patent Term</w:t>
      </w:r>
    </w:p>
    <w:p>
      <w:pPr>
        <w:spacing w:after="0" w:line="12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21212"/>
        </w:rPr>
        <w:t>The term of individual patents depends upon the legal term of the patents in the countries in which they are obtained. In most countries in which we file, including the U.S.,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w:t>
      </w:r>
    </w:p>
    <w:p>
      <w:pPr>
        <w:sectPr>
          <w:pgSz w:w="12240" w:h="15840" w:orient="portrait"/>
          <w:cols w:equalWidth="0" w:num="1">
            <w:col w:w="10440"/>
          </w:cols>
          <w:pgMar w:left="900" w:top="930" w:right="900" w:bottom="175"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32</w:t>
      </w:r>
    </w:p>
    <w:p>
      <w:pPr>
        <w:sectPr>
          <w:pgSz w:w="12240" w:h="15840" w:orient="portrait"/>
          <w:cols w:equalWidth="0" w:num="1">
            <w:col w:w="10440"/>
          </w:cols>
          <w:pgMar w:left="900" w:top="930" w:right="900" w:bottom="175" w:gutter="0" w:footer="0" w:header="0"/>
          <w:type w:val="continuous"/>
        </w:sectPr>
      </w:pPr>
    </w:p>
    <w:bookmarkStart w:id="42" w:name="page43"/>
    <w:bookmarkEnd w:id="42"/>
    <w:p>
      <w:pPr>
        <w:spacing w:after="0" w:line="244" w:lineRule="auto"/>
        <w:rPr>
          <w:sz w:val="20"/>
          <w:szCs w:val="20"/>
          <w:color w:val="auto"/>
        </w:rPr>
      </w:pPr>
      <w:r>
        <w:rPr>
          <w:rFonts w:ascii="Times New Roman" w:cs="Times New Roman" w:eastAsia="Times New Roman" w:hAnsi="Times New Roman"/>
          <w:sz w:val="20"/>
          <w:szCs w:val="20"/>
          <w:color w:val="121212"/>
        </w:rPr>
        <w:t>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8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121212"/>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Trade Secrets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In addition to patents, we rely on trade secrets and know-how to develop and maintain our competitive position. We typically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8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121212"/>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“Risk Factors-Risks Related to Our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Governmental Regulation</w:t>
      </w:r>
    </w:p>
    <w:p>
      <w:pPr>
        <w:spacing w:after="0" w:line="12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and biologics.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biologics and ensuring subsequent compliance with appropriate federal, state, local and foreign statutes and regulations requires the expenditure of substantial time and financial resources.</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21212"/>
        </w:rPr>
        <w:t>In the United States, the FDA regulates drug products under the Federal Food, Drug, and Cosmetic Act, or FD&amp;C Act, and biologics under the FD&amp;C Act and the Public Health Service Act, or PHSA, as amended, and their implementing regulations. Both drugs and biologics are also subject to other federal, state and local statutes and regulations. We believe that bitopertin, which is a small molecule, will be regulated by the FDA as a drug product, and DISC-0974, DISC-0998 and DISC-3405, which are monoclonal antibodies, will be regulated by FDA as biologic products. If we fail to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86"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121212"/>
        </w:rPr>
        <w:t>Our product candidates must be approved for therapeutic indications by the FDA before they may be marketed in the United States. For drug product candidates regulated under the FD&amp;C Act, FDA must approve an NDA. For biologic product candidates</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33</w:t>
      </w:r>
    </w:p>
    <w:p>
      <w:pPr>
        <w:sectPr>
          <w:pgSz w:w="12240" w:h="15840" w:orient="portrait"/>
          <w:cols w:equalWidth="0" w:num="1">
            <w:col w:w="10440"/>
          </w:cols>
          <w:pgMar w:left="900" w:top="930" w:right="900" w:bottom="175" w:gutter="0" w:footer="0" w:header="0"/>
          <w:type w:val="continuous"/>
        </w:sectPr>
      </w:pPr>
    </w:p>
    <w:bookmarkStart w:id="43" w:name="page44"/>
    <w:bookmarkEnd w:id="43"/>
    <w:p>
      <w:pPr>
        <w:ind w:right="200"/>
        <w:spacing w:after="0" w:line="277" w:lineRule="auto"/>
        <w:rPr>
          <w:sz w:val="20"/>
          <w:szCs w:val="20"/>
          <w:color w:val="auto"/>
        </w:rPr>
      </w:pPr>
      <w:r>
        <w:rPr>
          <w:rFonts w:ascii="Times New Roman" w:cs="Times New Roman" w:eastAsia="Times New Roman" w:hAnsi="Times New Roman"/>
          <w:sz w:val="20"/>
          <w:szCs w:val="20"/>
          <w:color w:val="121212"/>
        </w:rPr>
        <w:t>regulated under the FD&amp;C Act and PHSA, FDA must approve a Biologics License Application, or BLA. The process is similar for both drugs and biologics and generally involves the following:</w:t>
      </w:r>
    </w:p>
    <w:p>
      <w:pPr>
        <w:spacing w:after="0" w:line="64" w:lineRule="exact"/>
        <w:rPr>
          <w:sz w:val="20"/>
          <w:szCs w:val="20"/>
          <w:color w:val="auto"/>
        </w:rPr>
      </w:pPr>
    </w:p>
    <w:p>
      <w:pPr>
        <w:ind w:left="980" w:right="100" w:hanging="498"/>
        <w:spacing w:after="0" w:line="276" w:lineRule="auto"/>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completion of extensive preclinical studies in accordance with applicable regulations, including studies conducted in accordance with good laboratory practice, or GLP, requirements;</w:t>
      </w:r>
    </w:p>
    <w:p>
      <w:pPr>
        <w:spacing w:after="0" w:line="64" w:lineRule="exact"/>
        <w:rPr>
          <w:rFonts w:ascii="Arial" w:cs="Arial" w:eastAsia="Arial" w:hAnsi="Arial"/>
          <w:sz w:val="20"/>
          <w:szCs w:val="20"/>
          <w:color w:val="121212"/>
        </w:rPr>
      </w:pPr>
    </w:p>
    <w:p>
      <w:pPr>
        <w:ind w:left="980" w:right="100" w:hanging="498"/>
        <w:spacing w:after="0" w:line="258" w:lineRule="auto"/>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81" w:lineRule="exact"/>
        <w:rPr>
          <w:rFonts w:ascii="Arial" w:cs="Arial" w:eastAsia="Arial" w:hAnsi="Arial"/>
          <w:sz w:val="20"/>
          <w:szCs w:val="20"/>
          <w:color w:val="121212"/>
        </w:rPr>
      </w:pPr>
    </w:p>
    <w:p>
      <w:pPr>
        <w:ind w:left="980" w:right="80" w:hanging="498"/>
        <w:spacing w:after="0" w:line="276" w:lineRule="auto"/>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submission to the FDA of an IND which must become effective before clinical trials may begin and must be updated annually and when certain changes are made;</w:t>
      </w:r>
    </w:p>
    <w:p>
      <w:pPr>
        <w:spacing w:after="0" w:line="64" w:lineRule="exact"/>
        <w:rPr>
          <w:rFonts w:ascii="Arial" w:cs="Arial" w:eastAsia="Arial" w:hAnsi="Arial"/>
          <w:sz w:val="20"/>
          <w:szCs w:val="20"/>
          <w:color w:val="121212"/>
        </w:rPr>
      </w:pPr>
    </w:p>
    <w:p>
      <w:pPr>
        <w:ind w:left="980" w:right="260" w:hanging="498"/>
        <w:spacing w:after="0" w:line="276" w:lineRule="auto"/>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approval by an institutional review board, or IRB, or independent ethics committee at each clinical trial site before each trial may be initiated;</w:t>
      </w:r>
    </w:p>
    <w:p>
      <w:pPr>
        <w:spacing w:after="0" w:line="64" w:lineRule="exact"/>
        <w:rPr>
          <w:rFonts w:ascii="Arial" w:cs="Arial" w:eastAsia="Arial" w:hAnsi="Arial"/>
          <w:sz w:val="20"/>
          <w:szCs w:val="20"/>
          <w:color w:val="121212"/>
        </w:rPr>
      </w:pPr>
    </w:p>
    <w:p>
      <w:pPr>
        <w:ind w:left="980" w:right="140" w:hanging="498"/>
        <w:spacing w:after="0" w:line="258" w:lineRule="auto"/>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1" w:lineRule="exact"/>
        <w:rPr>
          <w:rFonts w:ascii="Arial" w:cs="Arial" w:eastAsia="Arial" w:hAnsi="Arial"/>
          <w:sz w:val="20"/>
          <w:szCs w:val="20"/>
          <w:color w:val="121212"/>
        </w:rPr>
      </w:pPr>
    </w:p>
    <w:p>
      <w:pPr>
        <w:ind w:left="980" w:hanging="498"/>
        <w:spacing w:after="0"/>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preparation and submission to the FDA of an NDA or BLA;</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a determination by the FDA within 60 days of its receipt of an NDA or BLA to file the application for review;</w:t>
      </w:r>
    </w:p>
    <w:p>
      <w:pPr>
        <w:spacing w:after="0" w:line="133" w:lineRule="exact"/>
        <w:rPr>
          <w:rFonts w:ascii="Arial" w:cs="Arial" w:eastAsia="Arial" w:hAnsi="Arial"/>
          <w:sz w:val="20"/>
          <w:szCs w:val="20"/>
          <w:color w:val="121212"/>
        </w:rPr>
      </w:pPr>
    </w:p>
    <w:p>
      <w:pPr>
        <w:jc w:val="both"/>
        <w:ind w:left="980" w:right="120" w:hanging="498"/>
        <w:spacing w:after="0" w:line="278" w:lineRule="auto"/>
        <w:tabs>
          <w:tab w:leader="none" w:pos="980" w:val="left"/>
        </w:tabs>
        <w:numPr>
          <w:ilvl w:val="0"/>
          <w:numId w:val="14"/>
        </w:numPr>
        <w:rPr>
          <w:rFonts w:ascii="Arial" w:cs="Arial" w:eastAsia="Arial" w:hAnsi="Arial"/>
          <w:sz w:val="19"/>
          <w:szCs w:val="19"/>
          <w:color w:val="121212"/>
        </w:rPr>
      </w:pPr>
      <w:r>
        <w:rPr>
          <w:rFonts w:ascii="Times New Roman" w:cs="Times New Roman" w:eastAsia="Times New Roman" w:hAnsi="Times New Roman"/>
          <w:sz w:val="19"/>
          <w:szCs w:val="19"/>
          <w:color w:val="121212"/>
        </w:rPr>
        <w:t>satisfactory completion of one or more FDA pre-approval or pre-license inspections of the manufacturing facility or facilities where the drug will be produced to assess compliance with cGMP requirements to assure that the facilities, methods and controls are adequate to preserve the drug or biological product’s identity, strength, quality and purity;</w:t>
      </w:r>
    </w:p>
    <w:p>
      <w:pPr>
        <w:spacing w:after="0" w:line="64" w:lineRule="exact"/>
        <w:rPr>
          <w:rFonts w:ascii="Arial" w:cs="Arial" w:eastAsia="Arial" w:hAnsi="Arial"/>
          <w:sz w:val="19"/>
          <w:szCs w:val="19"/>
          <w:color w:val="121212"/>
        </w:rPr>
      </w:pPr>
    </w:p>
    <w:p>
      <w:pPr>
        <w:ind w:left="980" w:hanging="498"/>
        <w:spacing w:after="0"/>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satisfactory completion of FDA audit of the clinical trial sites that generated the data in support of the NDA or BLA;</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payment of user fees for FDA review of the NDA or BLA, unless a waiver is applicable; and</w:t>
      </w:r>
    </w:p>
    <w:p>
      <w:pPr>
        <w:spacing w:after="0" w:line="133" w:lineRule="exact"/>
        <w:rPr>
          <w:rFonts w:ascii="Arial" w:cs="Arial" w:eastAsia="Arial" w:hAnsi="Arial"/>
          <w:sz w:val="20"/>
          <w:szCs w:val="20"/>
          <w:color w:val="121212"/>
        </w:rPr>
      </w:pPr>
    </w:p>
    <w:p>
      <w:pPr>
        <w:ind w:left="980" w:right="160" w:hanging="498"/>
        <w:spacing w:after="0" w:line="276" w:lineRule="auto"/>
        <w:tabs>
          <w:tab w:leader="none" w:pos="980" w:val="left"/>
        </w:tabs>
        <w:numPr>
          <w:ilvl w:val="0"/>
          <w:numId w:val="14"/>
        </w:numPr>
        <w:rPr>
          <w:rFonts w:ascii="Arial" w:cs="Arial" w:eastAsia="Arial" w:hAnsi="Arial"/>
          <w:sz w:val="20"/>
          <w:szCs w:val="20"/>
          <w:color w:val="121212"/>
        </w:rPr>
      </w:pPr>
      <w:r>
        <w:rPr>
          <w:rFonts w:ascii="Times New Roman" w:cs="Times New Roman" w:eastAsia="Times New Roman" w:hAnsi="Times New Roman"/>
          <w:sz w:val="20"/>
          <w:szCs w:val="20"/>
          <w:color w:val="121212"/>
        </w:rPr>
        <w:t>FDA review and approval of the NDA or BLA, including, where applicable, consideration of the views of any FDA advisory committee, prior to any commercial marketing or sale of the drug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Preclinical Studies and Clinical Trials for Drugs and Biologics</w:t>
      </w:r>
    </w:p>
    <w:p>
      <w:pPr>
        <w:spacing w:after="0" w:line="120" w:lineRule="exact"/>
        <w:rPr>
          <w:sz w:val="20"/>
          <w:szCs w:val="20"/>
          <w:color w:val="auto"/>
        </w:rPr>
      </w:pPr>
    </w:p>
    <w:p>
      <w:pPr>
        <w:ind w:right="40" w:firstLine="490"/>
        <w:spacing w:after="0" w:line="265" w:lineRule="auto"/>
        <w:rPr>
          <w:sz w:val="20"/>
          <w:szCs w:val="20"/>
          <w:color w:val="auto"/>
        </w:rPr>
      </w:pPr>
      <w:r>
        <w:rPr>
          <w:rFonts w:ascii="Times New Roman" w:cs="Times New Roman" w:eastAsia="Times New Roman" w:hAnsi="Times New Roman"/>
          <w:sz w:val="19"/>
          <w:szCs w:val="19"/>
          <w:color w:val="121212"/>
        </w:rPr>
        <w:t xml:space="preserve">Before testing any drug or biologic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9"/>
          <w:szCs w:val="19"/>
          <w:i w:val="1"/>
          <w:iCs w:val="1"/>
          <w:color w:val="121212"/>
        </w:rPr>
        <w:t>in vitro</w:t>
      </w:r>
      <w:r>
        <w:rPr>
          <w:rFonts w:ascii="Times New Roman" w:cs="Times New Roman" w:eastAsia="Times New Roman" w:hAnsi="Times New Roman"/>
          <w:sz w:val="19"/>
          <w:szCs w:val="19"/>
          <w:color w:val="121212"/>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6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21212"/>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the results of animal and </w:t>
      </w:r>
      <w:r>
        <w:rPr>
          <w:rFonts w:ascii="Times New Roman" w:cs="Times New Roman" w:eastAsia="Times New Roman" w:hAnsi="Times New Roman"/>
          <w:sz w:val="20"/>
          <w:szCs w:val="20"/>
          <w:i w:val="1"/>
          <w:iCs w:val="1"/>
          <w:color w:val="121212"/>
        </w:rPr>
        <w:t>in vitro</w:t>
      </w:r>
      <w:r>
        <w:rPr>
          <w:rFonts w:ascii="Times New Roman" w:cs="Times New Roman" w:eastAsia="Times New Roman" w:hAnsi="Times New Roman"/>
          <w:sz w:val="20"/>
          <w:szCs w:val="20"/>
          <w:color w:val="121212"/>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86"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121212"/>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w:t>
      </w:r>
    </w:p>
    <w:p>
      <w:pPr>
        <w:sectPr>
          <w:pgSz w:w="12240" w:h="15840" w:orient="portrait"/>
          <w:cols w:equalWidth="0" w:num="1">
            <w:col w:w="10400"/>
          </w:cols>
          <w:pgMar w:left="900" w:top="930" w:right="940" w:bottom="175" w:gutter="0" w:footer="0" w:header="0"/>
        </w:sect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21212"/>
        </w:rPr>
        <w:t>34</w:t>
      </w:r>
    </w:p>
    <w:p>
      <w:pPr>
        <w:sectPr>
          <w:pgSz w:w="12240" w:h="15840" w:orient="portrait"/>
          <w:cols w:equalWidth="0" w:num="1">
            <w:col w:w="10400"/>
          </w:cols>
          <w:pgMar w:left="900" w:top="930" w:right="940" w:bottom="175" w:gutter="0" w:footer="0" w:header="0"/>
          <w:type w:val="continuous"/>
        </w:sectPr>
      </w:pPr>
    </w:p>
    <w:bookmarkStart w:id="44" w:name="page45"/>
    <w:bookmarkEnd w:id="44"/>
    <w:p>
      <w:pPr>
        <w:ind w:right="140"/>
        <w:spacing w:after="0" w:line="247" w:lineRule="auto"/>
        <w:rPr>
          <w:sz w:val="20"/>
          <w:szCs w:val="20"/>
          <w:color w:val="auto"/>
        </w:rPr>
      </w:pPr>
      <w:r>
        <w:rPr>
          <w:rFonts w:ascii="Times New Roman" w:cs="Times New Roman" w:eastAsia="Times New Roman" w:hAnsi="Times New Roman"/>
          <w:sz w:val="20"/>
          <w:szCs w:val="20"/>
          <w:color w:val="121212"/>
        </w:rPr>
        <w:t>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21212"/>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21212"/>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or BLA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77"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121212"/>
        </w:rPr>
        <w:t>Clinical trials to evaluate therapeutic indications to support NDAs and BLAs for marketing approval are typically conducted in three sequential phases, which may overlap.</w:t>
      </w:r>
    </w:p>
    <w:p>
      <w:pPr>
        <w:spacing w:after="0" w:line="64" w:lineRule="exact"/>
        <w:rPr>
          <w:sz w:val="20"/>
          <w:szCs w:val="20"/>
          <w:color w:val="auto"/>
        </w:rPr>
      </w:pPr>
    </w:p>
    <w:p>
      <w:pPr>
        <w:ind w:left="980" w:right="160" w:hanging="498"/>
        <w:spacing w:after="0" w:line="252" w:lineRule="auto"/>
        <w:tabs>
          <w:tab w:leader="none" w:pos="980" w:val="left"/>
        </w:tabs>
        <w:numPr>
          <w:ilvl w:val="0"/>
          <w:numId w:val="15"/>
        </w:numPr>
        <w:rPr>
          <w:rFonts w:ascii="Arial" w:cs="Arial" w:eastAsia="Arial" w:hAnsi="Arial"/>
          <w:sz w:val="20"/>
          <w:szCs w:val="20"/>
          <w:color w:val="121212"/>
        </w:rPr>
      </w:pPr>
      <w:r>
        <w:rPr>
          <w:rFonts w:ascii="Times New Roman" w:cs="Times New Roman" w:eastAsia="Times New Roman" w:hAnsi="Times New Roman"/>
          <w:sz w:val="20"/>
          <w:szCs w:val="20"/>
          <w:i w:val="1"/>
          <w:iCs w:val="1"/>
          <w:color w:val="121212"/>
        </w:rPr>
        <w:t xml:space="preserve">Phase 1 </w:t>
      </w:r>
      <w:r>
        <w:rPr>
          <w:rFonts w:ascii="Times New Roman" w:cs="Times New Roman" w:eastAsia="Times New Roman" w:hAnsi="Times New Roman"/>
          <w:sz w:val="20"/>
          <w:szCs w:val="20"/>
          <w:color w:val="121212"/>
        </w:rPr>
        <w:t>- Phase 1 clinical trials involve initial introduction of the investigational product in a limited population of</w:t>
      </w:r>
      <w:r>
        <w:rPr>
          <w:rFonts w:ascii="Times New Roman" w:cs="Times New Roman" w:eastAsia="Times New Roman" w:hAnsi="Times New Roman"/>
          <w:sz w:val="20"/>
          <w:szCs w:val="20"/>
          <w:i w:val="1"/>
          <w:iCs w:val="1"/>
          <w:color w:val="121212"/>
        </w:rPr>
        <w:t xml:space="preserve"> </w:t>
      </w:r>
      <w:r>
        <w:rPr>
          <w:rFonts w:ascii="Times New Roman" w:cs="Times New Roman" w:eastAsia="Times New Roman" w:hAnsi="Times New Roman"/>
          <w:sz w:val="20"/>
          <w:szCs w:val="20"/>
          <w:color w:val="121212"/>
        </w:rPr>
        <w:t>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87" w:lineRule="exact"/>
        <w:rPr>
          <w:rFonts w:ascii="Arial" w:cs="Arial" w:eastAsia="Arial" w:hAnsi="Arial"/>
          <w:sz w:val="20"/>
          <w:szCs w:val="20"/>
          <w:color w:val="121212"/>
        </w:rPr>
      </w:pPr>
    </w:p>
    <w:p>
      <w:pPr>
        <w:jc w:val="both"/>
        <w:ind w:left="980" w:right="380" w:hanging="498"/>
        <w:spacing w:after="0" w:line="258" w:lineRule="auto"/>
        <w:tabs>
          <w:tab w:leader="none" w:pos="980" w:val="left"/>
        </w:tabs>
        <w:numPr>
          <w:ilvl w:val="0"/>
          <w:numId w:val="15"/>
        </w:numPr>
        <w:rPr>
          <w:rFonts w:ascii="Arial" w:cs="Arial" w:eastAsia="Arial" w:hAnsi="Arial"/>
          <w:sz w:val="20"/>
          <w:szCs w:val="20"/>
          <w:color w:val="121212"/>
        </w:rPr>
      </w:pPr>
      <w:r>
        <w:rPr>
          <w:rFonts w:ascii="Times New Roman" w:cs="Times New Roman" w:eastAsia="Times New Roman" w:hAnsi="Times New Roman"/>
          <w:sz w:val="20"/>
          <w:szCs w:val="20"/>
          <w:i w:val="1"/>
          <w:iCs w:val="1"/>
          <w:color w:val="121212"/>
        </w:rPr>
        <w:t xml:space="preserve">Phase 2 </w:t>
      </w:r>
      <w:r>
        <w:rPr>
          <w:rFonts w:ascii="Times New Roman" w:cs="Times New Roman" w:eastAsia="Times New Roman" w:hAnsi="Times New Roman"/>
          <w:sz w:val="20"/>
          <w:szCs w:val="20"/>
          <w:color w:val="121212"/>
        </w:rPr>
        <w:t>- Phase 2 clinical trials typically involve administration of the investigational product to a limited patient</w:t>
      </w:r>
      <w:r>
        <w:rPr>
          <w:rFonts w:ascii="Times New Roman" w:cs="Times New Roman" w:eastAsia="Times New Roman" w:hAnsi="Times New Roman"/>
          <w:sz w:val="20"/>
          <w:szCs w:val="20"/>
          <w:i w:val="1"/>
          <w:iCs w:val="1"/>
          <w:color w:val="121212"/>
        </w:rPr>
        <w:t xml:space="preserve"> </w:t>
      </w:r>
      <w:r>
        <w:rPr>
          <w:rFonts w:ascii="Times New Roman" w:cs="Times New Roman" w:eastAsia="Times New Roman" w:hAnsi="Times New Roman"/>
          <w:sz w:val="20"/>
          <w:szCs w:val="20"/>
          <w:color w:val="121212"/>
        </w:rPr>
        <w:t>population with a specified disease or condition to evaluate the drug’s potential efficacy, to determine the optimal dosages and dosing schedule and to identify possible adverse side effects and safety risks.</w:t>
      </w:r>
    </w:p>
    <w:p>
      <w:pPr>
        <w:spacing w:after="0" w:line="81" w:lineRule="exact"/>
        <w:rPr>
          <w:rFonts w:ascii="Arial" w:cs="Arial" w:eastAsia="Arial" w:hAnsi="Arial"/>
          <w:sz w:val="20"/>
          <w:szCs w:val="20"/>
          <w:color w:val="121212"/>
        </w:rPr>
      </w:pPr>
    </w:p>
    <w:p>
      <w:pPr>
        <w:ind w:left="980" w:right="120" w:hanging="498"/>
        <w:spacing w:after="0" w:line="247" w:lineRule="auto"/>
        <w:tabs>
          <w:tab w:leader="none" w:pos="980" w:val="left"/>
        </w:tabs>
        <w:numPr>
          <w:ilvl w:val="0"/>
          <w:numId w:val="15"/>
        </w:numPr>
        <w:rPr>
          <w:rFonts w:ascii="Arial" w:cs="Arial" w:eastAsia="Arial" w:hAnsi="Arial"/>
          <w:sz w:val="20"/>
          <w:szCs w:val="20"/>
          <w:color w:val="121212"/>
        </w:rPr>
      </w:pPr>
      <w:r>
        <w:rPr>
          <w:rFonts w:ascii="Times New Roman" w:cs="Times New Roman" w:eastAsia="Times New Roman" w:hAnsi="Times New Roman"/>
          <w:sz w:val="20"/>
          <w:szCs w:val="20"/>
          <w:i w:val="1"/>
          <w:iCs w:val="1"/>
          <w:color w:val="121212"/>
        </w:rPr>
        <w:t xml:space="preserve">Phase 3 </w:t>
      </w:r>
      <w:r>
        <w:rPr>
          <w:rFonts w:ascii="Times New Roman" w:cs="Times New Roman" w:eastAsia="Times New Roman" w:hAnsi="Times New Roman"/>
          <w:sz w:val="20"/>
          <w:szCs w:val="20"/>
          <w:color w:val="121212"/>
        </w:rPr>
        <w:t>- Phase 3 clinical trials typically involve administration of the investigational product to an expanded patient</w:t>
      </w:r>
      <w:r>
        <w:rPr>
          <w:rFonts w:ascii="Times New Roman" w:cs="Times New Roman" w:eastAsia="Times New Roman" w:hAnsi="Times New Roman"/>
          <w:sz w:val="20"/>
          <w:szCs w:val="20"/>
          <w:i w:val="1"/>
          <w:iCs w:val="1"/>
          <w:color w:val="121212"/>
        </w:rPr>
        <w:t xml:space="preserve"> </w:t>
      </w:r>
      <w:r>
        <w:rPr>
          <w:rFonts w:ascii="Times New Roman" w:cs="Times New Roman" w:eastAsia="Times New Roman" w:hAnsi="Times New Roman"/>
          <w:sz w:val="20"/>
          <w:szCs w:val="20"/>
          <w:color w:val="121212"/>
        </w:rPr>
        <w:t>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 or BLA.</w:t>
      </w:r>
    </w:p>
    <w:p>
      <w:pPr>
        <w:spacing w:after="0" w:line="79"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121212"/>
        </w:rPr>
        <w:t>Post -approval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or BLA approval.</w:t>
      </w:r>
    </w:p>
    <w:p>
      <w:pPr>
        <w:spacing w:after="0" w:line="5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20"/>
          <w:szCs w:val="20"/>
          <w:i w:val="1"/>
          <w:iCs w:val="1"/>
          <w:color w:val="121212"/>
        </w:rPr>
        <w:t>in vitro</w:t>
      </w:r>
      <w:r>
        <w:rPr>
          <w:rFonts w:ascii="Times New Roman" w:cs="Times New Roman" w:eastAsia="Times New Roman" w:hAnsi="Times New Roman"/>
          <w:sz w:val="20"/>
          <w:szCs w:val="20"/>
          <w:color w:val="121212"/>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or biological product, sponsors have the opportunity to meet with the FDA at certain points, including prior to submission of an IND, at the end of Phase 2 and before submission of an NDA or BLA. These meetings can provide an opportunity for the sponsor to share information about the data gathered to date and for the FDA to provide advice on the next phase of development.</w:t>
      </w:r>
    </w:p>
    <w:p>
      <w:pPr>
        <w:spacing w:after="0" w:line="8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21212"/>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For biological products in particular, the PHSA emphasizes the importance of manufacturing control for products whose attributes cannot be precisely defined in order to help ensure safety, purity and potency. Additionally, appropriate packaging must be selected and tested, and stability studies must be conducted to demonstrate that the product candidate does not undergo unacceptable deterioration over its shelf life.</w:t>
      </w:r>
    </w:p>
    <w:p>
      <w:pPr>
        <w:sectPr>
          <w:pgSz w:w="12240" w:h="15840" w:orient="portrait"/>
          <w:cols w:equalWidth="0" w:num="1">
            <w:col w:w="10460"/>
          </w:cols>
          <w:pgMar w:left="900" w:top="930" w:right="880" w:bottom="175" w:gutter="0" w:footer="0" w:header="0"/>
        </w:sect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35</w:t>
      </w:r>
    </w:p>
    <w:p>
      <w:pPr>
        <w:sectPr>
          <w:pgSz w:w="12240" w:h="15840" w:orient="portrait"/>
          <w:cols w:equalWidth="0" w:num="1">
            <w:col w:w="10460"/>
          </w:cols>
          <w:pgMar w:left="900" w:top="930" w:right="880" w:bottom="175"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121212"/>
        </w:rPr>
        <w:t>U.S. Marketing Approval for Drugs and Biologics</w:t>
      </w:r>
    </w:p>
    <w:p>
      <w:pPr>
        <w:spacing w:after="0" w:line="12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121212"/>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An NDA is a request for approval to market a new drug for one or more specified indications and must contain proof of the drug’s safety and efficacy for the requested indications. A BLA is a request for approval to market a new biologic for one or more specified indications and must contain proof of the biologic’s safety, purity and potency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must approve an NDA or BLA before a drug or biologic may be marketed in the United States. The FDA reviews all submitted NDAs and BLAs to ensure they are sufficiently complete to permit substantive review before it accepts them for filing and may request additional information rather than accepting the NDA or BLA for filing. The FDA must make a decision on accepting an NDA or BLA for filing within 60 days of receipt, and such decision could include a refusal to file by the FDA. Once the submission is accepted for filing, the FDA begins an in-depth substantive review of the NDA or BLA. The FDA reviews an NDA or BLA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or BLA and respond to the applicant, and six months from the filing date of a new molecular entity NDA or BLA for priority review. The FDA does not always meet its PDUFA goal dates for standard or priority NDAs or BLAs, and the review process is often extended by FDA requests for additional information or clarification.</w:t>
      </w:r>
    </w:p>
    <w:p>
      <w:pPr>
        <w:spacing w:after="0" w:line="9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121212"/>
        </w:rPr>
        <w:t>Further, under PDUFA, as amended, each NDA or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7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21212"/>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7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The FDA may refer an application for a novel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21212"/>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pacing w:after="0" w:line="7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21212"/>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36</w:t>
      </w:r>
    </w:p>
    <w:p>
      <w:pPr>
        <w:sectPr>
          <w:pgSz w:w="12240" w:h="15840" w:orient="portrait"/>
          <w:cols w:equalWidth="0" w:num="1">
            <w:col w:w="10440"/>
          </w:cols>
          <w:pgMar w:left="900" w:top="930" w:right="900" w:bottom="175" w:gutter="0" w:footer="0" w:header="0"/>
          <w:type w:val="continuous"/>
        </w:sectPr>
      </w:pPr>
    </w:p>
    <w:bookmarkStart w:id="46" w:name="page47"/>
    <w:bookmarkEnd w:id="46"/>
    <w:p>
      <w:pPr>
        <w:ind w:right="60" w:firstLine="490"/>
        <w:spacing w:after="0" w:line="244" w:lineRule="auto"/>
        <w:rPr>
          <w:sz w:val="20"/>
          <w:szCs w:val="20"/>
          <w:color w:val="auto"/>
        </w:rPr>
      </w:pPr>
      <w:r>
        <w:rPr>
          <w:rFonts w:ascii="Times New Roman" w:cs="Times New Roman" w:eastAsia="Times New Roman" w:hAnsi="Times New Roman"/>
          <w:sz w:val="20"/>
          <w:szCs w:val="20"/>
          <w:color w:val="121212"/>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Orphan Drug Designation and Exclusivity</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21212"/>
        </w:rPr>
        <w:t>Under the Orphan Drug Act, the FDA may grant orphan drug designation to a drug or biologic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or BLA.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21212"/>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83"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121212"/>
        </w:rPr>
        <w:t>The FDA may further reevaluate its regulations and policies under the Orphan Drug Act. It is unclear as to how, if at all, the FDA may change the orphan drug regulations and policies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Rare Pediatric Disease Designation and Priority Review Vouchers</w:t>
      </w:r>
    </w:p>
    <w:p>
      <w:pPr>
        <w:spacing w:after="0" w:line="12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121212"/>
        </w:rPr>
        <w:t>Under the FD&amp;C Act, the FDA incentivizes the development of products that meet the definition of a “rare pediatric disease,” defined to mean a serious or life-threatening disease in which the serious or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recovered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its marketing application if it requests such a voucher in its original marketing application and meets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Expedited Development and Review Programs for Drugs and Biologics</w:t>
      </w:r>
    </w:p>
    <w:p>
      <w:pPr>
        <w:spacing w:after="0" w:line="120" w:lineRule="exact"/>
        <w:rPr>
          <w:sz w:val="20"/>
          <w:szCs w:val="20"/>
          <w:color w:val="auto"/>
        </w:rPr>
      </w:pPr>
    </w:p>
    <w:p>
      <w:pPr>
        <w:ind w:right="300" w:firstLine="490"/>
        <w:spacing w:after="0" w:line="278" w:lineRule="auto"/>
        <w:rPr>
          <w:sz w:val="20"/>
          <w:szCs w:val="20"/>
          <w:color w:val="auto"/>
        </w:rPr>
      </w:pPr>
      <w:r>
        <w:rPr>
          <w:rFonts w:ascii="Times New Roman" w:cs="Times New Roman" w:eastAsia="Times New Roman" w:hAnsi="Times New Roman"/>
          <w:sz w:val="19"/>
          <w:szCs w:val="19"/>
          <w:color w:val="121212"/>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 and the purpose of</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37</w:t>
      </w:r>
    </w:p>
    <w:p>
      <w:pPr>
        <w:sectPr>
          <w:pgSz w:w="12240" w:h="15840" w:orient="portrait"/>
          <w:cols w:equalWidth="0" w:num="1">
            <w:col w:w="10440"/>
          </w:cols>
          <w:pgMar w:left="900" w:top="930" w:right="900" w:bottom="175" w:gutter="0" w:footer="0" w:header="0"/>
          <w:type w:val="continuous"/>
        </w:sectPr>
      </w:pPr>
    </w:p>
    <w:bookmarkStart w:id="47" w:name="page48"/>
    <w:bookmarkEnd w:id="47"/>
    <w:p>
      <w:pPr>
        <w:ind w:right="80"/>
        <w:spacing w:after="0" w:line="277" w:lineRule="auto"/>
        <w:rPr>
          <w:sz w:val="20"/>
          <w:szCs w:val="20"/>
          <w:color w:val="auto"/>
        </w:rPr>
      </w:pPr>
      <w:r>
        <w:rPr>
          <w:rFonts w:ascii="Times New Roman" w:cs="Times New Roman" w:eastAsia="Times New Roman" w:hAnsi="Times New Roman"/>
          <w:sz w:val="20"/>
          <w:szCs w:val="20"/>
          <w:color w:val="121212"/>
        </w:rPr>
        <w:t>these programs is to either expedite the development or review of important new drugs and biologics to get them to patients more quickly than standard FDA review timelines typically permit.</w:t>
      </w:r>
    </w:p>
    <w:p>
      <w:pPr>
        <w:spacing w:after="0" w:line="49" w:lineRule="exact"/>
        <w:rPr>
          <w:sz w:val="20"/>
          <w:szCs w:val="20"/>
          <w:color w:val="auto"/>
        </w:rPr>
      </w:pPr>
    </w:p>
    <w:p>
      <w:pPr>
        <w:ind w:right="40" w:firstLine="490"/>
        <w:spacing w:after="0" w:line="261" w:lineRule="auto"/>
        <w:rPr>
          <w:sz w:val="20"/>
          <w:szCs w:val="20"/>
          <w:color w:val="auto"/>
        </w:rPr>
      </w:pPr>
      <w:r>
        <w:rPr>
          <w:rFonts w:ascii="Times New Roman" w:cs="Times New Roman" w:eastAsia="Times New Roman" w:hAnsi="Times New Roman"/>
          <w:sz w:val="19"/>
          <w:szCs w:val="19"/>
          <w:color w:val="121212"/>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Additionally, the FDA may rescind a fast track designation if it believes that the designation is no longer supported by data emerging in the clinical trial process.</w:t>
      </w:r>
    </w:p>
    <w:p>
      <w:pPr>
        <w:spacing w:after="0" w:line="6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21212"/>
        </w:rPr>
        <w:t>In addition, a new drug or biologic may be eligible for breakthrough therapy designation if it is intended to treat a serious or life-threatening disease or condition and preliminary clinical evidence indicates that the drug or biologic, alone or in combination with one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21212"/>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BLA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80" w:lineRule="exact"/>
        <w:rPr>
          <w:sz w:val="20"/>
          <w:szCs w:val="20"/>
          <w:color w:val="auto"/>
        </w:rPr>
      </w:pPr>
    </w:p>
    <w:p>
      <w:pPr>
        <w:ind w:right="160" w:firstLine="490"/>
        <w:spacing w:after="0" w:line="242" w:lineRule="auto"/>
        <w:rPr>
          <w:sz w:val="20"/>
          <w:szCs w:val="20"/>
          <w:color w:val="auto"/>
        </w:rPr>
      </w:pPr>
      <w:r>
        <w:rPr>
          <w:rFonts w:ascii="Times New Roman" w:cs="Times New Roman" w:eastAsia="Times New Roman" w:hAnsi="Times New Roman"/>
          <w:sz w:val="20"/>
          <w:szCs w:val="20"/>
          <w:color w:val="121212"/>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in a diligent manner, adequate and well-controlled additional post-approval confirmatory trials to verify and describe the product’s clinical benefit. Under the Food and Drug Omnibus Reform Act of 2022, or FDORA, the FDA is now permitted to require, as appropriate, that such trials be underway prior to approval or within a specific time period after the date accelerated approval is granted. Additionally,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92" w:lineRule="exact"/>
        <w:rPr>
          <w:sz w:val="20"/>
          <w:szCs w:val="20"/>
          <w:color w:val="auto"/>
        </w:rPr>
      </w:pPr>
    </w:p>
    <w:p>
      <w:pPr>
        <w:ind w:right="260" w:firstLine="490"/>
        <w:spacing w:after="0" w:line="249" w:lineRule="auto"/>
        <w:rPr>
          <w:sz w:val="20"/>
          <w:szCs w:val="20"/>
          <w:color w:val="auto"/>
        </w:rPr>
      </w:pPr>
      <w:r>
        <w:rPr>
          <w:rFonts w:ascii="Times New Roman" w:cs="Times New Roman" w:eastAsia="Times New Roman" w:hAnsi="Times New Roman"/>
          <w:sz w:val="20"/>
          <w:szCs w:val="20"/>
          <w:color w:val="121212"/>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Pediatric Information and Pediatric Exclusivity</w:t>
      </w:r>
    </w:p>
    <w:p>
      <w:pPr>
        <w:spacing w:after="0" w:line="120"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121212"/>
        </w:rPr>
        <w:t>Under the Pediatric Research Equity Act, or PREA, as amended, certain NDAs and BLAs and certain NDA and BLA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w:t>
      </w:r>
    </w:p>
    <w:p>
      <w:pPr>
        <w:sectPr>
          <w:pgSz w:w="12240" w:h="15840" w:orient="portrait"/>
          <w:cols w:equalWidth="0" w:num="1">
            <w:col w:w="10440"/>
          </w:cols>
          <w:pgMar w:left="900" w:top="930" w:right="900" w:bottom="175" w:gutter="0" w:footer="0" w:header="0"/>
        </w:sect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38</w:t>
      </w:r>
    </w:p>
    <w:p>
      <w:pPr>
        <w:sectPr>
          <w:pgSz w:w="12240" w:h="15840" w:orient="portrait"/>
          <w:cols w:equalWidth="0" w:num="1">
            <w:col w:w="10440"/>
          </w:cols>
          <w:pgMar w:left="900" w:top="930" w:right="900" w:bottom="175" w:gutter="0" w:footer="0" w:header="0"/>
          <w:type w:val="continuous"/>
        </w:sectPr>
      </w:pPr>
    </w:p>
    <w:bookmarkStart w:id="48" w:name="page49"/>
    <w:bookmarkEnd w:id="48"/>
    <w:p>
      <w:pPr>
        <w:ind w:right="300"/>
        <w:spacing w:after="0" w:line="258" w:lineRule="auto"/>
        <w:rPr>
          <w:sz w:val="20"/>
          <w:szCs w:val="20"/>
          <w:color w:val="auto"/>
        </w:rPr>
      </w:pPr>
      <w:r>
        <w:rPr>
          <w:rFonts w:ascii="Times New Roman" w:cs="Times New Roman" w:eastAsia="Times New Roman" w:hAnsi="Times New Roman"/>
          <w:sz w:val="20"/>
          <w:szCs w:val="20"/>
          <w:color w:val="121212"/>
        </w:rPr>
        <w:t>the pediatric plan need to be considered based on data collected from preclinical studies, early phase clinical trials and/or other clinical development programs. Unless otherwise required by regulation, PREA does not apply to a drug or biologic for an indication for which orphan designation has been granted.</w:t>
      </w:r>
    </w:p>
    <w:p>
      <w:pPr>
        <w:spacing w:after="0" w:line="68"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A product can also obtain pediatric market exclusivity in the United States. Pediatric exclusivity, if granted, adds six months to existing exclusivity periods for biologics and drugs and patent terms for drugs. This six-month exclusivity, which runs from the end of other exclusivity protection for biologics and drugs or patent term for drugs, may be granted based on the voluntary completion of a pediatric study in accordance with an FDA-issued “Written Request” for such a study.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U.S. Post-Approval Requirements for Drugs and Biologics</w:t>
      </w:r>
    </w:p>
    <w:p>
      <w:pPr>
        <w:spacing w:after="0" w:line="12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21212"/>
        </w:rPr>
        <w:t>Drugs and biologics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77"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and biologics must be submitted to the FDA in conjunction with their first use or first publication. Further, if there are any modifications to the drug or biologic,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 and biological products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8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121212"/>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4" w:lineRule="exact"/>
        <w:rPr>
          <w:sz w:val="20"/>
          <w:szCs w:val="20"/>
          <w:color w:val="auto"/>
        </w:rPr>
      </w:pPr>
    </w:p>
    <w:p>
      <w:pPr>
        <w:ind w:left="980" w:right="60" w:hanging="498"/>
        <w:spacing w:after="0" w:line="276" w:lineRule="auto"/>
        <w:tabs>
          <w:tab w:leader="none" w:pos="980" w:val="left"/>
        </w:tabs>
        <w:numPr>
          <w:ilvl w:val="0"/>
          <w:numId w:val="16"/>
        </w:numPr>
        <w:rPr>
          <w:rFonts w:ascii="Arial" w:cs="Arial" w:eastAsia="Arial" w:hAnsi="Arial"/>
          <w:sz w:val="20"/>
          <w:szCs w:val="20"/>
          <w:color w:val="121212"/>
        </w:rPr>
      </w:pPr>
      <w:r>
        <w:rPr>
          <w:rFonts w:ascii="Times New Roman" w:cs="Times New Roman" w:eastAsia="Times New Roman" w:hAnsi="Times New Roman"/>
          <w:sz w:val="20"/>
          <w:szCs w:val="20"/>
          <w:color w:val="121212"/>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121212"/>
        </w:rPr>
      </w:pPr>
    </w:p>
    <w:p>
      <w:pPr>
        <w:ind w:left="980" w:right="440" w:hanging="498"/>
        <w:spacing w:after="0" w:line="276" w:lineRule="auto"/>
        <w:tabs>
          <w:tab w:leader="none" w:pos="980" w:val="left"/>
        </w:tabs>
        <w:numPr>
          <w:ilvl w:val="0"/>
          <w:numId w:val="16"/>
        </w:numPr>
        <w:rPr>
          <w:rFonts w:ascii="Arial" w:cs="Arial" w:eastAsia="Arial" w:hAnsi="Arial"/>
          <w:sz w:val="20"/>
          <w:szCs w:val="20"/>
          <w:color w:val="121212"/>
        </w:rPr>
      </w:pPr>
      <w:r>
        <w:rPr>
          <w:rFonts w:ascii="Times New Roman" w:cs="Times New Roman" w:eastAsia="Times New Roman" w:hAnsi="Times New Roman"/>
          <w:sz w:val="20"/>
          <w:szCs w:val="20"/>
          <w:color w:val="121212"/>
        </w:rPr>
        <w:t>the issuance of safety alerts, Dear Healthcare Provider letters, press releases or other communications containing warnings or other safety information about the product;</w:t>
      </w:r>
    </w:p>
    <w:p>
      <w:pPr>
        <w:spacing w:after="0" w:line="64" w:lineRule="exact"/>
        <w:rPr>
          <w:rFonts w:ascii="Arial" w:cs="Arial" w:eastAsia="Arial" w:hAnsi="Arial"/>
          <w:sz w:val="20"/>
          <w:szCs w:val="20"/>
          <w:color w:val="121212"/>
        </w:rPr>
      </w:pPr>
    </w:p>
    <w:p>
      <w:pPr>
        <w:ind w:left="980" w:hanging="498"/>
        <w:spacing w:after="0"/>
        <w:tabs>
          <w:tab w:leader="none" w:pos="980" w:val="left"/>
        </w:tabs>
        <w:numPr>
          <w:ilvl w:val="0"/>
          <w:numId w:val="16"/>
        </w:numPr>
        <w:rPr>
          <w:rFonts w:ascii="Arial" w:cs="Arial" w:eastAsia="Arial" w:hAnsi="Arial"/>
          <w:sz w:val="20"/>
          <w:szCs w:val="20"/>
          <w:color w:val="121212"/>
        </w:rPr>
      </w:pPr>
      <w:r>
        <w:rPr>
          <w:rFonts w:ascii="Times New Roman" w:cs="Times New Roman" w:eastAsia="Times New Roman" w:hAnsi="Times New Roman"/>
          <w:sz w:val="20"/>
          <w:szCs w:val="20"/>
          <w:color w:val="121212"/>
        </w:rPr>
        <w:t>fines, warning letters or holds on post-approval clinical trials;</w:t>
      </w:r>
    </w:p>
    <w:p>
      <w:pPr>
        <w:spacing w:after="0" w:line="133" w:lineRule="exact"/>
        <w:rPr>
          <w:rFonts w:ascii="Arial" w:cs="Arial" w:eastAsia="Arial" w:hAnsi="Arial"/>
          <w:sz w:val="20"/>
          <w:szCs w:val="20"/>
          <w:color w:val="121212"/>
        </w:rPr>
      </w:pPr>
    </w:p>
    <w:p>
      <w:pPr>
        <w:ind w:left="980" w:right="240" w:hanging="498"/>
        <w:spacing w:after="0" w:line="276" w:lineRule="auto"/>
        <w:tabs>
          <w:tab w:leader="none" w:pos="980" w:val="left"/>
        </w:tabs>
        <w:numPr>
          <w:ilvl w:val="0"/>
          <w:numId w:val="16"/>
        </w:numPr>
        <w:rPr>
          <w:rFonts w:ascii="Arial" w:cs="Arial" w:eastAsia="Arial" w:hAnsi="Arial"/>
          <w:sz w:val="20"/>
          <w:szCs w:val="20"/>
          <w:color w:val="121212"/>
        </w:rPr>
      </w:pPr>
      <w:r>
        <w:rPr>
          <w:rFonts w:ascii="Times New Roman" w:cs="Times New Roman" w:eastAsia="Times New Roman" w:hAnsi="Times New Roman"/>
          <w:sz w:val="20"/>
          <w:szCs w:val="20"/>
          <w:color w:val="121212"/>
        </w:rPr>
        <w:t>refusal of the FDA to approve applications or supplements to approved applications, or suspension or revocation of product approvals;</w:t>
      </w:r>
    </w:p>
    <w:p>
      <w:pPr>
        <w:sectPr>
          <w:pgSz w:w="12240" w:h="15840" w:orient="portrait"/>
          <w:cols w:equalWidth="0" w:num="1">
            <w:col w:w="10440"/>
          </w:cols>
          <w:pgMar w:left="900" w:top="930" w:right="900" w:bottom="175"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39</w:t>
      </w:r>
    </w:p>
    <w:p>
      <w:pPr>
        <w:sectPr>
          <w:pgSz w:w="12240" w:h="15840" w:orient="portrait"/>
          <w:cols w:equalWidth="0" w:num="1">
            <w:col w:w="10440"/>
          </w:cols>
          <w:pgMar w:left="900" w:top="930" w:right="900" w:bottom="175" w:gutter="0" w:footer="0" w:header="0"/>
          <w:type w:val="continuous"/>
        </w:sectPr>
      </w:pPr>
    </w:p>
    <w:bookmarkStart w:id="49" w:name="page50"/>
    <w:bookmarkEnd w:id="49"/>
    <w:p>
      <w:pPr>
        <w:ind w:left="980" w:hanging="498"/>
        <w:spacing w:after="0"/>
        <w:tabs>
          <w:tab w:leader="none" w:pos="980" w:val="left"/>
        </w:tabs>
        <w:numPr>
          <w:ilvl w:val="0"/>
          <w:numId w:val="17"/>
        </w:numPr>
        <w:rPr>
          <w:rFonts w:ascii="Arial" w:cs="Arial" w:eastAsia="Arial" w:hAnsi="Arial"/>
          <w:sz w:val="20"/>
          <w:szCs w:val="20"/>
          <w:color w:val="121212"/>
        </w:rPr>
      </w:pPr>
      <w:r>
        <w:rPr>
          <w:rFonts w:ascii="Times New Roman" w:cs="Times New Roman" w:eastAsia="Times New Roman" w:hAnsi="Times New Roman"/>
          <w:sz w:val="20"/>
          <w:szCs w:val="20"/>
          <w:color w:val="121212"/>
        </w:rPr>
        <w:t>product seizure or detention, or refusal to permit the import or export of products;</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17"/>
        </w:numPr>
        <w:rPr>
          <w:rFonts w:ascii="Arial" w:cs="Arial" w:eastAsia="Arial" w:hAnsi="Arial"/>
          <w:sz w:val="20"/>
          <w:szCs w:val="20"/>
          <w:color w:val="121212"/>
        </w:rPr>
      </w:pPr>
      <w:r>
        <w:rPr>
          <w:rFonts w:ascii="Times New Roman" w:cs="Times New Roman" w:eastAsia="Times New Roman" w:hAnsi="Times New Roman"/>
          <w:sz w:val="20"/>
          <w:szCs w:val="20"/>
          <w:color w:val="121212"/>
        </w:rPr>
        <w:t>injunctions or the imposition of civil or criminal penalties;</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17"/>
        </w:numPr>
        <w:rPr>
          <w:rFonts w:ascii="Arial" w:cs="Arial" w:eastAsia="Arial" w:hAnsi="Arial"/>
          <w:sz w:val="20"/>
          <w:szCs w:val="20"/>
          <w:color w:val="121212"/>
        </w:rPr>
      </w:pPr>
      <w:r>
        <w:rPr>
          <w:rFonts w:ascii="Times New Roman" w:cs="Times New Roman" w:eastAsia="Times New Roman" w:hAnsi="Times New Roman"/>
          <w:sz w:val="20"/>
          <w:szCs w:val="20"/>
          <w:color w:val="121212"/>
        </w:rPr>
        <w:t>consent decrees, corporate integrity agreements, debarment or exclusion from federal healthcare programs; and</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17"/>
        </w:numPr>
        <w:rPr>
          <w:rFonts w:ascii="Arial" w:cs="Arial" w:eastAsia="Arial" w:hAnsi="Arial"/>
          <w:sz w:val="20"/>
          <w:szCs w:val="20"/>
          <w:color w:val="121212"/>
        </w:rPr>
      </w:pPr>
      <w:r>
        <w:rPr>
          <w:rFonts w:ascii="Times New Roman" w:cs="Times New Roman" w:eastAsia="Times New Roman" w:hAnsi="Times New Roman"/>
          <w:sz w:val="20"/>
          <w:szCs w:val="20"/>
          <w:color w:val="121212"/>
        </w:rPr>
        <w:t>mandated modification of promotional materials and labeling and issuance of corrective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U.S. Patent Term Restoration and Marketing Exclusivity</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21212"/>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 or BLA.</w:t>
      </w:r>
    </w:p>
    <w:p>
      <w:pPr>
        <w:spacing w:after="0" w:line="9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U.S. Biosimilars and Exclusivity</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The Biologics Price Competition and Innovation Act, or BPCIA,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2"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121212"/>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w:t>
      </w:r>
    </w:p>
    <w:p>
      <w:pPr>
        <w:spacing w:after="0" w:line="68" w:lineRule="exact"/>
        <w:rPr>
          <w:sz w:val="20"/>
          <w:szCs w:val="20"/>
          <w:color w:val="auto"/>
        </w:rPr>
      </w:pPr>
    </w:p>
    <w:p>
      <w:pPr>
        <w:ind w:firstLine="490"/>
        <w:spacing w:after="0" w:line="265" w:lineRule="auto"/>
        <w:rPr>
          <w:sz w:val="20"/>
          <w:szCs w:val="20"/>
          <w:color w:val="auto"/>
        </w:rPr>
      </w:pPr>
      <w:r>
        <w:rPr>
          <w:rFonts w:ascii="Times New Roman" w:cs="Times New Roman" w:eastAsia="Times New Roman" w:hAnsi="Times New Roman"/>
          <w:sz w:val="19"/>
          <w:szCs w:val="19"/>
          <w:color w:val="121212"/>
        </w:rPr>
        <w:t>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ectPr>
          <w:pgSz w:w="12240" w:h="15840" w:orient="portrait"/>
          <w:cols w:equalWidth="0" w:num="1">
            <w:col w:w="10400"/>
          </w:cols>
          <w:pgMar w:left="900" w:top="945" w:right="940" w:bottom="175" w:gutter="0" w:footer="0" w:header="0"/>
        </w:sectPr>
      </w:pP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21212"/>
        </w:rPr>
        <w:t>40</w:t>
      </w:r>
    </w:p>
    <w:p>
      <w:pPr>
        <w:sectPr>
          <w:pgSz w:w="12240" w:h="15840" w:orient="portrait"/>
          <w:cols w:equalWidth="0" w:num="1">
            <w:col w:w="10400"/>
          </w:cols>
          <w:pgMar w:left="900" w:top="945" w:right="940" w:bottom="17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121212"/>
        </w:rPr>
        <w:t>Other Regulatory Matters</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21212"/>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is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82" w:lineRule="exact"/>
        <w:rPr>
          <w:sz w:val="20"/>
          <w:szCs w:val="20"/>
          <w:color w:val="auto"/>
        </w:rPr>
      </w:pPr>
    </w:p>
    <w:p>
      <w:pPr>
        <w:jc w:val="center"/>
        <w:ind w:right="40"/>
        <w:spacing w:after="0" w:line="305" w:lineRule="auto"/>
        <w:rPr>
          <w:sz w:val="20"/>
          <w:szCs w:val="20"/>
          <w:color w:val="auto"/>
        </w:rPr>
      </w:pPr>
      <w:r>
        <w:rPr>
          <w:rFonts w:ascii="Times New Roman" w:cs="Times New Roman" w:eastAsia="Times New Roman" w:hAnsi="Times New Roman"/>
          <w:sz w:val="19"/>
          <w:szCs w:val="19"/>
          <w:color w:val="121212"/>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25"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121212"/>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2"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121212"/>
        </w:rPr>
        <w:t>Changes in statutes, regulations,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Other Healthcare Laws</w:t>
      </w:r>
    </w:p>
    <w:p>
      <w:pPr>
        <w:spacing w:after="0" w:line="120"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121212"/>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Affordable Care Act and Legislative Reform Measures</w:t>
      </w:r>
    </w:p>
    <w:p>
      <w:pPr>
        <w:spacing w:after="0" w:line="12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of 2010, or collectively, the ACA, was enacted, which,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83" w:lineRule="exact"/>
        <w:rPr>
          <w:sz w:val="20"/>
          <w:szCs w:val="20"/>
          <w:color w:val="auto"/>
        </w:rPr>
      </w:pPr>
    </w:p>
    <w:p>
      <w:pPr>
        <w:ind w:right="200" w:firstLine="490"/>
        <w:spacing w:after="0" w:line="263" w:lineRule="auto"/>
        <w:rPr>
          <w:sz w:val="20"/>
          <w:szCs w:val="20"/>
          <w:color w:val="auto"/>
        </w:rPr>
      </w:pPr>
      <w:r>
        <w:rPr>
          <w:rFonts w:ascii="Times New Roman" w:cs="Times New Roman" w:eastAsia="Times New Roman" w:hAnsi="Times New Roman"/>
          <w:sz w:val="19"/>
          <w:szCs w:val="19"/>
          <w:color w:val="121212"/>
        </w:rPr>
        <w:t>Since its enactment, there have been numerous judicial, administrative, executive, and legislative challenges to certain aspects of the ACA. On June 17, 2021, for example, the U.S. Supreme Court dismissed the most recent judicial challenge to the ACA brought by several states without specifically ruling on the constitutionality of the ACA. In addition,NPresident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w:t>
      </w:r>
    </w:p>
    <w:p>
      <w:pPr>
        <w:sectPr>
          <w:pgSz w:w="12240" w:h="15840" w:orient="portrait"/>
          <w:cols w:equalWidth="0" w:num="1">
            <w:col w:w="10420"/>
          </w:cols>
          <w:pgMar w:left="900" w:top="930" w:right="920" w:bottom="175"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41</w:t>
      </w:r>
    </w:p>
    <w:p>
      <w:pPr>
        <w:sectPr>
          <w:pgSz w:w="12240" w:h="15840" w:orient="portrait"/>
          <w:cols w:equalWidth="0" w:num="1">
            <w:col w:w="10420"/>
          </w:cols>
          <w:pgMar w:left="900" w:top="930" w:right="920" w:bottom="175" w:gutter="0" w:footer="0" w:header="0"/>
          <w:type w:val="continuous"/>
        </w:sectPr>
      </w:pPr>
    </w:p>
    <w:bookmarkStart w:id="51" w:name="page52"/>
    <w:bookmarkEnd w:id="51"/>
    <w:p>
      <w:pPr>
        <w:ind w:right="220"/>
        <w:spacing w:after="0" w:line="277" w:lineRule="auto"/>
        <w:rPr>
          <w:sz w:val="20"/>
          <w:szCs w:val="20"/>
          <w:color w:val="auto"/>
        </w:rPr>
      </w:pPr>
      <w:r>
        <w:rPr>
          <w:rFonts w:ascii="Times New Roman" w:cs="Times New Roman" w:eastAsia="Times New Roman" w:hAnsi="Times New Roman"/>
          <w:sz w:val="20"/>
          <w:szCs w:val="20"/>
          <w:color w:val="121212"/>
        </w:rPr>
        <w:t>continue to seek new legislative measures to control drug costs. It is unclear how other healthcare reform measures of the Biden administrations or other efforts, if any, to challenge repeal or replace the ACA, will impact our business.</w:t>
      </w:r>
    </w:p>
    <w:p>
      <w:pPr>
        <w:spacing w:after="0" w:line="49" w:lineRule="exact"/>
        <w:rPr>
          <w:sz w:val="20"/>
          <w:szCs w:val="20"/>
          <w:color w:val="auto"/>
        </w:rPr>
      </w:pPr>
    </w:p>
    <w:p>
      <w:pPr>
        <w:ind w:right="120" w:firstLine="490"/>
        <w:spacing w:after="0" w:line="254" w:lineRule="auto"/>
        <w:rPr>
          <w:sz w:val="20"/>
          <w:szCs w:val="20"/>
          <w:color w:val="auto"/>
        </w:rPr>
      </w:pPr>
      <w:r>
        <w:rPr>
          <w:rFonts w:ascii="Times New Roman" w:cs="Times New Roman" w:eastAsia="Times New Roman" w:hAnsi="Times New Roman"/>
          <w:sz w:val="20"/>
          <w:szCs w:val="20"/>
          <w:color w:val="121212"/>
        </w:rPr>
        <w:t>Other legislative changes have been proposed and adopted in the United States since the Affordable Care Act was enacted. For example, the U.S. American Rescue Plan Act of 2021 eliminated the statutory Medicaid drug rebate cap, currently set at</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121212"/>
        </w:rPr>
        <w:t>100% of a drug’s average manufacturer price, for single source and innovator multiple source drugs, effective January 1, 2024. Due to the Statutory Pay-As- You-Go Act of 2010, estimated budget deficit increases resulting from the American Rescue Plan Act of 2021, and subsequent legislation, Medicare payments to providers will be further reduced starting in 2025 absent further legislation. Further, the U.S. Budget Control Act of 2011, included aggregate reductions of Medicare payments to providers of 2% per fiscal year that will remain in effect through 2031. The U.S. American Taxpayer Relief Act of 2012 further reduced Medicare payments to several types of providers and increased the statute of limitations period for the government to recover overpayments to providers from three to five years.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21212"/>
        </w:rPr>
        <w:t>Further, the Right to Try Act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The Inflation Reduction Act of 2022, or the IRA, includes several provisions that will impact our business to varying degrees,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2032Nthe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effect of IRA on our business and the healthcare industry in general is not yet known.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Other U.S. Environmental, Health and Safety Laws and Regulations</w:t>
      </w:r>
    </w:p>
    <w:p>
      <w:pPr>
        <w:spacing w:after="0" w:line="12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21212"/>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2"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121212"/>
        </w:rPr>
        <w:t>We maintains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68" w:lineRule="exact"/>
        <w:rPr>
          <w:sz w:val="20"/>
          <w:szCs w:val="20"/>
          <w:color w:val="auto"/>
        </w:rPr>
      </w:pPr>
    </w:p>
    <w:p>
      <w:pPr>
        <w:ind w:right="140" w:firstLine="490"/>
        <w:spacing w:after="0" w:line="278" w:lineRule="auto"/>
        <w:rPr>
          <w:sz w:val="20"/>
          <w:szCs w:val="20"/>
          <w:color w:val="auto"/>
        </w:rPr>
      </w:pPr>
      <w:r>
        <w:rPr>
          <w:rFonts w:ascii="Times New Roman" w:cs="Times New Roman" w:eastAsia="Times New Roman" w:hAnsi="Times New Roman"/>
          <w:sz w:val="19"/>
          <w:szCs w:val="19"/>
          <w:color w:val="121212"/>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Employees and Human Capital Resources</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21212"/>
        </w:rPr>
        <w:t>As of February 29, 2024, we had 74 full-time employees, including 31 who hold Ph.D. or M.D. degrees, and no part-time employees. Of the full-time employees, 54 employees are engaged in research and development and 20 employees are engaged in management or general and administrative activities. None of our employees are subject to a collective bargaining agreement or represented by a trade or labor union. We consider our relationship with our employees to be good.</w:t>
      </w:r>
    </w:p>
    <w:p>
      <w:pPr>
        <w:spacing w:after="0" w:line="7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21212"/>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42</w:t>
      </w:r>
    </w:p>
    <w:p>
      <w:pPr>
        <w:sectPr>
          <w:pgSz w:w="12240" w:h="15840" w:orient="portrait"/>
          <w:cols w:equalWidth="0" w:num="1">
            <w:col w:w="10440"/>
          </w:cols>
          <w:pgMar w:left="900" w:top="930" w:right="900" w:bottom="175"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121212"/>
        </w:rPr>
        <w:t>Facilities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Our principal office is located at 321 Arsenal Street, Suite 101, Watertown, MA 02472, where we lease and sublease a total of approximately 16,847 square feet of office space. The lease and sublease terms will end in November 2026.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Legal Proceedings</w:t>
      </w:r>
    </w:p>
    <w:p>
      <w:pPr>
        <w:spacing w:after="0" w:line="12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121212"/>
        </w:rPr>
        <w:t>From time to time, we may be involved in various other claims and legal proceedings relating to claims arising out of our operations. We are not currently a party to any material legal proceedings.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Available Information</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21212"/>
        </w:rPr>
        <w:t>Our Annual Reports on Form 10-K, Quarterly Reports on Form 10-Q, Current Reports on Form 8-K, proxy statements, and other information, including amendments and exhibits to such reports, filed or furnished pursuant to Section 13(a) or 15(d) of the Securities Exchange Act of 1934, are available free of charge on our website located at www.discmedicine.com, as soon as reasonably practicable after they are filed with or furnished to the SEC. These reports are also available at the SEC’s Internet website at www.sec.gov.</w:t>
      </w:r>
    </w:p>
    <w:p>
      <w:pPr>
        <w:sectPr>
          <w:pgSz w:w="12240" w:h="15840" w:orient="portrait"/>
          <w:cols w:equalWidth="0" w:num="1">
            <w:col w:w="10380"/>
          </w:cols>
          <w:pgMar w:left="900" w:top="926" w:right="9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21212"/>
        </w:rPr>
        <w:t>43</w:t>
      </w:r>
    </w:p>
    <w:p>
      <w:pPr>
        <w:sectPr>
          <w:pgSz w:w="12240" w:h="15840" w:orient="portrait"/>
          <w:cols w:equalWidth="0" w:num="1">
            <w:col w:w="10380"/>
          </w:cols>
          <w:pgMar w:left="900" w:top="926" w:right="960" w:bottom="175" w:gutter="0" w:footer="0" w:header="0"/>
          <w:type w:val="continuous"/>
        </w:sectPr>
      </w:pPr>
    </w:p>
    <w:bookmarkStart w:id="53" w:name="page54"/>
    <w:bookmarkEnd w:id="53"/>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1A.</w:t>
        <w:tab/>
        <w:t>RISK FACTORS</w:t>
      </w:r>
    </w:p>
    <w:p>
      <w:pPr>
        <w:spacing w:after="0" w:line="12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i w:val="1"/>
          <w:iCs w:val="1"/>
          <w:color w:val="121212"/>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ii of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Risks Related to Our Limited Operating History, Financial Position and Capital Requirements</w:t>
      </w:r>
    </w:p>
    <w:p>
      <w:pPr>
        <w:spacing w:after="0" w:line="1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Our limited operating history may make it difficult for you to evaluate the success of our business to date and to assess our future viability.</w:t>
      </w:r>
    </w:p>
    <w:p>
      <w:pPr>
        <w:spacing w:after="0" w:line="4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82"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have incurred significant net losses since our inception and anticipate that we will continue to incur losses for the foreseeable future.</w:t>
      </w:r>
    </w:p>
    <w:p>
      <w:pPr>
        <w:spacing w:after="0" w:line="4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Our net losses were $76.4 million and $46.8 million for the twelve months ended December 31, 2023 and 2022, respectively. We had an accumulated deficit of $188.6 million as of December 31, 2023.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82" w:lineRule="exact"/>
        <w:rPr>
          <w:sz w:val="20"/>
          <w:szCs w:val="20"/>
          <w:color w:val="auto"/>
        </w:rPr>
      </w:pPr>
    </w:p>
    <w:p>
      <w:pPr>
        <w:jc w:val="both"/>
        <w:ind w:firstLine="490"/>
        <w:spacing w:after="0" w:line="305" w:lineRule="auto"/>
        <w:rPr>
          <w:sz w:val="20"/>
          <w:szCs w:val="20"/>
          <w:color w:val="auto"/>
        </w:rPr>
      </w:pPr>
      <w:r>
        <w:rPr>
          <w:rFonts w:ascii="Times New Roman" w:cs="Times New Roman" w:eastAsia="Times New Roman" w:hAnsi="Times New Roman"/>
          <w:sz w:val="19"/>
          <w:szCs w:val="19"/>
          <w:color w:val="121212"/>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39" w:lineRule="exact"/>
        <w:rPr>
          <w:sz w:val="20"/>
          <w:szCs w:val="20"/>
          <w:color w:val="auto"/>
        </w:rPr>
      </w:pPr>
    </w:p>
    <w:p>
      <w:pPr>
        <w:jc w:val="both"/>
        <w:ind w:left="720" w:hanging="367"/>
        <w:spacing w:after="0" w:line="258" w:lineRule="auto"/>
        <w:tabs>
          <w:tab w:leader="none" w:pos="720" w:val="left"/>
        </w:tabs>
        <w:numPr>
          <w:ilvl w:val="0"/>
          <w:numId w:val="18"/>
        </w:numPr>
        <w:rPr>
          <w:rFonts w:ascii="Arial" w:cs="Arial" w:eastAsia="Arial" w:hAnsi="Arial"/>
          <w:sz w:val="20"/>
          <w:szCs w:val="20"/>
          <w:color w:val="121212"/>
        </w:rPr>
      </w:pPr>
      <w:r>
        <w:rPr>
          <w:rFonts w:ascii="Times New Roman" w:cs="Times New Roman" w:eastAsia="Times New Roman" w:hAnsi="Times New Roman"/>
          <w:sz w:val="20"/>
          <w:szCs w:val="20"/>
          <w:color w:val="121212"/>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81"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18"/>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successfully open clinical trial sites and recruit and retain subjects for clinical trials and any delays caused by difficulties in such efforts;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18"/>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obtain regulatory approval for our product candidates, and the timing and scope of any such approvals we may receive;</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18"/>
        </w:numPr>
        <w:rPr>
          <w:rFonts w:ascii="Arial" w:cs="Arial" w:eastAsia="Arial" w:hAnsi="Arial"/>
          <w:sz w:val="20"/>
          <w:szCs w:val="20"/>
          <w:color w:val="121212"/>
        </w:rPr>
      </w:pPr>
      <w:r>
        <w:rPr>
          <w:rFonts w:ascii="Times New Roman" w:cs="Times New Roman" w:eastAsia="Times New Roman" w:hAnsi="Times New Roman"/>
          <w:sz w:val="20"/>
          <w:szCs w:val="20"/>
          <w:color w:val="121212"/>
        </w:rPr>
        <w:t>the timing and cost of, and level of investment in, research and development activities relating to our product candidates, which may change from time to time;</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18"/>
        </w:numPr>
        <w:rPr>
          <w:rFonts w:ascii="Arial" w:cs="Arial" w:eastAsia="Arial" w:hAnsi="Arial"/>
          <w:sz w:val="20"/>
          <w:szCs w:val="20"/>
          <w:color w:val="121212"/>
        </w:rPr>
      </w:pPr>
      <w:r>
        <w:rPr>
          <w:rFonts w:ascii="Times New Roman" w:cs="Times New Roman" w:eastAsia="Times New Roman" w:hAnsi="Times New Roman"/>
          <w:sz w:val="20"/>
          <w:szCs w:val="20"/>
          <w:color w:val="121212"/>
        </w:rPr>
        <w:t>the cost of manufacturing our product candidates and products, should they receive regulatory approval, which may vary depending on the quantity of production and the terms of our agreements with manufacturers;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18"/>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attract, hire and retain qualified personnel;</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18"/>
        </w:numPr>
        <w:rPr>
          <w:rFonts w:ascii="Arial" w:cs="Arial" w:eastAsia="Arial" w:hAnsi="Arial"/>
          <w:sz w:val="20"/>
          <w:szCs w:val="20"/>
          <w:color w:val="121212"/>
        </w:rPr>
      </w:pPr>
      <w:r>
        <w:rPr>
          <w:rFonts w:ascii="Times New Roman" w:cs="Times New Roman" w:eastAsia="Times New Roman" w:hAnsi="Times New Roman"/>
          <w:sz w:val="20"/>
          <w:szCs w:val="20"/>
          <w:color w:val="121212"/>
        </w:rPr>
        <w:t>expenditures that we will or may incur to develop additional product candidates;</w:t>
      </w:r>
    </w:p>
    <w:p>
      <w:pPr>
        <w:sectPr>
          <w:pgSz w:w="12240" w:h="15840" w:orient="portrait"/>
          <w:cols w:equalWidth="0" w:num="1">
            <w:col w:w="10460"/>
          </w:cols>
          <w:pgMar w:left="900" w:top="926" w:right="880" w:bottom="175" w:gutter="0" w:footer="0" w:header="0"/>
        </w:sect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44</w:t>
      </w:r>
    </w:p>
    <w:p>
      <w:pPr>
        <w:sectPr>
          <w:pgSz w:w="12240" w:h="15840" w:orient="portrait"/>
          <w:cols w:equalWidth="0" w:num="1">
            <w:col w:w="10460"/>
          </w:cols>
          <w:pgMar w:left="900" w:top="926" w:right="880" w:bottom="175" w:gutter="0" w:footer="0" w:header="0"/>
          <w:type w:val="continuous"/>
        </w:sectPr>
      </w:pPr>
    </w:p>
    <w:bookmarkStart w:id="54" w:name="page55"/>
    <w:bookmarkEnd w:id="54"/>
    <w:p>
      <w:pPr>
        <w:ind w:left="720" w:hanging="367"/>
        <w:spacing w:after="0"/>
        <w:tabs>
          <w:tab w:leader="none" w:pos="720" w:val="left"/>
        </w:tabs>
        <w:numPr>
          <w:ilvl w:val="0"/>
          <w:numId w:val="19"/>
        </w:numPr>
        <w:rPr>
          <w:rFonts w:ascii="Arial" w:cs="Arial" w:eastAsia="Arial" w:hAnsi="Arial"/>
          <w:sz w:val="20"/>
          <w:szCs w:val="20"/>
          <w:color w:val="121212"/>
        </w:rPr>
      </w:pPr>
      <w:r>
        <w:rPr>
          <w:rFonts w:ascii="Times New Roman" w:cs="Times New Roman" w:eastAsia="Times New Roman" w:hAnsi="Times New Roman"/>
          <w:sz w:val="20"/>
          <w:szCs w:val="20"/>
          <w:color w:val="121212"/>
        </w:rPr>
        <w:t>the level of demand for our products should they receive regulatory approval, which may vary significantly;</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19"/>
        </w:numPr>
        <w:rPr>
          <w:rFonts w:ascii="Arial" w:cs="Arial" w:eastAsia="Arial" w:hAnsi="Arial"/>
          <w:sz w:val="20"/>
          <w:szCs w:val="20"/>
          <w:color w:val="121212"/>
        </w:rPr>
      </w:pPr>
      <w:r>
        <w:rPr>
          <w:rFonts w:ascii="Times New Roman" w:cs="Times New Roman" w:eastAsia="Times New Roman" w:hAnsi="Times New Roman"/>
          <w:sz w:val="20"/>
          <w:szCs w:val="20"/>
          <w:color w:val="121212"/>
        </w:rPr>
        <w:t>the risk/benefit profile, cost and reimbursement policies with respect to our product candidates, if approved, and existing and potential future therapeutics that compete with our product candidates;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19"/>
        </w:numPr>
        <w:rPr>
          <w:rFonts w:ascii="Arial" w:cs="Arial" w:eastAsia="Arial" w:hAnsi="Arial"/>
          <w:sz w:val="20"/>
          <w:szCs w:val="20"/>
          <w:color w:val="121212"/>
        </w:rPr>
      </w:pPr>
      <w:r>
        <w:rPr>
          <w:rFonts w:ascii="Times New Roman" w:cs="Times New Roman" w:eastAsia="Times New Roman" w:hAnsi="Times New Roman"/>
          <w:sz w:val="20"/>
          <w:szCs w:val="20"/>
          <w:color w:val="121212"/>
        </w:rPr>
        <w:t>the changing and volatile U.S. and global economic environments, including as a result of public health crises;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19"/>
        </w:numPr>
        <w:rPr>
          <w:rFonts w:ascii="Arial" w:cs="Arial" w:eastAsia="Arial" w:hAnsi="Arial"/>
          <w:sz w:val="20"/>
          <w:szCs w:val="20"/>
          <w:color w:val="121212"/>
        </w:rPr>
      </w:pPr>
      <w:r>
        <w:rPr>
          <w:rFonts w:ascii="Times New Roman" w:cs="Times New Roman" w:eastAsia="Times New Roman" w:hAnsi="Times New Roman"/>
          <w:sz w:val="20"/>
          <w:szCs w:val="20"/>
          <w:color w:val="121212"/>
        </w:rPr>
        <w:t>future accounting pronouncements or changes in our accounting policies.</w:t>
      </w:r>
    </w:p>
    <w:p>
      <w:pPr>
        <w:spacing w:after="0" w:line="11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We have no products approved for commercial sale and have not generated any revenue from product sales.</w:t>
      </w:r>
    </w:p>
    <w:p>
      <w:pPr>
        <w:spacing w:after="0" w:line="12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91" w:lineRule="exact"/>
        <w:rPr>
          <w:sz w:val="20"/>
          <w:szCs w:val="20"/>
          <w:color w:val="auto"/>
        </w:rPr>
      </w:pPr>
    </w:p>
    <w:p>
      <w:pPr>
        <w:ind w:left="720" w:hanging="367"/>
        <w:spacing w:after="0"/>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successfully complete our ongoing and planned preclinical studies for our current and future product candidates;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timely file and receive acceptance of our Investigational New Drug applications, or INDs, in order to commence our planned clinical trials or future clinical trials;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successfully enroll subjects in and complete, our ongoing and planned clinical trials;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initiate and successfully complete all safety and efficacy studies necessary to obtain U.S. and foreign regulatory approval for our product candidates;</w:t>
      </w:r>
    </w:p>
    <w:p>
      <w:pPr>
        <w:spacing w:after="0" w:line="64"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successfully address the prevalence, duration and severity of potential side effects or other safety issues experienced with our product candidates, if any;</w:t>
      </w:r>
    </w:p>
    <w:p>
      <w:pPr>
        <w:spacing w:after="0" w:line="64" w:lineRule="exact"/>
        <w:rPr>
          <w:rFonts w:ascii="Arial" w:cs="Arial" w:eastAsia="Arial" w:hAnsi="Arial"/>
          <w:sz w:val="20"/>
          <w:szCs w:val="20"/>
          <w:color w:val="121212"/>
        </w:rPr>
      </w:pPr>
    </w:p>
    <w:p>
      <w:pPr>
        <w:jc w:val="both"/>
        <w:ind w:left="720" w:right="20" w:hanging="367"/>
        <w:spacing w:after="0" w:line="258" w:lineRule="auto"/>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timely file New Drug Applications, or NDAs, and Biologic License Applications, or BLAs, and receive regulatory approvals for our product candidates from the U.S. Food and Drug Administration, or the FDA, and comparable foreign regulatory authorities;</w:t>
      </w:r>
    </w:p>
    <w:p>
      <w:pPr>
        <w:spacing w:after="0" w:line="81"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establish and maintain clinical and commercial manufacturing capabilities or make arrangements with third-party manufacturers for clinical supply and commercial manufacturing;</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obtain and maintain patent and trade secret protection or regulatory exclusivity for our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launch commercial sales of our products, if and when approved, whether alone or in collaboration with others;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obtain and maintain acceptance of our products, if and when approved, by patients, the medical community and third-party payors;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position our product candidates to effectively compete with other therapies;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obtain and maintain healthcare coverage and adequate reimbursement;</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enforce and defend intellectual property rights and claims;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0"/>
        </w:numPr>
        <w:rPr>
          <w:rFonts w:ascii="Arial" w:cs="Arial" w:eastAsia="Arial" w:hAnsi="Arial"/>
          <w:sz w:val="20"/>
          <w:szCs w:val="20"/>
          <w:color w:val="121212"/>
        </w:rPr>
      </w:pPr>
      <w:r>
        <w:rPr>
          <w:rFonts w:ascii="Times New Roman" w:cs="Times New Roman" w:eastAsia="Times New Roman" w:hAnsi="Times New Roman"/>
          <w:sz w:val="20"/>
          <w:szCs w:val="20"/>
          <w:color w:val="121212"/>
        </w:rPr>
        <w:t>maintain a continued acceptable safety profile of our products following approval.</w:t>
      </w:r>
    </w:p>
    <w:p>
      <w:pPr>
        <w:spacing w:after="0" w:line="11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ectPr>
          <w:pgSz w:w="12240" w:h="15840" w:orient="portrait"/>
          <w:cols w:equalWidth="0" w:num="1">
            <w:col w:w="10460"/>
          </w:cols>
          <w:pgMar w:left="900" w:top="945"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45</w:t>
      </w:r>
    </w:p>
    <w:p>
      <w:pPr>
        <w:sectPr>
          <w:pgSz w:w="12240" w:h="15840" w:orient="portrait"/>
          <w:cols w:equalWidth="0" w:num="1">
            <w:col w:w="10460"/>
          </w:cols>
          <w:pgMar w:left="900" w:top="945" w:right="880" w:bottom="175" w:gutter="0" w:footer="0" w:header="0"/>
          <w:type w:val="continuous"/>
        </w:sectPr>
      </w:pPr>
    </w:p>
    <w:bookmarkStart w:id="55" w:name="page56"/>
    <w:bookmarkEnd w:id="55"/>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4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89"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We believe that we have cash and cash equivalents that will enable us to fund operating expenses and capital expenditure requirements well into 2026.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88" w:lineRule="exact"/>
        <w:rPr>
          <w:sz w:val="20"/>
          <w:szCs w:val="20"/>
          <w:color w:val="auto"/>
        </w:rPr>
      </w:pPr>
    </w:p>
    <w:p>
      <w:pPr>
        <w:ind w:left="720" w:hanging="367"/>
        <w:spacing w:after="0"/>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the timing and progress of preclinical and clinical development activities;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the number and scope of preclinical and clinical programs we decide to pursue;</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raise additional funds necessary to complete clinical development of and commercialize our product candidates;</w:t>
      </w:r>
    </w:p>
    <w:p>
      <w:pPr>
        <w:spacing w:after="0" w:line="64"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establish new and maintain existing licensing or collaboration arrangements and the progress of the development efforts of third parties with whom we may enter into such arrangements;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maintain our current research and development programs and to establish new programs;</w:t>
      </w:r>
    </w:p>
    <w:p>
      <w:pPr>
        <w:spacing w:after="0" w:line="133"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the successful initiation, enrollment and completion of clinical trials with safety, tolerability and efficacy profiles that are satisfactory to the FDA or any comparable foreign regulatory authority;</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the receipt and related terms of regulatory approvals from applicable regulatory authorities for any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the availability of raw materials for use in production of our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1"/>
        </w:numPr>
        <w:rPr>
          <w:rFonts w:ascii="Arial" w:cs="Arial" w:eastAsia="Arial" w:hAnsi="Arial"/>
          <w:sz w:val="19"/>
          <w:szCs w:val="19"/>
          <w:color w:val="121212"/>
        </w:rPr>
      </w:pPr>
      <w:r>
        <w:rPr>
          <w:rFonts w:ascii="Times New Roman" w:cs="Times New Roman" w:eastAsia="Times New Roman" w:hAnsi="Times New Roman"/>
          <w:sz w:val="19"/>
          <w:szCs w:val="19"/>
          <w:color w:val="121212"/>
        </w:rPr>
        <w:t>establishing agreements with third-party manufacturers for supply of product candidate components for our clinical trials;</w:t>
      </w:r>
    </w:p>
    <w:p>
      <w:pPr>
        <w:spacing w:after="0" w:line="145" w:lineRule="exact"/>
        <w:rPr>
          <w:rFonts w:ascii="Arial" w:cs="Arial" w:eastAsia="Arial" w:hAnsi="Arial"/>
          <w:sz w:val="19"/>
          <w:szCs w:val="19"/>
          <w:color w:val="121212"/>
        </w:rPr>
      </w:pPr>
    </w:p>
    <w:p>
      <w:pPr>
        <w:ind w:left="720" w:hanging="367"/>
        <w:spacing w:after="0" w:line="276" w:lineRule="auto"/>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obtain and maintain patents, trade secret protection and regulatory exclusivity, both in the United States and internationally;</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protect our other rights in our intellectual property portfolio;</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commercializing product candidates, if and when approved, whether alone or in collaboration with others;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obtaining and maintaining third-party insurance coverage and adequate reimbursement for any approved products; and</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1"/>
        </w:numPr>
        <w:rPr>
          <w:rFonts w:ascii="Arial" w:cs="Arial" w:eastAsia="Arial" w:hAnsi="Arial"/>
          <w:sz w:val="20"/>
          <w:szCs w:val="20"/>
          <w:color w:val="121212"/>
        </w:rPr>
      </w:pPr>
      <w:r>
        <w:rPr>
          <w:rFonts w:ascii="Times New Roman" w:cs="Times New Roman" w:eastAsia="Times New Roman" w:hAnsi="Times New Roman"/>
          <w:sz w:val="20"/>
          <w:szCs w:val="20"/>
          <w:color w:val="121212"/>
        </w:rPr>
        <w:t>the potential additional expenses attributable to adjusting our development plans (including any supply related matters) to any public health crises.</w:t>
      </w:r>
    </w:p>
    <w:p>
      <w:pPr>
        <w:spacing w:after="0" w:line="5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several years, if at all. Accordingly, we will need to continue to rely on additional financing to achieve our business objectives.</w:t>
      </w:r>
    </w:p>
    <w:p>
      <w:pPr>
        <w:spacing w:after="0" w:line="8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Any additional fundraising efforts may divert our management from their day -to-day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74" w:lineRule="exact"/>
        <w:rPr>
          <w:sz w:val="20"/>
          <w:szCs w:val="20"/>
          <w:color w:val="auto"/>
        </w:rPr>
      </w:pPr>
    </w:p>
    <w:p>
      <w:pPr>
        <w:jc w:val="both"/>
        <w:ind w:firstLine="490"/>
        <w:spacing w:after="0" w:line="305" w:lineRule="auto"/>
        <w:rPr>
          <w:sz w:val="20"/>
          <w:szCs w:val="20"/>
          <w:color w:val="auto"/>
        </w:rPr>
      </w:pPr>
      <w:r>
        <w:rPr>
          <w:rFonts w:ascii="Times New Roman" w:cs="Times New Roman" w:eastAsia="Times New Roman" w:hAnsi="Times New Roman"/>
          <w:sz w:val="19"/>
          <w:szCs w:val="19"/>
          <w:color w:val="121212"/>
        </w:rPr>
        <w:t>If we are unable to obtain funding on a timely basis or on acceptable terms, we may be required to significantly curtail, delay or discontinue one or more of our research or development programs or the commercialization of any product that has received</w:t>
      </w:r>
    </w:p>
    <w:p>
      <w:pPr>
        <w:sectPr>
          <w:pgSz w:w="12240" w:h="15840" w:orient="portrait"/>
          <w:cols w:equalWidth="0" w:num="1">
            <w:col w:w="10460"/>
          </w:cols>
          <w:pgMar w:left="900" w:top="930" w:right="880" w:bottom="175" w:gutter="0" w:footer="0" w:header="0"/>
        </w:sect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46</w:t>
      </w:r>
    </w:p>
    <w:p>
      <w:pPr>
        <w:sectPr>
          <w:pgSz w:w="12240" w:h="15840" w:orient="portrait"/>
          <w:cols w:equalWidth="0" w:num="1">
            <w:col w:w="10460"/>
          </w:cols>
          <w:pgMar w:left="900" w:top="930" w:right="880" w:bottom="175" w:gutter="0" w:footer="0" w:header="0"/>
          <w:type w:val="continuous"/>
        </w:sectPr>
      </w:pPr>
    </w:p>
    <w:bookmarkStart w:id="56" w:name="page57"/>
    <w:bookmarkEnd w:id="56"/>
    <w:p>
      <w:pPr>
        <w:jc w:val="both"/>
        <w:ind w:right="20"/>
        <w:spacing w:after="0" w:line="277" w:lineRule="auto"/>
        <w:rPr>
          <w:sz w:val="20"/>
          <w:szCs w:val="20"/>
          <w:color w:val="auto"/>
        </w:rPr>
      </w:pPr>
      <w:r>
        <w:rPr>
          <w:rFonts w:ascii="Times New Roman" w:cs="Times New Roman" w:eastAsia="Times New Roman" w:hAnsi="Times New Roman"/>
          <w:sz w:val="20"/>
          <w:szCs w:val="20"/>
          <w:color w:val="121212"/>
        </w:rPr>
        <w:t>regulatory approval or be unable to expand our operations or otherwise capitalize on our business opportunities as desired, which could materially affect our business, financial condition and results of operations.</w:t>
      </w:r>
    </w:p>
    <w:p>
      <w:pPr>
        <w:spacing w:after="0" w:line="16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Raising additional capital may cause dilution to our stockholders, restrict our operations or require us to relinquish rights to our technologies or product candidates.</w:t>
      </w:r>
    </w:p>
    <w:p>
      <w:pPr>
        <w:spacing w:after="0" w:line="49"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93" w:lineRule="exact"/>
        <w:rPr>
          <w:sz w:val="20"/>
          <w:szCs w:val="20"/>
          <w:color w:val="auto"/>
        </w:rPr>
      </w:pPr>
    </w:p>
    <w:p>
      <w:pPr>
        <w:jc w:val="both"/>
        <w:ind w:right="20" w:firstLine="490"/>
        <w:spacing w:after="0" w:line="247" w:lineRule="auto"/>
        <w:rPr>
          <w:sz w:val="20"/>
          <w:szCs w:val="20"/>
          <w:color w:val="auto"/>
        </w:rPr>
      </w:pPr>
      <w:r>
        <w:rPr>
          <w:rFonts w:ascii="Times New Roman" w:cs="Times New Roman" w:eastAsia="Times New Roman" w:hAnsi="Times New Roman"/>
          <w:sz w:val="20"/>
          <w:szCs w:val="20"/>
          <w:color w:val="121212"/>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Risks Related to the Discovery and Development of Our Product Candidates</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88" w:lineRule="exact"/>
        <w:rPr>
          <w:sz w:val="20"/>
          <w:szCs w:val="20"/>
          <w:color w:val="auto"/>
        </w:rPr>
      </w:pPr>
    </w:p>
    <w:p>
      <w:pPr>
        <w:ind w:right="40" w:firstLine="490"/>
        <w:spacing w:after="0" w:line="254" w:lineRule="auto"/>
        <w:rPr>
          <w:sz w:val="20"/>
          <w:szCs w:val="20"/>
          <w:color w:val="auto"/>
        </w:rPr>
      </w:pPr>
      <w:r>
        <w:rPr>
          <w:rFonts w:ascii="Times New Roman" w:cs="Times New Roman" w:eastAsia="Times New Roman" w:hAnsi="Times New Roman"/>
          <w:sz w:val="19"/>
          <w:szCs w:val="19"/>
          <w:color w:val="121212"/>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three product candidates in clinical development.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initiated a Phase 1 clinical trial of DISC-3405 in healthy volunteers in October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F. Hoffmann-La Roche Ltd. and</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47</w:t>
      </w:r>
    </w:p>
    <w:p>
      <w:pPr>
        <w:sectPr>
          <w:pgSz w:w="12240" w:h="15840" w:orient="portrait"/>
          <w:cols w:equalWidth="0" w:num="1">
            <w:col w:w="10460"/>
          </w:cols>
          <w:pgMar w:left="900" w:top="930" w:right="880" w:bottom="175" w:gutter="0" w:footer="0" w:header="0"/>
          <w:type w:val="continuous"/>
        </w:sectPr>
      </w:pPr>
    </w:p>
    <w:bookmarkStart w:id="57" w:name="page58"/>
    <w:bookmarkEnd w:id="57"/>
    <w:p>
      <w:pPr>
        <w:ind w:right="80"/>
        <w:spacing w:after="0" w:line="261" w:lineRule="auto"/>
        <w:rPr>
          <w:sz w:val="20"/>
          <w:szCs w:val="20"/>
          <w:color w:val="auto"/>
        </w:rPr>
      </w:pPr>
      <w:r>
        <w:rPr>
          <w:rFonts w:ascii="Times New Roman" w:cs="Times New Roman" w:eastAsia="Times New Roman" w:hAnsi="Times New Roman"/>
          <w:sz w:val="19"/>
          <w:szCs w:val="19"/>
          <w:color w:val="121212"/>
        </w:rPr>
        <w:t>Hoffmann-La Roche Inc., or collectively,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67"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7" w:lineRule="exact"/>
        <w:rPr>
          <w:sz w:val="20"/>
          <w:szCs w:val="20"/>
          <w:color w:val="auto"/>
        </w:rPr>
      </w:pPr>
    </w:p>
    <w:p>
      <w:pPr>
        <w:jc w:val="both"/>
        <w:ind w:right="20" w:firstLine="490"/>
        <w:spacing w:after="0" w:line="278" w:lineRule="auto"/>
        <w:rPr>
          <w:sz w:val="20"/>
          <w:szCs w:val="20"/>
          <w:color w:val="auto"/>
        </w:rPr>
      </w:pPr>
      <w:r>
        <w:rPr>
          <w:rFonts w:ascii="Times New Roman" w:cs="Times New Roman" w:eastAsia="Times New Roman" w:hAnsi="Times New Roman"/>
          <w:sz w:val="19"/>
          <w:szCs w:val="19"/>
          <w:color w:val="121212"/>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65" w:lineRule="exact"/>
        <w:rPr>
          <w:sz w:val="20"/>
          <w:szCs w:val="20"/>
          <w:color w:val="auto"/>
        </w:rPr>
      </w:pPr>
    </w:p>
    <w:p>
      <w:pPr>
        <w:ind w:left="720" w:hanging="367"/>
        <w:spacing w:after="0"/>
        <w:tabs>
          <w:tab w:leader="none" w:pos="720" w:val="left"/>
        </w:tabs>
        <w:numPr>
          <w:ilvl w:val="0"/>
          <w:numId w:val="22"/>
        </w:numPr>
        <w:rPr>
          <w:rFonts w:ascii="Arial" w:cs="Arial" w:eastAsia="Arial" w:hAnsi="Arial"/>
          <w:sz w:val="20"/>
          <w:szCs w:val="20"/>
          <w:color w:val="121212"/>
        </w:rPr>
      </w:pPr>
      <w:r>
        <w:rPr>
          <w:rFonts w:ascii="Times New Roman" w:cs="Times New Roman" w:eastAsia="Times New Roman" w:hAnsi="Times New Roman"/>
          <w:sz w:val="20"/>
          <w:szCs w:val="20"/>
          <w:color w:val="121212"/>
        </w:rPr>
        <w:t>be delayed in obtaining regulatory approval for our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2"/>
        </w:numPr>
        <w:rPr>
          <w:rFonts w:ascii="Arial" w:cs="Arial" w:eastAsia="Arial" w:hAnsi="Arial"/>
          <w:sz w:val="20"/>
          <w:szCs w:val="20"/>
          <w:color w:val="121212"/>
        </w:rPr>
      </w:pPr>
      <w:r>
        <w:rPr>
          <w:rFonts w:ascii="Times New Roman" w:cs="Times New Roman" w:eastAsia="Times New Roman" w:hAnsi="Times New Roman"/>
          <w:sz w:val="20"/>
          <w:szCs w:val="20"/>
          <w:color w:val="121212"/>
        </w:rPr>
        <w:t>not obtain regulatory approval at all;</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2"/>
        </w:numPr>
        <w:rPr>
          <w:rFonts w:ascii="Arial" w:cs="Arial" w:eastAsia="Arial" w:hAnsi="Arial"/>
          <w:sz w:val="20"/>
          <w:szCs w:val="20"/>
          <w:color w:val="121212"/>
        </w:rPr>
      </w:pPr>
      <w:r>
        <w:rPr>
          <w:rFonts w:ascii="Times New Roman" w:cs="Times New Roman" w:eastAsia="Times New Roman" w:hAnsi="Times New Roman"/>
          <w:sz w:val="20"/>
          <w:szCs w:val="20"/>
          <w:color w:val="121212"/>
        </w:rPr>
        <w:t>obtain regulatory approval for indications or patient populations that are not as broad as intended or desired;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2"/>
        </w:numPr>
        <w:rPr>
          <w:rFonts w:ascii="Arial" w:cs="Arial" w:eastAsia="Arial" w:hAnsi="Arial"/>
          <w:sz w:val="20"/>
          <w:szCs w:val="20"/>
          <w:color w:val="121212"/>
        </w:rPr>
      </w:pPr>
      <w:r>
        <w:rPr>
          <w:rFonts w:ascii="Times New Roman" w:cs="Times New Roman" w:eastAsia="Times New Roman" w:hAnsi="Times New Roman"/>
          <w:sz w:val="20"/>
          <w:szCs w:val="20"/>
          <w:color w:val="121212"/>
        </w:rPr>
        <w:t>continue to be subject to post-marketing testing requirements; or</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2"/>
        </w:numPr>
        <w:rPr>
          <w:rFonts w:ascii="Arial" w:cs="Arial" w:eastAsia="Arial" w:hAnsi="Arial"/>
          <w:sz w:val="20"/>
          <w:szCs w:val="20"/>
          <w:color w:val="121212"/>
        </w:rPr>
      </w:pPr>
      <w:r>
        <w:rPr>
          <w:rFonts w:ascii="Times New Roman" w:cs="Times New Roman" w:eastAsia="Times New Roman" w:hAnsi="Times New Roman"/>
          <w:sz w:val="20"/>
          <w:szCs w:val="20"/>
          <w:color w:val="121212"/>
        </w:rPr>
        <w:t>experience having the product removed from the market after obtaining regulatory approval.</w:t>
      </w:r>
    </w:p>
    <w:p>
      <w:pPr>
        <w:spacing w:after="0" w:line="2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6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Clinical product development involves a lengthy and expensive process, with an uncertain outcome.</w:t>
      </w:r>
    </w:p>
    <w:p>
      <w:pPr>
        <w:spacing w:after="0" w:line="24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203" w:lineRule="exact"/>
        <w:rPr>
          <w:sz w:val="20"/>
          <w:szCs w:val="20"/>
          <w:color w:val="auto"/>
        </w:rPr>
      </w:pPr>
    </w:p>
    <w:p>
      <w:pPr>
        <w:ind w:right="300" w:firstLine="490"/>
        <w:spacing w:after="0" w:line="265" w:lineRule="auto"/>
        <w:rPr>
          <w:sz w:val="20"/>
          <w:szCs w:val="20"/>
          <w:color w:val="auto"/>
        </w:rPr>
      </w:pPr>
      <w:r>
        <w:rPr>
          <w:rFonts w:ascii="Times New Roman" w:cs="Times New Roman" w:eastAsia="Times New Roman" w:hAnsi="Times New Roman"/>
          <w:sz w:val="19"/>
          <w:szCs w:val="19"/>
          <w:color w:val="121212"/>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w:t>
      </w:r>
    </w:p>
    <w:p>
      <w:pPr>
        <w:sectPr>
          <w:pgSz w:w="12240" w:h="15840" w:orient="portrait"/>
          <w:cols w:equalWidth="0" w:num="1">
            <w:col w:w="10460"/>
          </w:cols>
          <w:pgMar w:left="900" w:top="930" w:right="880" w:bottom="175"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48</w:t>
      </w:r>
    </w:p>
    <w:p>
      <w:pPr>
        <w:sectPr>
          <w:pgSz w:w="12240" w:h="15840" w:orient="portrait"/>
          <w:cols w:equalWidth="0" w:num="1">
            <w:col w:w="10460"/>
          </w:cols>
          <w:pgMar w:left="900" w:top="930" w:right="880" w:bottom="175" w:gutter="0" w:footer="0" w:header="0"/>
          <w:type w:val="continuous"/>
        </w:sectPr>
      </w:pPr>
    </w:p>
    <w:bookmarkStart w:id="58" w:name="page59"/>
    <w:bookmarkEnd w:id="58"/>
    <w:p>
      <w:pPr>
        <w:ind w:right="60"/>
        <w:spacing w:after="0" w:line="247" w:lineRule="auto"/>
        <w:rPr>
          <w:sz w:val="20"/>
          <w:szCs w:val="20"/>
          <w:color w:val="auto"/>
        </w:rPr>
      </w:pPr>
      <w:r>
        <w:rPr>
          <w:rFonts w:ascii="Times New Roman" w:cs="Times New Roman" w:eastAsia="Times New Roman" w:hAnsi="Times New Roman"/>
          <w:sz w:val="20"/>
          <w:szCs w:val="20"/>
          <w:color w:val="121212"/>
        </w:rPr>
        <w:t>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20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121212"/>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our other product candidates, for which preclinical results may not be indicative or predictive of future clinical trial results.</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6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86" w:lineRule="exact"/>
        <w:rPr>
          <w:sz w:val="20"/>
          <w:szCs w:val="20"/>
          <w:color w:val="auto"/>
        </w:rPr>
      </w:pPr>
    </w:p>
    <w:p>
      <w:pPr>
        <w:jc w:val="both"/>
        <w:ind w:right="20" w:firstLine="490"/>
        <w:spacing w:after="0" w:line="244" w:lineRule="auto"/>
        <w:rPr>
          <w:sz w:val="20"/>
          <w:szCs w:val="20"/>
          <w:color w:val="auto"/>
        </w:rPr>
      </w:pPr>
      <w:r>
        <w:rPr>
          <w:rFonts w:ascii="Times New Roman" w:cs="Times New Roman" w:eastAsia="Times New Roman" w:hAnsi="Times New Roman"/>
          <w:sz w:val="20"/>
          <w:szCs w:val="20"/>
          <w:color w:val="121212"/>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8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21212"/>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and initial data from our Phase 2 BEACON clinical trial of bitopertin in June 2023. We also announced updated data from our Phase 2 BEACON clinical trial of bitopertin and initial data from our Phase 1b/2 DISC-0974 trials in patients with anemia of MF and patients with anemia and NDD-CKD in December 2023.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49</w:t>
      </w:r>
    </w:p>
    <w:p>
      <w:pPr>
        <w:sectPr>
          <w:pgSz w:w="12240" w:h="15840" w:orient="portrait"/>
          <w:cols w:equalWidth="0" w:num="1">
            <w:col w:w="10460"/>
          </w:cols>
          <w:pgMar w:left="900" w:top="930" w:right="880" w:bottom="175" w:gutter="0" w:footer="0" w:header="0"/>
          <w:type w:val="continuous"/>
        </w:sectPr>
      </w:pPr>
    </w:p>
    <w:bookmarkStart w:id="59" w:name="page60"/>
    <w:bookmarkEnd w:id="59"/>
    <w:p>
      <w:pPr>
        <w:ind w:right="60"/>
        <w:spacing w:after="0" w:line="277" w:lineRule="auto"/>
        <w:rPr>
          <w:sz w:val="20"/>
          <w:szCs w:val="20"/>
          <w:color w:val="auto"/>
        </w:rPr>
      </w:pPr>
      <w:r>
        <w:rPr>
          <w:rFonts w:ascii="Times New Roman" w:cs="Times New Roman" w:eastAsia="Times New Roman" w:hAnsi="Times New Roman"/>
          <w:sz w:val="20"/>
          <w:szCs w:val="20"/>
          <w:color w:val="121212"/>
        </w:rPr>
        <w:t>interim, top-line, initial or preliminary data and final data could significantly harm our business prospects and may cause the price of our common stock to fluctuate or decline.</w:t>
      </w:r>
    </w:p>
    <w:p>
      <w:pPr>
        <w:spacing w:after="0" w:line="169"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21212"/>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20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121212"/>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may incur additional costs or experience delays in initiating or completing, or ultimately be unable to complete, the development and commercialization of our product candidates.</w:t>
      </w:r>
    </w:p>
    <w:p>
      <w:pPr>
        <w:spacing w:after="0" w:line="49" w:lineRule="exact"/>
        <w:rPr>
          <w:sz w:val="20"/>
          <w:szCs w:val="20"/>
          <w:color w:val="auto"/>
        </w:rPr>
      </w:pPr>
    </w:p>
    <w:p>
      <w:pPr>
        <w:jc w:val="both"/>
        <w:ind w:right="20" w:firstLine="490"/>
        <w:spacing w:after="0" w:line="247" w:lineRule="auto"/>
        <w:rPr>
          <w:sz w:val="20"/>
          <w:szCs w:val="20"/>
          <w:color w:val="auto"/>
        </w:rPr>
      </w:pPr>
      <w:r>
        <w:rPr>
          <w:rFonts w:ascii="Times New Roman" w:cs="Times New Roman" w:eastAsia="Times New Roman" w:hAnsi="Times New Roman"/>
          <w:sz w:val="20"/>
          <w:szCs w:val="20"/>
          <w:color w:val="121212"/>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94" w:lineRule="exact"/>
        <w:rPr>
          <w:sz w:val="20"/>
          <w:szCs w:val="20"/>
          <w:color w:val="auto"/>
        </w:rPr>
      </w:pPr>
    </w:p>
    <w:p>
      <w:pPr>
        <w:ind w:left="720" w:right="20" w:hanging="367"/>
        <w:spacing w:after="0" w:line="276"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receive feedback from regulatory authorities that requires us to modify the design or implementation of our preclinical studies or clinical trials or to delay or terminate a clinical trial;</w:t>
      </w:r>
    </w:p>
    <w:p>
      <w:pPr>
        <w:spacing w:after="0" w:line="64"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regulators or institutional review boards, or IRBs, or ethics committees may delay or may not authorize us or our investigators to commence a clinical trial or conduct a clinical trial at a prospective trial site;</w:t>
      </w:r>
    </w:p>
    <w:p>
      <w:pPr>
        <w:spacing w:after="0" w:line="64"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81"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81"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preclinical studies or clinical trials of our product candidates may not produce differentiated or clinically significant results across indications;</w:t>
      </w:r>
    </w:p>
    <w:p>
      <w:pPr>
        <w:spacing w:after="0" w:line="64"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81" w:lineRule="exact"/>
        <w:rPr>
          <w:rFonts w:ascii="Arial" w:cs="Arial" w:eastAsia="Arial" w:hAnsi="Arial"/>
          <w:sz w:val="20"/>
          <w:szCs w:val="20"/>
          <w:color w:val="121212"/>
        </w:rPr>
      </w:pPr>
    </w:p>
    <w:p>
      <w:pPr>
        <w:jc w:val="both"/>
        <w:ind w:left="720" w:hanging="367"/>
        <w:spacing w:after="0" w:line="252"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87"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81" w:lineRule="exact"/>
        <w:rPr>
          <w:rFonts w:ascii="Arial" w:cs="Arial" w:eastAsia="Arial" w:hAnsi="Arial"/>
          <w:sz w:val="20"/>
          <w:szCs w:val="20"/>
          <w:color w:val="121212"/>
        </w:rPr>
      </w:pPr>
    </w:p>
    <w:p>
      <w:pPr>
        <w:ind w:left="720" w:hanging="367"/>
        <w:spacing w:after="0"/>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the cost of clinical trials of our product candidates may be greater than anticipated;</w:t>
      </w:r>
    </w:p>
    <w:p>
      <w:pPr>
        <w:spacing w:after="0" w:line="133"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81"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3"/>
        </w:numPr>
        <w:rPr>
          <w:rFonts w:ascii="Arial" w:cs="Arial" w:eastAsia="Arial" w:hAnsi="Arial"/>
          <w:sz w:val="20"/>
          <w:szCs w:val="20"/>
          <w:color w:val="121212"/>
        </w:rPr>
      </w:pPr>
      <w:r>
        <w:rPr>
          <w:rFonts w:ascii="Times New Roman" w:cs="Times New Roman" w:eastAsia="Times New Roman" w:hAnsi="Times New Roman"/>
          <w:sz w:val="20"/>
          <w:szCs w:val="20"/>
          <w:color w:val="121212"/>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50</w:t>
      </w:r>
    </w:p>
    <w:p>
      <w:pPr>
        <w:sectPr>
          <w:pgSz w:w="12240" w:h="15840" w:orient="portrait"/>
          <w:cols w:equalWidth="0" w:num="1">
            <w:col w:w="10460"/>
          </w:cols>
          <w:pgMar w:left="900" w:top="930" w:right="880" w:bottom="175" w:gutter="0" w:footer="0" w:header="0"/>
          <w:type w:val="continuous"/>
        </w:sectPr>
      </w:pPr>
    </w:p>
    <w:bookmarkStart w:id="60" w:name="page61"/>
    <w:bookmarkEnd w:id="60"/>
    <w:p>
      <w:pPr>
        <w:ind w:left="720" w:hanging="367"/>
        <w:spacing w:after="0" w:line="276" w:lineRule="auto"/>
        <w:tabs>
          <w:tab w:leader="none" w:pos="720" w:val="left"/>
        </w:tabs>
        <w:numPr>
          <w:ilvl w:val="0"/>
          <w:numId w:val="24"/>
        </w:numPr>
        <w:rPr>
          <w:rFonts w:ascii="Arial" w:cs="Arial" w:eastAsia="Arial" w:hAnsi="Arial"/>
          <w:sz w:val="20"/>
          <w:szCs w:val="20"/>
          <w:color w:val="121212"/>
        </w:rPr>
      </w:pPr>
      <w:r>
        <w:rPr>
          <w:rFonts w:ascii="Times New Roman" w:cs="Times New Roman" w:eastAsia="Times New Roman" w:hAnsi="Times New Roman"/>
          <w:sz w:val="20"/>
          <w:szCs w:val="20"/>
          <w:color w:val="121212"/>
        </w:rPr>
        <w:t>any future collaborators may conduct clinical trials in ways they view as advantageous to them but that are suboptimal for us; and</w:t>
      </w:r>
    </w:p>
    <w:p>
      <w:pPr>
        <w:spacing w:after="0" w:line="64"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24"/>
        </w:numPr>
        <w:rPr>
          <w:rFonts w:ascii="Arial" w:cs="Arial" w:eastAsia="Arial" w:hAnsi="Arial"/>
          <w:sz w:val="20"/>
          <w:szCs w:val="20"/>
          <w:color w:val="121212"/>
        </w:rPr>
      </w:pPr>
      <w:r>
        <w:rPr>
          <w:rFonts w:ascii="Times New Roman" w:cs="Times New Roman" w:eastAsia="Times New Roman" w:hAnsi="Times New Roman"/>
          <w:sz w:val="20"/>
          <w:szCs w:val="20"/>
          <w:color w:val="121212"/>
        </w:rPr>
        <w:t>regulators may revise the requirements for approving our product candidates, or such requirements may not be as anticipated.</w:t>
      </w:r>
    </w:p>
    <w:p>
      <w:pPr>
        <w:spacing w:after="0" w:line="50"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121212"/>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6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8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If we experience delays or difficulties in the enrollment of patients in clinical trials, our receipt of necessary regulatory approvals could be delayed or prevented.</w:t>
      </w:r>
    </w:p>
    <w:p>
      <w:pPr>
        <w:spacing w:after="0" w:line="49"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7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7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6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Patient enrollment may be affected by other factors, including:</w:t>
      </w:r>
    </w:p>
    <w:p>
      <w:pPr>
        <w:sectPr>
          <w:pgSz w:w="12240" w:h="15840" w:orient="portrait"/>
          <w:cols w:equalWidth="0" w:num="1">
            <w:col w:w="10460"/>
          </w:cols>
          <w:pgMar w:left="900" w:top="945" w:right="880" w:bottom="175"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51</w:t>
      </w:r>
    </w:p>
    <w:p>
      <w:pPr>
        <w:sectPr>
          <w:pgSz w:w="12240" w:h="15840" w:orient="portrait"/>
          <w:cols w:equalWidth="0" w:num="1">
            <w:col w:w="10460"/>
          </w:cols>
          <w:pgMar w:left="900" w:top="945" w:right="880" w:bottom="175" w:gutter="0" w:footer="0" w:header="0"/>
          <w:type w:val="continuous"/>
        </w:sectPr>
      </w:pPr>
    </w:p>
    <w:bookmarkStart w:id="61" w:name="page62"/>
    <w:bookmarkEnd w:id="61"/>
    <w:p>
      <w:pPr>
        <w:ind w:left="720" w:hanging="367"/>
        <w:spacing w:after="0"/>
        <w:tabs>
          <w:tab w:leader="none" w:pos="720" w:val="left"/>
        </w:tabs>
        <w:numPr>
          <w:ilvl w:val="0"/>
          <w:numId w:val="25"/>
        </w:numPr>
        <w:rPr>
          <w:rFonts w:ascii="Arial" w:cs="Arial" w:eastAsia="Arial" w:hAnsi="Arial"/>
          <w:sz w:val="20"/>
          <w:szCs w:val="20"/>
          <w:color w:val="121212"/>
        </w:rPr>
      </w:pPr>
      <w:r>
        <w:rPr>
          <w:rFonts w:ascii="Times New Roman" w:cs="Times New Roman" w:eastAsia="Times New Roman" w:hAnsi="Times New Roman"/>
          <w:sz w:val="20"/>
          <w:szCs w:val="20"/>
          <w:color w:val="121212"/>
        </w:rPr>
        <w:t>the severity of the disease under investigation;</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5"/>
        </w:numPr>
        <w:rPr>
          <w:rFonts w:ascii="Arial" w:cs="Arial" w:eastAsia="Arial" w:hAnsi="Arial"/>
          <w:sz w:val="20"/>
          <w:szCs w:val="20"/>
          <w:color w:val="121212"/>
        </w:rPr>
      </w:pPr>
      <w:r>
        <w:rPr>
          <w:rFonts w:ascii="Times New Roman" w:cs="Times New Roman" w:eastAsia="Times New Roman" w:hAnsi="Times New Roman"/>
          <w:sz w:val="20"/>
          <w:szCs w:val="20"/>
          <w:color w:val="121212"/>
        </w:rPr>
        <w:t>the efforts to obtain and maintain patient consents and facilitate timely enrollment in clinical trials;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5"/>
        </w:numPr>
        <w:rPr>
          <w:rFonts w:ascii="Arial" w:cs="Arial" w:eastAsia="Arial" w:hAnsi="Arial"/>
          <w:sz w:val="20"/>
          <w:szCs w:val="20"/>
          <w:color w:val="121212"/>
        </w:rPr>
      </w:pPr>
      <w:r>
        <w:rPr>
          <w:rFonts w:ascii="Times New Roman" w:cs="Times New Roman" w:eastAsia="Times New Roman" w:hAnsi="Times New Roman"/>
          <w:sz w:val="20"/>
          <w:szCs w:val="20"/>
          <w:color w:val="121212"/>
        </w:rPr>
        <w:t>the ability to monitor patients adequately during and after treatment;</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5"/>
        </w:numPr>
        <w:rPr>
          <w:rFonts w:ascii="Arial" w:cs="Arial" w:eastAsia="Arial" w:hAnsi="Arial"/>
          <w:sz w:val="20"/>
          <w:szCs w:val="20"/>
          <w:color w:val="121212"/>
        </w:rPr>
      </w:pPr>
      <w:r>
        <w:rPr>
          <w:rFonts w:ascii="Times New Roman" w:cs="Times New Roman" w:eastAsia="Times New Roman" w:hAnsi="Times New Roman"/>
          <w:sz w:val="20"/>
          <w:szCs w:val="20"/>
          <w:color w:val="121212"/>
        </w:rPr>
        <w:t>the risk that patients enrolled in clinical trials will drop out of the clinical trials before clinical trial completion;</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5"/>
        </w:numPr>
        <w:rPr>
          <w:rFonts w:ascii="Arial" w:cs="Arial" w:eastAsia="Arial" w:hAnsi="Arial"/>
          <w:sz w:val="20"/>
          <w:szCs w:val="20"/>
          <w:color w:val="121212"/>
        </w:rPr>
      </w:pPr>
      <w:r>
        <w:rPr>
          <w:rFonts w:ascii="Times New Roman" w:cs="Times New Roman" w:eastAsia="Times New Roman" w:hAnsi="Times New Roman"/>
          <w:sz w:val="20"/>
          <w:szCs w:val="20"/>
          <w:color w:val="121212"/>
        </w:rPr>
        <w:t>the ability to recruit clinical trial investigators with the appropriate competencies and experience;</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5"/>
        </w:numPr>
        <w:rPr>
          <w:rFonts w:ascii="Arial" w:cs="Arial" w:eastAsia="Arial" w:hAnsi="Arial"/>
          <w:sz w:val="20"/>
          <w:szCs w:val="20"/>
          <w:color w:val="121212"/>
        </w:rPr>
      </w:pPr>
      <w:r>
        <w:rPr>
          <w:rFonts w:ascii="Times New Roman" w:cs="Times New Roman" w:eastAsia="Times New Roman" w:hAnsi="Times New Roman"/>
          <w:sz w:val="20"/>
          <w:szCs w:val="20"/>
          <w:color w:val="121212"/>
        </w:rPr>
        <w:t>reporting of the preliminary results of any of our clinical trials; and</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5"/>
        </w:numPr>
        <w:rPr>
          <w:rFonts w:ascii="Arial" w:cs="Arial" w:eastAsia="Arial" w:hAnsi="Arial"/>
          <w:sz w:val="20"/>
          <w:szCs w:val="20"/>
          <w:color w:val="121212"/>
        </w:rPr>
      </w:pPr>
      <w:r>
        <w:rPr>
          <w:rFonts w:ascii="Times New Roman" w:cs="Times New Roman" w:eastAsia="Times New Roman" w:hAnsi="Times New Roman"/>
          <w:sz w:val="20"/>
          <w:szCs w:val="20"/>
          <w:color w:val="121212"/>
        </w:rPr>
        <w:t>factors we may not be able to control, including the impacts of any public health crises, that may limit patients, principal investigators or staff or clinical site availability.</w:t>
      </w:r>
    </w:p>
    <w:p>
      <w:pPr>
        <w:spacing w:after="0" w:line="17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121212"/>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197"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121212"/>
        </w:rPr>
        <w:t>Any results from early preclinical studies and clinical trials of bitopertin, DISC-0974, DISC-0998, DISC-3405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we initiated a Phase 1 clinical trial of DISC-3405 in healthy adult volunteers in October 2023,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20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21212"/>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68"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9"/>
          <w:szCs w:val="19"/>
          <w:color w:val="121212"/>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w:t>
      </w:r>
    </w:p>
    <w:p>
      <w:pPr>
        <w:sectPr>
          <w:pgSz w:w="12240" w:h="15840" w:orient="portrait"/>
          <w:cols w:equalWidth="0" w:num="1">
            <w:col w:w="10460"/>
          </w:cols>
          <w:pgMar w:left="900" w:top="945" w:right="880" w:bottom="175" w:gutter="0" w:footer="0" w:header="0"/>
        </w:sect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52</w:t>
      </w:r>
    </w:p>
    <w:p>
      <w:pPr>
        <w:sectPr>
          <w:pgSz w:w="12240" w:h="15840" w:orient="portrait"/>
          <w:cols w:equalWidth="0" w:num="1">
            <w:col w:w="10460"/>
          </w:cols>
          <w:pgMar w:left="900" w:top="945" w:right="880" w:bottom="175" w:gutter="0" w:footer="0" w:header="0"/>
          <w:type w:val="continuous"/>
        </w:sectPr>
      </w:pPr>
    </w:p>
    <w:bookmarkStart w:id="62" w:name="page63"/>
    <w:bookmarkEnd w:id="62"/>
    <w:p>
      <w:pPr>
        <w:jc w:val="both"/>
        <w:ind w:right="20"/>
        <w:spacing w:after="0" w:line="258" w:lineRule="auto"/>
        <w:rPr>
          <w:sz w:val="20"/>
          <w:szCs w:val="20"/>
          <w:color w:val="auto"/>
        </w:rPr>
      </w:pPr>
      <w:r>
        <w:rPr>
          <w:rFonts w:ascii="Times New Roman" w:cs="Times New Roman" w:eastAsia="Times New Roman" w:hAnsi="Times New Roman"/>
          <w:sz w:val="20"/>
          <w:szCs w:val="20"/>
          <w:color w:val="121212"/>
        </w:rPr>
        <w:t>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6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8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6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68"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121212"/>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w:t>
      </w:r>
    </w:p>
    <w:p>
      <w:pPr>
        <w:sectPr>
          <w:pgSz w:w="12240" w:h="15840" w:orient="portrait"/>
          <w:cols w:equalWidth="0" w:num="1">
            <w:col w:w="10460"/>
          </w:cols>
          <w:pgMar w:left="900" w:top="930" w:right="880" w:bottom="175" w:gutter="0" w:footer="0" w:header="0"/>
        </w:sect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53</w:t>
      </w:r>
    </w:p>
    <w:p>
      <w:pPr>
        <w:sectPr>
          <w:pgSz w:w="12240" w:h="15840" w:orient="portrait"/>
          <w:cols w:equalWidth="0" w:num="1">
            <w:col w:w="10460"/>
          </w:cols>
          <w:pgMar w:left="900" w:top="930" w:right="880" w:bottom="175" w:gutter="0" w:footer="0" w:header="0"/>
          <w:type w:val="continuous"/>
        </w:sectPr>
      </w:pPr>
    </w:p>
    <w:bookmarkStart w:id="63" w:name="page64"/>
    <w:bookmarkEnd w:id="63"/>
    <w:p>
      <w:pPr>
        <w:jc w:val="both"/>
        <w:spacing w:after="0" w:line="270" w:lineRule="auto"/>
        <w:rPr>
          <w:sz w:val="20"/>
          <w:szCs w:val="20"/>
          <w:color w:val="auto"/>
        </w:rPr>
      </w:pPr>
      <w:r>
        <w:rPr>
          <w:rFonts w:ascii="Times New Roman" w:cs="Times New Roman" w:eastAsia="Times New Roman" w:hAnsi="Times New Roman"/>
          <w:sz w:val="19"/>
          <w:szCs w:val="19"/>
          <w:color w:val="121212"/>
        </w:rPr>
        <w:t>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8"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88" w:lineRule="exact"/>
        <w:rPr>
          <w:sz w:val="20"/>
          <w:szCs w:val="20"/>
          <w:color w:val="auto"/>
        </w:rPr>
      </w:pPr>
    </w:p>
    <w:p>
      <w:pPr>
        <w:ind w:left="720" w:hanging="367"/>
        <w:spacing w:after="0"/>
        <w:tabs>
          <w:tab w:leader="none" w:pos="720" w:val="left"/>
        </w:tabs>
        <w:numPr>
          <w:ilvl w:val="0"/>
          <w:numId w:val="26"/>
        </w:numPr>
        <w:rPr>
          <w:rFonts w:ascii="Arial" w:cs="Arial" w:eastAsia="Arial" w:hAnsi="Arial"/>
          <w:sz w:val="20"/>
          <w:szCs w:val="20"/>
          <w:color w:val="121212"/>
        </w:rPr>
      </w:pPr>
      <w:r>
        <w:rPr>
          <w:rFonts w:ascii="Times New Roman" w:cs="Times New Roman" w:eastAsia="Times New Roman" w:hAnsi="Times New Roman"/>
          <w:sz w:val="20"/>
          <w:szCs w:val="20"/>
          <w:color w:val="121212"/>
        </w:rPr>
        <w:t>the research methodology used may not be successful in identifying potential indications and/or product candidates;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6"/>
        </w:numPr>
        <w:rPr>
          <w:rFonts w:ascii="Arial" w:cs="Arial" w:eastAsia="Arial" w:hAnsi="Arial"/>
          <w:sz w:val="20"/>
          <w:szCs w:val="20"/>
          <w:color w:val="121212"/>
        </w:rPr>
      </w:pPr>
      <w:r>
        <w:rPr>
          <w:rFonts w:ascii="Times New Roman" w:cs="Times New Roman" w:eastAsia="Times New Roman" w:hAnsi="Times New Roman"/>
          <w:sz w:val="20"/>
          <w:szCs w:val="20"/>
          <w:color w:val="121212"/>
        </w:rPr>
        <w:t>potential product candidates may, after further study, be shown to have harmful adverse effects or other characteristics that indicate they are unlikely to be effective products; or</w:t>
      </w:r>
    </w:p>
    <w:p>
      <w:pPr>
        <w:spacing w:after="0" w:line="64"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6"/>
        </w:numPr>
        <w:rPr>
          <w:rFonts w:ascii="Arial" w:cs="Arial" w:eastAsia="Arial" w:hAnsi="Arial"/>
          <w:sz w:val="20"/>
          <w:szCs w:val="20"/>
          <w:color w:val="121212"/>
        </w:rPr>
      </w:pPr>
      <w:r>
        <w:rPr>
          <w:rFonts w:ascii="Times New Roman" w:cs="Times New Roman" w:eastAsia="Times New Roman" w:hAnsi="Times New Roman"/>
          <w:sz w:val="20"/>
          <w:szCs w:val="20"/>
          <w:color w:val="121212"/>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7"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4" w:lineRule="exact"/>
        <w:rPr>
          <w:sz w:val="20"/>
          <w:szCs w:val="20"/>
          <w:color w:val="auto"/>
        </w:rPr>
      </w:pPr>
    </w:p>
    <w:p>
      <w:pPr>
        <w:jc w:val="both"/>
        <w:ind w:right="20" w:firstLine="490"/>
        <w:spacing w:after="0" w:line="252" w:lineRule="auto"/>
        <w:rPr>
          <w:sz w:val="20"/>
          <w:szCs w:val="20"/>
          <w:color w:val="auto"/>
        </w:rPr>
      </w:pPr>
      <w:r>
        <w:rPr>
          <w:rFonts w:ascii="Times New Roman" w:cs="Times New Roman" w:eastAsia="Times New Roman" w:hAnsi="Times New Roman"/>
          <w:sz w:val="20"/>
          <w:szCs w:val="20"/>
          <w:color w:val="121212"/>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9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54</w:t>
      </w:r>
    </w:p>
    <w:p>
      <w:pPr>
        <w:sectPr>
          <w:pgSz w:w="12240" w:h="15840" w:orient="portrait"/>
          <w:cols w:equalWidth="0" w:num="1">
            <w:col w:w="10460"/>
          </w:cols>
          <w:pgMar w:left="900" w:top="930" w:right="880" w:bottom="175" w:gutter="0" w:footer="0" w:header="0"/>
          <w:type w:val="continuous"/>
        </w:sectPr>
      </w:pPr>
    </w:p>
    <w:bookmarkStart w:id="64" w:name="page65"/>
    <w:bookmarkEnd w:id="64"/>
    <w:p>
      <w:pPr>
        <w:jc w:val="both"/>
        <w:ind w:firstLine="490"/>
        <w:spacing w:after="0" w:line="259" w:lineRule="auto"/>
        <w:rPr>
          <w:sz w:val="20"/>
          <w:szCs w:val="20"/>
          <w:color w:val="auto"/>
        </w:rPr>
      </w:pPr>
      <w:r>
        <w:rPr>
          <w:rFonts w:ascii="Times New Roman" w:cs="Times New Roman" w:eastAsia="Times New Roman" w:hAnsi="Times New Roman"/>
          <w:sz w:val="19"/>
          <w:szCs w:val="19"/>
          <w:color w:val="121212"/>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82" w:lineRule="exact"/>
        <w:rPr>
          <w:sz w:val="20"/>
          <w:szCs w:val="20"/>
          <w:color w:val="auto"/>
        </w:rPr>
      </w:pPr>
    </w:p>
    <w:p>
      <w:pPr>
        <w:ind w:left="720" w:hanging="367"/>
        <w:spacing w:after="0"/>
        <w:tabs>
          <w:tab w:leader="none" w:pos="720" w:val="left"/>
        </w:tabs>
        <w:numPr>
          <w:ilvl w:val="0"/>
          <w:numId w:val="27"/>
        </w:numPr>
        <w:rPr>
          <w:rFonts w:ascii="Arial" w:cs="Arial" w:eastAsia="Arial" w:hAnsi="Arial"/>
          <w:sz w:val="19"/>
          <w:szCs w:val="19"/>
          <w:color w:val="121212"/>
        </w:rPr>
      </w:pPr>
      <w:r>
        <w:rPr>
          <w:rFonts w:ascii="Times New Roman" w:cs="Times New Roman" w:eastAsia="Times New Roman" w:hAnsi="Times New Roman"/>
          <w:sz w:val="19"/>
          <w:szCs w:val="19"/>
          <w:color w:val="121212"/>
        </w:rPr>
        <w:t>the FDA or comparable foreign regulatory authorities may disagree with the design or implementation of our clinical trials;</w:t>
      </w:r>
    </w:p>
    <w:p>
      <w:pPr>
        <w:spacing w:after="0" w:line="145" w:lineRule="exact"/>
        <w:rPr>
          <w:rFonts w:ascii="Arial" w:cs="Arial" w:eastAsia="Arial" w:hAnsi="Arial"/>
          <w:sz w:val="19"/>
          <w:szCs w:val="19"/>
          <w:color w:val="121212"/>
        </w:rPr>
      </w:pPr>
    </w:p>
    <w:p>
      <w:pPr>
        <w:ind w:left="720" w:hanging="367"/>
        <w:spacing w:after="0"/>
        <w:tabs>
          <w:tab w:leader="none" w:pos="720" w:val="left"/>
        </w:tabs>
        <w:numPr>
          <w:ilvl w:val="0"/>
          <w:numId w:val="27"/>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not be able to enroll a sufficient number of patients in our clinical trials;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7"/>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be unable to demonstrate to the satisfaction of the FDA or comparable foreign regulatory authorities that a product candidate is safe and effective for its proposed indication;</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7"/>
        </w:numPr>
        <w:rPr>
          <w:rFonts w:ascii="Arial" w:cs="Arial" w:eastAsia="Arial" w:hAnsi="Arial"/>
          <w:sz w:val="20"/>
          <w:szCs w:val="20"/>
          <w:color w:val="121212"/>
        </w:rPr>
      </w:pPr>
      <w:r>
        <w:rPr>
          <w:rFonts w:ascii="Times New Roman" w:cs="Times New Roman" w:eastAsia="Times New Roman" w:hAnsi="Times New Roman"/>
          <w:sz w:val="20"/>
          <w:szCs w:val="20"/>
          <w:color w:val="121212"/>
        </w:rPr>
        <w:t>the results of clinical trials may not meet the level of statistical significance required by the FDA or comparable foreign regulatory authorities for approval;</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7"/>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be unable to demonstrate that a product candidate’s clinical and other benefits outweigh its safety risks;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7"/>
        </w:numPr>
        <w:rPr>
          <w:rFonts w:ascii="Arial" w:cs="Arial" w:eastAsia="Arial" w:hAnsi="Arial"/>
          <w:sz w:val="20"/>
          <w:szCs w:val="20"/>
          <w:color w:val="121212"/>
        </w:rPr>
      </w:pPr>
      <w:r>
        <w:rPr>
          <w:rFonts w:ascii="Times New Roman" w:cs="Times New Roman" w:eastAsia="Times New Roman" w:hAnsi="Times New Roman"/>
          <w:sz w:val="20"/>
          <w:szCs w:val="20"/>
          <w:color w:val="121212"/>
        </w:rPr>
        <w:t>the FDA or comparable foreign regulatory authorities may disagree with our interpretation of data from preclinical studies or clinical trials;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7"/>
        </w:numPr>
        <w:rPr>
          <w:rFonts w:ascii="Arial" w:cs="Arial" w:eastAsia="Arial" w:hAnsi="Arial"/>
          <w:sz w:val="20"/>
          <w:szCs w:val="20"/>
          <w:color w:val="121212"/>
        </w:rPr>
      </w:pPr>
      <w:r>
        <w:rPr>
          <w:rFonts w:ascii="Times New Roman" w:cs="Times New Roman" w:eastAsia="Times New Roman" w:hAnsi="Times New Roman"/>
          <w:sz w:val="20"/>
          <w:szCs w:val="20"/>
          <w:color w:val="121212"/>
        </w:rPr>
        <w:t>the data collected from clinical trials of our product candidates may not be sufficient to support the submission of an NDA, BLA or other submission or to obtain regulatory approval in the United States or elsewhere;</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7"/>
        </w:numPr>
        <w:rPr>
          <w:rFonts w:ascii="Arial" w:cs="Arial" w:eastAsia="Arial" w:hAnsi="Arial"/>
          <w:sz w:val="20"/>
          <w:szCs w:val="20"/>
          <w:color w:val="121212"/>
        </w:rPr>
      </w:pPr>
      <w:r>
        <w:rPr>
          <w:rFonts w:ascii="Times New Roman" w:cs="Times New Roman" w:eastAsia="Times New Roman" w:hAnsi="Times New Roman"/>
          <w:sz w:val="20"/>
          <w:szCs w:val="20"/>
          <w:color w:val="121212"/>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7"/>
        </w:numPr>
        <w:rPr>
          <w:rFonts w:ascii="Arial" w:cs="Arial" w:eastAsia="Arial" w:hAnsi="Arial"/>
          <w:sz w:val="20"/>
          <w:szCs w:val="20"/>
          <w:color w:val="121212"/>
        </w:rPr>
      </w:pPr>
      <w:r>
        <w:rPr>
          <w:rFonts w:ascii="Times New Roman" w:cs="Times New Roman" w:eastAsia="Times New Roman" w:hAnsi="Times New Roman"/>
          <w:sz w:val="20"/>
          <w:szCs w:val="20"/>
          <w:color w:val="121212"/>
        </w:rPr>
        <w:t>the approval policies or regulations of the FDA or comparable foreign regulatory authorities may significantly change such that our clinical data are insufficient for approval.</w:t>
      </w:r>
    </w:p>
    <w:p>
      <w:pPr>
        <w:spacing w:after="0" w:line="5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80"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21212"/>
        </w:rPr>
        <w:t>If we experience delays in obtaining, or if we fail to obtain, approval of our product candidates, the commercial prospects for our product candidates may be harmed and our ability to generate revenue will be materially impaired.</w:t>
      </w:r>
    </w:p>
    <w:p>
      <w:pPr>
        <w:spacing w:after="0" w:line="16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A public health crisis, pandemic, epidemic, or outbreak of an infectious or highly contagious disease, may materially and adversely affect our business and financial results and could cause a disruption to the development of our product candidates.</w:t>
      </w:r>
    </w:p>
    <w:p>
      <w:pPr>
        <w:spacing w:after="0" w:line="49"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77"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Risks Related to Commercialization</w:t>
      </w:r>
    </w:p>
    <w:p>
      <w:pPr>
        <w:spacing w:after="0" w:line="1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face substantial competition, which may result in others discovering, developing or commercializing products before or more successfully than we do.</w:t>
      </w:r>
    </w:p>
    <w:p>
      <w:pPr>
        <w:spacing w:after="0" w:line="49"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121212"/>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w:t>
      </w:r>
    </w:p>
    <w:p>
      <w:pPr>
        <w:sectPr>
          <w:pgSz w:w="12240" w:h="15840" w:orient="portrait"/>
          <w:cols w:equalWidth="0" w:num="1">
            <w:col w:w="10460"/>
          </w:cols>
          <w:pgMar w:left="900" w:top="930" w:right="880" w:bottom="175"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55</w:t>
      </w:r>
    </w:p>
    <w:p>
      <w:pPr>
        <w:sectPr>
          <w:pgSz w:w="12240" w:h="15840" w:orient="portrait"/>
          <w:cols w:equalWidth="0" w:num="1">
            <w:col w:w="10460"/>
          </w:cols>
          <w:pgMar w:left="900" w:top="930" w:right="880" w:bottom="175" w:gutter="0" w:footer="0" w:header="0"/>
          <w:type w:val="continuous"/>
        </w:sectPr>
      </w:pPr>
    </w:p>
    <w:bookmarkStart w:id="65" w:name="page66"/>
    <w:bookmarkEnd w:id="65"/>
    <w:p>
      <w:pPr>
        <w:jc w:val="both"/>
        <w:spacing w:after="0" w:line="246" w:lineRule="auto"/>
        <w:rPr>
          <w:sz w:val="20"/>
          <w:szCs w:val="20"/>
          <w:color w:val="auto"/>
        </w:rPr>
      </w:pPr>
      <w:r>
        <w:rPr>
          <w:rFonts w:ascii="Times New Roman" w:cs="Times New Roman" w:eastAsia="Times New Roman" w:hAnsi="Times New Roman"/>
          <w:sz w:val="20"/>
          <w:szCs w:val="20"/>
          <w:color w:val="121212"/>
        </w:rPr>
        <w:t>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80"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18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 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initiated a separate Phase 1b/2 clinical trial in the February 2023 in patients with non-dialysis dependent CKD and anemia, and initiated a Phase 1 clinical trial of DISC-3405 in healthy adult volunteers in October 2023. We are initially focused on developing DISC-3405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206"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21212"/>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56</w:t>
      </w:r>
    </w:p>
    <w:p>
      <w:pPr>
        <w:sectPr>
          <w:pgSz w:w="12240" w:h="15840" w:orient="portrait"/>
          <w:cols w:equalWidth="0" w:num="1">
            <w:col w:w="10460"/>
          </w:cols>
          <w:pgMar w:left="900" w:top="930" w:right="880" w:bottom="175" w:gutter="0" w:footer="0" w:header="0"/>
          <w:type w:val="continuous"/>
        </w:sectPr>
      </w:pPr>
    </w:p>
    <w:bookmarkStart w:id="66" w:name="page67"/>
    <w:bookmarkEnd w:id="66"/>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If our current product candidates or any future product candidates do not achieve broad market acceptance, the revenue that we generate from our sales may be limited, and we may never become profitable.</w:t>
      </w:r>
    </w:p>
    <w:p>
      <w:pPr>
        <w:spacing w:after="0" w:line="4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83"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86"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91" w:lineRule="exact"/>
        <w:rPr>
          <w:sz w:val="20"/>
          <w:szCs w:val="20"/>
          <w:color w:val="auto"/>
        </w:rPr>
      </w:pPr>
    </w:p>
    <w:p>
      <w:pPr>
        <w:ind w:left="720" w:hanging="367"/>
        <w:spacing w:after="0"/>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efficacy of our current product candidates and any future product candidates;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prevalence and severity of adverse events associated with our current product candidates and any future product candidates;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clinical indications for which our product candidates are approved and the approved claims that we may make for the products;</w:t>
      </w:r>
    </w:p>
    <w:p>
      <w:pPr>
        <w:spacing w:after="0" w:line="64"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81"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81" w:lineRule="exact"/>
        <w:rPr>
          <w:rFonts w:ascii="Arial" w:cs="Arial" w:eastAsia="Arial" w:hAnsi="Arial"/>
          <w:sz w:val="20"/>
          <w:szCs w:val="20"/>
          <w:color w:val="121212"/>
        </w:rPr>
      </w:pPr>
    </w:p>
    <w:p>
      <w:pPr>
        <w:ind w:left="720" w:hanging="367"/>
        <w:spacing w:after="0"/>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relative convenience and ease of administration of our current product candidates and any future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cost of treatment compared with the economic and clinical benefit of alternative treatments or therapies;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availability of adequate coverage or reimbursement by third-party payors, including government healthcare programs such as Medicare and Medicaid and other healthcare payors;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price concessions required by third-party payors to obtain coverage;</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willingness of patients to pay out-of-pocket in the absence of adequate coverage and reimbursement;</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extent and strength of our marketing and distribution of our current product candidates and any future product candidates;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8"/>
        </w:numPr>
        <w:rPr>
          <w:rFonts w:ascii="Arial" w:cs="Arial" w:eastAsia="Arial" w:hAnsi="Arial"/>
          <w:sz w:val="20"/>
          <w:szCs w:val="20"/>
          <w:color w:val="121212"/>
        </w:rPr>
      </w:pPr>
      <w:r>
        <w:rPr>
          <w:rFonts w:ascii="Times New Roman" w:cs="Times New Roman" w:eastAsia="Times New Roman" w:hAnsi="Times New Roman"/>
          <w:sz w:val="20"/>
          <w:szCs w:val="20"/>
          <w:color w:val="121212"/>
        </w:rPr>
        <w:t>the safety, efficacy, and other potential advantages over, and availability of, alternative treatments already used or that may later be approved;</w:t>
      </w:r>
    </w:p>
    <w:p>
      <w:pPr>
        <w:sectPr>
          <w:pgSz w:w="12240" w:h="15840" w:orient="portrait"/>
          <w:cols w:equalWidth="0" w:num="1">
            <w:col w:w="10460"/>
          </w:cols>
          <w:pgMar w:left="900" w:top="930" w:right="880" w:bottom="175" w:gutter="0" w:footer="0" w:header="0"/>
        </w:sect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57</w:t>
      </w:r>
    </w:p>
    <w:p>
      <w:pPr>
        <w:sectPr>
          <w:pgSz w:w="12240" w:h="15840" w:orient="portrait"/>
          <w:cols w:equalWidth="0" w:num="1">
            <w:col w:w="10460"/>
          </w:cols>
          <w:pgMar w:left="900" w:top="930" w:right="880" w:bottom="175" w:gutter="0" w:footer="0" w:header="0"/>
          <w:type w:val="continuous"/>
        </w:sectPr>
      </w:pPr>
    </w:p>
    <w:bookmarkStart w:id="67" w:name="page68"/>
    <w:bookmarkEnd w:id="67"/>
    <w:p>
      <w:pPr>
        <w:jc w:val="both"/>
        <w:ind w:left="720" w:hanging="367"/>
        <w:spacing w:after="0" w:line="258" w:lineRule="auto"/>
        <w:tabs>
          <w:tab w:leader="none" w:pos="720" w:val="left"/>
        </w:tabs>
        <w:numPr>
          <w:ilvl w:val="0"/>
          <w:numId w:val="29"/>
        </w:numPr>
        <w:rPr>
          <w:rFonts w:ascii="Arial" w:cs="Arial" w:eastAsia="Arial" w:hAnsi="Arial"/>
          <w:sz w:val="20"/>
          <w:szCs w:val="20"/>
          <w:color w:val="121212"/>
        </w:rPr>
      </w:pPr>
      <w:r>
        <w:rPr>
          <w:rFonts w:ascii="Times New Roman" w:cs="Times New Roman" w:eastAsia="Times New Roman" w:hAnsi="Times New Roman"/>
          <w:sz w:val="20"/>
          <w:szCs w:val="20"/>
          <w:color w:val="121212"/>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81"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29"/>
        </w:numPr>
        <w:rPr>
          <w:rFonts w:ascii="Arial" w:cs="Arial" w:eastAsia="Arial" w:hAnsi="Arial"/>
          <w:sz w:val="20"/>
          <w:szCs w:val="20"/>
          <w:color w:val="121212"/>
        </w:rPr>
      </w:pPr>
      <w:r>
        <w:rPr>
          <w:rFonts w:ascii="Times New Roman" w:cs="Times New Roman" w:eastAsia="Times New Roman" w:hAnsi="Times New Roman"/>
          <w:sz w:val="20"/>
          <w:szCs w:val="20"/>
          <w:color w:val="121212"/>
        </w:rPr>
        <w:t>the timing of market introduction of our current product candidates and any future product candidates, as well as competitive products;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9"/>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offer our current product candidates and any future product candidates for sale at competitive prices;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9"/>
        </w:numPr>
        <w:rPr>
          <w:rFonts w:ascii="Arial" w:cs="Arial" w:eastAsia="Arial" w:hAnsi="Arial"/>
          <w:sz w:val="20"/>
          <w:szCs w:val="20"/>
          <w:color w:val="121212"/>
        </w:rPr>
      </w:pPr>
      <w:r>
        <w:rPr>
          <w:rFonts w:ascii="Times New Roman" w:cs="Times New Roman" w:eastAsia="Times New Roman" w:hAnsi="Times New Roman"/>
          <w:sz w:val="20"/>
          <w:szCs w:val="20"/>
          <w:color w:val="121212"/>
        </w:rPr>
        <w:t>the willingness of the target patient population to try new therapies and of physicians to prescribe these therapies;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9"/>
        </w:numPr>
        <w:rPr>
          <w:rFonts w:ascii="Arial" w:cs="Arial" w:eastAsia="Arial" w:hAnsi="Arial"/>
          <w:sz w:val="20"/>
          <w:szCs w:val="20"/>
          <w:color w:val="121212"/>
        </w:rPr>
      </w:pPr>
      <w:r>
        <w:rPr>
          <w:rFonts w:ascii="Times New Roman" w:cs="Times New Roman" w:eastAsia="Times New Roman" w:hAnsi="Times New Roman"/>
          <w:sz w:val="20"/>
          <w:szCs w:val="20"/>
          <w:color w:val="121212"/>
        </w:rPr>
        <w:t>the extent and strength of our third-party manufacturer and supplier support;</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29"/>
        </w:numPr>
        <w:rPr>
          <w:rFonts w:ascii="Arial" w:cs="Arial" w:eastAsia="Arial" w:hAnsi="Arial"/>
          <w:sz w:val="20"/>
          <w:szCs w:val="20"/>
          <w:color w:val="121212"/>
        </w:rPr>
      </w:pPr>
      <w:r>
        <w:rPr>
          <w:rFonts w:ascii="Times New Roman" w:cs="Times New Roman" w:eastAsia="Times New Roman" w:hAnsi="Times New Roman"/>
          <w:sz w:val="20"/>
          <w:szCs w:val="20"/>
          <w:color w:val="121212"/>
        </w:rPr>
        <w:t>the approval of other new products;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29"/>
        </w:numPr>
        <w:rPr>
          <w:rFonts w:ascii="Arial" w:cs="Arial" w:eastAsia="Arial" w:hAnsi="Arial"/>
          <w:sz w:val="20"/>
          <w:szCs w:val="20"/>
          <w:color w:val="121212"/>
        </w:rPr>
      </w:pPr>
      <w:r>
        <w:rPr>
          <w:rFonts w:ascii="Times New Roman" w:cs="Times New Roman" w:eastAsia="Times New Roman" w:hAnsi="Times New Roman"/>
          <w:sz w:val="20"/>
          <w:szCs w:val="20"/>
          <w:color w:val="121212"/>
        </w:rPr>
        <w:t>adverse publicity about our current product candidates and any future product candidates or favorable publicity about competitive products; and</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29"/>
        </w:numPr>
        <w:rPr>
          <w:rFonts w:ascii="Arial" w:cs="Arial" w:eastAsia="Arial" w:hAnsi="Arial"/>
          <w:sz w:val="20"/>
          <w:szCs w:val="20"/>
          <w:color w:val="121212"/>
        </w:rPr>
      </w:pPr>
      <w:r>
        <w:rPr>
          <w:rFonts w:ascii="Times New Roman" w:cs="Times New Roman" w:eastAsia="Times New Roman" w:hAnsi="Times New Roman"/>
          <w:sz w:val="20"/>
          <w:szCs w:val="20"/>
          <w:color w:val="121212"/>
        </w:rPr>
        <w:t>potential product liability claims.</w:t>
      </w:r>
    </w:p>
    <w:p>
      <w:pPr>
        <w:spacing w:after="0" w:line="11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It is unclear what effect, if any, the American Rescue Plan will have on the number of covered individuals.</w:t>
      </w:r>
    </w:p>
    <w:p>
      <w:pPr>
        <w:spacing w:after="0" w:line="8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8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121212"/>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98" w:lineRule="exact"/>
        <w:rPr>
          <w:sz w:val="20"/>
          <w:szCs w:val="20"/>
          <w:color w:val="auto"/>
        </w:rPr>
      </w:pPr>
    </w:p>
    <w:p>
      <w:pPr>
        <w:ind w:left="720" w:hanging="367"/>
        <w:spacing w:after="0" w:line="276" w:lineRule="auto"/>
        <w:tabs>
          <w:tab w:leader="none" w:pos="720" w:val="left"/>
        </w:tabs>
        <w:numPr>
          <w:ilvl w:val="0"/>
          <w:numId w:val="30"/>
        </w:numPr>
        <w:rPr>
          <w:rFonts w:ascii="Arial" w:cs="Arial" w:eastAsia="Arial" w:hAnsi="Arial"/>
          <w:sz w:val="20"/>
          <w:szCs w:val="20"/>
          <w:color w:val="121212"/>
        </w:rPr>
      </w:pPr>
      <w:r>
        <w:rPr>
          <w:rFonts w:ascii="Times New Roman" w:cs="Times New Roman" w:eastAsia="Times New Roman" w:hAnsi="Times New Roman"/>
          <w:sz w:val="20"/>
          <w:szCs w:val="20"/>
          <w:color w:val="121212"/>
        </w:rPr>
        <w:t>restrictions on the marketing or manufacturing of the product, withdrawal of the product from the market or voluntary or mandatory product recalls;</w:t>
      </w:r>
    </w:p>
    <w:p>
      <w:pPr>
        <w:spacing w:after="0" w:line="64"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30"/>
        </w:numPr>
        <w:rPr>
          <w:rFonts w:ascii="Arial" w:cs="Arial" w:eastAsia="Arial" w:hAnsi="Arial"/>
          <w:sz w:val="20"/>
          <w:szCs w:val="20"/>
          <w:color w:val="121212"/>
        </w:rPr>
      </w:pPr>
      <w:r>
        <w:rPr>
          <w:rFonts w:ascii="Times New Roman" w:cs="Times New Roman" w:eastAsia="Times New Roman" w:hAnsi="Times New Roman"/>
          <w:sz w:val="20"/>
          <w:szCs w:val="20"/>
          <w:color w:val="121212"/>
        </w:rPr>
        <w:t>manufacturing delays and supply disruptions where regulatory inspections identify observations of noncompliance requiring remediation;</w:t>
      </w:r>
    </w:p>
    <w:p>
      <w:pPr>
        <w:sectPr>
          <w:pgSz w:w="12240" w:h="15840" w:orient="portrait"/>
          <w:cols w:equalWidth="0" w:num="1">
            <w:col w:w="10460"/>
          </w:cols>
          <w:pgMar w:left="900" w:top="945" w:right="880" w:bottom="17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58</w:t>
      </w:r>
    </w:p>
    <w:p>
      <w:pPr>
        <w:sectPr>
          <w:pgSz w:w="12240" w:h="15840" w:orient="portrait"/>
          <w:cols w:equalWidth="0" w:num="1">
            <w:col w:w="10460"/>
          </w:cols>
          <w:pgMar w:left="900" w:top="945" w:right="880" w:bottom="175" w:gutter="0" w:footer="0" w:header="0"/>
          <w:type w:val="continuous"/>
        </w:sectPr>
      </w:pPr>
    </w:p>
    <w:bookmarkStart w:id="68" w:name="page69"/>
    <w:bookmarkEnd w:id="68"/>
    <w:p>
      <w:pPr>
        <w:ind w:left="720" w:hanging="367"/>
        <w:spacing w:after="0" w:line="276" w:lineRule="auto"/>
        <w:tabs>
          <w:tab w:leader="none" w:pos="720" w:val="left"/>
        </w:tabs>
        <w:numPr>
          <w:ilvl w:val="0"/>
          <w:numId w:val="31"/>
        </w:numPr>
        <w:rPr>
          <w:rFonts w:ascii="Arial" w:cs="Arial" w:eastAsia="Arial" w:hAnsi="Arial"/>
          <w:sz w:val="20"/>
          <w:szCs w:val="20"/>
          <w:color w:val="121212"/>
        </w:rPr>
      </w:pPr>
      <w:r>
        <w:rPr>
          <w:rFonts w:ascii="Times New Roman" w:cs="Times New Roman" w:eastAsia="Times New Roman" w:hAnsi="Times New Roman"/>
          <w:sz w:val="20"/>
          <w:szCs w:val="20"/>
          <w:color w:val="121212"/>
        </w:rPr>
        <w:t>revisions to the labeling, including limitation on approved uses or the addition of additional warnings, contraindications or other safety information, including boxed warnings;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31"/>
        </w:numPr>
        <w:rPr>
          <w:rFonts w:ascii="Arial" w:cs="Arial" w:eastAsia="Arial" w:hAnsi="Arial"/>
          <w:sz w:val="20"/>
          <w:szCs w:val="20"/>
          <w:color w:val="121212"/>
        </w:rPr>
      </w:pPr>
      <w:r>
        <w:rPr>
          <w:rFonts w:ascii="Times New Roman" w:cs="Times New Roman" w:eastAsia="Times New Roman" w:hAnsi="Times New Roman"/>
          <w:sz w:val="20"/>
          <w:szCs w:val="20"/>
          <w:color w:val="121212"/>
        </w:rPr>
        <w:t>imposition of a REMS which may include distribution or use restrictions;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1"/>
        </w:numPr>
        <w:rPr>
          <w:rFonts w:ascii="Arial" w:cs="Arial" w:eastAsia="Arial" w:hAnsi="Arial"/>
          <w:sz w:val="20"/>
          <w:szCs w:val="20"/>
          <w:color w:val="121212"/>
        </w:rPr>
      </w:pPr>
      <w:r>
        <w:rPr>
          <w:rFonts w:ascii="Times New Roman" w:cs="Times New Roman" w:eastAsia="Times New Roman" w:hAnsi="Times New Roman"/>
          <w:sz w:val="20"/>
          <w:szCs w:val="20"/>
          <w:color w:val="121212"/>
        </w:rPr>
        <w:t>requirements to conduct additional post-market clinical trials to assess the safety of the product;</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1"/>
        </w:numPr>
        <w:rPr>
          <w:rFonts w:ascii="Arial" w:cs="Arial" w:eastAsia="Arial" w:hAnsi="Arial"/>
          <w:sz w:val="20"/>
          <w:szCs w:val="20"/>
          <w:color w:val="121212"/>
        </w:rPr>
      </w:pPr>
      <w:r>
        <w:rPr>
          <w:rFonts w:ascii="Times New Roman" w:cs="Times New Roman" w:eastAsia="Times New Roman" w:hAnsi="Times New Roman"/>
          <w:sz w:val="20"/>
          <w:szCs w:val="20"/>
          <w:color w:val="121212"/>
        </w:rPr>
        <w:t>clinical trial holds;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1"/>
        </w:numPr>
        <w:rPr>
          <w:rFonts w:ascii="Arial" w:cs="Arial" w:eastAsia="Arial" w:hAnsi="Arial"/>
          <w:sz w:val="20"/>
          <w:szCs w:val="20"/>
          <w:color w:val="121212"/>
        </w:rPr>
      </w:pPr>
      <w:r>
        <w:rPr>
          <w:rFonts w:ascii="Times New Roman" w:cs="Times New Roman" w:eastAsia="Times New Roman" w:hAnsi="Times New Roman"/>
          <w:sz w:val="20"/>
          <w:szCs w:val="20"/>
          <w:color w:val="121212"/>
        </w:rPr>
        <w:t>fines, warning letters or other regulatory enforcement action;</w:t>
      </w:r>
    </w:p>
    <w:p>
      <w:pPr>
        <w:spacing w:after="0" w:line="133"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31"/>
        </w:numPr>
        <w:rPr>
          <w:rFonts w:ascii="Arial" w:cs="Arial" w:eastAsia="Arial" w:hAnsi="Arial"/>
          <w:sz w:val="20"/>
          <w:szCs w:val="20"/>
          <w:color w:val="121212"/>
        </w:rPr>
      </w:pPr>
      <w:r>
        <w:rPr>
          <w:rFonts w:ascii="Times New Roman" w:cs="Times New Roman" w:eastAsia="Times New Roman" w:hAnsi="Times New Roman"/>
          <w:sz w:val="20"/>
          <w:szCs w:val="20"/>
          <w:color w:val="121212"/>
        </w:rPr>
        <w:t>refusal by the FDA to approve pending applications or supplements to approved applications filed by us or suspension or revocation of approvals;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31"/>
        </w:numPr>
        <w:rPr>
          <w:rFonts w:ascii="Arial" w:cs="Arial" w:eastAsia="Arial" w:hAnsi="Arial"/>
          <w:sz w:val="20"/>
          <w:szCs w:val="20"/>
          <w:color w:val="121212"/>
        </w:rPr>
      </w:pPr>
      <w:r>
        <w:rPr>
          <w:rFonts w:ascii="Times New Roman" w:cs="Times New Roman" w:eastAsia="Times New Roman" w:hAnsi="Times New Roman"/>
          <w:sz w:val="20"/>
          <w:szCs w:val="20"/>
          <w:color w:val="121212"/>
        </w:rPr>
        <w:t>product seizure or detention, or refusal to permit the import or export of products;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1"/>
        </w:numPr>
        <w:rPr>
          <w:rFonts w:ascii="Arial" w:cs="Arial" w:eastAsia="Arial" w:hAnsi="Arial"/>
          <w:sz w:val="20"/>
          <w:szCs w:val="20"/>
          <w:color w:val="121212"/>
        </w:rPr>
      </w:pPr>
      <w:r>
        <w:rPr>
          <w:rFonts w:ascii="Times New Roman" w:cs="Times New Roman" w:eastAsia="Times New Roman" w:hAnsi="Times New Roman"/>
          <w:sz w:val="20"/>
          <w:szCs w:val="20"/>
          <w:color w:val="121212"/>
        </w:rPr>
        <w:t>injunctions or the imposition of civil or criminal penalties.</w:t>
      </w:r>
    </w:p>
    <w:p>
      <w:pPr>
        <w:spacing w:after="0" w:line="119"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Risks Related to Our Reliance on Third Parties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121212"/>
        </w:rPr>
        <w:t>We rely on third parties to conduct our Phase 2 clinical trials of bitopertin, Phase 1b/2 clinical trials of DISC-0974 and Phase 1 clinical trial of DISC-3405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9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DISC-0974 in patients with anemia of MF or non-dialysis dependent CKD and anemia, our Phase 1 trial of DISC-3405,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8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6"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80"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121212"/>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w:t>
      </w:r>
    </w:p>
    <w:p>
      <w:pPr>
        <w:sectPr>
          <w:pgSz w:w="12240" w:h="15840" w:orient="portrait"/>
          <w:cols w:equalWidth="0" w:num="1">
            <w:col w:w="10460"/>
          </w:cols>
          <w:pgMar w:left="900" w:top="945" w:right="880" w:bottom="175" w:gutter="0" w:footer="0" w:header="0"/>
        </w:sect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59</w:t>
      </w:r>
    </w:p>
    <w:p>
      <w:pPr>
        <w:sectPr>
          <w:pgSz w:w="12240" w:h="15840" w:orient="portrait"/>
          <w:cols w:equalWidth="0" w:num="1">
            <w:col w:w="10460"/>
          </w:cols>
          <w:pgMar w:left="900" w:top="945" w:right="880" w:bottom="175" w:gutter="0" w:footer="0" w:header="0"/>
          <w:type w:val="continuous"/>
        </w:sectPr>
      </w:pPr>
    </w:p>
    <w:bookmarkStart w:id="69" w:name="page70"/>
    <w:bookmarkEnd w:id="69"/>
    <w:p>
      <w:pPr>
        <w:jc w:val="both"/>
        <w:spacing w:after="0" w:line="243" w:lineRule="auto"/>
        <w:rPr>
          <w:sz w:val="20"/>
          <w:szCs w:val="20"/>
          <w:color w:val="auto"/>
        </w:rPr>
      </w:pPr>
      <w:r>
        <w:rPr>
          <w:rFonts w:ascii="Times New Roman" w:cs="Times New Roman" w:eastAsia="Times New Roman" w:hAnsi="Times New Roman"/>
          <w:sz w:val="20"/>
          <w:szCs w:val="20"/>
          <w:color w:val="121212"/>
        </w:rPr>
        <w:t>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8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Although we designed our ongoing Phase 1b/2 clinical trials of DISC-0974, ongoing Phase 2 clinical trials of bitopertin, and ongoing Phase 1 clinical trial of DISC-3405, and intend to design the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94" w:lineRule="exact"/>
        <w:rPr>
          <w:sz w:val="20"/>
          <w:szCs w:val="20"/>
          <w:color w:val="auto"/>
        </w:rPr>
      </w:pPr>
    </w:p>
    <w:p>
      <w:pPr>
        <w:ind w:left="720" w:hanging="367"/>
        <w:spacing w:after="0"/>
        <w:tabs>
          <w:tab w:leader="none" w:pos="720" w:val="left"/>
        </w:tabs>
        <w:numPr>
          <w:ilvl w:val="0"/>
          <w:numId w:val="32"/>
        </w:numPr>
        <w:rPr>
          <w:rFonts w:ascii="Arial" w:cs="Arial" w:eastAsia="Arial" w:hAnsi="Arial"/>
          <w:sz w:val="20"/>
          <w:szCs w:val="20"/>
          <w:color w:val="121212"/>
        </w:rPr>
      </w:pPr>
      <w:r>
        <w:rPr>
          <w:rFonts w:ascii="Times New Roman" w:cs="Times New Roman" w:eastAsia="Times New Roman" w:hAnsi="Times New Roman"/>
          <w:sz w:val="20"/>
          <w:szCs w:val="20"/>
          <w:color w:val="121212"/>
        </w:rPr>
        <w:t>have staffing difficulties;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2"/>
        </w:numPr>
        <w:rPr>
          <w:rFonts w:ascii="Arial" w:cs="Arial" w:eastAsia="Arial" w:hAnsi="Arial"/>
          <w:sz w:val="20"/>
          <w:szCs w:val="20"/>
          <w:color w:val="121212"/>
        </w:rPr>
      </w:pPr>
      <w:r>
        <w:rPr>
          <w:rFonts w:ascii="Times New Roman" w:cs="Times New Roman" w:eastAsia="Times New Roman" w:hAnsi="Times New Roman"/>
          <w:sz w:val="20"/>
          <w:szCs w:val="20"/>
          <w:color w:val="121212"/>
        </w:rPr>
        <w:t>fail to comply with contractual obligations;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2"/>
        </w:numPr>
        <w:rPr>
          <w:rFonts w:ascii="Arial" w:cs="Arial" w:eastAsia="Arial" w:hAnsi="Arial"/>
          <w:sz w:val="20"/>
          <w:szCs w:val="20"/>
          <w:color w:val="121212"/>
        </w:rPr>
      </w:pPr>
      <w:r>
        <w:rPr>
          <w:rFonts w:ascii="Times New Roman" w:cs="Times New Roman" w:eastAsia="Times New Roman" w:hAnsi="Times New Roman"/>
          <w:sz w:val="20"/>
          <w:szCs w:val="20"/>
          <w:color w:val="121212"/>
        </w:rPr>
        <w:t>experience regulatory compliance issues;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2"/>
        </w:numPr>
        <w:rPr>
          <w:rFonts w:ascii="Arial" w:cs="Arial" w:eastAsia="Arial" w:hAnsi="Arial"/>
          <w:sz w:val="20"/>
          <w:szCs w:val="20"/>
          <w:color w:val="121212"/>
        </w:rPr>
      </w:pPr>
      <w:r>
        <w:rPr>
          <w:rFonts w:ascii="Times New Roman" w:cs="Times New Roman" w:eastAsia="Times New Roman" w:hAnsi="Times New Roman"/>
          <w:sz w:val="20"/>
          <w:szCs w:val="20"/>
          <w:color w:val="121212"/>
        </w:rPr>
        <w:t>undergo changes in priorities or become financially distressed; or</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2"/>
        </w:numPr>
        <w:rPr>
          <w:rFonts w:ascii="Arial" w:cs="Arial" w:eastAsia="Arial" w:hAnsi="Arial"/>
          <w:sz w:val="20"/>
          <w:szCs w:val="20"/>
          <w:color w:val="121212"/>
        </w:rPr>
      </w:pPr>
      <w:r>
        <w:rPr>
          <w:rFonts w:ascii="Times New Roman" w:cs="Times New Roman" w:eastAsia="Times New Roman" w:hAnsi="Times New Roman"/>
          <w:sz w:val="20"/>
          <w:szCs w:val="20"/>
          <w:color w:val="121212"/>
        </w:rPr>
        <w:t>form relationships with other entities, some of which may be our competitors.</w:t>
      </w:r>
    </w:p>
    <w:p>
      <w:pPr>
        <w:spacing w:after="0" w:line="119"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0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might not realize the anticipated benefits of our current collaborations with Mabwell or NIH, or any other collaborations we enter into in the future.</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Research, development, commercialization and/or strategic collaborations, including those that we have with Mabwell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NIH, are subject to numerous risks, which include the following:</w:t>
      </w:r>
    </w:p>
    <w:p>
      <w:pPr>
        <w:spacing w:after="0" w:line="106" w:lineRule="exact"/>
        <w:rPr>
          <w:sz w:val="20"/>
          <w:szCs w:val="20"/>
          <w:color w:val="auto"/>
        </w:rPr>
      </w:pPr>
    </w:p>
    <w:p>
      <w:pPr>
        <w:ind w:left="720" w:hanging="367"/>
        <w:spacing w:after="0" w:line="276" w:lineRule="auto"/>
        <w:tabs>
          <w:tab w:leader="none" w:pos="720" w:val="left"/>
        </w:tabs>
        <w:numPr>
          <w:ilvl w:val="0"/>
          <w:numId w:val="33"/>
        </w:numPr>
        <w:rPr>
          <w:rFonts w:ascii="Arial" w:cs="Arial" w:eastAsia="Arial" w:hAnsi="Arial"/>
          <w:sz w:val="20"/>
          <w:szCs w:val="20"/>
          <w:color w:val="121212"/>
        </w:rPr>
      </w:pPr>
      <w:r>
        <w:rPr>
          <w:rFonts w:ascii="Times New Roman" w:cs="Times New Roman" w:eastAsia="Times New Roman" w:hAnsi="Times New Roman"/>
          <w:sz w:val="20"/>
          <w:szCs w:val="20"/>
          <w:color w:val="121212"/>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64"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33"/>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81" w:lineRule="exact"/>
        <w:rPr>
          <w:rFonts w:ascii="Arial" w:cs="Arial" w:eastAsia="Arial" w:hAnsi="Arial"/>
          <w:sz w:val="20"/>
          <w:szCs w:val="20"/>
          <w:color w:val="121212"/>
        </w:rPr>
      </w:pPr>
    </w:p>
    <w:p>
      <w:pPr>
        <w:jc w:val="both"/>
        <w:ind w:left="720" w:hanging="367"/>
        <w:spacing w:after="0" w:line="304" w:lineRule="auto"/>
        <w:tabs>
          <w:tab w:leader="none" w:pos="720" w:val="left"/>
        </w:tabs>
        <w:numPr>
          <w:ilvl w:val="0"/>
          <w:numId w:val="33"/>
        </w:numPr>
        <w:rPr>
          <w:rFonts w:ascii="Arial" w:cs="Arial" w:eastAsia="Arial" w:hAnsi="Arial"/>
          <w:sz w:val="19"/>
          <w:szCs w:val="19"/>
          <w:color w:val="121212"/>
        </w:rPr>
      </w:pPr>
      <w:r>
        <w:rPr>
          <w:rFonts w:ascii="Times New Roman" w:cs="Times New Roman" w:eastAsia="Times New Roman" w:hAnsi="Times New Roman"/>
          <w:sz w:val="19"/>
          <w:szCs w:val="19"/>
          <w:color w:val="121212"/>
        </w:rPr>
        <w:t>collaborators might not pursue research, development and/or commercialization of collaboration product candidates or might elect not to continue or renew research, development and/or commercialization programs based on preclinical studies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60</w:t>
      </w:r>
    </w:p>
    <w:p>
      <w:pPr>
        <w:sectPr>
          <w:pgSz w:w="12240" w:h="15840" w:orient="portrait"/>
          <w:cols w:equalWidth="0" w:num="1">
            <w:col w:w="10460"/>
          </w:cols>
          <w:pgMar w:left="900" w:top="930" w:right="880" w:bottom="175" w:gutter="0" w:footer="0" w:header="0"/>
          <w:type w:val="continuous"/>
        </w:sectPr>
      </w:pPr>
    </w:p>
    <w:bookmarkStart w:id="70" w:name="page71"/>
    <w:bookmarkEnd w:id="70"/>
    <w:p>
      <w:pPr>
        <w:ind w:left="720"/>
        <w:spacing w:after="0" w:line="277" w:lineRule="auto"/>
        <w:rPr>
          <w:sz w:val="20"/>
          <w:szCs w:val="20"/>
          <w:color w:val="auto"/>
        </w:rPr>
      </w:pPr>
      <w:r>
        <w:rPr>
          <w:rFonts w:ascii="Times New Roman" w:cs="Times New Roman" w:eastAsia="Times New Roman" w:hAnsi="Times New Roman"/>
          <w:sz w:val="20"/>
          <w:szCs w:val="20"/>
          <w:color w:val="121212"/>
        </w:rPr>
        <w:t>and/or clinical trial results, changes in their strategic focus, availability of funding or other factors, such as a business combination that diverts resources or creates competing priorities;</w:t>
      </w:r>
    </w:p>
    <w:p>
      <w:pPr>
        <w:spacing w:after="0" w:line="64" w:lineRule="exact"/>
        <w:rPr>
          <w:sz w:val="20"/>
          <w:szCs w:val="20"/>
          <w:color w:val="auto"/>
        </w:rPr>
      </w:pPr>
    </w:p>
    <w:p>
      <w:pPr>
        <w:ind w:left="720" w:right="20" w:hanging="367"/>
        <w:spacing w:after="0" w:line="276" w:lineRule="auto"/>
        <w:tabs>
          <w:tab w:leader="none" w:pos="720" w:val="left"/>
        </w:tabs>
        <w:numPr>
          <w:ilvl w:val="0"/>
          <w:numId w:val="34"/>
        </w:numPr>
        <w:rPr>
          <w:rFonts w:ascii="Arial" w:cs="Arial" w:eastAsia="Arial" w:hAnsi="Arial"/>
          <w:sz w:val="20"/>
          <w:szCs w:val="20"/>
          <w:color w:val="121212"/>
        </w:rPr>
      </w:pPr>
      <w:r>
        <w:rPr>
          <w:rFonts w:ascii="Times New Roman" w:cs="Times New Roman" w:eastAsia="Times New Roman" w:hAnsi="Times New Roman"/>
          <w:sz w:val="20"/>
          <w:szCs w:val="20"/>
          <w:color w:val="121212"/>
        </w:rPr>
        <w:t>collaborators might delay, provide insufficient resources to, or modify or stop research or clinical development for collaboration product candidates or require a new formulation of a product candidate for clinical testing;</w:t>
      </w:r>
    </w:p>
    <w:p>
      <w:pPr>
        <w:spacing w:after="0" w:line="64"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34"/>
        </w:numPr>
        <w:rPr>
          <w:rFonts w:ascii="Arial" w:cs="Arial" w:eastAsia="Arial" w:hAnsi="Arial"/>
          <w:sz w:val="20"/>
          <w:szCs w:val="20"/>
          <w:color w:val="121212"/>
        </w:rPr>
      </w:pPr>
      <w:r>
        <w:rPr>
          <w:rFonts w:ascii="Times New Roman" w:cs="Times New Roman" w:eastAsia="Times New Roman" w:hAnsi="Times New Roman"/>
          <w:sz w:val="20"/>
          <w:szCs w:val="20"/>
          <w:color w:val="121212"/>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81"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4"/>
        </w:numPr>
        <w:rPr>
          <w:rFonts w:ascii="Arial" w:cs="Arial" w:eastAsia="Arial" w:hAnsi="Arial"/>
          <w:sz w:val="20"/>
          <w:szCs w:val="20"/>
          <w:color w:val="121212"/>
        </w:rPr>
      </w:pPr>
      <w:r>
        <w:rPr>
          <w:rFonts w:ascii="Times New Roman" w:cs="Times New Roman" w:eastAsia="Times New Roman" w:hAnsi="Times New Roman"/>
          <w:sz w:val="20"/>
          <w:szCs w:val="20"/>
          <w:color w:val="121212"/>
        </w:rPr>
        <w:t>collaborators might not properly maintain or defend our intellectual property rights or might use our intellectual property improperly or in a way that jeopardizes our intellectual property or exposes us to potential liability;</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4"/>
        </w:numPr>
        <w:rPr>
          <w:rFonts w:ascii="Arial" w:cs="Arial" w:eastAsia="Arial" w:hAnsi="Arial"/>
          <w:sz w:val="20"/>
          <w:szCs w:val="20"/>
          <w:color w:val="121212"/>
        </w:rPr>
      </w:pPr>
      <w:r>
        <w:rPr>
          <w:rFonts w:ascii="Times New Roman" w:cs="Times New Roman" w:eastAsia="Times New Roman" w:hAnsi="Times New Roman"/>
          <w:sz w:val="20"/>
          <w:szCs w:val="20"/>
          <w:color w:val="121212"/>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4"/>
        </w:numPr>
        <w:rPr>
          <w:rFonts w:ascii="Arial" w:cs="Arial" w:eastAsia="Arial" w:hAnsi="Arial"/>
          <w:sz w:val="20"/>
          <w:szCs w:val="20"/>
          <w:color w:val="121212"/>
        </w:rPr>
      </w:pPr>
      <w:r>
        <w:rPr>
          <w:rFonts w:ascii="Times New Roman" w:cs="Times New Roman" w:eastAsia="Times New Roman" w:hAnsi="Times New Roman"/>
          <w:sz w:val="20"/>
          <w:szCs w:val="20"/>
          <w:color w:val="121212"/>
        </w:rPr>
        <w:t>collaborators might not be in compliance with laws applicable to their activities under the collaboration, which could impact the collaboration and us;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4"/>
        </w:numPr>
        <w:rPr>
          <w:rFonts w:ascii="Arial" w:cs="Arial" w:eastAsia="Arial" w:hAnsi="Arial"/>
          <w:sz w:val="20"/>
          <w:szCs w:val="20"/>
          <w:color w:val="121212"/>
        </w:rPr>
      </w:pPr>
      <w:r>
        <w:rPr>
          <w:rFonts w:ascii="Times New Roman" w:cs="Times New Roman" w:eastAsia="Times New Roman" w:hAnsi="Times New Roman"/>
          <w:sz w:val="20"/>
          <w:szCs w:val="20"/>
          <w:color w:val="121212"/>
        </w:rPr>
        <w:t>disputes might arise between a collaborator and us that could cause a delay or termination of the collaboration or result in costly litigation that diverts management attention and resources; and</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4"/>
        </w:numPr>
        <w:rPr>
          <w:rFonts w:ascii="Arial" w:cs="Arial" w:eastAsia="Arial" w:hAnsi="Arial"/>
          <w:sz w:val="20"/>
          <w:szCs w:val="20"/>
          <w:color w:val="121212"/>
        </w:rPr>
      </w:pPr>
      <w:r>
        <w:rPr>
          <w:rFonts w:ascii="Times New Roman" w:cs="Times New Roman" w:eastAsia="Times New Roman" w:hAnsi="Times New Roman"/>
          <w:sz w:val="20"/>
          <w:szCs w:val="20"/>
          <w:color w:val="121212"/>
        </w:rPr>
        <w:t>collaborations might be terminated, which could result in a need for additional capital to pursue further research, development and/or commercialization of our product candidates.</w:t>
      </w:r>
    </w:p>
    <w:p>
      <w:pPr>
        <w:spacing w:after="0" w:line="5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8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68"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74"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89"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61</w:t>
      </w:r>
    </w:p>
    <w:p>
      <w:pPr>
        <w:sectPr>
          <w:pgSz w:w="12240" w:h="15840" w:orient="portrait"/>
          <w:cols w:equalWidth="0" w:num="1">
            <w:col w:w="10460"/>
          </w:cols>
          <w:pgMar w:left="900" w:top="930" w:right="880" w:bottom="175" w:gutter="0" w:footer="0" w:header="0"/>
          <w:type w:val="continuous"/>
        </w:sectPr>
      </w:pPr>
    </w:p>
    <w:bookmarkStart w:id="71" w:name="page72"/>
    <w:bookmarkEnd w:id="71"/>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121212"/>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4" w:lineRule="exact"/>
        <w:rPr>
          <w:sz w:val="20"/>
          <w:szCs w:val="20"/>
          <w:color w:val="auto"/>
        </w:rPr>
      </w:pPr>
    </w:p>
    <w:p>
      <w:pPr>
        <w:ind w:right="180" w:firstLine="490"/>
        <w:spacing w:after="0" w:line="243" w:lineRule="auto"/>
        <w:rPr>
          <w:sz w:val="20"/>
          <w:szCs w:val="20"/>
          <w:color w:val="auto"/>
        </w:rPr>
      </w:pPr>
      <w:r>
        <w:rPr>
          <w:rFonts w:ascii="Times New Roman" w:cs="Times New Roman" w:eastAsia="Times New Roman" w:hAnsi="Times New Roman"/>
          <w:sz w:val="20"/>
          <w:szCs w:val="20"/>
          <w:color w:val="121212"/>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Phase 1 trial of DISC-3405,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Phase 1 trial of DISC-3405.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9"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color w:val="121212"/>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1" w:lineRule="exact"/>
        <w:rPr>
          <w:sz w:val="20"/>
          <w:szCs w:val="20"/>
          <w:color w:val="auto"/>
        </w:rPr>
      </w:pPr>
    </w:p>
    <w:p>
      <w:pPr>
        <w:jc w:val="both"/>
        <w:ind w:firstLine="490"/>
        <w:spacing w:after="0" w:line="231" w:lineRule="auto"/>
        <w:rPr>
          <w:sz w:val="20"/>
          <w:szCs w:val="20"/>
          <w:color w:val="auto"/>
        </w:rPr>
      </w:pPr>
      <w:r>
        <w:rPr>
          <w:rFonts w:ascii="Times New Roman" w:cs="Times New Roman" w:eastAsia="Times New Roman" w:hAnsi="Times New Roman"/>
          <w:sz w:val="20"/>
          <w:szCs w:val="20"/>
          <w:color w:val="121212"/>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79" w:lineRule="exact"/>
        <w:rPr>
          <w:sz w:val="20"/>
          <w:szCs w:val="20"/>
          <w:color w:val="auto"/>
        </w:rPr>
      </w:pPr>
    </w:p>
    <w:p>
      <w:pPr>
        <w:jc w:val="both"/>
        <w:ind w:right="20" w:firstLine="490"/>
        <w:spacing w:after="0" w:line="265" w:lineRule="auto"/>
        <w:rPr>
          <w:sz w:val="20"/>
          <w:szCs w:val="20"/>
          <w:color w:val="auto"/>
        </w:rPr>
      </w:pPr>
      <w:r>
        <w:rPr>
          <w:rFonts w:ascii="Times New Roman" w:cs="Times New Roman" w:eastAsia="Times New Roman" w:hAnsi="Times New Roman"/>
          <w:sz w:val="20"/>
          <w:szCs w:val="20"/>
          <w:color w:val="121212"/>
        </w:rPr>
        <w:t>Further, our failure, or the failure of our CDMOs, to comply with applicable regulations could result in sanctions being imposed on it, including clinical holds, fines, injunctions, civil penalties, delays, suspension or withdrawal of approvals, license</w:t>
      </w:r>
    </w:p>
    <w:p>
      <w:pPr>
        <w:sectPr>
          <w:pgSz w:w="12240" w:h="15840" w:orient="portrait"/>
          <w:cols w:equalWidth="0" w:num="1">
            <w:col w:w="10460"/>
          </w:cols>
          <w:pgMar w:left="900" w:top="930" w:right="880" w:bottom="175"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62</w:t>
      </w:r>
    </w:p>
    <w:p>
      <w:pPr>
        <w:sectPr>
          <w:pgSz w:w="12240" w:h="15840" w:orient="portrait"/>
          <w:cols w:equalWidth="0" w:num="1">
            <w:col w:w="10460"/>
          </w:cols>
          <w:pgMar w:left="900" w:top="930" w:right="880" w:bottom="175" w:gutter="0" w:footer="0" w:header="0"/>
          <w:type w:val="continuous"/>
        </w:sectPr>
      </w:pPr>
    </w:p>
    <w:bookmarkStart w:id="72" w:name="page73"/>
    <w:bookmarkEnd w:id="72"/>
    <w:p>
      <w:pPr>
        <w:ind w:right="20"/>
        <w:spacing w:after="0" w:line="265" w:lineRule="auto"/>
        <w:rPr>
          <w:sz w:val="20"/>
          <w:szCs w:val="20"/>
          <w:color w:val="auto"/>
        </w:rPr>
      </w:pPr>
      <w:r>
        <w:rPr>
          <w:rFonts w:ascii="Times New Roman" w:cs="Times New Roman" w:eastAsia="Times New Roman" w:hAnsi="Times New Roman"/>
          <w:sz w:val="20"/>
          <w:szCs w:val="20"/>
          <w:color w:val="121212"/>
        </w:rPr>
        <w:t>revocation, seizures or recalls of product candidates or products, if approved, operating restrictions and criminal prosecutions, any of which could significantly and adversely affect our business and supplies of our product candidates.</w:t>
      </w:r>
    </w:p>
    <w:p>
      <w:pPr>
        <w:spacing w:after="0" w:line="5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121212"/>
        </w:rPr>
        <w:t>We may be unable to establish any additional agreements with CDMOs or do so on acceptable terms. Reliance on CDMOs entails additional risks, including:</w:t>
      </w:r>
    </w:p>
    <w:p>
      <w:pPr>
        <w:spacing w:after="0" w:line="64" w:lineRule="exact"/>
        <w:rPr>
          <w:sz w:val="20"/>
          <w:szCs w:val="20"/>
          <w:color w:val="auto"/>
        </w:rPr>
      </w:pPr>
    </w:p>
    <w:p>
      <w:pPr>
        <w:ind w:left="720" w:hanging="367"/>
        <w:spacing w:after="0"/>
        <w:tabs>
          <w:tab w:leader="none" w:pos="720" w:val="left"/>
        </w:tabs>
        <w:numPr>
          <w:ilvl w:val="0"/>
          <w:numId w:val="35"/>
        </w:numPr>
        <w:rPr>
          <w:rFonts w:ascii="Arial" w:cs="Arial" w:eastAsia="Arial" w:hAnsi="Arial"/>
          <w:sz w:val="20"/>
          <w:szCs w:val="20"/>
          <w:color w:val="121212"/>
        </w:rPr>
      </w:pPr>
      <w:r>
        <w:rPr>
          <w:rFonts w:ascii="Times New Roman" w:cs="Times New Roman" w:eastAsia="Times New Roman" w:hAnsi="Times New Roman"/>
          <w:sz w:val="20"/>
          <w:szCs w:val="20"/>
          <w:color w:val="121212"/>
        </w:rPr>
        <w:t>reliance on the third party for regulatory compliance and quality assurance;</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5"/>
        </w:numPr>
        <w:rPr>
          <w:rFonts w:ascii="Arial" w:cs="Arial" w:eastAsia="Arial" w:hAnsi="Arial"/>
          <w:sz w:val="20"/>
          <w:szCs w:val="20"/>
          <w:color w:val="121212"/>
        </w:rPr>
      </w:pPr>
      <w:r>
        <w:rPr>
          <w:rFonts w:ascii="Times New Roman" w:cs="Times New Roman" w:eastAsia="Times New Roman" w:hAnsi="Times New Roman"/>
          <w:sz w:val="20"/>
          <w:szCs w:val="20"/>
          <w:color w:val="121212"/>
        </w:rPr>
        <w:t>the possible breach of the manufacturing agreement by the third party;</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5"/>
        </w:numPr>
        <w:rPr>
          <w:rFonts w:ascii="Arial" w:cs="Arial" w:eastAsia="Arial" w:hAnsi="Arial"/>
          <w:sz w:val="20"/>
          <w:szCs w:val="20"/>
          <w:color w:val="121212"/>
        </w:rPr>
      </w:pPr>
      <w:r>
        <w:rPr>
          <w:rFonts w:ascii="Times New Roman" w:cs="Times New Roman" w:eastAsia="Times New Roman" w:hAnsi="Times New Roman"/>
          <w:sz w:val="20"/>
          <w:szCs w:val="20"/>
          <w:color w:val="121212"/>
        </w:rPr>
        <w:t>the possible misappropriation of our proprietary information, including our trade secrets and know-how;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5"/>
        </w:numPr>
        <w:rPr>
          <w:rFonts w:ascii="Arial" w:cs="Arial" w:eastAsia="Arial" w:hAnsi="Arial"/>
          <w:sz w:val="20"/>
          <w:szCs w:val="20"/>
          <w:color w:val="121212"/>
        </w:rPr>
      </w:pPr>
      <w:r>
        <w:rPr>
          <w:rFonts w:ascii="Times New Roman" w:cs="Times New Roman" w:eastAsia="Times New Roman" w:hAnsi="Times New Roman"/>
          <w:sz w:val="20"/>
          <w:szCs w:val="20"/>
          <w:color w:val="121212"/>
        </w:rPr>
        <w:t>the possible termination or nonrenewal of the agreement by the third party at a time that is costly or inconvenient for us.</w:t>
      </w:r>
    </w:p>
    <w:p>
      <w:pPr>
        <w:spacing w:after="0" w:line="11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6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Efforts to discourage such contracting have included U.S. legislative proposals and a recent call from certain U.S. legislators to add WuXi AppTec Co., Ltd., WuXi’s parent company, and the affiliated WuXi Biologics to the Department of Defense’s Chinese Military Companies List (1260H list), the Department of Commerce’s Bureau of Industry and Security Entity List, and the Department of Treasury’s Non-SDN Chinese Military-Industrial Complex Companies List. While the Biden administration has yet to take action on this letter, adding either or both previously mentioned WuXi entities on any or all of the aforementioned lists or other geopolitical tensions with China could lead to material supply chain disruptions or delays for our biologic drug candidates manufactured by WuXi Biologics. We may incur added costs and delays in identifying and qualifying any replacement CDMOs.</w:t>
      </w:r>
    </w:p>
    <w:p>
      <w:pPr>
        <w:spacing w:after="0" w:line="89"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8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The third parties upon whom we rely for the supply of the active pharmaceutical ingredients used in our product candidates are our sole sources of supply, and the loss of any of these suppliers could significantly harm our business.</w:t>
      </w:r>
    </w:p>
    <w:p>
      <w:pPr>
        <w:spacing w:after="0" w:line="49"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Any negative impact of such matters on our third-party suppliers and manufacturers may also have an adverse impact on our results of operations or financial condition.</w:t>
      </w:r>
    </w:p>
    <w:p>
      <w:pPr>
        <w:spacing w:after="0" w:line="8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8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ectPr>
          <w:pgSz w:w="12240" w:h="15840" w:orient="portrait"/>
          <w:cols w:equalWidth="0" w:num="1">
            <w:col w:w="10460"/>
          </w:cols>
          <w:pgMar w:left="900" w:top="921" w:right="880" w:bottom="175"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63</w:t>
      </w:r>
    </w:p>
    <w:p>
      <w:pPr>
        <w:sectPr>
          <w:pgSz w:w="12240" w:h="15840" w:orient="portrait"/>
          <w:cols w:equalWidth="0" w:num="1">
            <w:col w:w="10460"/>
          </w:cols>
          <w:pgMar w:left="900" w:top="921" w:right="880" w:bottom="175" w:gutter="0" w:footer="0" w:header="0"/>
          <w:type w:val="continuous"/>
        </w:sectPr>
      </w:pPr>
    </w:p>
    <w:bookmarkStart w:id="73" w:name="page74"/>
    <w:bookmarkEnd w:id="73"/>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DISC-0974,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8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Risks Related to Our Intellectual Property</w:t>
      </w:r>
    </w:p>
    <w:p>
      <w:pPr>
        <w:spacing w:after="0" w:line="12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121212"/>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66"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color w:val="121212"/>
        </w:rPr>
        <w:t>Our commercial success depends in part on our ability to obtain and maintain proprietary or intellectual property protection in the U.S. and other countries for our current or future product candidates, including our current lead product candidates, bitopertin, DISC-0974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82" w:lineRule="exact"/>
        <w:rPr>
          <w:sz w:val="20"/>
          <w:szCs w:val="20"/>
          <w:color w:val="auto"/>
        </w:rPr>
      </w:pPr>
    </w:p>
    <w:p>
      <w:pPr>
        <w:jc w:val="both"/>
        <w:ind w:firstLine="490"/>
        <w:spacing w:after="0" w:line="233" w:lineRule="auto"/>
        <w:rPr>
          <w:sz w:val="20"/>
          <w:szCs w:val="20"/>
          <w:color w:val="auto"/>
        </w:rPr>
      </w:pPr>
      <w:r>
        <w:rPr>
          <w:rFonts w:ascii="Times New Roman" w:cs="Times New Roman" w:eastAsia="Times New Roman" w:hAnsi="Times New Roman"/>
          <w:sz w:val="20"/>
          <w:szCs w:val="20"/>
          <w:color w:val="121212"/>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 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86"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19"/>
          <w:szCs w:val="19"/>
          <w:color w:val="121212"/>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70" w:lineRule="exact"/>
        <w:rPr>
          <w:sz w:val="20"/>
          <w:szCs w:val="20"/>
          <w:color w:val="auto"/>
        </w:rPr>
      </w:pPr>
    </w:p>
    <w:p>
      <w:pPr>
        <w:jc w:val="both"/>
        <w:ind w:firstLine="490"/>
        <w:spacing w:after="0" w:line="294" w:lineRule="auto"/>
        <w:rPr>
          <w:sz w:val="20"/>
          <w:szCs w:val="20"/>
          <w:color w:val="auto"/>
        </w:rPr>
      </w:pPr>
      <w:r>
        <w:rPr>
          <w:rFonts w:ascii="Times New Roman" w:cs="Times New Roman" w:eastAsia="Times New Roman" w:hAnsi="Times New Roman"/>
          <w:sz w:val="19"/>
          <w:szCs w:val="19"/>
          <w:color w:val="121212"/>
        </w:rPr>
        <w:t>In addition, the laws of foreign countries may not protect our rights to the same extent as the laws of the U.S. For example, in jurisdictions outside the U.S., a license may not be enforceable unless all the owners of the intellectual property agree or consent</w:t>
      </w:r>
    </w:p>
    <w:p>
      <w:pPr>
        <w:sectPr>
          <w:pgSz w:w="12240" w:h="15840" w:orient="portrait"/>
          <w:cols w:equalWidth="0" w:num="1">
            <w:col w:w="10460"/>
          </w:cols>
          <w:pgMar w:left="900" w:top="930" w:right="880" w:bottom="175" w:gutter="0" w:footer="0" w:header="0"/>
        </w:sect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64</w:t>
      </w:r>
    </w:p>
    <w:p>
      <w:pPr>
        <w:sectPr>
          <w:pgSz w:w="12240" w:h="15840" w:orient="portrait"/>
          <w:cols w:equalWidth="0" w:num="1">
            <w:col w:w="10460"/>
          </w:cols>
          <w:pgMar w:left="900" w:top="930" w:right="880" w:bottom="175" w:gutter="0" w:footer="0" w:header="0"/>
          <w:type w:val="continuous"/>
        </w:sectPr>
      </w:pPr>
    </w:p>
    <w:bookmarkStart w:id="74" w:name="page75"/>
    <w:bookmarkEnd w:id="74"/>
    <w:p>
      <w:pPr>
        <w:jc w:val="both"/>
        <w:spacing w:after="0" w:line="247" w:lineRule="auto"/>
        <w:rPr>
          <w:sz w:val="20"/>
          <w:szCs w:val="20"/>
          <w:color w:val="auto"/>
        </w:rPr>
      </w:pPr>
      <w:r>
        <w:rPr>
          <w:rFonts w:ascii="Times New Roman" w:cs="Times New Roman" w:eastAsia="Times New Roman" w:hAnsi="Times New Roman"/>
          <w:sz w:val="19"/>
          <w:szCs w:val="19"/>
          <w:color w:val="121212"/>
        </w:rPr>
        <w:t>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83"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121212"/>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68"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74"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color w:val="121212"/>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cs="Times New Roman" w:eastAsia="Times New Roman" w:hAnsi="Times New Roman"/>
          <w:sz w:val="20"/>
          <w:szCs w:val="20"/>
          <w:i w:val="1"/>
          <w:iCs w:val="1"/>
          <w:color w:val="121212"/>
        </w:rPr>
        <w:t>inter partes</w:t>
      </w:r>
      <w:r>
        <w:rPr>
          <w:rFonts w:ascii="Times New Roman" w:cs="Times New Roman" w:eastAsia="Times New Roman" w:hAnsi="Times New Roman"/>
          <w:sz w:val="20"/>
          <w:szCs w:val="20"/>
          <w:color w:val="121212"/>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104"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19"/>
          <w:szCs w:val="19"/>
          <w:color w:val="121212"/>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66" w:lineRule="exact"/>
        <w:rPr>
          <w:sz w:val="20"/>
          <w:szCs w:val="20"/>
          <w:color w:val="auto"/>
        </w:rPr>
      </w:pPr>
    </w:p>
    <w:p>
      <w:pPr>
        <w:jc w:val="both"/>
        <w:ind w:right="20" w:firstLine="490"/>
        <w:spacing w:after="0" w:line="236" w:lineRule="auto"/>
        <w:rPr>
          <w:sz w:val="20"/>
          <w:szCs w:val="20"/>
          <w:color w:val="auto"/>
        </w:rPr>
      </w:pPr>
      <w:r>
        <w:rPr>
          <w:rFonts w:ascii="Times New Roman" w:cs="Times New Roman" w:eastAsia="Times New Roman" w:hAnsi="Times New Roman"/>
          <w:sz w:val="20"/>
          <w:szCs w:val="20"/>
          <w:color w:val="121212"/>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ectPr>
          <w:pgSz w:w="12240" w:h="15840" w:orient="portrait"/>
          <w:cols w:equalWidth="0" w:num="1">
            <w:col w:w="10460"/>
          </w:cols>
          <w:pgMar w:left="900" w:top="922" w:right="880" w:bottom="175" w:gutter="0" w:footer="0" w:header="0"/>
        </w:sect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65</w:t>
      </w:r>
    </w:p>
    <w:p>
      <w:pPr>
        <w:sectPr>
          <w:pgSz w:w="12240" w:h="15840" w:orient="portrait"/>
          <w:cols w:equalWidth="0" w:num="1">
            <w:col w:w="10460"/>
          </w:cols>
          <w:pgMar w:left="900" w:top="922" w:right="880" w:bottom="175" w:gutter="0" w:footer="0" w:header="0"/>
          <w:type w:val="continuous"/>
        </w:sectPr>
      </w:pPr>
    </w:p>
    <w:bookmarkStart w:id="75" w:name="page76"/>
    <w:bookmarkEnd w:id="75"/>
    <w:p>
      <w:pPr>
        <w:jc w:val="both"/>
        <w:ind w:firstLine="490"/>
        <w:spacing w:after="0" w:line="235" w:lineRule="auto"/>
        <w:rPr>
          <w:sz w:val="20"/>
          <w:szCs w:val="20"/>
          <w:color w:val="auto"/>
        </w:rPr>
      </w:pPr>
      <w:r>
        <w:rPr>
          <w:rFonts w:ascii="Times New Roman" w:cs="Times New Roman" w:eastAsia="Times New Roman" w:hAnsi="Times New Roman"/>
          <w:sz w:val="20"/>
          <w:szCs w:val="20"/>
          <w:color w:val="121212"/>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90"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8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19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121212"/>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74"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6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If we are unable to adequately protect and enforce our trade secrets, our business and competitive position would be harmed.</w:t>
      </w:r>
    </w:p>
    <w:p>
      <w:pPr>
        <w:spacing w:after="0" w:line="120" w:lineRule="exact"/>
        <w:rPr>
          <w:sz w:val="20"/>
          <w:szCs w:val="20"/>
          <w:color w:val="auto"/>
        </w:rPr>
      </w:pPr>
    </w:p>
    <w:p>
      <w:pPr>
        <w:jc w:val="both"/>
        <w:ind w:firstLine="490"/>
        <w:spacing w:after="0" w:line="263" w:lineRule="auto"/>
        <w:rPr>
          <w:sz w:val="20"/>
          <w:szCs w:val="20"/>
          <w:color w:val="auto"/>
        </w:rPr>
      </w:pPr>
      <w:r>
        <w:rPr>
          <w:rFonts w:ascii="Times New Roman" w:cs="Times New Roman" w:eastAsia="Times New Roman" w:hAnsi="Times New Roman"/>
          <w:sz w:val="19"/>
          <w:szCs w:val="19"/>
          <w:color w:val="121212"/>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w:t>
      </w:r>
    </w:p>
    <w:p>
      <w:pPr>
        <w:sectPr>
          <w:pgSz w:w="12240" w:h="15840" w:orient="portrait"/>
          <w:cols w:equalWidth="0" w:num="1">
            <w:col w:w="10460"/>
          </w:cols>
          <w:pgMar w:left="900" w:top="922" w:right="880" w:bottom="175"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66</w:t>
      </w:r>
    </w:p>
    <w:p>
      <w:pPr>
        <w:sectPr>
          <w:pgSz w:w="12240" w:h="15840" w:orient="portrait"/>
          <w:cols w:equalWidth="0" w:num="1">
            <w:col w:w="10460"/>
          </w:cols>
          <w:pgMar w:left="900" w:top="922" w:right="880" w:bottom="175" w:gutter="0" w:footer="0" w:header="0"/>
          <w:type w:val="continuous"/>
        </w:sectPr>
      </w:pPr>
    </w:p>
    <w:bookmarkStart w:id="76" w:name="page77"/>
    <w:bookmarkEnd w:id="76"/>
    <w:p>
      <w:pPr>
        <w:jc w:val="both"/>
        <w:ind w:right="20"/>
        <w:spacing w:after="0" w:line="258" w:lineRule="auto"/>
        <w:rPr>
          <w:sz w:val="20"/>
          <w:szCs w:val="20"/>
          <w:color w:val="auto"/>
        </w:rPr>
      </w:pPr>
      <w:r>
        <w:rPr>
          <w:rFonts w:ascii="Times New Roman" w:cs="Times New Roman" w:eastAsia="Times New Roman" w:hAnsi="Times New Roman"/>
          <w:sz w:val="20"/>
          <w:szCs w:val="20"/>
          <w:color w:val="121212"/>
        </w:rPr>
        <w:t>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6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82"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121212"/>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may initiate, become a defendant in or otherwise become party to lawsuits to protect or enforce our intellectual property rights, which could be expensive, time-consuming, and unsuccessful.</w:t>
      </w:r>
    </w:p>
    <w:p>
      <w:pPr>
        <w:spacing w:after="0" w:line="49"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88"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w:t>
      </w:r>
    </w:p>
    <w:p>
      <w:pPr>
        <w:sectPr>
          <w:pgSz w:w="12240" w:h="15840" w:orient="portrait"/>
          <w:cols w:equalWidth="0" w:num="1">
            <w:col w:w="10460"/>
          </w:cols>
          <w:pgMar w:left="900" w:top="930" w:right="880" w:bottom="175"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67</w:t>
      </w:r>
    </w:p>
    <w:p>
      <w:pPr>
        <w:sectPr>
          <w:pgSz w:w="12240" w:h="15840" w:orient="portrait"/>
          <w:cols w:equalWidth="0" w:num="1">
            <w:col w:w="10460"/>
          </w:cols>
          <w:pgMar w:left="900" w:top="930" w:right="880" w:bottom="175" w:gutter="0" w:footer="0" w:header="0"/>
          <w:type w:val="continuous"/>
        </w:sectPr>
      </w:pPr>
    </w:p>
    <w:bookmarkStart w:id="77" w:name="page78"/>
    <w:bookmarkEnd w:id="77"/>
    <w:p>
      <w:pPr>
        <w:jc w:val="both"/>
        <w:ind w:right="20"/>
        <w:spacing w:after="0" w:line="244" w:lineRule="auto"/>
        <w:rPr>
          <w:sz w:val="20"/>
          <w:szCs w:val="20"/>
          <w:color w:val="auto"/>
        </w:rPr>
      </w:pPr>
      <w:r>
        <w:rPr>
          <w:rFonts w:ascii="Times New Roman" w:cs="Times New Roman" w:eastAsia="Times New Roman" w:hAnsi="Times New Roman"/>
          <w:sz w:val="20"/>
          <w:szCs w:val="20"/>
          <w:color w:val="121212"/>
        </w:rPr>
        <w:t>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 -grant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82"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7"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Intellectual property litigation and administrative patent office patent validity challenges in one or more countries could cause us to spend substantial resources and distract our personnel from their normal responsibilities.</w:t>
      </w:r>
    </w:p>
    <w:p>
      <w:pPr>
        <w:spacing w:after="0" w:line="4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0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121212"/>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7"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121212"/>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cs="Times New Roman" w:eastAsia="Times New Roman" w:hAnsi="Times New Roman"/>
          <w:sz w:val="19"/>
          <w:szCs w:val="19"/>
          <w:i w:val="1"/>
          <w:iCs w:val="1"/>
          <w:color w:val="121212"/>
        </w:rPr>
        <w:t>inter partes</w:t>
      </w:r>
      <w:r>
        <w:rPr>
          <w:rFonts w:ascii="Times New Roman" w:cs="Times New Roman" w:eastAsia="Times New Roman" w:hAnsi="Times New Roman"/>
          <w:sz w:val="19"/>
          <w:szCs w:val="19"/>
          <w:color w:val="121212"/>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w:t>
      </w:r>
    </w:p>
    <w:p>
      <w:pPr>
        <w:sectPr>
          <w:pgSz w:w="12240" w:h="15840" w:orient="portrait"/>
          <w:cols w:equalWidth="0" w:num="1">
            <w:col w:w="10460"/>
          </w:cols>
          <w:pgMar w:left="900" w:top="930" w:right="880" w:bottom="175" w:gutter="0" w:footer="0" w:header="0"/>
        </w:sect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68</w:t>
      </w:r>
    </w:p>
    <w:p>
      <w:pPr>
        <w:sectPr>
          <w:pgSz w:w="12240" w:h="15840" w:orient="portrait"/>
          <w:cols w:equalWidth="0" w:num="1">
            <w:col w:w="10460"/>
          </w:cols>
          <w:pgMar w:left="900" w:top="930" w:right="880" w:bottom="175" w:gutter="0" w:footer="0" w:header="0"/>
          <w:type w:val="continuous"/>
        </w:sectPr>
      </w:pPr>
    </w:p>
    <w:bookmarkStart w:id="78" w:name="page79"/>
    <w:bookmarkEnd w:id="78"/>
    <w:p>
      <w:pPr>
        <w:jc w:val="both"/>
        <w:spacing w:after="0" w:line="263" w:lineRule="auto"/>
        <w:rPr>
          <w:sz w:val="20"/>
          <w:szCs w:val="20"/>
          <w:color w:val="auto"/>
        </w:rPr>
      </w:pPr>
      <w:r>
        <w:rPr>
          <w:rFonts w:ascii="Times New Roman" w:cs="Times New Roman" w:eastAsia="Times New Roman" w:hAnsi="Times New Roman"/>
          <w:sz w:val="19"/>
          <w:szCs w:val="19"/>
          <w:color w:val="121212"/>
        </w:rPr>
        <w:t>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64"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86"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21212"/>
        </w:rPr>
        <w:t>If a third party claims that we infringe, misappropriate or otherwise violate its intellectual property rights, we may face a number of issues, including, but not limited to:</w:t>
      </w:r>
    </w:p>
    <w:p>
      <w:pPr>
        <w:spacing w:after="0" w:line="64" w:lineRule="exact"/>
        <w:rPr>
          <w:sz w:val="20"/>
          <w:szCs w:val="20"/>
          <w:color w:val="auto"/>
        </w:rPr>
      </w:pPr>
    </w:p>
    <w:p>
      <w:pPr>
        <w:jc w:val="both"/>
        <w:ind w:left="720" w:hanging="367"/>
        <w:spacing w:after="0" w:line="258" w:lineRule="auto"/>
        <w:tabs>
          <w:tab w:leader="none" w:pos="720" w:val="left"/>
        </w:tabs>
        <w:numPr>
          <w:ilvl w:val="0"/>
          <w:numId w:val="36"/>
        </w:numPr>
        <w:rPr>
          <w:rFonts w:ascii="Arial" w:cs="Arial" w:eastAsia="Arial" w:hAnsi="Arial"/>
          <w:sz w:val="20"/>
          <w:szCs w:val="20"/>
          <w:color w:val="121212"/>
        </w:rPr>
      </w:pPr>
      <w:r>
        <w:rPr>
          <w:rFonts w:ascii="Times New Roman" w:cs="Times New Roman" w:eastAsia="Times New Roman" w:hAnsi="Times New Roman"/>
          <w:sz w:val="20"/>
          <w:szCs w:val="20"/>
          <w:color w:val="121212"/>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81" w:lineRule="exact"/>
        <w:rPr>
          <w:rFonts w:ascii="Arial" w:cs="Arial" w:eastAsia="Arial" w:hAnsi="Arial"/>
          <w:sz w:val="20"/>
          <w:szCs w:val="20"/>
          <w:color w:val="121212"/>
        </w:rPr>
      </w:pPr>
    </w:p>
    <w:p>
      <w:pPr>
        <w:jc w:val="both"/>
        <w:ind w:left="720" w:hanging="367"/>
        <w:spacing w:after="0" w:line="252" w:lineRule="auto"/>
        <w:tabs>
          <w:tab w:leader="none" w:pos="720" w:val="left"/>
        </w:tabs>
        <w:numPr>
          <w:ilvl w:val="0"/>
          <w:numId w:val="36"/>
        </w:numPr>
        <w:rPr>
          <w:rFonts w:ascii="Arial" w:cs="Arial" w:eastAsia="Arial" w:hAnsi="Arial"/>
          <w:sz w:val="20"/>
          <w:szCs w:val="20"/>
          <w:color w:val="121212"/>
        </w:rPr>
      </w:pPr>
      <w:r>
        <w:rPr>
          <w:rFonts w:ascii="Times New Roman" w:cs="Times New Roman" w:eastAsia="Times New Roman" w:hAnsi="Times New Roman"/>
          <w:sz w:val="20"/>
          <w:szCs w:val="20"/>
          <w:color w:val="121212"/>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7" w:lineRule="exact"/>
        <w:rPr>
          <w:rFonts w:ascii="Arial" w:cs="Arial" w:eastAsia="Arial" w:hAnsi="Arial"/>
          <w:sz w:val="20"/>
          <w:szCs w:val="20"/>
          <w:color w:val="121212"/>
        </w:rPr>
      </w:pPr>
    </w:p>
    <w:p>
      <w:pPr>
        <w:jc w:val="both"/>
        <w:ind w:left="720" w:hanging="367"/>
        <w:spacing w:after="0" w:line="252" w:lineRule="auto"/>
        <w:tabs>
          <w:tab w:leader="none" w:pos="720" w:val="left"/>
        </w:tabs>
        <w:numPr>
          <w:ilvl w:val="0"/>
          <w:numId w:val="36"/>
        </w:numPr>
        <w:rPr>
          <w:rFonts w:ascii="Arial" w:cs="Arial" w:eastAsia="Arial" w:hAnsi="Arial"/>
          <w:sz w:val="20"/>
          <w:szCs w:val="20"/>
          <w:color w:val="121212"/>
        </w:rPr>
      </w:pPr>
      <w:r>
        <w:rPr>
          <w:rFonts w:ascii="Times New Roman" w:cs="Times New Roman" w:eastAsia="Times New Roman" w:hAnsi="Times New Roman"/>
          <w:sz w:val="20"/>
          <w:szCs w:val="20"/>
          <w:color w:val="121212"/>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spacing w:after="0" w:line="87"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36"/>
        </w:numPr>
        <w:rPr>
          <w:rFonts w:ascii="Arial" w:cs="Arial" w:eastAsia="Arial" w:hAnsi="Arial"/>
          <w:sz w:val="20"/>
          <w:szCs w:val="20"/>
          <w:color w:val="121212"/>
        </w:rPr>
      </w:pPr>
      <w:r>
        <w:rPr>
          <w:rFonts w:ascii="Times New Roman" w:cs="Times New Roman" w:eastAsia="Times New Roman" w:hAnsi="Times New Roman"/>
          <w:sz w:val="20"/>
          <w:szCs w:val="20"/>
          <w:color w:val="121212"/>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81"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36"/>
        </w:numPr>
        <w:rPr>
          <w:rFonts w:ascii="Arial" w:cs="Arial" w:eastAsia="Arial" w:hAnsi="Arial"/>
          <w:sz w:val="20"/>
          <w:szCs w:val="20"/>
          <w:color w:val="121212"/>
        </w:rPr>
      </w:pPr>
      <w:r>
        <w:rPr>
          <w:rFonts w:ascii="Times New Roman" w:cs="Times New Roman" w:eastAsia="Times New Roman" w:hAnsi="Times New Roman"/>
          <w:sz w:val="20"/>
          <w:szCs w:val="20"/>
          <w:color w:val="121212"/>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81" w:lineRule="exact"/>
        <w:rPr>
          <w:rFonts w:ascii="Arial" w:cs="Arial" w:eastAsia="Arial" w:hAnsi="Arial"/>
          <w:sz w:val="20"/>
          <w:szCs w:val="20"/>
          <w:color w:val="121212"/>
        </w:rPr>
      </w:pPr>
    </w:p>
    <w:p>
      <w:pPr>
        <w:jc w:val="both"/>
        <w:ind w:left="720" w:right="20" w:hanging="367"/>
        <w:spacing w:after="0" w:line="258" w:lineRule="auto"/>
        <w:tabs>
          <w:tab w:leader="none" w:pos="720" w:val="left"/>
        </w:tabs>
        <w:numPr>
          <w:ilvl w:val="0"/>
          <w:numId w:val="36"/>
        </w:numPr>
        <w:rPr>
          <w:rFonts w:ascii="Arial" w:cs="Arial" w:eastAsia="Arial" w:hAnsi="Arial"/>
          <w:sz w:val="20"/>
          <w:szCs w:val="20"/>
          <w:color w:val="121212"/>
        </w:rPr>
      </w:pPr>
      <w:r>
        <w:rPr>
          <w:rFonts w:ascii="Times New Roman" w:cs="Times New Roman" w:eastAsia="Times New Roman" w:hAnsi="Times New Roman"/>
          <w:sz w:val="20"/>
          <w:szCs w:val="20"/>
          <w:color w:val="121212"/>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67" w:lineRule="exact"/>
        <w:rPr>
          <w:sz w:val="20"/>
          <w:szCs w:val="20"/>
          <w:color w:val="auto"/>
        </w:rPr>
      </w:pPr>
    </w:p>
    <w:p>
      <w:pPr>
        <w:jc w:val="both"/>
        <w:ind w:firstLine="490"/>
        <w:spacing w:after="0" w:line="265" w:lineRule="auto"/>
        <w:rPr>
          <w:sz w:val="20"/>
          <w:szCs w:val="20"/>
          <w:color w:val="auto"/>
        </w:rPr>
      </w:pPr>
      <w:r>
        <w:rPr>
          <w:rFonts w:ascii="Times New Roman" w:cs="Times New Roman" w:eastAsia="Times New Roman" w:hAnsi="Times New Roman"/>
          <w:sz w:val="19"/>
          <w:szCs w:val="19"/>
          <w:color w:val="121212"/>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64"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 xml:space="preserve">We may choose to challenge the patentability of claims in a third party’s U.S. patent by requesting that the USPTO review the patent claims in an ex-parte re-exam, </w:t>
      </w:r>
      <w:r>
        <w:rPr>
          <w:rFonts w:ascii="Times New Roman" w:cs="Times New Roman" w:eastAsia="Times New Roman" w:hAnsi="Times New Roman"/>
          <w:sz w:val="20"/>
          <w:szCs w:val="20"/>
          <w:i w:val="1"/>
          <w:iCs w:val="1"/>
          <w:color w:val="121212"/>
        </w:rPr>
        <w:t>inter partes</w:t>
      </w:r>
      <w:r>
        <w:rPr>
          <w:rFonts w:ascii="Times New Roman" w:cs="Times New Roman" w:eastAsia="Times New Roman" w:hAnsi="Times New Roman"/>
          <w:sz w:val="20"/>
          <w:szCs w:val="20"/>
          <w:color w:val="121212"/>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69</w:t>
      </w:r>
    </w:p>
    <w:p>
      <w:pPr>
        <w:sectPr>
          <w:pgSz w:w="12240" w:h="15840" w:orient="portrait"/>
          <w:cols w:equalWidth="0" w:num="1">
            <w:col w:w="10460"/>
          </w:cols>
          <w:pgMar w:left="900" w:top="930" w:right="880" w:bottom="175" w:gutter="0" w:footer="0" w:header="0"/>
          <w:type w:val="continuous"/>
        </w:sectPr>
      </w:pPr>
    </w:p>
    <w:bookmarkStart w:id="79" w:name="page80"/>
    <w:bookmarkEnd w:id="79"/>
    <w:p>
      <w:pPr>
        <w:jc w:val="both"/>
        <w:ind w:firstLine="490"/>
        <w:spacing w:after="0" w:line="241" w:lineRule="auto"/>
        <w:rPr>
          <w:sz w:val="20"/>
          <w:szCs w:val="20"/>
          <w:color w:val="auto"/>
        </w:rPr>
      </w:pPr>
      <w:r>
        <w:rPr>
          <w:rFonts w:ascii="Times New Roman" w:cs="Times New Roman" w:eastAsia="Times New Roman" w:hAnsi="Times New Roman"/>
          <w:sz w:val="20"/>
          <w:szCs w:val="20"/>
          <w:color w:val="121212"/>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84"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color w:val="121212"/>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b w:val="1"/>
          <w:bCs w:val="1"/>
          <w:i w:val="1"/>
          <w:iCs w:val="1"/>
          <w:color w:val="121212"/>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8" w:lineRule="exact"/>
        <w:rPr>
          <w:sz w:val="20"/>
          <w:szCs w:val="20"/>
          <w:color w:val="auto"/>
        </w:rPr>
      </w:pPr>
    </w:p>
    <w:p>
      <w:pPr>
        <w:jc w:val="both"/>
        <w:ind w:firstLine="490"/>
        <w:spacing w:after="0" w:line="232" w:lineRule="auto"/>
        <w:rPr>
          <w:sz w:val="20"/>
          <w:szCs w:val="20"/>
          <w:color w:val="auto"/>
        </w:rPr>
      </w:pPr>
      <w:r>
        <w:rPr>
          <w:rFonts w:ascii="Times New Roman" w:cs="Times New Roman" w:eastAsia="Times New Roman" w:hAnsi="Times New Roman"/>
          <w:sz w:val="20"/>
          <w:szCs w:val="20"/>
          <w:color w:val="121212"/>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73"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20"/>
          <w:szCs w:val="20"/>
          <w:color w:val="121212"/>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w:t>
      </w:r>
    </w:p>
    <w:p>
      <w:pPr>
        <w:sectPr>
          <w:pgSz w:w="12240" w:h="15840" w:orient="portrait"/>
          <w:cols w:equalWidth="0" w:num="1">
            <w:col w:w="10460"/>
          </w:cols>
          <w:pgMar w:left="900" w:top="930" w:right="880" w:bottom="175" w:gutter="0" w:footer="0" w:header="0"/>
        </w:sect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70</w:t>
      </w:r>
    </w:p>
    <w:p>
      <w:pPr>
        <w:sectPr>
          <w:pgSz w:w="12240" w:h="15840" w:orient="portrait"/>
          <w:cols w:equalWidth="0" w:num="1">
            <w:col w:w="10460"/>
          </w:cols>
          <w:pgMar w:left="900" w:top="930" w:right="880" w:bottom="175" w:gutter="0" w:footer="0" w:header="0"/>
          <w:type w:val="continuous"/>
        </w:sectPr>
      </w:pPr>
    </w:p>
    <w:bookmarkStart w:id="80" w:name="page81"/>
    <w:bookmarkEnd w:id="80"/>
    <w:p>
      <w:pPr>
        <w:jc w:val="both"/>
        <w:spacing w:after="0" w:line="248" w:lineRule="auto"/>
        <w:rPr>
          <w:sz w:val="20"/>
          <w:szCs w:val="20"/>
          <w:color w:val="auto"/>
        </w:rPr>
      </w:pPr>
      <w:r>
        <w:rPr>
          <w:rFonts w:ascii="Times New Roman" w:cs="Times New Roman" w:eastAsia="Times New Roman" w:hAnsi="Times New Roman"/>
          <w:sz w:val="19"/>
          <w:szCs w:val="19"/>
          <w:color w:val="121212"/>
        </w:rPr>
        <w:t>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8" w:lineRule="exact"/>
        <w:rPr>
          <w:sz w:val="20"/>
          <w:szCs w:val="20"/>
          <w:color w:val="auto"/>
        </w:rPr>
      </w:pPr>
    </w:p>
    <w:p>
      <w:pPr>
        <w:jc w:val="both"/>
        <w:ind w:right="20" w:firstLine="490"/>
        <w:spacing w:after="0" w:line="247" w:lineRule="auto"/>
        <w:rPr>
          <w:sz w:val="20"/>
          <w:szCs w:val="20"/>
          <w:color w:val="auto"/>
        </w:rPr>
      </w:pPr>
      <w:r>
        <w:rPr>
          <w:rFonts w:ascii="Times New Roman" w:cs="Times New Roman" w:eastAsia="Times New Roman" w:hAnsi="Times New Roman"/>
          <w:sz w:val="20"/>
          <w:szCs w:val="20"/>
          <w:color w:val="121212"/>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may not obtain or grant licenses or sublicenses to intellectual property rights in all markets on equally or sufficiently favorable terms with third parties.</w:t>
      </w:r>
    </w:p>
    <w:p>
      <w:pPr>
        <w:spacing w:after="0" w:line="49"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It may be necessary for us to use the patented or proprietary technology of third parties to commercialize our products, in which case we would be required to obtain a license from these third parties. The licensing of third- 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68"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121212"/>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3" w:lineRule="exact"/>
        <w:rPr>
          <w:sz w:val="20"/>
          <w:szCs w:val="20"/>
          <w:color w:val="auto"/>
        </w:rPr>
      </w:pPr>
    </w:p>
    <w:p>
      <w:pPr>
        <w:jc w:val="both"/>
        <w:ind w:right="20" w:firstLine="490"/>
        <w:spacing w:after="0" w:line="265" w:lineRule="auto"/>
        <w:rPr>
          <w:sz w:val="20"/>
          <w:szCs w:val="20"/>
          <w:color w:val="auto"/>
        </w:rPr>
      </w:pPr>
      <w:r>
        <w:rPr>
          <w:rFonts w:ascii="Times New Roman" w:cs="Times New Roman" w:eastAsia="Times New Roman" w:hAnsi="Times New Roman"/>
          <w:sz w:val="19"/>
          <w:szCs w:val="19"/>
          <w:color w:val="121212"/>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121212"/>
        </w:rPr>
        <w:t>Disputes may also arise between us and our licensors regarding intellectual property subject to a license agreement, including:</w:t>
      </w:r>
    </w:p>
    <w:p>
      <w:pPr>
        <w:spacing w:after="0" w:line="146" w:lineRule="exact"/>
        <w:rPr>
          <w:sz w:val="20"/>
          <w:szCs w:val="20"/>
          <w:color w:val="auto"/>
        </w:rPr>
      </w:pPr>
    </w:p>
    <w:p>
      <w:pPr>
        <w:ind w:left="720" w:hanging="367"/>
        <w:spacing w:after="0"/>
        <w:tabs>
          <w:tab w:leader="none" w:pos="720" w:val="left"/>
        </w:tabs>
        <w:numPr>
          <w:ilvl w:val="0"/>
          <w:numId w:val="37"/>
        </w:numPr>
        <w:rPr>
          <w:rFonts w:ascii="Arial" w:cs="Arial" w:eastAsia="Arial" w:hAnsi="Arial"/>
          <w:sz w:val="20"/>
          <w:szCs w:val="20"/>
          <w:color w:val="121212"/>
        </w:rPr>
      </w:pPr>
      <w:r>
        <w:rPr>
          <w:rFonts w:ascii="Times New Roman" w:cs="Times New Roman" w:eastAsia="Times New Roman" w:hAnsi="Times New Roman"/>
          <w:sz w:val="20"/>
          <w:szCs w:val="20"/>
          <w:color w:val="121212"/>
        </w:rPr>
        <w:t>the scope of rights granted under the license agreement and other interpretation-related issues;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7"/>
        </w:numPr>
        <w:rPr>
          <w:rFonts w:ascii="Arial" w:cs="Arial" w:eastAsia="Arial" w:hAnsi="Arial"/>
          <w:sz w:val="20"/>
          <w:szCs w:val="20"/>
          <w:color w:val="121212"/>
        </w:rPr>
      </w:pPr>
      <w:r>
        <w:rPr>
          <w:rFonts w:ascii="Times New Roman" w:cs="Times New Roman" w:eastAsia="Times New Roman" w:hAnsi="Times New Roman"/>
          <w:sz w:val="20"/>
          <w:szCs w:val="20"/>
          <w:color w:val="121212"/>
        </w:rPr>
        <w:t>whether and the extent to which our technology and processes infringe, misappropriate or otherwise violate intellectual property rights of the licensor that is not subject to the licensing agreement;</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37"/>
        </w:numPr>
        <w:rPr>
          <w:rFonts w:ascii="Arial" w:cs="Arial" w:eastAsia="Arial" w:hAnsi="Arial"/>
          <w:sz w:val="20"/>
          <w:szCs w:val="20"/>
          <w:color w:val="121212"/>
        </w:rPr>
      </w:pPr>
      <w:r>
        <w:rPr>
          <w:rFonts w:ascii="Times New Roman" w:cs="Times New Roman" w:eastAsia="Times New Roman" w:hAnsi="Times New Roman"/>
          <w:sz w:val="20"/>
          <w:szCs w:val="20"/>
          <w:color w:val="121212"/>
        </w:rPr>
        <w:t>our right to sublicense patent and other rights to third parties under collaborative development relationships;</w:t>
      </w:r>
    </w:p>
    <w:p>
      <w:pPr>
        <w:sectPr>
          <w:pgSz w:w="12240" w:h="15840" w:orient="portrait"/>
          <w:cols w:equalWidth="0" w:num="1">
            <w:col w:w="10460"/>
          </w:cols>
          <w:pgMar w:left="900" w:top="921"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71</w:t>
      </w:r>
    </w:p>
    <w:p>
      <w:pPr>
        <w:sectPr>
          <w:pgSz w:w="12240" w:h="15840" w:orient="portrait"/>
          <w:cols w:equalWidth="0" w:num="1">
            <w:col w:w="10460"/>
          </w:cols>
          <w:pgMar w:left="900" w:top="921" w:right="880" w:bottom="175" w:gutter="0" w:footer="0" w:header="0"/>
          <w:type w:val="continuous"/>
        </w:sectPr>
      </w:pPr>
    </w:p>
    <w:bookmarkStart w:id="81" w:name="page82"/>
    <w:bookmarkEnd w:id="81"/>
    <w:p>
      <w:pPr>
        <w:ind w:left="720" w:hanging="367"/>
        <w:spacing w:after="0" w:line="276" w:lineRule="auto"/>
        <w:tabs>
          <w:tab w:leader="none" w:pos="720" w:val="left"/>
        </w:tabs>
        <w:numPr>
          <w:ilvl w:val="0"/>
          <w:numId w:val="38"/>
        </w:numPr>
        <w:rPr>
          <w:rFonts w:ascii="Arial" w:cs="Arial" w:eastAsia="Arial" w:hAnsi="Arial"/>
          <w:sz w:val="20"/>
          <w:szCs w:val="20"/>
          <w:color w:val="121212"/>
        </w:rPr>
      </w:pPr>
      <w:r>
        <w:rPr>
          <w:rFonts w:ascii="Times New Roman" w:cs="Times New Roman" w:eastAsia="Times New Roman" w:hAnsi="Times New Roman"/>
          <w:sz w:val="20"/>
          <w:szCs w:val="20"/>
          <w:color w:val="121212"/>
        </w:rPr>
        <w:t>our diligence obligations with respect to the use of the licensed technology in relation to our development and commercialization of our current or future product candidates, and what activities satisfy those diligence obligations;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38"/>
        </w:numPr>
        <w:rPr>
          <w:rFonts w:ascii="Arial" w:cs="Arial" w:eastAsia="Arial" w:hAnsi="Arial"/>
          <w:sz w:val="20"/>
          <w:szCs w:val="20"/>
          <w:color w:val="121212"/>
        </w:rPr>
      </w:pPr>
      <w:r>
        <w:rPr>
          <w:rFonts w:ascii="Times New Roman" w:cs="Times New Roman" w:eastAsia="Times New Roman" w:hAnsi="Times New Roman"/>
          <w:sz w:val="20"/>
          <w:szCs w:val="20"/>
          <w:color w:val="121212"/>
        </w:rPr>
        <w:t>the priority of invention of any patented technology; and</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8"/>
        </w:numPr>
        <w:rPr>
          <w:rFonts w:ascii="Arial" w:cs="Arial" w:eastAsia="Arial" w:hAnsi="Arial"/>
          <w:sz w:val="20"/>
          <w:szCs w:val="20"/>
          <w:color w:val="121212"/>
        </w:rPr>
      </w:pPr>
      <w:r>
        <w:rPr>
          <w:rFonts w:ascii="Times New Roman" w:cs="Times New Roman" w:eastAsia="Times New Roman" w:hAnsi="Times New Roman"/>
          <w:sz w:val="20"/>
          <w:szCs w:val="20"/>
          <w:color w:val="121212"/>
        </w:rPr>
        <w:t>the ownership of inventions and know-how resulting from the joint creation or use of intellectual property by our current or future licensors and us and our partners.</w:t>
      </w:r>
    </w:p>
    <w:p>
      <w:pPr>
        <w:spacing w:after="0" w:line="50"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121212"/>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8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121212"/>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77" w:lineRule="exact"/>
        <w:rPr>
          <w:sz w:val="20"/>
          <w:szCs w:val="20"/>
          <w:color w:val="auto"/>
        </w:rPr>
      </w:pPr>
    </w:p>
    <w:p>
      <w:pPr>
        <w:jc w:val="both"/>
        <w:ind w:firstLine="490"/>
        <w:spacing w:after="0" w:line="254" w:lineRule="auto"/>
        <w:rPr>
          <w:sz w:val="20"/>
          <w:szCs w:val="20"/>
          <w:color w:val="auto"/>
        </w:rPr>
      </w:pPr>
      <w:r>
        <w:rPr>
          <w:rFonts w:ascii="Times New Roman" w:cs="Times New Roman" w:eastAsia="Times New Roman" w:hAnsi="Times New Roman"/>
          <w:sz w:val="19"/>
          <w:szCs w:val="19"/>
          <w:color w:val="121212"/>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9"/>
          <w:szCs w:val="19"/>
          <w:i w:val="1"/>
          <w:iCs w:val="1"/>
          <w:color w:val="121212"/>
        </w:rPr>
        <w:t>inter partes</w:t>
      </w:r>
      <w:r>
        <w:rPr>
          <w:rFonts w:ascii="Times New Roman" w:cs="Times New Roman" w:eastAsia="Times New Roman" w:hAnsi="Times New Roman"/>
          <w:sz w:val="19"/>
          <w:szCs w:val="19"/>
          <w:color w:val="121212"/>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 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317"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ectPr>
          <w:pgSz w:w="12240" w:h="15840" w:orient="portrait"/>
          <w:cols w:equalWidth="0" w:num="1">
            <w:col w:w="10460"/>
          </w:cols>
          <w:pgMar w:left="900" w:top="945" w:right="880" w:bottom="175" w:gutter="0" w:footer="0" w:header="0"/>
        </w:sect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72</w:t>
      </w:r>
    </w:p>
    <w:p>
      <w:pPr>
        <w:sectPr>
          <w:pgSz w:w="12240" w:h="15840" w:orient="portrait"/>
          <w:cols w:equalWidth="0" w:num="1">
            <w:col w:w="10460"/>
          </w:cols>
          <w:pgMar w:left="900" w:top="945" w:right="880" w:bottom="175" w:gutter="0" w:footer="0" w:header="0"/>
          <w:type w:val="continuous"/>
        </w:sectPr>
      </w:pPr>
    </w:p>
    <w:bookmarkStart w:id="82" w:name="page83"/>
    <w:bookmarkEnd w:id="82"/>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Changes in patent law could diminish the value of patents in general, thereby impairing our ability to protect our current or future product candidates.</w:t>
      </w:r>
    </w:p>
    <w:p>
      <w:pPr>
        <w:spacing w:after="0" w:line="4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68"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86"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9"/>
          <w:szCs w:val="19"/>
          <w:color w:val="121212"/>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73</w:t>
      </w:r>
    </w:p>
    <w:p>
      <w:pPr>
        <w:sectPr>
          <w:pgSz w:w="12240" w:h="15840" w:orient="portrait"/>
          <w:cols w:equalWidth="0" w:num="1">
            <w:col w:w="10460"/>
          </w:cols>
          <w:pgMar w:left="900" w:top="930" w:right="880" w:bottom="175" w:gutter="0" w:footer="0" w:header="0"/>
          <w:type w:val="continuous"/>
        </w:sectPr>
      </w:pPr>
    </w:p>
    <w:bookmarkStart w:id="83" w:name="page84"/>
    <w:bookmarkEnd w:id="83"/>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49" w:lineRule="exact"/>
        <w:rPr>
          <w:sz w:val="20"/>
          <w:szCs w:val="20"/>
          <w:color w:val="auto"/>
        </w:rPr>
      </w:pPr>
    </w:p>
    <w:p>
      <w:pPr>
        <w:jc w:val="both"/>
        <w:ind w:right="20" w:firstLine="490"/>
        <w:spacing w:after="0" w:line="249" w:lineRule="auto"/>
        <w:rPr>
          <w:sz w:val="20"/>
          <w:szCs w:val="20"/>
          <w:color w:val="auto"/>
        </w:rPr>
      </w:pPr>
      <w:r>
        <w:rPr>
          <w:rFonts w:ascii="Times New Roman" w:cs="Times New Roman" w:eastAsia="Times New Roman" w:hAnsi="Times New Roman"/>
          <w:sz w:val="20"/>
          <w:szCs w:val="20"/>
          <w:color w:val="121212"/>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91" w:lineRule="exact"/>
        <w:rPr>
          <w:sz w:val="20"/>
          <w:szCs w:val="20"/>
          <w:color w:val="auto"/>
        </w:rPr>
      </w:pPr>
    </w:p>
    <w:p>
      <w:pPr>
        <w:ind w:left="720" w:hanging="367"/>
        <w:spacing w:after="0"/>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patent applications that we own or may in-license may not lead to issued patents;</w:t>
      </w:r>
    </w:p>
    <w:p>
      <w:pPr>
        <w:spacing w:after="0" w:line="133"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patents, should they issue, that we may own or in-license, may not provide us with any competitive advantages, may be narrowed in scope, or may be challenged and held invalid or unenforceable;</w:t>
      </w:r>
    </w:p>
    <w:p>
      <w:pPr>
        <w:spacing w:after="0" w:line="64"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81" w:lineRule="exact"/>
        <w:rPr>
          <w:rFonts w:ascii="Arial" w:cs="Arial" w:eastAsia="Arial" w:hAnsi="Arial"/>
          <w:sz w:val="20"/>
          <w:szCs w:val="20"/>
          <w:color w:val="121212"/>
        </w:rPr>
      </w:pPr>
    </w:p>
    <w:p>
      <w:pPr>
        <w:ind w:left="720" w:hanging="367"/>
        <w:spacing w:after="0"/>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third parties may compete with us in jurisdictions where we do not pursue and obtain patent protection;</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we, or our current or future licensors or collaborators, might not have been the first to make the inventions covered by a patent application that we own or may in-license;</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we, or our current or future licensors or collaborators, might not have been the first to file patent applications covering a particular invention;</w:t>
      </w:r>
    </w:p>
    <w:p>
      <w:pPr>
        <w:spacing w:after="0" w:line="64"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others may independently develop similar or alternative technologies without infringing, misappropriating or otherwise violating our intellectual property rights;</w:t>
      </w:r>
    </w:p>
    <w:p>
      <w:pPr>
        <w:spacing w:after="0" w:line="64" w:lineRule="exact"/>
        <w:rPr>
          <w:rFonts w:ascii="Arial" w:cs="Arial" w:eastAsia="Arial" w:hAnsi="Arial"/>
          <w:sz w:val="20"/>
          <w:szCs w:val="20"/>
          <w:color w:val="121212"/>
        </w:rPr>
      </w:pPr>
    </w:p>
    <w:p>
      <w:pPr>
        <w:jc w:val="both"/>
        <w:ind w:left="720" w:hanging="367"/>
        <w:spacing w:after="0" w:line="252" w:lineRule="auto"/>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87" w:lineRule="exact"/>
        <w:rPr>
          <w:rFonts w:ascii="Arial" w:cs="Arial" w:eastAsia="Arial" w:hAnsi="Arial"/>
          <w:sz w:val="20"/>
          <w:szCs w:val="20"/>
          <w:color w:val="121212"/>
        </w:rPr>
      </w:pPr>
    </w:p>
    <w:p>
      <w:pPr>
        <w:ind w:left="720" w:hanging="367"/>
        <w:spacing w:after="0"/>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not be able to obtain and/or maintain necessary licenses on reasonable terms or at all;</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third parties may assert an ownership interest in our intellectual property and, if successful, such disputes may preclude us from exercising exclusive rights, or any rights at all, over that intellectual property;</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choose not to file a patent in order to maintain certain trade secrets or know-how, and a third-party may subsequently file a patent covering such trade secrets or know-how;</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not be able to maintain the confidentiality of our trade secrets or other proprietary information;</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we may not develop or in-license additional proprietary technologies that are patentable;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39"/>
        </w:numPr>
        <w:rPr>
          <w:rFonts w:ascii="Arial" w:cs="Arial" w:eastAsia="Arial" w:hAnsi="Arial"/>
          <w:sz w:val="20"/>
          <w:szCs w:val="20"/>
          <w:color w:val="121212"/>
        </w:rPr>
      </w:pPr>
      <w:r>
        <w:rPr>
          <w:rFonts w:ascii="Times New Roman" w:cs="Times New Roman" w:eastAsia="Times New Roman" w:hAnsi="Times New Roman"/>
          <w:sz w:val="20"/>
          <w:szCs w:val="20"/>
          <w:color w:val="121212"/>
        </w:rPr>
        <w:t>the patents of others may have an adverse effect on our business.</w:t>
      </w:r>
    </w:p>
    <w:p>
      <w:pPr>
        <w:spacing w:after="0" w:line="119" w:lineRule="exact"/>
        <w:rPr>
          <w:sz w:val="20"/>
          <w:szCs w:val="20"/>
          <w:color w:val="auto"/>
        </w:rPr>
      </w:pPr>
    </w:p>
    <w:p>
      <w:pPr>
        <w:jc w:val="both"/>
        <w:ind w:right="20" w:firstLine="490"/>
        <w:spacing w:after="0" w:line="277" w:lineRule="auto"/>
        <w:rPr>
          <w:sz w:val="20"/>
          <w:szCs w:val="20"/>
          <w:color w:val="auto"/>
        </w:rPr>
      </w:pPr>
      <w:r>
        <w:rPr>
          <w:rFonts w:ascii="Times New Roman" w:cs="Times New Roman" w:eastAsia="Times New Roman" w:hAnsi="Times New Roman"/>
          <w:sz w:val="20"/>
          <w:szCs w:val="20"/>
          <w:color w:val="121212"/>
        </w:rPr>
        <w:t>Should any of these events occur, they could significantly harm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Risks Related to Government Regulation</w:t>
      </w:r>
    </w:p>
    <w:p>
      <w:pPr>
        <w:spacing w:after="0" w:line="1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Obtaining and maintaining regulatory approval of our product candidates in one jurisdiction does not mean that we will be successful in obtaining regulatory approval of our product candidates in other jurisdictions.</w:t>
      </w:r>
    </w:p>
    <w:p>
      <w:pPr>
        <w:spacing w:after="0" w:line="4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ectPr>
          <w:pgSz w:w="12240" w:h="15840" w:orient="portrait"/>
          <w:cols w:equalWidth="0" w:num="1">
            <w:col w:w="10460"/>
          </w:cols>
          <w:pgMar w:left="900" w:top="930" w:right="880" w:bottom="175" w:gutter="0" w:footer="0" w:header="0"/>
        </w:sect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74</w:t>
      </w:r>
    </w:p>
    <w:p>
      <w:pPr>
        <w:sectPr>
          <w:pgSz w:w="12240" w:h="15840" w:orient="portrait"/>
          <w:cols w:equalWidth="0" w:num="1">
            <w:col w:w="10460"/>
          </w:cols>
          <w:pgMar w:left="900" w:top="930" w:right="880" w:bottom="175" w:gutter="0" w:footer="0" w:header="0"/>
          <w:type w:val="continuous"/>
        </w:sectPr>
      </w:pPr>
    </w:p>
    <w:bookmarkStart w:id="84" w:name="page85"/>
    <w:bookmarkEnd w:id="84"/>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may seek priority review designation for one or more of our product candidates, but we might not receive such designation, and even if we do, such designation may not lead to a faster regulatory review or approval process.</w:t>
      </w:r>
    </w:p>
    <w:p>
      <w:pPr>
        <w:spacing w:after="0" w:line="4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0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may seek orphan drug designation for certain of our product candidates, and we may be unsuccessful or may be unable to maintain the benefits associated with orphan drug designation, including the potential for market exclusivity.</w:t>
      </w:r>
    </w:p>
    <w:p>
      <w:pPr>
        <w:spacing w:after="0" w:line="16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21212"/>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0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21212"/>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Committee for Orphan Medical Products adopted a positive opinion on Orphan Designation for bitopertin for treatment of EPP.</w:t>
      </w:r>
    </w:p>
    <w:p>
      <w:pPr>
        <w:spacing w:after="0" w:line="20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121212"/>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80"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121212"/>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w:t>
      </w:r>
    </w:p>
    <w:p>
      <w:pPr>
        <w:sectPr>
          <w:pgSz w:w="12240" w:h="15840" w:orient="portrait"/>
          <w:cols w:equalWidth="0" w:num="1">
            <w:col w:w="10460"/>
          </w:cols>
          <w:pgMar w:left="900" w:top="930" w:right="880" w:bottom="175" w:gutter="0" w:footer="0" w:header="0"/>
        </w:sect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75</w:t>
      </w:r>
    </w:p>
    <w:p>
      <w:pPr>
        <w:sectPr>
          <w:pgSz w:w="12240" w:h="15840" w:orient="portrait"/>
          <w:cols w:equalWidth="0" w:num="1">
            <w:col w:w="10460"/>
          </w:cols>
          <w:pgMar w:left="900" w:top="930" w:right="880" w:bottom="175" w:gutter="0" w:footer="0" w:header="0"/>
          <w:type w:val="continuous"/>
        </w:sectPr>
      </w:pPr>
    </w:p>
    <w:bookmarkStart w:id="85" w:name="page86"/>
    <w:bookmarkEnd w:id="85"/>
    <w:p>
      <w:pPr>
        <w:ind w:right="140"/>
        <w:spacing w:after="0" w:line="278" w:lineRule="auto"/>
        <w:rPr>
          <w:sz w:val="20"/>
          <w:szCs w:val="20"/>
          <w:color w:val="auto"/>
        </w:rPr>
      </w:pPr>
      <w:r>
        <w:rPr>
          <w:rFonts w:ascii="Times New Roman" w:cs="Times New Roman" w:eastAsia="Times New Roman" w:hAnsi="Times New Roman"/>
          <w:sz w:val="19"/>
          <w:szCs w:val="19"/>
          <w:color w:val="121212"/>
        </w:rPr>
        <w:t>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51" w:lineRule="exact"/>
        <w:rPr>
          <w:sz w:val="20"/>
          <w:szCs w:val="20"/>
          <w:color w:val="auto"/>
        </w:rPr>
      </w:pPr>
    </w:p>
    <w:p>
      <w:pPr>
        <w:jc w:val="both"/>
        <w:ind w:right="20" w:firstLine="490"/>
        <w:spacing w:after="0" w:line="252" w:lineRule="auto"/>
        <w:rPr>
          <w:sz w:val="20"/>
          <w:szCs w:val="20"/>
          <w:color w:val="auto"/>
        </w:rPr>
      </w:pPr>
      <w:r>
        <w:rPr>
          <w:rFonts w:ascii="Times New Roman" w:cs="Times New Roman" w:eastAsia="Times New Roman" w:hAnsi="Times New Roman"/>
          <w:sz w:val="20"/>
          <w:szCs w:val="20"/>
          <w:color w:val="121212"/>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9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may seek rare pediatric disease designation for bitopertin. However, a marketing application for bitopertin, if approved, may not meet the eligibility criteria for a rare pediatric disease priority review voucher.</w:t>
      </w:r>
    </w:p>
    <w:p>
      <w:pPr>
        <w:spacing w:after="0" w:line="4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p>
    <w:p>
      <w:pPr>
        <w:spacing w:after="0" w:line="86" w:lineRule="exact"/>
        <w:rPr>
          <w:sz w:val="20"/>
          <w:szCs w:val="20"/>
          <w:color w:val="auto"/>
        </w:rPr>
      </w:pPr>
    </w:p>
    <w:p>
      <w:pPr>
        <w:jc w:val="both"/>
        <w:ind w:right="20" w:firstLine="490"/>
        <w:spacing w:after="0" w:line="246" w:lineRule="auto"/>
        <w:rPr>
          <w:sz w:val="20"/>
          <w:szCs w:val="20"/>
          <w:color w:val="auto"/>
        </w:rPr>
      </w:pPr>
      <w:r>
        <w:rPr>
          <w:rFonts w:ascii="Times New Roman" w:cs="Times New Roman" w:eastAsia="Times New Roman" w:hAnsi="Times New Roman"/>
          <w:sz w:val="20"/>
          <w:szCs w:val="20"/>
          <w:color w:val="121212"/>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8"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121212"/>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77"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19"/>
          <w:szCs w:val="19"/>
          <w:color w:val="121212"/>
        </w:rPr>
        <w:t>We were granted fast track designation by the FDA for DISC-3405 for the treatment of PV in September 2023 and for DISC-0974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76</w:t>
      </w:r>
    </w:p>
    <w:p>
      <w:pPr>
        <w:sectPr>
          <w:pgSz w:w="12240" w:h="15840" w:orient="portrait"/>
          <w:cols w:equalWidth="0" w:num="1">
            <w:col w:w="10460"/>
          </w:cols>
          <w:pgMar w:left="900" w:top="930" w:right="880" w:bottom="175" w:gutter="0" w:footer="0" w:header="0"/>
          <w:type w:val="continuous"/>
        </w:sectPr>
      </w:pPr>
    </w:p>
    <w:bookmarkStart w:id="86" w:name="page87"/>
    <w:bookmarkEnd w:id="86"/>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9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68"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121212"/>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74"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8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77</w:t>
      </w:r>
    </w:p>
    <w:p>
      <w:pPr>
        <w:sectPr>
          <w:pgSz w:w="12240" w:h="15840" w:orient="portrait"/>
          <w:cols w:equalWidth="0" w:num="1">
            <w:col w:w="10460"/>
          </w:cols>
          <w:pgMar w:left="900" w:top="930" w:right="880" w:bottom="175" w:gutter="0" w:footer="0" w:header="0"/>
          <w:type w:val="continuous"/>
        </w:sectPr>
      </w:pPr>
    </w:p>
    <w:bookmarkStart w:id="87" w:name="page88"/>
    <w:bookmarkEnd w:id="87"/>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If approved, our investigational products regulated as biologics may face competition from biosimilars or interchangeable products approved through an abbreviated regulatory pathway.</w:t>
      </w:r>
    </w:p>
    <w:p>
      <w:pPr>
        <w:spacing w:after="0" w:line="4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01"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20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The FDA, the EMA and other regulatory authorities may implement additional regulations or restrictions on the development and commercialization of our product candidates, and such changes can be difficult to predict.</w:t>
      </w:r>
    </w:p>
    <w:p>
      <w:pPr>
        <w:spacing w:after="0" w:line="49"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121212"/>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The FDA and other regulatory agencies actively enforce the laws and regulations prohibiting the promotion of off-label uses.</w:t>
      </w:r>
    </w:p>
    <w:p>
      <w:pPr>
        <w:spacing w:after="0" w:line="120"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78</w:t>
      </w:r>
    </w:p>
    <w:p>
      <w:pPr>
        <w:sectPr>
          <w:pgSz w:w="12240" w:h="15840" w:orient="portrait"/>
          <w:cols w:equalWidth="0" w:num="1">
            <w:col w:w="10460"/>
          </w:cols>
          <w:pgMar w:left="900" w:top="930" w:right="880" w:bottom="175" w:gutter="0" w:footer="0" w:header="0"/>
          <w:type w:val="continuous"/>
        </w:sectPr>
      </w:pPr>
    </w:p>
    <w:bookmarkStart w:id="88" w:name="page89"/>
    <w:bookmarkEnd w:id="88"/>
    <w:p>
      <w:pPr>
        <w:jc w:val="both"/>
        <w:ind w:left="7"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121212"/>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7" w:lineRule="exact"/>
        <w:rPr>
          <w:sz w:val="20"/>
          <w:szCs w:val="20"/>
          <w:color w:val="auto"/>
        </w:rPr>
      </w:pPr>
    </w:p>
    <w:p>
      <w:pPr>
        <w:ind w:left="7" w:right="240" w:firstLine="490"/>
        <w:spacing w:after="0" w:line="249" w:lineRule="auto"/>
        <w:rPr>
          <w:sz w:val="20"/>
          <w:szCs w:val="20"/>
          <w:color w:val="auto"/>
        </w:rPr>
      </w:pPr>
      <w:r>
        <w:rPr>
          <w:rFonts w:ascii="Times New Roman" w:cs="Times New Roman" w:eastAsia="Times New Roman" w:hAnsi="Times New Roman"/>
          <w:sz w:val="20"/>
          <w:szCs w:val="20"/>
          <w:color w:val="121212"/>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97" w:lineRule="exact"/>
        <w:rPr>
          <w:sz w:val="20"/>
          <w:szCs w:val="20"/>
          <w:color w:val="auto"/>
        </w:rPr>
      </w:pPr>
    </w:p>
    <w:p>
      <w:pPr>
        <w:ind w:left="7" w:right="220" w:firstLine="490"/>
        <w:spacing w:after="0" w:line="247" w:lineRule="auto"/>
        <w:rPr>
          <w:sz w:val="20"/>
          <w:szCs w:val="20"/>
          <w:color w:val="auto"/>
        </w:rPr>
      </w:pPr>
      <w:r>
        <w:rPr>
          <w:rFonts w:ascii="Times New Roman" w:cs="Times New Roman" w:eastAsia="Times New Roman" w:hAnsi="Times New Roman"/>
          <w:sz w:val="20"/>
          <w:szCs w:val="20"/>
          <w:color w:val="121212"/>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Healthcare legislative reform measures may have a material adverse effect on our business and results of operations.</w:t>
      </w:r>
    </w:p>
    <w:p>
      <w:pPr>
        <w:spacing w:after="0" w:line="120" w:lineRule="exact"/>
        <w:rPr>
          <w:sz w:val="20"/>
          <w:szCs w:val="20"/>
          <w:color w:val="auto"/>
        </w:rPr>
      </w:pPr>
    </w:p>
    <w:p>
      <w:pPr>
        <w:jc w:val="both"/>
        <w:ind w:left="7" w:right="20" w:firstLine="490"/>
        <w:spacing w:after="0" w:line="258" w:lineRule="auto"/>
        <w:rPr>
          <w:sz w:val="20"/>
          <w:szCs w:val="20"/>
          <w:color w:val="auto"/>
        </w:rPr>
      </w:pPr>
      <w:r>
        <w:rPr>
          <w:rFonts w:ascii="Times New Roman" w:cs="Times New Roman" w:eastAsia="Times New Roman" w:hAnsi="Times New Roman"/>
          <w:sz w:val="19"/>
          <w:szCs w:val="19"/>
          <w:color w:val="121212"/>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w:t>
      </w:r>
    </w:p>
    <w:p>
      <w:pPr>
        <w:spacing w:after="0" w:line="4" w:lineRule="exact"/>
        <w:rPr>
          <w:sz w:val="20"/>
          <w:szCs w:val="20"/>
          <w:color w:val="auto"/>
        </w:rPr>
      </w:pPr>
    </w:p>
    <w:p>
      <w:pPr>
        <w:jc w:val="both"/>
        <w:ind w:left="7" w:hanging="7"/>
        <w:spacing w:after="0"/>
        <w:tabs>
          <w:tab w:leader="none" w:pos="371" w:val="left"/>
        </w:tabs>
        <w:numPr>
          <w:ilvl w:val="0"/>
          <w:numId w:val="40"/>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92" w:lineRule="exact"/>
        <w:rPr>
          <w:sz w:val="20"/>
          <w:szCs w:val="20"/>
          <w:color w:val="auto"/>
        </w:rPr>
      </w:pPr>
    </w:p>
    <w:p>
      <w:pPr>
        <w:jc w:val="both"/>
        <w:ind w:left="7" w:firstLine="490"/>
        <w:spacing w:after="0" w:line="244" w:lineRule="auto"/>
        <w:rPr>
          <w:sz w:val="20"/>
          <w:szCs w:val="20"/>
          <w:color w:val="auto"/>
        </w:rPr>
      </w:pPr>
      <w:r>
        <w:rPr>
          <w:rFonts w:ascii="Times New Roman" w:cs="Times New Roman" w:eastAsia="Times New Roman" w:hAnsi="Times New Roman"/>
          <w:sz w:val="20"/>
          <w:szCs w:val="20"/>
          <w:color w:val="121212"/>
        </w:rPr>
        <w:t>Since the ACA’s enactment, there have been numerous judicial, administrative, executive and legislative challenges to certain aspects of the ACA and we expect that there will be additional challenges and amendments to the ACA in the future. On June 17, 2021, for example, the U.S. Supreme Court dismissed the most recent judicial challenge to the ACA brought by several states without specifically ruling on the constitutionality of the ACA. In addition,NPresident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It is unclear how other healthcare reform measures of the Biden administrations or other efforts, if any, to challenge repeal or replace the ACA, will impact our business.</w:t>
      </w:r>
    </w:p>
    <w:p>
      <w:pPr>
        <w:spacing w:after="0" w:line="86" w:lineRule="exact"/>
        <w:rPr>
          <w:sz w:val="20"/>
          <w:szCs w:val="20"/>
          <w:color w:val="auto"/>
        </w:rPr>
      </w:pPr>
    </w:p>
    <w:p>
      <w:pPr>
        <w:jc w:val="both"/>
        <w:ind w:left="7" w:firstLine="490"/>
        <w:spacing w:after="0" w:line="277" w:lineRule="auto"/>
        <w:rPr>
          <w:sz w:val="20"/>
          <w:szCs w:val="20"/>
          <w:color w:val="auto"/>
        </w:rPr>
      </w:pPr>
      <w:r>
        <w:rPr>
          <w:rFonts w:ascii="Times New Roman" w:cs="Times New Roman" w:eastAsia="Times New Roman" w:hAnsi="Times New Roman"/>
          <w:sz w:val="20"/>
          <w:szCs w:val="20"/>
          <w:color w:val="121212"/>
        </w:rPr>
        <w:t>In addition, other legislative and regulatory changes have been proposed and adopted in the United States since the ACA was enacted:</w:t>
      </w:r>
    </w:p>
    <w:p>
      <w:pPr>
        <w:spacing w:after="0" w:line="64" w:lineRule="exact"/>
        <w:rPr>
          <w:sz w:val="20"/>
          <w:szCs w:val="20"/>
          <w:color w:val="auto"/>
        </w:rPr>
      </w:pPr>
    </w:p>
    <w:p>
      <w:pPr>
        <w:ind w:left="847" w:right="200" w:hanging="357"/>
        <w:spacing w:after="0" w:line="276" w:lineRule="auto"/>
        <w:tabs>
          <w:tab w:leader="none" w:pos="847" w:val="left"/>
        </w:tabs>
        <w:numPr>
          <w:ilvl w:val="0"/>
          <w:numId w:val="41"/>
        </w:numPr>
        <w:rPr>
          <w:rFonts w:ascii="Arial" w:cs="Arial" w:eastAsia="Arial" w:hAnsi="Arial"/>
          <w:sz w:val="20"/>
          <w:szCs w:val="20"/>
          <w:color w:val="121212"/>
        </w:rPr>
      </w:pPr>
      <w:r>
        <w:rPr>
          <w:rFonts w:ascii="Times New Roman" w:cs="Times New Roman" w:eastAsia="Times New Roman" w:hAnsi="Times New Roman"/>
          <w:sz w:val="20"/>
          <w:szCs w:val="20"/>
          <w:color w:val="121212"/>
        </w:rPr>
        <w:t>The U.S. Budget Control Act of 2011, for example, included aggregate reductions of Medicare payments to providers of 2% per fiscal year that will remain in effect through 2031.</w:t>
      </w:r>
    </w:p>
    <w:p>
      <w:pPr>
        <w:spacing w:after="0" w:line="64" w:lineRule="exact"/>
        <w:rPr>
          <w:rFonts w:ascii="Arial" w:cs="Arial" w:eastAsia="Arial" w:hAnsi="Arial"/>
          <w:sz w:val="20"/>
          <w:szCs w:val="20"/>
          <w:color w:val="121212"/>
        </w:rPr>
      </w:pPr>
    </w:p>
    <w:p>
      <w:pPr>
        <w:ind w:left="847" w:right="160" w:hanging="357"/>
        <w:spacing w:after="0" w:line="258" w:lineRule="auto"/>
        <w:tabs>
          <w:tab w:leader="none" w:pos="847" w:val="left"/>
        </w:tabs>
        <w:numPr>
          <w:ilvl w:val="0"/>
          <w:numId w:val="41"/>
        </w:numPr>
        <w:rPr>
          <w:rFonts w:ascii="Arial" w:cs="Arial" w:eastAsia="Arial" w:hAnsi="Arial"/>
          <w:sz w:val="20"/>
          <w:szCs w:val="20"/>
          <w:color w:val="121212"/>
        </w:rPr>
      </w:pPr>
      <w:r>
        <w:rPr>
          <w:rFonts w:ascii="Times New Roman" w:cs="Times New Roman" w:eastAsia="Times New Roman" w:hAnsi="Times New Roman"/>
          <w:sz w:val="20"/>
          <w:szCs w:val="20"/>
          <w:color w:val="121212"/>
        </w:rPr>
        <w:t>The U.S. American Taxpayer Relief Act of 2012 further reduced Medicare payments to several types of providers and increased the statute of limitations period for the government to recover overpayments to providers from three to five years.</w:t>
      </w:r>
    </w:p>
    <w:p>
      <w:pPr>
        <w:spacing w:after="0" w:line="81" w:lineRule="exact"/>
        <w:rPr>
          <w:rFonts w:ascii="Arial" w:cs="Arial" w:eastAsia="Arial" w:hAnsi="Arial"/>
          <w:sz w:val="20"/>
          <w:szCs w:val="20"/>
          <w:color w:val="121212"/>
        </w:rPr>
      </w:pPr>
    </w:p>
    <w:p>
      <w:pPr>
        <w:jc w:val="both"/>
        <w:ind w:left="847" w:right="420" w:hanging="357"/>
        <w:spacing w:after="0" w:line="304" w:lineRule="auto"/>
        <w:tabs>
          <w:tab w:leader="none" w:pos="847" w:val="left"/>
        </w:tabs>
        <w:numPr>
          <w:ilvl w:val="0"/>
          <w:numId w:val="41"/>
        </w:numPr>
        <w:rPr>
          <w:rFonts w:ascii="Arial" w:cs="Arial" w:eastAsia="Arial" w:hAnsi="Arial"/>
          <w:sz w:val="19"/>
          <w:szCs w:val="19"/>
          <w:color w:val="121212"/>
        </w:rPr>
      </w:pPr>
      <w:r>
        <w:rPr>
          <w:rFonts w:ascii="Times New Roman" w:cs="Times New Roman" w:eastAsia="Times New Roman" w:hAnsi="Times New Roman"/>
          <w:sz w:val="19"/>
          <w:szCs w:val="19"/>
          <w:color w:val="121212"/>
        </w:rPr>
        <w:t>The Right to Try Act (2018) provides a federal framework for certain patients to access certain investigational new drug products that have completed a Phase 1 clinical trial and that are undergoing investigation for FDA approval.</w:t>
      </w:r>
    </w:p>
    <w:p>
      <w:pPr>
        <w:sectPr>
          <w:pgSz w:w="12240" w:h="15840" w:orient="portrait"/>
          <w:cols w:equalWidth="0" w:num="1">
            <w:col w:w="10467"/>
          </w:cols>
          <w:pgMar w:left="893" w:top="930" w:right="880" w:bottom="175" w:gutter="0" w:footer="0" w:header="0"/>
        </w:sectPr>
      </w:pPr>
    </w:p>
    <w:p>
      <w:pPr>
        <w:spacing w:after="0" w:line="17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0"/>
          <w:szCs w:val="20"/>
          <w:color w:val="121212"/>
        </w:rPr>
        <w:t>79</w:t>
      </w:r>
    </w:p>
    <w:p>
      <w:pPr>
        <w:sectPr>
          <w:pgSz w:w="12240" w:h="15840" w:orient="portrait"/>
          <w:cols w:equalWidth="0" w:num="1">
            <w:col w:w="10467"/>
          </w:cols>
          <w:pgMar w:left="893" w:top="930" w:right="880" w:bottom="175" w:gutter="0" w:footer="0" w:header="0"/>
          <w:type w:val="continuous"/>
        </w:sectPr>
      </w:pPr>
    </w:p>
    <w:bookmarkStart w:id="89" w:name="page90"/>
    <w:bookmarkEnd w:id="89"/>
    <w:p>
      <w:pPr>
        <w:ind w:left="840" w:right="580"/>
        <w:spacing w:after="0" w:line="278" w:lineRule="auto"/>
        <w:rPr>
          <w:sz w:val="20"/>
          <w:szCs w:val="20"/>
          <w:color w:val="auto"/>
        </w:rPr>
      </w:pPr>
      <w:r>
        <w:rPr>
          <w:rFonts w:ascii="Times New Roman" w:cs="Times New Roman" w:eastAsia="Times New Roman" w:hAnsi="Times New Roman"/>
          <w:sz w:val="19"/>
          <w:szCs w:val="19"/>
          <w:color w:val="121212"/>
        </w:rPr>
        <w:t>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65" w:lineRule="exact"/>
        <w:rPr>
          <w:sz w:val="20"/>
          <w:szCs w:val="20"/>
          <w:color w:val="auto"/>
        </w:rPr>
      </w:pPr>
    </w:p>
    <w:p>
      <w:pPr>
        <w:ind w:left="840" w:right="360" w:hanging="357"/>
        <w:spacing w:after="0" w:line="276" w:lineRule="auto"/>
        <w:tabs>
          <w:tab w:leader="none" w:pos="840" w:val="left"/>
        </w:tabs>
        <w:numPr>
          <w:ilvl w:val="0"/>
          <w:numId w:val="42"/>
        </w:numPr>
        <w:rPr>
          <w:rFonts w:ascii="Arial" w:cs="Arial" w:eastAsia="Arial" w:hAnsi="Arial"/>
          <w:sz w:val="20"/>
          <w:szCs w:val="20"/>
          <w:color w:val="121212"/>
        </w:rPr>
      </w:pPr>
      <w:r>
        <w:rPr>
          <w:rFonts w:ascii="Times New Roman" w:cs="Times New Roman" w:eastAsia="Times New Roman" w:hAnsi="Times New Roman"/>
          <w:sz w:val="20"/>
          <w:szCs w:val="20"/>
          <w:color w:val="121212"/>
        </w:rPr>
        <w:t>CMS published a final rule that allows Medicare Advantage Plans the option of using step therapy for Part B drugs, effective January 1, 2020.</w:t>
      </w:r>
    </w:p>
    <w:p>
      <w:pPr>
        <w:spacing w:after="0" w:line="64" w:lineRule="exact"/>
        <w:rPr>
          <w:rFonts w:ascii="Arial" w:cs="Arial" w:eastAsia="Arial" w:hAnsi="Arial"/>
          <w:sz w:val="20"/>
          <w:szCs w:val="20"/>
          <w:color w:val="121212"/>
        </w:rPr>
      </w:pPr>
    </w:p>
    <w:p>
      <w:pPr>
        <w:ind w:left="840" w:right="20" w:hanging="357"/>
        <w:spacing w:after="0" w:line="249" w:lineRule="auto"/>
        <w:tabs>
          <w:tab w:leader="none" w:pos="840" w:val="left"/>
        </w:tabs>
        <w:numPr>
          <w:ilvl w:val="0"/>
          <w:numId w:val="42"/>
        </w:numPr>
        <w:rPr>
          <w:rFonts w:ascii="Arial" w:cs="Arial" w:eastAsia="Arial" w:hAnsi="Arial"/>
          <w:sz w:val="20"/>
          <w:szCs w:val="20"/>
          <w:color w:val="121212"/>
        </w:rPr>
      </w:pPr>
      <w:r>
        <w:rPr>
          <w:rFonts w:ascii="Times New Roman" w:cs="Times New Roman" w:eastAsia="Times New Roman" w:hAnsi="Times New Roman"/>
          <w:sz w:val="20"/>
          <w:szCs w:val="20"/>
          <w:color w:val="121212"/>
        </w:rPr>
        <w:t>The U.S. American Rescue Plan Act of 2021, which eliminates the statutory Medicaid drug rebate cap, currently set at 100% of a drug’s average manufacturer price, for single source and innovator multiple source drugs, effective January 1, 2024.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67" w:lineRule="exact"/>
        <w:rPr>
          <w:sz w:val="20"/>
          <w:szCs w:val="20"/>
          <w:color w:val="auto"/>
        </w:rPr>
      </w:pPr>
    </w:p>
    <w:p>
      <w:pPr>
        <w:jc w:val="both"/>
        <w:ind w:firstLine="490"/>
        <w:spacing w:after="0" w:line="234" w:lineRule="auto"/>
        <w:rPr>
          <w:sz w:val="20"/>
          <w:szCs w:val="20"/>
          <w:color w:val="auto"/>
        </w:rPr>
      </w:pPr>
      <w:r>
        <w:rPr>
          <w:rFonts w:ascii="Times New Roman" w:cs="Times New Roman" w:eastAsia="Times New Roman" w:hAnsi="Times New Roman"/>
          <w:sz w:val="20"/>
          <w:szCs w:val="20"/>
          <w:color w:val="121212"/>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In addition,NPresident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203"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121212"/>
        </w:rPr>
        <w:t>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2032Nthe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condition.NIf a product receives multiple orphan designations or has multiple approved indications, it may not qualify for the orphan drug exemption. The implementation of which is currently subject to ongoing litigation challenging the constitutionality of the IRA’s Medicare drug price negotiation program. The effects of the IRA on our business and the healthcare industry in general is not yet known.</w:t>
      </w:r>
    </w:p>
    <w:p>
      <w:pPr>
        <w:spacing w:after="0" w:line="209"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21212"/>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1"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121212"/>
        </w:rPr>
        <w:t>We expect that additional state and federal healthcare reform measures will be adopted in the future, any of which could limit the amounts that federal and state governments will pay for healthcare products and services, or the frequency with which any such product candidate is prescribed or used,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91" w:lineRule="exact"/>
        <w:rPr>
          <w:sz w:val="20"/>
          <w:szCs w:val="20"/>
          <w:color w:val="auto"/>
        </w:rPr>
      </w:pPr>
    </w:p>
    <w:p>
      <w:pPr>
        <w:jc w:val="both"/>
        <w:ind w:right="20" w:firstLine="490"/>
        <w:spacing w:after="0"/>
        <w:rPr>
          <w:sz w:val="20"/>
          <w:szCs w:val="20"/>
          <w:color w:val="auto"/>
        </w:rPr>
      </w:pPr>
      <w:r>
        <w:rPr>
          <w:rFonts w:ascii="Times New Roman" w:cs="Times New Roman" w:eastAsia="Times New Roman" w:hAnsi="Times New Roman"/>
          <w:sz w:val="20"/>
          <w:szCs w:val="20"/>
          <w:color w:val="121212"/>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74"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121212"/>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1" w:lineRule="exact"/>
        <w:rPr>
          <w:sz w:val="20"/>
          <w:szCs w:val="20"/>
          <w:color w:val="auto"/>
        </w:rPr>
      </w:pPr>
    </w:p>
    <w:p>
      <w:pPr>
        <w:ind w:left="720" w:hanging="367"/>
        <w:spacing w:after="0"/>
        <w:tabs>
          <w:tab w:leader="none" w:pos="720" w:val="left"/>
        </w:tabs>
        <w:numPr>
          <w:ilvl w:val="0"/>
          <w:numId w:val="43"/>
        </w:numPr>
        <w:rPr>
          <w:rFonts w:ascii="Arial" w:cs="Arial" w:eastAsia="Arial" w:hAnsi="Arial"/>
          <w:sz w:val="20"/>
          <w:szCs w:val="20"/>
          <w:color w:val="121212"/>
        </w:rPr>
      </w:pPr>
      <w:r>
        <w:rPr>
          <w:rFonts w:ascii="Times New Roman" w:cs="Times New Roman" w:eastAsia="Times New Roman" w:hAnsi="Times New Roman"/>
          <w:sz w:val="20"/>
          <w:szCs w:val="20"/>
          <w:color w:val="121212"/>
        </w:rPr>
        <w:t>the demand for our current or future product candidates, if we obtain regulatory approval;</w:t>
      </w:r>
    </w:p>
    <w:p>
      <w:pPr>
        <w:spacing w:after="0" w:line="121" w:lineRule="exact"/>
        <w:rPr>
          <w:rFonts w:ascii="Arial" w:cs="Arial" w:eastAsia="Arial" w:hAnsi="Arial"/>
          <w:sz w:val="20"/>
          <w:szCs w:val="20"/>
          <w:color w:val="121212"/>
        </w:rPr>
      </w:pPr>
    </w:p>
    <w:p>
      <w:pPr>
        <w:ind w:left="720" w:hanging="367"/>
        <w:spacing w:after="0"/>
        <w:tabs>
          <w:tab w:leader="none" w:pos="720" w:val="left"/>
        </w:tabs>
        <w:numPr>
          <w:ilvl w:val="0"/>
          <w:numId w:val="43"/>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set a price that we believe is fair for our products;</w:t>
      </w:r>
    </w:p>
    <w:p>
      <w:pPr>
        <w:spacing w:after="0" w:line="121" w:lineRule="exact"/>
        <w:rPr>
          <w:rFonts w:ascii="Arial" w:cs="Arial" w:eastAsia="Arial" w:hAnsi="Arial"/>
          <w:sz w:val="20"/>
          <w:szCs w:val="20"/>
          <w:color w:val="121212"/>
        </w:rPr>
      </w:pPr>
    </w:p>
    <w:p>
      <w:pPr>
        <w:ind w:left="720" w:hanging="367"/>
        <w:spacing w:after="0"/>
        <w:tabs>
          <w:tab w:leader="none" w:pos="720" w:val="left"/>
        </w:tabs>
        <w:numPr>
          <w:ilvl w:val="0"/>
          <w:numId w:val="43"/>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obtain coverage and reimbursement approval for a product;</w:t>
      </w:r>
    </w:p>
    <w:p>
      <w:pPr>
        <w:sectPr>
          <w:pgSz w:w="12240" w:h="15840" w:orient="portrait"/>
          <w:cols w:equalWidth="0" w:num="1">
            <w:col w:w="10460"/>
          </w:cols>
          <w:pgMar w:left="900" w:top="930" w:right="880" w:bottom="175"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80</w:t>
      </w:r>
    </w:p>
    <w:p>
      <w:pPr>
        <w:sectPr>
          <w:pgSz w:w="12240" w:h="15840" w:orient="portrait"/>
          <w:cols w:equalWidth="0" w:num="1">
            <w:col w:w="10460"/>
          </w:cols>
          <w:pgMar w:left="900" w:top="930" w:right="880" w:bottom="175" w:gutter="0" w:footer="0" w:header="0"/>
          <w:type w:val="continuous"/>
        </w:sectPr>
      </w:pPr>
    </w:p>
    <w:bookmarkStart w:id="90" w:name="page91"/>
    <w:bookmarkEnd w:id="90"/>
    <w:p>
      <w:pPr>
        <w:ind w:left="720" w:hanging="367"/>
        <w:spacing w:after="0"/>
        <w:tabs>
          <w:tab w:leader="none" w:pos="720" w:val="left"/>
        </w:tabs>
        <w:numPr>
          <w:ilvl w:val="0"/>
          <w:numId w:val="44"/>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generate revenue and achieve or maintain profitability;</w:t>
      </w:r>
    </w:p>
    <w:p>
      <w:pPr>
        <w:spacing w:after="0" w:line="121" w:lineRule="exact"/>
        <w:rPr>
          <w:rFonts w:ascii="Arial" w:cs="Arial" w:eastAsia="Arial" w:hAnsi="Arial"/>
          <w:sz w:val="20"/>
          <w:szCs w:val="20"/>
          <w:color w:val="121212"/>
        </w:rPr>
      </w:pPr>
    </w:p>
    <w:p>
      <w:pPr>
        <w:ind w:left="720" w:hanging="367"/>
        <w:spacing w:after="0"/>
        <w:tabs>
          <w:tab w:leader="none" w:pos="720" w:val="left"/>
        </w:tabs>
        <w:numPr>
          <w:ilvl w:val="0"/>
          <w:numId w:val="44"/>
        </w:numPr>
        <w:rPr>
          <w:rFonts w:ascii="Arial" w:cs="Arial" w:eastAsia="Arial" w:hAnsi="Arial"/>
          <w:sz w:val="20"/>
          <w:szCs w:val="20"/>
          <w:color w:val="121212"/>
        </w:rPr>
      </w:pPr>
      <w:r>
        <w:rPr>
          <w:rFonts w:ascii="Times New Roman" w:cs="Times New Roman" w:eastAsia="Times New Roman" w:hAnsi="Times New Roman"/>
          <w:sz w:val="20"/>
          <w:szCs w:val="20"/>
          <w:color w:val="121212"/>
        </w:rPr>
        <w:t>the level of taxes that we are required to pay; and</w:t>
      </w:r>
    </w:p>
    <w:p>
      <w:pPr>
        <w:spacing w:after="0" w:line="121" w:lineRule="exact"/>
        <w:rPr>
          <w:rFonts w:ascii="Arial" w:cs="Arial" w:eastAsia="Arial" w:hAnsi="Arial"/>
          <w:sz w:val="20"/>
          <w:szCs w:val="20"/>
          <w:color w:val="121212"/>
        </w:rPr>
      </w:pPr>
    </w:p>
    <w:p>
      <w:pPr>
        <w:ind w:left="720" w:hanging="367"/>
        <w:spacing w:after="0"/>
        <w:tabs>
          <w:tab w:leader="none" w:pos="720" w:val="left"/>
        </w:tabs>
        <w:numPr>
          <w:ilvl w:val="0"/>
          <w:numId w:val="44"/>
        </w:numPr>
        <w:rPr>
          <w:rFonts w:ascii="Arial" w:cs="Arial" w:eastAsia="Arial" w:hAnsi="Arial"/>
          <w:sz w:val="20"/>
          <w:szCs w:val="20"/>
          <w:color w:val="121212"/>
        </w:rPr>
      </w:pPr>
      <w:r>
        <w:rPr>
          <w:rFonts w:ascii="Times New Roman" w:cs="Times New Roman" w:eastAsia="Times New Roman" w:hAnsi="Times New Roman"/>
          <w:sz w:val="20"/>
          <w:szCs w:val="20"/>
          <w:color w:val="121212"/>
        </w:rPr>
        <w:t>the availability of capital.</w:t>
      </w:r>
    </w:p>
    <w:p>
      <w:pPr>
        <w:spacing w:after="0" w:line="117"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21212"/>
        </w:rPr>
        <w:t>Any reduction in reimbursement from Medicare or other government programs may result in a similar reduction in payments from private payors, which may adversely affect our future profitability.</w:t>
      </w:r>
    </w:p>
    <w:p>
      <w:pPr>
        <w:spacing w:after="0" w:line="16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121212"/>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74"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96" w:lineRule="exact"/>
        <w:rPr>
          <w:sz w:val="20"/>
          <w:szCs w:val="20"/>
          <w:color w:val="auto"/>
        </w:rPr>
      </w:pPr>
    </w:p>
    <w:p>
      <w:pPr>
        <w:jc w:val="both"/>
        <w:ind w:left="720" w:hanging="367"/>
        <w:spacing w:after="0" w:line="242" w:lineRule="auto"/>
        <w:tabs>
          <w:tab w:leader="none" w:pos="720" w:val="left"/>
        </w:tabs>
        <w:numPr>
          <w:ilvl w:val="0"/>
          <w:numId w:val="45"/>
        </w:numPr>
        <w:rPr>
          <w:rFonts w:ascii="Arial" w:cs="Arial" w:eastAsia="Arial" w:hAnsi="Arial"/>
          <w:sz w:val="20"/>
          <w:szCs w:val="20"/>
          <w:color w:val="121212"/>
        </w:rPr>
      </w:pPr>
      <w:r>
        <w:rPr>
          <w:rFonts w:ascii="Times New Roman" w:cs="Times New Roman" w:eastAsia="Times New Roman" w:hAnsi="Times New Roman"/>
          <w:sz w:val="20"/>
          <w:szCs w:val="20"/>
          <w:color w:val="121212"/>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105" w:lineRule="exact"/>
        <w:rPr>
          <w:rFonts w:ascii="Arial" w:cs="Arial" w:eastAsia="Arial" w:hAnsi="Arial"/>
          <w:sz w:val="20"/>
          <w:szCs w:val="20"/>
          <w:color w:val="121212"/>
        </w:rPr>
      </w:pPr>
    </w:p>
    <w:p>
      <w:pPr>
        <w:jc w:val="both"/>
        <w:ind w:left="720" w:hanging="367"/>
        <w:spacing w:after="0" w:line="244" w:lineRule="auto"/>
        <w:tabs>
          <w:tab w:leader="none" w:pos="720" w:val="left"/>
        </w:tabs>
        <w:numPr>
          <w:ilvl w:val="0"/>
          <w:numId w:val="45"/>
        </w:numPr>
        <w:rPr>
          <w:rFonts w:ascii="Arial" w:cs="Arial" w:eastAsia="Arial" w:hAnsi="Arial"/>
          <w:sz w:val="20"/>
          <w:szCs w:val="20"/>
          <w:color w:val="121212"/>
        </w:rPr>
      </w:pPr>
      <w:r>
        <w:rPr>
          <w:rFonts w:ascii="Times New Roman" w:cs="Times New Roman" w:eastAsia="Times New Roman" w:hAnsi="Times New Roman"/>
          <w:sz w:val="20"/>
          <w:szCs w:val="20"/>
          <w:color w:val="121212"/>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95" w:lineRule="exact"/>
        <w:rPr>
          <w:rFonts w:ascii="Arial" w:cs="Arial" w:eastAsia="Arial" w:hAnsi="Arial"/>
          <w:sz w:val="20"/>
          <w:szCs w:val="20"/>
          <w:color w:val="121212"/>
        </w:rPr>
      </w:pPr>
    </w:p>
    <w:p>
      <w:pPr>
        <w:jc w:val="both"/>
        <w:ind w:left="720" w:hanging="367"/>
        <w:spacing w:after="0" w:line="247" w:lineRule="auto"/>
        <w:tabs>
          <w:tab w:leader="none" w:pos="720" w:val="left"/>
        </w:tabs>
        <w:numPr>
          <w:ilvl w:val="0"/>
          <w:numId w:val="45"/>
        </w:numPr>
        <w:rPr>
          <w:rFonts w:ascii="Arial" w:cs="Arial" w:eastAsia="Arial" w:hAnsi="Arial"/>
          <w:sz w:val="20"/>
          <w:szCs w:val="20"/>
          <w:color w:val="121212"/>
        </w:rPr>
      </w:pPr>
      <w:r>
        <w:rPr>
          <w:rFonts w:ascii="Times New Roman" w:cs="Times New Roman" w:eastAsia="Times New Roman" w:hAnsi="Times New Roman"/>
          <w:sz w:val="20"/>
          <w:szCs w:val="20"/>
          <w:color w:val="121212"/>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3" w:lineRule="exact"/>
        <w:rPr>
          <w:rFonts w:ascii="Arial" w:cs="Arial" w:eastAsia="Arial" w:hAnsi="Arial"/>
          <w:sz w:val="20"/>
          <w:szCs w:val="20"/>
          <w:color w:val="121212"/>
        </w:rPr>
      </w:pPr>
    </w:p>
    <w:p>
      <w:pPr>
        <w:jc w:val="both"/>
        <w:ind w:left="720" w:hanging="367"/>
        <w:spacing w:after="0" w:line="247" w:lineRule="auto"/>
        <w:tabs>
          <w:tab w:leader="none" w:pos="720" w:val="left"/>
        </w:tabs>
        <w:numPr>
          <w:ilvl w:val="0"/>
          <w:numId w:val="45"/>
        </w:numPr>
        <w:rPr>
          <w:rFonts w:ascii="Arial" w:cs="Arial" w:eastAsia="Arial" w:hAnsi="Arial"/>
          <w:sz w:val="20"/>
          <w:szCs w:val="20"/>
          <w:color w:val="121212"/>
        </w:rPr>
      </w:pPr>
      <w:r>
        <w:rPr>
          <w:rFonts w:ascii="Times New Roman" w:cs="Times New Roman" w:eastAsia="Times New Roman" w:hAnsi="Times New Roman"/>
          <w:sz w:val="20"/>
          <w:szCs w:val="20"/>
          <w:color w:val="121212"/>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ectPr>
          <w:pgSz w:w="12240" w:h="15840" w:orient="portrait"/>
          <w:cols w:equalWidth="0" w:num="1">
            <w:col w:w="10460"/>
          </w:cols>
          <w:pgMar w:left="900" w:top="935" w:right="880" w:bottom="175" w:gutter="0" w:footer="0" w:header="0"/>
        </w:sect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81</w:t>
      </w:r>
    </w:p>
    <w:p>
      <w:pPr>
        <w:sectPr>
          <w:pgSz w:w="12240" w:h="15840" w:orient="portrait"/>
          <w:cols w:equalWidth="0" w:num="1">
            <w:col w:w="10460"/>
          </w:cols>
          <w:pgMar w:left="900" w:top="935" w:right="880" w:bottom="175" w:gutter="0" w:footer="0" w:header="0"/>
          <w:type w:val="continuous"/>
        </w:sectPr>
      </w:pPr>
    </w:p>
    <w:bookmarkStart w:id="91" w:name="page92"/>
    <w:bookmarkEnd w:id="91"/>
    <w:p>
      <w:pPr>
        <w:ind w:left="720" w:hanging="367"/>
        <w:spacing w:after="0" w:line="276" w:lineRule="auto"/>
        <w:tabs>
          <w:tab w:leader="none" w:pos="720" w:val="left"/>
        </w:tabs>
        <w:numPr>
          <w:ilvl w:val="0"/>
          <w:numId w:val="46"/>
        </w:numPr>
        <w:rPr>
          <w:rFonts w:ascii="Arial" w:cs="Arial" w:eastAsia="Arial" w:hAnsi="Arial"/>
          <w:sz w:val="20"/>
          <w:szCs w:val="20"/>
          <w:color w:val="121212"/>
        </w:rPr>
      </w:pPr>
      <w:r>
        <w:rPr>
          <w:rFonts w:ascii="Times New Roman" w:cs="Times New Roman" w:eastAsia="Times New Roman" w:hAnsi="Times New Roman"/>
          <w:sz w:val="20"/>
          <w:szCs w:val="20"/>
          <w:color w:val="121212"/>
        </w:rPr>
        <w:t>federal consumer protection and unfair competition laws, which broadly regulate marketplace activities and activities that potentially harm consumers; and</w:t>
      </w:r>
    </w:p>
    <w:p>
      <w:pPr>
        <w:spacing w:after="0" w:line="64"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46"/>
        </w:numPr>
        <w:rPr>
          <w:rFonts w:ascii="Arial" w:cs="Arial" w:eastAsia="Arial" w:hAnsi="Arial"/>
          <w:sz w:val="20"/>
          <w:szCs w:val="20"/>
          <w:color w:val="121212"/>
        </w:rPr>
      </w:pPr>
      <w:r>
        <w:rPr>
          <w:rFonts w:ascii="Times New Roman" w:cs="Times New Roman" w:eastAsia="Times New Roman" w:hAnsi="Times New Roman"/>
          <w:sz w:val="20"/>
          <w:szCs w:val="20"/>
          <w:color w:val="121212"/>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67"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92"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90"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8" w:lineRule="exact"/>
        <w:rPr>
          <w:sz w:val="20"/>
          <w:szCs w:val="20"/>
          <w:color w:val="auto"/>
        </w:rPr>
      </w:pPr>
    </w:p>
    <w:p>
      <w:pPr>
        <w:jc w:val="both"/>
        <w:ind w:firstLine="490"/>
        <w:spacing w:after="0" w:line="305" w:lineRule="auto"/>
        <w:rPr>
          <w:sz w:val="20"/>
          <w:szCs w:val="20"/>
          <w:color w:val="auto"/>
        </w:rPr>
      </w:pPr>
      <w:r>
        <w:rPr>
          <w:rFonts w:ascii="Times New Roman" w:cs="Times New Roman" w:eastAsia="Times New Roman" w:hAnsi="Times New Roman"/>
          <w:sz w:val="19"/>
          <w:szCs w:val="19"/>
          <w:color w:val="121212"/>
        </w:rPr>
        <w:t>The scope and enforcement of each of these laws is uncertain and subject to rapid change in the current environment of healthcare reform, especially in light of the lack of applicable precedent and regulations. Federal and state enforcement bodies have</w:t>
      </w:r>
    </w:p>
    <w:p>
      <w:pPr>
        <w:sectPr>
          <w:pgSz w:w="12240" w:h="15840" w:orient="portrait"/>
          <w:cols w:equalWidth="0" w:num="1">
            <w:col w:w="10460"/>
          </w:cols>
          <w:pgMar w:left="900" w:top="945" w:right="880" w:bottom="175"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82</w:t>
      </w:r>
    </w:p>
    <w:p>
      <w:pPr>
        <w:sectPr>
          <w:pgSz w:w="12240" w:h="15840" w:orient="portrait"/>
          <w:cols w:equalWidth="0" w:num="1">
            <w:col w:w="10460"/>
          </w:cols>
          <w:pgMar w:left="900" w:top="945" w:right="880" w:bottom="175" w:gutter="0" w:footer="0" w:header="0"/>
          <w:type w:val="continuous"/>
        </w:sectPr>
      </w:pPr>
    </w:p>
    <w:bookmarkStart w:id="92" w:name="page93"/>
    <w:bookmarkEnd w:id="92"/>
    <w:p>
      <w:pPr>
        <w:jc w:val="both"/>
        <w:ind w:right="20"/>
        <w:spacing w:after="0" w:line="277" w:lineRule="auto"/>
        <w:rPr>
          <w:sz w:val="20"/>
          <w:szCs w:val="20"/>
          <w:color w:val="auto"/>
        </w:rPr>
      </w:pPr>
      <w:r>
        <w:rPr>
          <w:rFonts w:ascii="Times New Roman" w:cs="Times New Roman" w:eastAsia="Times New Roman" w:hAnsi="Times New Roman"/>
          <w:sz w:val="20"/>
          <w:szCs w:val="20"/>
          <w:color w:val="121212"/>
        </w:rPr>
        <w:t>recently increased their scrutiny of interactions between healthcare companies and healthcare providers, which has led to a number of investigations, prosecutions, convictions and settlements in the healthcare industry.</w:t>
      </w:r>
    </w:p>
    <w:p>
      <w:pPr>
        <w:spacing w:after="0" w:line="49"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20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If we fail to comply with environmental, health and safety laws and regulations, we could become subject to fines or penalties or incur costs that could have a material adverse effect on the success of our business.</w:t>
      </w:r>
    </w:p>
    <w:p>
      <w:pPr>
        <w:spacing w:after="0" w:line="4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8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121212"/>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74"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9"/>
          <w:szCs w:val="19"/>
          <w:color w:val="121212"/>
        </w:rPr>
        <w:t>The regulatory framework for the collection, use, safeguarding, sharing, transfer and other processing of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which took effect on January 1, 2020, and became enforceable by the California Attorney General on July 1, 2020. This law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It also provides for civil penalties for violations, and allows for a private right of action for data breaches that is expected to increase data breach litigation. In addition, the California Privacy Rights Act, or CPRA, which became effective on January 1, 2023, significantly</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83</w:t>
      </w:r>
    </w:p>
    <w:p>
      <w:pPr>
        <w:sectPr>
          <w:pgSz w:w="12240" w:h="15840" w:orient="portrait"/>
          <w:cols w:equalWidth="0" w:num="1">
            <w:col w:w="10460"/>
          </w:cols>
          <w:pgMar w:left="900" w:top="930" w:right="880" w:bottom="175" w:gutter="0" w:footer="0" w:header="0"/>
          <w:type w:val="continuous"/>
        </w:sectPr>
      </w:pPr>
    </w:p>
    <w:bookmarkStart w:id="93" w:name="page94"/>
    <w:bookmarkEnd w:id="93"/>
    <w:p>
      <w:pPr>
        <w:jc w:val="both"/>
        <w:ind w:right="20"/>
        <w:spacing w:after="0" w:line="277" w:lineRule="auto"/>
        <w:rPr>
          <w:sz w:val="20"/>
          <w:szCs w:val="20"/>
          <w:color w:val="auto"/>
        </w:rPr>
      </w:pPr>
      <w:r>
        <w:rPr>
          <w:rFonts w:ascii="Times New Roman" w:cs="Times New Roman" w:eastAsia="Times New Roman" w:hAnsi="Times New Roman"/>
          <w:sz w:val="20"/>
          <w:szCs w:val="20"/>
          <w:color w:val="121212"/>
        </w:rPr>
        <w:t>modified the CCPA by expanding consumer rights with respect to certain sensitive information, and creating a new state agency that is vested with authority to implement and enforce the CCPA.</w:t>
      </w:r>
    </w:p>
    <w:p>
      <w:pPr>
        <w:spacing w:after="0" w:line="49"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In addition,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Furthermore, in addition to comprehensive privacy laws, certain states have enacted laws to focus on particular more limited privacy laws. For example, the state of Washington has passed a law to protect medical and health information not subject to HIPAA. This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would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spacing w:after="0" w:line="82"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for processing personal data, stricter requirements relating to processing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86"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6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84</w:t>
      </w:r>
    </w:p>
    <w:p>
      <w:pPr>
        <w:sectPr>
          <w:pgSz w:w="12240" w:h="15840" w:orient="portrait"/>
          <w:cols w:equalWidth="0" w:num="1">
            <w:col w:w="10460"/>
          </w:cols>
          <w:pgMar w:left="900" w:top="930" w:right="880" w:bottom="175" w:gutter="0" w:footer="0" w:header="0"/>
          <w:type w:val="continuous"/>
        </w:sectPr>
      </w:pPr>
    </w:p>
    <w:bookmarkStart w:id="94" w:name="page95"/>
    <w:bookmarkEnd w:id="94"/>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82"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121212"/>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spacing w:after="0" w:line="19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121212"/>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74"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9"/>
          <w:szCs w:val="19"/>
          <w:color w:val="121212"/>
        </w:rPr>
        <w:t>We may use and integrate artificial intelligence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European Union’s Artificial Intelligence Act, or the AI Act, the world’s first comprehensive AI law,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68"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85</w:t>
      </w:r>
    </w:p>
    <w:p>
      <w:pPr>
        <w:sectPr>
          <w:pgSz w:w="12240" w:h="15840" w:orient="portrait"/>
          <w:cols w:equalWidth="0" w:num="1">
            <w:col w:w="10460"/>
          </w:cols>
          <w:pgMar w:left="900" w:top="930" w:right="880" w:bottom="175" w:gutter="0" w:footer="0" w:header="0"/>
          <w:type w:val="continuous"/>
        </w:sectPr>
      </w:pPr>
    </w:p>
    <w:bookmarkStart w:id="95" w:name="page96"/>
    <w:bookmarkEnd w:id="95"/>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7" w:lineRule="exact"/>
        <w:rPr>
          <w:sz w:val="20"/>
          <w:szCs w:val="20"/>
          <w:color w:val="auto"/>
        </w:rPr>
      </w:pPr>
    </w:p>
    <w:p>
      <w:pPr>
        <w:jc w:val="both"/>
        <w:ind w:right="20" w:firstLine="490"/>
        <w:spacing w:after="0" w:line="247" w:lineRule="auto"/>
        <w:rPr>
          <w:sz w:val="20"/>
          <w:szCs w:val="20"/>
          <w:color w:val="auto"/>
        </w:rPr>
      </w:pPr>
      <w:r>
        <w:rPr>
          <w:rFonts w:ascii="Times New Roman" w:cs="Times New Roman" w:eastAsia="Times New Roman" w:hAnsi="Times New Roman"/>
          <w:sz w:val="20"/>
          <w:szCs w:val="20"/>
          <w:color w:val="121212"/>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Risks Relating to Employee Matters and Managing Growth</w:t>
      </w:r>
    </w:p>
    <w:p>
      <w:pPr>
        <w:spacing w:after="0" w:line="1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Our future success depends on our ability to retain key executives and experienced scientists and to attract, retain, and motivate qualified personnel.</w:t>
      </w:r>
    </w:p>
    <w:p>
      <w:pPr>
        <w:spacing w:after="0" w:line="49"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2"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We may be unable to adequately protect our information systems and infrastructure from cyberattacks or security compromises, incidents or breaches, which could result in the disclosure of confidential or proprietary information, including personal data, damage our reputation, and subject us to significant financial and legal exposure.</w:t>
      </w:r>
    </w:p>
    <w:p>
      <w:pPr>
        <w:spacing w:after="0" w:line="188"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121212"/>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 include wrongful conduct by hostile foreign governments, employees, contractors or other third-parties and industrial espionage, wire fraud and other forms of cyber fraud, the deployment of harmful malware, denial-of-service, social engineering fraud or other means to threaten or compromise the security,</w:t>
      </w:r>
    </w:p>
    <w:p>
      <w:pPr>
        <w:sectPr>
          <w:pgSz w:w="12240" w:h="15840" w:orient="portrait"/>
          <w:cols w:equalWidth="0" w:num="1">
            <w:col w:w="10460"/>
          </w:cols>
          <w:pgMar w:left="900" w:top="930" w:right="880" w:bottom="175" w:gutter="0" w:footer="0" w:header="0"/>
        </w:sect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86</w:t>
      </w:r>
    </w:p>
    <w:p>
      <w:pPr>
        <w:sectPr>
          <w:pgSz w:w="12240" w:h="15840" w:orient="portrait"/>
          <w:cols w:equalWidth="0" w:num="1">
            <w:col w:w="10460"/>
          </w:cols>
          <w:pgMar w:left="900" w:top="930" w:right="880" w:bottom="175" w:gutter="0" w:footer="0" w:header="0"/>
          <w:type w:val="continuous"/>
        </w:sectPr>
      </w:pPr>
    </w:p>
    <w:bookmarkStart w:id="96" w:name="page97"/>
    <w:bookmarkEnd w:id="96"/>
    <w:p>
      <w:pPr>
        <w:ind w:right="20"/>
        <w:spacing w:after="0" w:line="243" w:lineRule="auto"/>
        <w:rPr>
          <w:sz w:val="20"/>
          <w:szCs w:val="20"/>
          <w:color w:val="auto"/>
        </w:rPr>
      </w:pPr>
      <w:r>
        <w:rPr>
          <w:rFonts w:ascii="Times New Roman" w:cs="Times New Roman" w:eastAsia="Times New Roman" w:hAnsi="Times New Roman"/>
          <w:sz w:val="20"/>
          <w:szCs w:val="20"/>
          <w:color w:val="121212"/>
        </w:rPr>
        <w:t>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security breaches, compromises or incidents or improper access to, use of, or disclosure of protected information, including our clinical data or patients’ personal data could result in significant liability through litigation and regulatory investigations and enforcement actions, including under state (e.g., state breach notification and consumer protection laws), federal (e.g., HIPAA, as amended by HITECH), and international law (e.g., the GDPR), and may cause a material adverse impact to our reputation, affect our ability to conduct new studies and potentially disrupt our business.</w:t>
      </w:r>
    </w:p>
    <w:p>
      <w:pPr>
        <w:spacing w:after="0" w:line="20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21212"/>
        </w:rPr>
        <w:t>We rely on our third-party providers to implement effective security measures and identify and correct for any such failures, deficiencies, vulnerabilities, compromises, incidents or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security breaches, compromises or incidents or improper access to or disclosure of such information could have similarly adverse consequences for us. If we are unable to prevent or adequately mitigate the impact of such security or data privacy incidents, compromises or breaches, we could be exposed to litigation and governmental investigations, inquiries, orders, penalties or fines, which could lead to a potential disruption to our business and financial penalties or losses.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that has, and is expected to continue to, increase the volume of data breach related litigation filed in California.</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49"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121212"/>
        </w:rPr>
        <w:t>As of February 29, 2024, we had 74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7"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General Risk Factors</w:t>
      </w:r>
    </w:p>
    <w:p>
      <w:pPr>
        <w:spacing w:after="0" w:line="1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8"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19"/>
          <w:szCs w:val="19"/>
          <w:color w:val="121212"/>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w:t>
      </w:r>
    </w:p>
    <w:p>
      <w:pPr>
        <w:sectPr>
          <w:pgSz w:w="12240" w:h="15840" w:orient="portrait"/>
          <w:cols w:equalWidth="0" w:num="1">
            <w:col w:w="10460"/>
          </w:cols>
          <w:pgMar w:left="900" w:top="930" w:right="880" w:bottom="175" w:gutter="0" w:footer="0" w:header="0"/>
        </w:sect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87</w:t>
      </w:r>
    </w:p>
    <w:p>
      <w:pPr>
        <w:sectPr>
          <w:pgSz w:w="12240" w:h="15840" w:orient="portrait"/>
          <w:cols w:equalWidth="0" w:num="1">
            <w:col w:w="10460"/>
          </w:cols>
          <w:pgMar w:left="900" w:top="930" w:right="880" w:bottom="175" w:gutter="0" w:footer="0" w:header="0"/>
          <w:type w:val="continuous"/>
        </w:sectPr>
      </w:pPr>
    </w:p>
    <w:bookmarkStart w:id="97" w:name="page98"/>
    <w:bookmarkEnd w:id="97"/>
    <w:p>
      <w:pPr>
        <w:jc w:val="both"/>
        <w:spacing w:after="0" w:line="244" w:lineRule="auto"/>
        <w:rPr>
          <w:sz w:val="20"/>
          <w:szCs w:val="20"/>
          <w:color w:val="auto"/>
        </w:rPr>
      </w:pPr>
      <w:r>
        <w:rPr>
          <w:rFonts w:ascii="Times New Roman" w:cs="Times New Roman" w:eastAsia="Times New Roman" w:hAnsi="Times New Roman"/>
          <w:sz w:val="20"/>
          <w:szCs w:val="20"/>
          <w:color w:val="121212"/>
        </w:rPr>
        <w:t>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86"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6"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121212"/>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Changes in tax law may adversely affect us or our investors.</w:t>
      </w:r>
    </w:p>
    <w:p>
      <w:pPr>
        <w:spacing w:after="0" w:line="24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121212"/>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Our future taxable income may be subject to certain limitations.</w:t>
      </w:r>
    </w:p>
    <w:p>
      <w:pPr>
        <w:spacing w:after="0" w:line="120"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9"/>
          <w:szCs w:val="19"/>
          <w:color w:val="121212"/>
        </w:rPr>
        <w:t>As of December 31, 2023, we had federal and state net operating loss carryforwards of $88.1 million and $91.7 million, respectively. Substantially all of the federal NOLs are not subject to expiration and the state NOLs begin to expire in 2037. As of December 31, 2023, we also had federal and state research and development tax credit carryforwards of $5.8 million and $1.8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w:t>
      </w:r>
    </w:p>
    <w:p>
      <w:pPr>
        <w:sectPr>
          <w:pgSz w:w="12240" w:h="15840" w:orient="portrait"/>
          <w:cols w:equalWidth="0" w:num="1">
            <w:col w:w="10460"/>
          </w:cols>
          <w:pgMar w:left="900" w:top="930" w:right="880" w:bottom="175" w:gutter="0" w:footer="0" w:header="0"/>
        </w:sect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88</w:t>
      </w:r>
    </w:p>
    <w:p>
      <w:pPr>
        <w:sectPr>
          <w:pgSz w:w="12240" w:h="15840" w:orient="portrait"/>
          <w:cols w:equalWidth="0" w:num="1">
            <w:col w:w="10460"/>
          </w:cols>
          <w:pgMar w:left="900" w:top="930" w:right="880" w:bottom="175" w:gutter="0" w:footer="0" w:header="0"/>
          <w:type w:val="continuous"/>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20"/>
          <w:szCs w:val="20"/>
          <w:color w:val="121212"/>
        </w:rPr>
        <w:t>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9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are subject to certain U.S. and foreign anti-corruption, anti-money laundering, export control, sanctions and other trade laws and regulations. We can face serious consequences for violations.</w:t>
      </w:r>
    </w:p>
    <w:p>
      <w:pPr>
        <w:spacing w:after="0" w:line="16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 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Unfavorable global economic conditions could adversely affect our business, financial condition or results of operations.</w:t>
      </w:r>
    </w:p>
    <w:p>
      <w:pPr>
        <w:spacing w:after="0" w:line="120"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Candidates-A pandemic, epidemic, or outbreak of an infectious or highly contagious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and between Israel and Hamas,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21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Our employees, principal investigators, CROs and consultants may engage in misconduct or other improper activities, including non-compliance with regulatory standards and requirements or insider trading.</w:t>
      </w:r>
    </w:p>
    <w:p>
      <w:pPr>
        <w:spacing w:after="0" w:line="49"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color w:val="121212"/>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ectPr>
          <w:pgSz w:w="12240" w:h="15840" w:orient="portrait"/>
          <w:cols w:equalWidth="0" w:num="1">
            <w:col w:w="10460"/>
          </w:cols>
          <w:pgMar w:left="900" w:top="930" w:right="880" w:bottom="175" w:gutter="0" w:footer="0" w:header="0"/>
        </w:sect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89</w:t>
      </w:r>
    </w:p>
    <w:p>
      <w:pPr>
        <w:sectPr>
          <w:pgSz w:w="12240" w:h="15840" w:orient="portrait"/>
          <w:cols w:equalWidth="0" w:num="1">
            <w:col w:w="10460"/>
          </w:cols>
          <w:pgMar w:left="900" w:top="930" w:right="880" w:bottom="175"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i w:val="1"/>
          <w:iCs w:val="1"/>
          <w:color w:val="121212"/>
        </w:rPr>
        <w:t>The market price of our common stock is expected to be volatile.</w:t>
      </w:r>
    </w:p>
    <w:p>
      <w:pPr>
        <w:spacing w:after="0" w:line="12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121212"/>
        </w:rPr>
        <w:t>The market price of our common stock following the merger could be subject to significant fluctuations. Some of the factors that may cause the market price of our common stock to fluctuate include:</w:t>
      </w:r>
    </w:p>
    <w:p>
      <w:pPr>
        <w:spacing w:after="0" w:line="64" w:lineRule="exact"/>
        <w:rPr>
          <w:sz w:val="20"/>
          <w:szCs w:val="20"/>
          <w:color w:val="auto"/>
        </w:rPr>
      </w:pPr>
    </w:p>
    <w:p>
      <w:pPr>
        <w:ind w:left="7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results of clinical trials and preclinical studies of our product candidates, or those of our competitors or our existing or future collaborators;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failure to meet or exceed financial and development projections we may provide to the public;</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failure to meet or exceed the financial and development projections of the investment community;</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if we do not achieve the perceived benefits of the merger as rapidly or to the extent anticipated by financial or industry analysts;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announcements of significant acquisitions, strategic collaborations, joint ventures or capital commitments by us or our competitors;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actions taken by regulatory agencies with respect to our product candidates, clinical studies, manufacturing process or sales and marketing terms;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disputes or other developments relating to proprietary rights, including patents, litigation matters, and our ability to obtain patent protection for our technologies;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additions or departures of key personnel;</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significant lawsuits, including patent or stockholder litigation;</w:t>
      </w:r>
    </w:p>
    <w:p>
      <w:pPr>
        <w:spacing w:after="0" w:line="133"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if securities or industry analysts do not publish research or reports about our business, or if they issue adverse or misleading opinions regarding our business and stock;</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changes in the market valuations of similar companies;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general market or macroeconomic conditions or market conditions in the pharmaceutical and biotechnology sectors;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sales of securities by us or our securityholders in the future;</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if we fail to raise an adequate amount of capital to fund our operations and continued development of our product candidates;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trading volume of our common stock;</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announcements by competitors of new commercial products, clinical progress or lack thereof, significant contracts, commercial relationships or capital commitments;</w:t>
      </w:r>
    </w:p>
    <w:p>
      <w:pPr>
        <w:spacing w:after="0" w:line="64"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adverse publicity relating to precision medicine product candidates, including with respect to other products in such markets;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the introduction of technological innovations or new therapies that compete with our products and services;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7"/>
        </w:numPr>
        <w:rPr>
          <w:rFonts w:ascii="Arial" w:cs="Arial" w:eastAsia="Arial" w:hAnsi="Arial"/>
          <w:sz w:val="20"/>
          <w:szCs w:val="20"/>
          <w:color w:val="121212"/>
        </w:rPr>
      </w:pPr>
      <w:r>
        <w:rPr>
          <w:rFonts w:ascii="Times New Roman" w:cs="Times New Roman" w:eastAsia="Times New Roman" w:hAnsi="Times New Roman"/>
          <w:sz w:val="20"/>
          <w:szCs w:val="20"/>
          <w:color w:val="121212"/>
        </w:rPr>
        <w:t>period-to-period fluctuations in our financial results.</w:t>
      </w:r>
    </w:p>
    <w:p>
      <w:pPr>
        <w:spacing w:after="0" w:line="119"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20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will incur additional costs and increased demands upon management as a result of complying with the laws and regulations affecting public companies.</w:t>
      </w:r>
    </w:p>
    <w:p>
      <w:pPr>
        <w:spacing w:after="0" w:line="49"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121212"/>
        </w:rPr>
        <w:t>We will incur significant legal, accounting and other expenses as a public company that we did not incur as a private company, including costs associated with public company reporting obligations under the Securities Exchange Act of 1934, as amended, or the Exchange Act. Our management team consists of our executive officers prior to the merger, some of whom have not previously managed and operated a public company. These executive officers and other personnel will need to devote substantial time to</w:t>
      </w:r>
    </w:p>
    <w:p>
      <w:pPr>
        <w:sectPr>
          <w:pgSz w:w="12240" w:h="15840" w:orient="portrait"/>
          <w:cols w:equalWidth="0" w:num="1">
            <w:col w:w="10460"/>
          </w:cols>
          <w:pgMar w:left="900" w:top="930" w:right="880" w:bottom="175" w:gutter="0" w:footer="0" w:header="0"/>
        </w:sect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90</w:t>
      </w:r>
    </w:p>
    <w:p>
      <w:pPr>
        <w:sectPr>
          <w:pgSz w:w="12240" w:h="15840" w:orient="portrait"/>
          <w:cols w:equalWidth="0" w:num="1">
            <w:col w:w="10460"/>
          </w:cols>
          <w:pgMar w:left="900" w:top="930" w:right="880" w:bottom="175" w:gutter="0" w:footer="0" w:header="0"/>
          <w:type w:val="continuous"/>
        </w:sectPr>
      </w:pPr>
    </w:p>
    <w:bookmarkStart w:id="100" w:name="page101"/>
    <w:bookmarkEnd w:id="100"/>
    <w:p>
      <w:pPr>
        <w:jc w:val="both"/>
        <w:spacing w:after="0" w:line="247" w:lineRule="auto"/>
        <w:rPr>
          <w:sz w:val="20"/>
          <w:szCs w:val="20"/>
          <w:color w:val="auto"/>
        </w:rPr>
      </w:pPr>
      <w:r>
        <w:rPr>
          <w:rFonts w:ascii="Times New Roman" w:cs="Times New Roman" w:eastAsia="Times New Roman" w:hAnsi="Times New Roman"/>
          <w:sz w:val="20"/>
          <w:szCs w:val="20"/>
          <w:color w:val="121212"/>
        </w:rPr>
        <w:t>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68"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9"/>
          <w:szCs w:val="19"/>
          <w:color w:val="121212"/>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 -Frank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on Form 10-K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9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Provisions in our charter documents and under Delaware law could make an acquisition of us more difficult and may discourage any takeover attempts our stockholders may consider favorable, and may lead to entrenchment of management.</w:t>
      </w:r>
    </w:p>
    <w:p>
      <w:pPr>
        <w:spacing w:after="0" w:line="4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83" w:lineRule="exact"/>
        <w:rPr>
          <w:sz w:val="20"/>
          <w:szCs w:val="20"/>
          <w:color w:val="auto"/>
        </w:rPr>
      </w:pPr>
    </w:p>
    <w:p>
      <w:pPr>
        <w:ind w:left="720" w:hanging="367"/>
        <w:spacing w:after="0" w:line="276" w:lineRule="auto"/>
        <w:tabs>
          <w:tab w:leader="none" w:pos="720" w:val="left"/>
        </w:tabs>
        <w:numPr>
          <w:ilvl w:val="0"/>
          <w:numId w:val="48"/>
        </w:numPr>
        <w:rPr>
          <w:rFonts w:ascii="Arial" w:cs="Arial" w:eastAsia="Arial" w:hAnsi="Arial"/>
          <w:sz w:val="20"/>
          <w:szCs w:val="20"/>
          <w:color w:val="121212"/>
        </w:rPr>
      </w:pPr>
      <w:r>
        <w:rPr>
          <w:rFonts w:ascii="Times New Roman" w:cs="Times New Roman" w:eastAsia="Times New Roman" w:hAnsi="Times New Roman"/>
          <w:sz w:val="20"/>
          <w:szCs w:val="20"/>
          <w:color w:val="121212"/>
        </w:rPr>
        <w:t>a board of directors divided into three classes serving staggered three-year terms, such that not all members of the board will be elected at one time;</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8"/>
        </w:numPr>
        <w:rPr>
          <w:rFonts w:ascii="Arial" w:cs="Arial" w:eastAsia="Arial" w:hAnsi="Arial"/>
          <w:sz w:val="20"/>
          <w:szCs w:val="20"/>
          <w:color w:val="121212"/>
        </w:rPr>
      </w:pPr>
      <w:r>
        <w:rPr>
          <w:rFonts w:ascii="Times New Roman" w:cs="Times New Roman" w:eastAsia="Times New Roman" w:hAnsi="Times New Roman"/>
          <w:sz w:val="20"/>
          <w:szCs w:val="20"/>
          <w:color w:val="121212"/>
        </w:rPr>
        <w:t>no cumulative voting in the election of directors, which limits the ability of minority stockholders to elect director candidates;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8"/>
        </w:numPr>
        <w:rPr>
          <w:rFonts w:ascii="Arial" w:cs="Arial" w:eastAsia="Arial" w:hAnsi="Arial"/>
          <w:sz w:val="20"/>
          <w:szCs w:val="20"/>
          <w:color w:val="121212"/>
        </w:rPr>
      </w:pPr>
      <w:r>
        <w:rPr>
          <w:rFonts w:ascii="Times New Roman" w:cs="Times New Roman" w:eastAsia="Times New Roman" w:hAnsi="Times New Roman"/>
          <w:sz w:val="20"/>
          <w:szCs w:val="20"/>
          <w:color w:val="121212"/>
        </w:rPr>
        <w:t>a prohibition on stockholder action by written consent, which means that all stockholder action must be taken at an annual or special meeting of the stockholders;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8"/>
        </w:numPr>
        <w:rPr>
          <w:rFonts w:ascii="Arial" w:cs="Arial" w:eastAsia="Arial" w:hAnsi="Arial"/>
          <w:sz w:val="20"/>
          <w:szCs w:val="20"/>
          <w:color w:val="121212"/>
        </w:rPr>
      </w:pPr>
      <w:r>
        <w:rPr>
          <w:rFonts w:ascii="Times New Roman" w:cs="Times New Roman" w:eastAsia="Times New Roman" w:hAnsi="Times New Roman"/>
          <w:sz w:val="20"/>
          <w:szCs w:val="20"/>
          <w:color w:val="121212"/>
        </w:rPr>
        <w:t>a requirement that special meetings of stockholders be called only by the chairman of the board of directors, the Chief Executive Officer or by a majority of the total number of authorized directors;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8"/>
        </w:numPr>
        <w:rPr>
          <w:rFonts w:ascii="Arial" w:cs="Arial" w:eastAsia="Arial" w:hAnsi="Arial"/>
          <w:sz w:val="20"/>
          <w:szCs w:val="20"/>
          <w:color w:val="121212"/>
        </w:rPr>
      </w:pPr>
      <w:r>
        <w:rPr>
          <w:rFonts w:ascii="Times New Roman" w:cs="Times New Roman" w:eastAsia="Times New Roman" w:hAnsi="Times New Roman"/>
          <w:sz w:val="20"/>
          <w:szCs w:val="20"/>
          <w:color w:val="121212"/>
        </w:rPr>
        <w:t>advance notice requirements for stockholder proposals and nominations for election to the board of directors;</w:t>
      </w:r>
    </w:p>
    <w:p>
      <w:pPr>
        <w:spacing w:after="0" w:line="133" w:lineRule="exact"/>
        <w:rPr>
          <w:rFonts w:ascii="Arial" w:cs="Arial" w:eastAsia="Arial" w:hAnsi="Arial"/>
          <w:sz w:val="20"/>
          <w:szCs w:val="20"/>
          <w:color w:val="121212"/>
        </w:rPr>
      </w:pPr>
    </w:p>
    <w:p>
      <w:pPr>
        <w:jc w:val="both"/>
        <w:ind w:left="720" w:hanging="367"/>
        <w:spacing w:after="0" w:line="258" w:lineRule="auto"/>
        <w:tabs>
          <w:tab w:leader="none" w:pos="720" w:val="left"/>
        </w:tabs>
        <w:numPr>
          <w:ilvl w:val="0"/>
          <w:numId w:val="48"/>
        </w:numPr>
        <w:rPr>
          <w:rFonts w:ascii="Arial" w:cs="Arial" w:eastAsia="Arial" w:hAnsi="Arial"/>
          <w:sz w:val="20"/>
          <w:szCs w:val="20"/>
          <w:color w:val="121212"/>
        </w:rPr>
      </w:pPr>
      <w:r>
        <w:rPr>
          <w:rFonts w:ascii="Times New Roman" w:cs="Times New Roman" w:eastAsia="Times New Roman" w:hAnsi="Times New Roman"/>
          <w:sz w:val="20"/>
          <w:szCs w:val="20"/>
          <w:color w:val="121212"/>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81"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48"/>
        </w:numPr>
        <w:rPr>
          <w:rFonts w:ascii="Arial" w:cs="Arial" w:eastAsia="Arial" w:hAnsi="Arial"/>
          <w:sz w:val="20"/>
          <w:szCs w:val="20"/>
          <w:color w:val="121212"/>
        </w:rPr>
      </w:pPr>
      <w:r>
        <w:rPr>
          <w:rFonts w:ascii="Times New Roman" w:cs="Times New Roman" w:eastAsia="Times New Roman" w:hAnsi="Times New Roman"/>
          <w:sz w:val="20"/>
          <w:szCs w:val="20"/>
          <w:color w:val="121212"/>
        </w:rPr>
        <w:t>a requirement of approval of not less than two-thirds of all outstanding shares of voting stock to amend any bylaws by stockholder action or to amend specific provisions of the certificate of incorporation; and</w:t>
      </w:r>
    </w:p>
    <w:p>
      <w:pPr>
        <w:spacing w:after="0" w:line="64" w:lineRule="exact"/>
        <w:rPr>
          <w:rFonts w:ascii="Arial" w:cs="Arial" w:eastAsia="Arial" w:hAnsi="Arial"/>
          <w:sz w:val="20"/>
          <w:szCs w:val="20"/>
          <w:color w:val="121212"/>
        </w:rPr>
      </w:pPr>
    </w:p>
    <w:p>
      <w:pPr>
        <w:jc w:val="both"/>
        <w:ind w:left="720" w:hanging="367"/>
        <w:spacing w:after="0" w:line="276" w:lineRule="auto"/>
        <w:tabs>
          <w:tab w:leader="none" w:pos="720" w:val="left"/>
        </w:tabs>
        <w:numPr>
          <w:ilvl w:val="0"/>
          <w:numId w:val="48"/>
        </w:numPr>
        <w:rPr>
          <w:rFonts w:ascii="Arial" w:cs="Arial" w:eastAsia="Arial" w:hAnsi="Arial"/>
          <w:sz w:val="20"/>
          <w:szCs w:val="20"/>
          <w:color w:val="121212"/>
        </w:rPr>
      </w:pPr>
      <w:r>
        <w:rPr>
          <w:rFonts w:ascii="Times New Roman" w:cs="Times New Roman" w:eastAsia="Times New Roman" w:hAnsi="Times New Roman"/>
          <w:sz w:val="20"/>
          <w:szCs w:val="20"/>
          <w:color w:val="121212"/>
        </w:rPr>
        <w:t>the authority of the board of directors to issue preferred stock on terms determined by the board of directors without stockholder approval and which preferred stock may include rights superior to the rights of the holders of common stock.</w:t>
      </w:r>
    </w:p>
    <w:p>
      <w:pPr>
        <w:sectPr>
          <w:pgSz w:w="12240" w:h="15840" w:orient="portrait"/>
          <w:cols w:equalWidth="0" w:num="1">
            <w:col w:w="10460"/>
          </w:cols>
          <w:pgMar w:left="900" w:top="930" w:right="880" w:bottom="175" w:gutter="0" w:footer="0" w:header="0"/>
        </w:sect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91</w:t>
      </w:r>
    </w:p>
    <w:p>
      <w:pPr>
        <w:sectPr>
          <w:pgSz w:w="12240" w:h="15840" w:orient="portrait"/>
          <w:cols w:equalWidth="0" w:num="1">
            <w:col w:w="10460"/>
          </w:cols>
          <w:pgMar w:left="900" w:top="930" w:right="880" w:bottom="175" w:gutter="0" w:footer="0" w:header="0"/>
          <w:type w:val="continuous"/>
        </w:sectPr>
      </w:pPr>
    </w:p>
    <w:bookmarkStart w:id="101" w:name="page102"/>
    <w:bookmarkEnd w:id="101"/>
    <w:p>
      <w:pPr>
        <w:ind w:left="480"/>
        <w:spacing w:after="0"/>
        <w:rPr>
          <w:sz w:val="20"/>
          <w:szCs w:val="20"/>
          <w:color w:val="auto"/>
        </w:rPr>
      </w:pPr>
      <w:r>
        <w:rPr>
          <w:rFonts w:ascii="Times New Roman" w:cs="Times New Roman" w:eastAsia="Times New Roman" w:hAnsi="Times New Roman"/>
          <w:sz w:val="19"/>
          <w:szCs w:val="19"/>
          <w:color w:val="121212"/>
        </w:rPr>
        <w:t>In addition, these provisions would apply even if we were to receive an offer that some stockholders may consider beneficial.</w:t>
      </w:r>
    </w:p>
    <w:p>
      <w:pPr>
        <w:spacing w:after="0" w:line="132"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19"/>
          <w:szCs w:val="19"/>
          <w:color w:val="121212"/>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8" w:lineRule="exact"/>
        <w:rPr>
          <w:sz w:val="20"/>
          <w:szCs w:val="20"/>
          <w:color w:val="auto"/>
        </w:rPr>
      </w:pPr>
    </w:p>
    <w:p>
      <w:pPr>
        <w:jc w:val="both"/>
        <w:ind w:firstLine="490"/>
        <w:spacing w:after="0" w:line="257" w:lineRule="auto"/>
        <w:rPr>
          <w:sz w:val="20"/>
          <w:szCs w:val="20"/>
          <w:color w:val="auto"/>
        </w:rPr>
      </w:pPr>
      <w:r>
        <w:rPr>
          <w:rFonts w:ascii="Times New Roman" w:cs="Times New Roman" w:eastAsia="Times New Roman" w:hAnsi="Times New Roman"/>
          <w:sz w:val="19"/>
          <w:szCs w:val="19"/>
          <w:color w:val="121212"/>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We do not anticipate that we will pay any cash dividends in the foreseeable future.</w:t>
      </w:r>
    </w:p>
    <w:p>
      <w:pPr>
        <w:spacing w:after="0" w:line="12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8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An active trading market for our common stock may not develop and our stockholders may not be able to resell their shares of common stock for a profit, if at all.</w:t>
      </w:r>
    </w:p>
    <w:p>
      <w:pPr>
        <w:spacing w:after="0" w:line="49"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Future sales of shares by existing stockholders could cause our stock price to decline.</w:t>
      </w:r>
    </w:p>
    <w:p>
      <w:pPr>
        <w:spacing w:after="0" w:line="12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If our existing securityholders sell, or indicate an intention to sell, substantial amounts of our common stock in the public market after legal restrictions on resale discussed in our Annual Report on Form 10-K for the year ended December 31, 2023 lapse, the trading price of our common stock could decline. As of December 31, 2023, we had 24,360,233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Our executive officers, directors and principal stockholders have the ability to control or significantly influence all matters submitted to our stockholders for approval.</w:t>
      </w:r>
    </w:p>
    <w:p>
      <w:pPr>
        <w:spacing w:after="0" w:line="49"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Our executive officers, directors and principal stockholders, in the aggregate, beneficially own approximately 53%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20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If equity research analysts do not publish research or reports, or publish unfavorable research or reports, about us, our business or our market, our stock price and trading volume could decline.</w:t>
      </w:r>
    </w:p>
    <w:p>
      <w:pPr>
        <w:spacing w:after="0" w:line="49"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121212"/>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w:t>
      </w:r>
    </w:p>
    <w:p>
      <w:pPr>
        <w:sectPr>
          <w:pgSz w:w="12240" w:h="15840" w:orient="portrait"/>
          <w:cols w:equalWidth="0" w:num="1">
            <w:col w:w="10460"/>
          </w:cols>
          <w:pgMar w:left="900" w:top="930" w:right="880" w:bottom="175" w:gutter="0" w:footer="0" w:header="0"/>
        </w:sect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92</w:t>
      </w:r>
    </w:p>
    <w:p>
      <w:pPr>
        <w:sectPr>
          <w:pgSz w:w="12240" w:h="15840" w:orient="portrait"/>
          <w:cols w:equalWidth="0" w:num="1">
            <w:col w:w="10460"/>
          </w:cols>
          <w:pgMar w:left="900" w:top="930" w:right="880" w:bottom="175" w:gutter="0" w:footer="0" w:header="0"/>
          <w:type w:val="continuous"/>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20"/>
          <w:szCs w:val="20"/>
          <w:color w:val="121212"/>
        </w:rPr>
        <w:t>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121212"/>
        </w:rPr>
        <w:t>We will have broad discretion in the use of our cash and cash equivalents and may invest or spend our cash and cash equivalents in ways with which you do not agree and in ways that may not increase the value of your investment.</w:t>
      </w:r>
    </w:p>
    <w:p>
      <w:pPr>
        <w:spacing w:after="0" w:line="49" w:lineRule="exact"/>
        <w:rPr>
          <w:sz w:val="20"/>
          <w:szCs w:val="20"/>
          <w:color w:val="auto"/>
        </w:rPr>
      </w:pPr>
    </w:p>
    <w:p>
      <w:pPr>
        <w:jc w:val="both"/>
        <w:ind w:right="20" w:firstLine="490"/>
        <w:spacing w:after="0" w:line="252" w:lineRule="auto"/>
        <w:rPr>
          <w:sz w:val="20"/>
          <w:szCs w:val="20"/>
          <w:color w:val="auto"/>
        </w:rPr>
      </w:pPr>
      <w:r>
        <w:rPr>
          <w:rFonts w:ascii="Times New Roman" w:cs="Times New Roman" w:eastAsia="Times New Roman" w:hAnsi="Times New Roman"/>
          <w:sz w:val="20"/>
          <w:szCs w:val="20"/>
          <w:color w:val="121212"/>
        </w:rPr>
        <w:t>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93</w:t>
      </w:r>
    </w:p>
    <w:p>
      <w:pPr>
        <w:sectPr>
          <w:pgSz w:w="12240" w:h="15840" w:orient="portrait"/>
          <w:cols w:equalWidth="0" w:num="1">
            <w:col w:w="10460"/>
          </w:cols>
          <w:pgMar w:left="900" w:top="930" w:right="880" w:bottom="175" w:gutter="0" w:footer="0" w:header="0"/>
          <w:type w:val="continuous"/>
        </w:sectPr>
      </w:pPr>
    </w:p>
    <w:bookmarkStart w:id="103" w:name="page104"/>
    <w:bookmarkEnd w:id="103"/>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1B.</w:t>
      </w:r>
      <w:r>
        <w:rPr>
          <w:sz w:val="20"/>
          <w:szCs w:val="20"/>
          <w:color w:val="auto"/>
        </w:rPr>
        <w:tab/>
      </w:r>
      <w:r>
        <w:rPr>
          <w:rFonts w:ascii="Times New Roman" w:cs="Times New Roman" w:eastAsia="Times New Roman" w:hAnsi="Times New Roman"/>
          <w:sz w:val="19"/>
          <w:szCs w:val="19"/>
          <w:b w:val="1"/>
          <w:bCs w:val="1"/>
          <w:color w:val="121212"/>
        </w:rPr>
        <w:t>UNRESOLVED STAFF COMMENTS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None.</w:t>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1C.</w:t>
        <w:tab/>
        <w:t>CYBERSECURITY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Cyber Risk Management and Strategy</w:t>
      </w:r>
    </w:p>
    <w:p>
      <w:pPr>
        <w:spacing w:after="0" w:line="124" w:lineRule="exact"/>
        <w:rPr>
          <w:sz w:val="20"/>
          <w:szCs w:val="20"/>
          <w:color w:val="auto"/>
        </w:rPr>
      </w:pPr>
    </w:p>
    <w:p>
      <w:pPr>
        <w:jc w:val="both"/>
        <w:ind w:right="600" w:firstLine="490"/>
        <w:spacing w:after="0" w:line="305" w:lineRule="auto"/>
        <w:rPr>
          <w:sz w:val="20"/>
          <w:szCs w:val="20"/>
          <w:color w:val="auto"/>
        </w:rPr>
      </w:pPr>
      <w:r>
        <w:rPr>
          <w:rFonts w:ascii="Times New Roman" w:cs="Times New Roman" w:eastAsia="Times New Roman" w:hAnsi="Times New Roman"/>
          <w:sz w:val="19"/>
          <w:szCs w:val="19"/>
          <w:color w:val="121212"/>
        </w:rPr>
        <w:t>Disc Medicine, under the oversight of the audit committee of the board of directors, has implemented and maintains processes to review and manage enterprise risks, including annual assessments of cybersecurity risks, across the Company.</w:t>
      </w:r>
    </w:p>
    <w:p>
      <w:pPr>
        <w:spacing w:after="0" w:line="25"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121212"/>
        </w:rPr>
        <w:t>Our cybersecurity risk management program, which is informed by and incorporates elements of recognized industry standards, is designed to identify, assess, and mitigate critical risks from cybersecurity threats. This program includes, but is not limited to, ongoing monitoring for potential critical risks from cybersecurity threats using automated tools. To support our cybersecurity risk management program, we leverage a managed service provider (MSP) that provides ongoing support for the protection of our information technology infrastructure as well as a virtual Chief Information Security Officer, or vCISO. Our cybersecurity risk management strategy is informed by periodic conversations with, and risk assessments conducted by, our vCISO.</w:t>
      </w:r>
    </w:p>
    <w:p>
      <w:pPr>
        <w:spacing w:after="0" w:line="8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21212"/>
        </w:rPr>
        <w:t>We have an employee security awareness training program, offered upon employee onboarding and on an annual basis, that is designed to raise awareness of cybersecurity threats across functions as well as to encourage consideration of cybersecurity risks across our Company. As part of this employee training program, we periodically conduct phishing simulations designed to raise employee awareness of such risks.</w:t>
      </w:r>
    </w:p>
    <w:p>
      <w:pPr>
        <w:spacing w:after="0" w:line="7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121212"/>
        </w:rPr>
        <w:t>We have also implemented a process to review contractual requirements related to information security obligations included in our agreements with certain third-party vendors and service providers, as appropriate.</w:t>
      </w:r>
    </w:p>
    <w:p>
      <w:pPr>
        <w:spacing w:after="0" w:line="49"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21212"/>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Item 1A - Risk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Governance Related to Cybersecurity Risks</w:t>
      </w:r>
    </w:p>
    <w:p>
      <w:pPr>
        <w:spacing w:after="0" w:line="124"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121212"/>
        </w:rPr>
        <w:t>Our Head of Information Technology (IT), under the oversight of our General Counsel, is responsible for the administration and maintenance of our cybersecurity risk management program, including the day-to-day oversight of the assessment and management of cybersecurity risks. The individual who currently holds the title of Head of IT has more than 20 years of experience in information security and cybersecurity risk management.</w:t>
      </w:r>
    </w:p>
    <w:p>
      <w:pPr>
        <w:spacing w:after="0" w:line="74" w:lineRule="exact"/>
        <w:rPr>
          <w:sz w:val="20"/>
          <w:szCs w:val="20"/>
          <w:color w:val="auto"/>
        </w:rPr>
      </w:pPr>
    </w:p>
    <w:p>
      <w:pPr>
        <w:ind w:right="1100" w:firstLine="490"/>
        <w:spacing w:after="0" w:line="277" w:lineRule="auto"/>
        <w:rPr>
          <w:sz w:val="20"/>
          <w:szCs w:val="20"/>
          <w:color w:val="auto"/>
        </w:rPr>
      </w:pPr>
      <w:r>
        <w:rPr>
          <w:rFonts w:ascii="Times New Roman" w:cs="Times New Roman" w:eastAsia="Times New Roman" w:hAnsi="Times New Roman"/>
          <w:sz w:val="20"/>
          <w:szCs w:val="20"/>
          <w:color w:val="121212"/>
        </w:rPr>
        <w:t>Our Head of IT directly reports to, and meets periodically with, our General Counsel to discuss and review our cybersecurity risk management processes, with input from the Company’s MSP and vCISO, as appropriate.</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21212"/>
        </w:rPr>
        <w:t>Our board of directors has delegated oversight of the Company’s cybersecurity program to the audit committee of the board of directors. As provided in the audit committee charter, the audit committee is responsible for reviewing and discussing the Company’s information security and risk management programs, controls, and procedures, including high-level review of the threat landscape facing the Company and the Company’s strategy to mitigate cybersecurity risks and potential breaches. Under the audit committee charter, the audit committee is also responsible for reviewing the recovery and communication plans for any unplanned outage or security breach.</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21212"/>
        </w:rPr>
        <w:t>Our Head of IT, twice a year, provides reports to the audit committee on the status of our cybersecurity program, including measures implemented to monitor and address risks from cybersecurity threats, as appropriate. He also reports on a quarterly basis to the executive committee on cybersecurity and information technology matters. The chair of the audit committee provides periodic reports on cybersecurity risk management to the full board of directors. Our General Counsel, on an annual basis, discusses the results of our enterprise risk assessment processes, including risks related to cybersecurity, with the full board of directors.</w:t>
      </w:r>
    </w:p>
    <w:p>
      <w:pPr>
        <w:spacing w:after="0" w:line="19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2.</w:t>
      </w:r>
      <w:r>
        <w:rPr>
          <w:sz w:val="20"/>
          <w:szCs w:val="20"/>
          <w:color w:val="auto"/>
        </w:rPr>
        <w:tab/>
      </w:r>
      <w:r>
        <w:rPr>
          <w:rFonts w:ascii="Times New Roman" w:cs="Times New Roman" w:eastAsia="Times New Roman" w:hAnsi="Times New Roman"/>
          <w:sz w:val="20"/>
          <w:szCs w:val="20"/>
          <w:b w:val="1"/>
          <w:bCs w:val="1"/>
          <w:color w:val="121212"/>
        </w:rPr>
        <w:t>PROPERTIES</w:t>
      </w:r>
    </w:p>
    <w:p>
      <w:pPr>
        <w:spacing w:after="0" w:line="12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21212"/>
        </w:rPr>
        <w:t>Our principal office is located at 321 Arsenal Street, Suite 101, Watertown, MA 02472, where we lease and sublease a total of approximately 16,847 square feet of office space. The lease and sublease terms will end in November 2026. We believe that these facilities will be adequate for our near-term needs. If required, we believe that suitable additional or substitute space will be available in the future on commercially reasonable terms to accommodate any such expansion of our operations.</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94</w:t>
      </w:r>
    </w:p>
    <w:p>
      <w:pPr>
        <w:sectPr>
          <w:pgSz w:w="12240" w:h="15840" w:orient="portrait"/>
          <w:cols w:equalWidth="0" w:num="1">
            <w:col w:w="10440"/>
          </w:cols>
          <w:pgMar w:left="900" w:top="926" w:right="900" w:bottom="175" w:gutter="0" w:footer="0" w:header="0"/>
          <w:type w:val="continuous"/>
        </w:sectPr>
      </w:pPr>
    </w:p>
    <w:bookmarkStart w:id="104" w:name="page105"/>
    <w:bookmarkEnd w:id="104"/>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3.</w:t>
      </w:r>
      <w:r>
        <w:rPr>
          <w:sz w:val="20"/>
          <w:szCs w:val="20"/>
          <w:color w:val="auto"/>
        </w:rPr>
        <w:tab/>
      </w:r>
      <w:r>
        <w:rPr>
          <w:rFonts w:ascii="Times New Roman" w:cs="Times New Roman" w:eastAsia="Times New Roman" w:hAnsi="Times New Roman"/>
          <w:sz w:val="20"/>
          <w:szCs w:val="20"/>
          <w:b w:val="1"/>
          <w:bCs w:val="1"/>
          <w:color w:val="121212"/>
        </w:rPr>
        <w:t>LEGAL PROCEEDINGS</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21212"/>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8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4.</w:t>
      </w:r>
      <w:r>
        <w:rPr>
          <w:sz w:val="20"/>
          <w:szCs w:val="20"/>
          <w:color w:val="auto"/>
        </w:rPr>
        <w:tab/>
      </w:r>
      <w:r>
        <w:rPr>
          <w:rFonts w:ascii="Times New Roman" w:cs="Times New Roman" w:eastAsia="Times New Roman" w:hAnsi="Times New Roman"/>
          <w:sz w:val="19"/>
          <w:szCs w:val="19"/>
          <w:b w:val="1"/>
          <w:bCs w:val="1"/>
          <w:color w:val="121212"/>
        </w:rPr>
        <w:t>MINE SAFETY DISCLOSURES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Not applicable.</w:t>
      </w:r>
    </w:p>
    <w:p>
      <w:pPr>
        <w:sectPr>
          <w:pgSz w:w="12240" w:h="15840" w:orient="portrait"/>
          <w:cols w:equalWidth="0" w:num="1">
            <w:col w:w="10240"/>
          </w:cols>
          <w:pgMar w:left="900" w:top="926"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121212"/>
        </w:rPr>
        <w:t>95</w:t>
      </w:r>
    </w:p>
    <w:p>
      <w:pPr>
        <w:sectPr>
          <w:pgSz w:w="12240" w:h="15840" w:orient="portrait"/>
          <w:cols w:equalWidth="0" w:num="1">
            <w:col w:w="10240"/>
          </w:cols>
          <w:pgMar w:left="900" w:top="926" w:right="1100" w:bottom="175" w:gutter="0" w:footer="0" w:header="0"/>
          <w:type w:val="continuous"/>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20"/>
          <w:szCs w:val="20"/>
          <w:b w:val="1"/>
          <w:bCs w:val="1"/>
          <w:color w:val="121212"/>
        </w:rPr>
        <w:t>PART II</w:t>
      </w:r>
    </w:p>
    <w:p>
      <w:pPr>
        <w:spacing w:after="0" w:line="240" w:lineRule="exact"/>
        <w:rPr>
          <w:sz w:val="20"/>
          <w:szCs w:val="20"/>
          <w:color w:val="auto"/>
        </w:rPr>
      </w:pPr>
    </w:p>
    <w:p>
      <w:pPr>
        <w:ind w:left="1100" w:right="3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5.</w:t>
      </w:r>
      <w:r>
        <w:rPr>
          <w:sz w:val="20"/>
          <w:szCs w:val="20"/>
          <w:color w:val="auto"/>
        </w:rPr>
        <w:tab/>
      </w:r>
      <w:r>
        <w:rPr>
          <w:rFonts w:ascii="Times New Roman" w:cs="Times New Roman" w:eastAsia="Times New Roman" w:hAnsi="Times New Roman"/>
          <w:sz w:val="20"/>
          <w:szCs w:val="20"/>
          <w:b w:val="1"/>
          <w:bCs w:val="1"/>
          <w:color w:val="121212"/>
        </w:rPr>
        <w:t>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Certain Information Regarding the Trading of Our Common Stock</w:t>
      </w:r>
    </w:p>
    <w:p>
      <w:pPr>
        <w:spacing w:after="0" w:line="124"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121212"/>
        </w:rPr>
        <w:t>Our common stock commenced trading on the Nasdaq Global Market under the symbol “GMTX” on February 8, 2021. Prior to this time, there was no public market for our common stock. On December 29, 2022, we completed our previously announced merger transaction with Gemini in accordance with the terms of the Agreement and Plan of Merger, or the Merger Agreement, dated August 9, 2022, pursuant to which Gemstone Merger Sub, Inc., or Merger Sub, merged with and into Disc Medicine Opco, Inc. (f/k/a Disc Medicine, Inc.), or Disc Opco, with Disc Opco continuing as a wholly owned subsidiary of Gemini and the surviving corporation of the merger. On December 29, 2022, in connection with, and prior to the completion of, the merger, Gemini effected a 1-for-10 reverse stock split of its common stock. In connection with the closing of the merger, Gemini also changed its name to Disc Medicine, Inc. On December 30, 2022, following the completion of the merger, our common stock began trading on the Nasdaq Capital Market under the symbol “IRON.”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Holders of Record</w:t>
      </w:r>
    </w:p>
    <w:p>
      <w:pPr>
        <w:spacing w:after="0" w:line="124"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color w:val="121212"/>
        </w:rPr>
        <w:t>As of February 29, 2024, there were 19 holders of record of shares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Dividends</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We have never declared or paid cash dividends on our common stock, and we do not expect to pay any cash dividends on our common stock in the foreseeable future. Any future determination to pay dividends will be made at the discretion of our board of directors and will depend on various factors, including applicable laws, our results of operations, financial condition, future prospects, then applicable contractual restrictions and any other factors deemed relevant by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Securities Authorized for Issuance Under Equity Compensation Plans</w:t>
      </w:r>
    </w:p>
    <w:p>
      <w:pPr>
        <w:spacing w:after="0" w:line="124"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121212"/>
        </w:rPr>
        <w:t>The information required by Item 5 of Form 10-K regarding equity compensation plans is incorporated herein by reference to Item 12 of Part III of this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Recent Sales of Unregistered Securities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Except as previously disclosed in our Form 8-K filed with the SEC on December 29, 2022, we did not sell any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securities that have not been registered under the Securities Act during the period covered by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Use of Proceeds from Initial Public Offering</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Not applicable.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Issuer Purchases of Equity Securities by the Issuer and Affiliated Purchasers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None.</w:t>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6.</w:t>
      </w:r>
      <w:r>
        <w:rPr>
          <w:sz w:val="20"/>
          <w:szCs w:val="20"/>
          <w:color w:val="auto"/>
        </w:rPr>
        <w:tab/>
      </w:r>
      <w:r>
        <w:rPr>
          <w:rFonts w:ascii="Times New Roman" w:cs="Times New Roman" w:eastAsia="Times New Roman" w:hAnsi="Times New Roman"/>
          <w:sz w:val="20"/>
          <w:szCs w:val="20"/>
          <w:b w:val="1"/>
          <w:bCs w:val="1"/>
          <w:color w:val="121212"/>
        </w:rPr>
        <w:t>RESERVED</w:t>
      </w:r>
    </w:p>
    <w:p>
      <w:pPr>
        <w:sectPr>
          <w:pgSz w:w="12240" w:h="15840" w:orient="portrait"/>
          <w:cols w:equalWidth="0" w:num="1">
            <w:col w:w="10420"/>
          </w:cols>
          <w:pgMar w:left="900" w:top="926"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96</w:t>
      </w:r>
    </w:p>
    <w:p>
      <w:pPr>
        <w:sectPr>
          <w:pgSz w:w="12240" w:h="15840" w:orient="portrait"/>
          <w:cols w:equalWidth="0" w:num="1">
            <w:col w:w="10420"/>
          </w:cols>
          <w:pgMar w:left="900" w:top="926" w:right="920" w:bottom="175" w:gutter="0" w:footer="0" w:header="0"/>
          <w:type w:val="continuous"/>
        </w:sectPr>
      </w:pPr>
    </w:p>
    <w:bookmarkStart w:id="106" w:name="page107"/>
    <w:bookmarkEnd w:id="106"/>
    <w:p>
      <w:pPr>
        <w:ind w:left="1100" w:right="3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7.</w:t>
      </w:r>
      <w:r>
        <w:rPr>
          <w:sz w:val="20"/>
          <w:szCs w:val="20"/>
          <w:color w:val="auto"/>
        </w:rPr>
        <w:tab/>
      </w:r>
      <w:r>
        <w:rPr>
          <w:rFonts w:ascii="Times New Roman" w:cs="Times New Roman" w:eastAsia="Times New Roman" w:hAnsi="Times New Roman"/>
          <w:sz w:val="20"/>
          <w:szCs w:val="20"/>
          <w:b w:val="1"/>
          <w:bCs w:val="1"/>
          <w:color w:val="121212"/>
        </w:rPr>
        <w:t>MANAGEMENT’S DISCUSSION AND ANALYSIS OF FINANCIAL CONDITION AND RESULTS OF OPERATIONS</w:t>
      </w:r>
    </w:p>
    <w:p>
      <w:pPr>
        <w:spacing w:after="0" w:line="3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i w:val="1"/>
          <w:iCs w:val="1"/>
          <w:color w:val="121212"/>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Overview</w:t>
      </w:r>
    </w:p>
    <w:p>
      <w:pPr>
        <w:spacing w:after="0" w:line="24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21212"/>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20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expect topline data from AURORA in March or April 2024. Additional analysis of the full population in the BEACON trial is anticipated to be presented in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20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anticipate additional interim data presentations in 2024. In addition, we are developing a preclinical anti-hemojuvelin, or HJV, monoclonal antibody, DISC-0998, which also targets hepcidin suppression and was 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20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121212"/>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is anticipated to be presented in the first and second halves of 2024. We expect to develop DISC-3405 for the treatment of PV and other hematologic disorders.</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97</w:t>
      </w:r>
    </w:p>
    <w:p>
      <w:pPr>
        <w:sectPr>
          <w:pgSz w:w="12240" w:h="15840" w:orient="portrait"/>
          <w:cols w:equalWidth="0" w:num="1">
            <w:col w:w="10440"/>
          </w:cols>
          <w:pgMar w:left="900" w:top="926" w:right="900" w:bottom="175"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i w:val="1"/>
          <w:iCs w:val="1"/>
          <w:color w:val="121212"/>
        </w:rPr>
        <w:t>Reverse Merger with Gemini</w:t>
      </w:r>
    </w:p>
    <w:p>
      <w:pPr>
        <w:spacing w:after="0" w:line="240"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121212"/>
        </w:rPr>
        <w:t>On August 9, 2022, Disc Medicine, Inc., a Delaware corporation, or Private Disc, entered into an Agreement and Plan of Merger and Reorganization, or the Merger Agreement, with Gemini Therapeutics, Inc., a Delaware corporation, or Gemini, Gemstone Merger Sub, Inc., a Delaware corporation and a wholly owned subsidiary of Gemini, or Merger Sub.</w:t>
      </w:r>
    </w:p>
    <w:p>
      <w:pPr>
        <w:spacing w:after="0" w:line="18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121212"/>
        </w:rPr>
        <w:t>On December 29, 2022, Private Disc completed the merger with Gemini, or the merger. Gemini changed its name to Disc Medicine Inc., and Private Disc changed its name to Disc Medicine Opco, Inc., a wholly-owned subsidiary of Disc Medicine, Inc. On December 30, 2022, our common stock began trading on The Nasdaq Capital Market under the ticker symbol “IRON.”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Financial Operations Overview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Revenue</w:t>
      </w:r>
    </w:p>
    <w:p>
      <w:pPr>
        <w:spacing w:after="0" w:line="12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Research and Development Expenses</w:t>
      </w:r>
    </w:p>
    <w:p>
      <w:pPr>
        <w:spacing w:after="0" w:line="118"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21212"/>
        </w:rPr>
        <w:t>Research and development expenses consist primarily of costs incurred in connection with the research and development of our product candidates. These expenses include:</w:t>
      </w:r>
    </w:p>
    <w:p>
      <w:pPr>
        <w:spacing w:after="0" w:line="64" w:lineRule="exact"/>
        <w:rPr>
          <w:sz w:val="20"/>
          <w:szCs w:val="20"/>
          <w:color w:val="auto"/>
        </w:rPr>
      </w:pPr>
    </w:p>
    <w:p>
      <w:pPr>
        <w:ind w:left="720" w:hanging="367"/>
        <w:spacing w:after="0" w:line="276" w:lineRule="auto"/>
        <w:tabs>
          <w:tab w:leader="none" w:pos="720" w:val="left"/>
        </w:tabs>
        <w:numPr>
          <w:ilvl w:val="0"/>
          <w:numId w:val="49"/>
        </w:numPr>
        <w:rPr>
          <w:rFonts w:ascii="Arial" w:cs="Arial" w:eastAsia="Arial" w:hAnsi="Arial"/>
          <w:sz w:val="20"/>
          <w:szCs w:val="20"/>
          <w:color w:val="121212"/>
        </w:rPr>
      </w:pPr>
      <w:r>
        <w:rPr>
          <w:rFonts w:ascii="Times New Roman" w:cs="Times New Roman" w:eastAsia="Times New Roman" w:hAnsi="Times New Roman"/>
          <w:sz w:val="20"/>
          <w:szCs w:val="20"/>
          <w:color w:val="121212"/>
        </w:rPr>
        <w:t>employee-related expenses, including salaries, benefits, and stock-based compensation expense, for personnel engaged in research and development functions;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9"/>
        </w:numPr>
        <w:rPr>
          <w:rFonts w:ascii="Arial" w:cs="Arial" w:eastAsia="Arial" w:hAnsi="Arial"/>
          <w:sz w:val="20"/>
          <w:szCs w:val="20"/>
          <w:color w:val="121212"/>
        </w:rPr>
      </w:pPr>
      <w:r>
        <w:rPr>
          <w:rFonts w:ascii="Times New Roman" w:cs="Times New Roman" w:eastAsia="Times New Roman" w:hAnsi="Times New Roman"/>
          <w:sz w:val="20"/>
          <w:szCs w:val="20"/>
          <w:color w:val="121212"/>
        </w:rPr>
        <w:t>expenses incurred in connection with our research and development activities, including under agreements with third parties such as consultants, contractors and CROs;</w:t>
      </w:r>
    </w:p>
    <w:p>
      <w:pPr>
        <w:spacing w:after="0" w:line="64" w:lineRule="exact"/>
        <w:rPr>
          <w:rFonts w:ascii="Arial" w:cs="Arial" w:eastAsia="Arial" w:hAnsi="Arial"/>
          <w:sz w:val="20"/>
          <w:szCs w:val="20"/>
          <w:color w:val="121212"/>
        </w:rPr>
      </w:pPr>
    </w:p>
    <w:p>
      <w:pPr>
        <w:jc w:val="both"/>
        <w:ind w:left="720" w:hanging="367"/>
        <w:spacing w:after="0" w:line="252" w:lineRule="auto"/>
        <w:tabs>
          <w:tab w:leader="none" w:pos="720" w:val="left"/>
        </w:tabs>
        <w:numPr>
          <w:ilvl w:val="0"/>
          <w:numId w:val="49"/>
        </w:numPr>
        <w:rPr>
          <w:rFonts w:ascii="Arial" w:cs="Arial" w:eastAsia="Arial" w:hAnsi="Arial"/>
          <w:sz w:val="20"/>
          <w:szCs w:val="20"/>
          <w:color w:val="121212"/>
        </w:rPr>
      </w:pPr>
      <w:r>
        <w:rPr>
          <w:rFonts w:ascii="Times New Roman" w:cs="Times New Roman" w:eastAsia="Times New Roman" w:hAnsi="Times New Roman"/>
          <w:sz w:val="20"/>
          <w:szCs w:val="20"/>
          <w:color w:val="121212"/>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87"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49"/>
        </w:numPr>
        <w:rPr>
          <w:rFonts w:ascii="Arial" w:cs="Arial" w:eastAsia="Arial" w:hAnsi="Arial"/>
          <w:sz w:val="20"/>
          <w:szCs w:val="20"/>
          <w:color w:val="121212"/>
        </w:rPr>
      </w:pPr>
      <w:r>
        <w:rPr>
          <w:rFonts w:ascii="Times New Roman" w:cs="Times New Roman" w:eastAsia="Times New Roman" w:hAnsi="Times New Roman"/>
          <w:sz w:val="20"/>
          <w:szCs w:val="20"/>
          <w:color w:val="121212"/>
        </w:rPr>
        <w:t>the costs of acquiring and manufacturing preclinical study and clinical trial materials, including manufacturing registration and validation batches;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49"/>
        </w:numPr>
        <w:rPr>
          <w:rFonts w:ascii="Arial" w:cs="Arial" w:eastAsia="Arial" w:hAnsi="Arial"/>
          <w:sz w:val="20"/>
          <w:szCs w:val="20"/>
          <w:color w:val="121212"/>
        </w:rPr>
      </w:pPr>
      <w:r>
        <w:rPr>
          <w:rFonts w:ascii="Times New Roman" w:cs="Times New Roman" w:eastAsia="Times New Roman" w:hAnsi="Times New Roman"/>
          <w:sz w:val="20"/>
          <w:szCs w:val="20"/>
          <w:color w:val="121212"/>
        </w:rPr>
        <w:t>costs related to compliance with quality and regulatory requirements;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49"/>
        </w:numPr>
        <w:rPr>
          <w:rFonts w:ascii="Arial" w:cs="Arial" w:eastAsia="Arial" w:hAnsi="Arial"/>
          <w:sz w:val="20"/>
          <w:szCs w:val="20"/>
          <w:color w:val="121212"/>
        </w:rPr>
      </w:pPr>
      <w:r>
        <w:rPr>
          <w:rFonts w:ascii="Times New Roman" w:cs="Times New Roman" w:eastAsia="Times New Roman" w:hAnsi="Times New Roman"/>
          <w:sz w:val="20"/>
          <w:szCs w:val="20"/>
          <w:color w:val="121212"/>
        </w:rPr>
        <w:t>payments made under third-party licensing agreements.</w:t>
      </w:r>
    </w:p>
    <w:p>
      <w:pPr>
        <w:spacing w:after="0" w:line="119"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80"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spacing w:after="0" w:line="6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98</w:t>
      </w:r>
    </w:p>
    <w:p>
      <w:pPr>
        <w:sectPr>
          <w:pgSz w:w="12240" w:h="15840" w:orient="portrait"/>
          <w:cols w:equalWidth="0" w:num="1">
            <w:col w:w="10460"/>
          </w:cols>
          <w:pgMar w:left="900" w:top="930" w:right="880" w:bottom="175" w:gutter="0" w:footer="0" w:header="0"/>
          <w:type w:val="continuous"/>
        </w:sectPr>
      </w:pPr>
    </w:p>
    <w:bookmarkStart w:id="108" w:name="page109"/>
    <w:bookmarkEnd w:id="108"/>
    <w:p>
      <w:pPr>
        <w:spacing w:after="0" w:line="277" w:lineRule="auto"/>
        <w:rPr>
          <w:sz w:val="20"/>
          <w:szCs w:val="20"/>
          <w:color w:val="auto"/>
        </w:rPr>
      </w:pPr>
      <w:r>
        <w:rPr>
          <w:rFonts w:ascii="Times New Roman" w:cs="Times New Roman" w:eastAsia="Times New Roman" w:hAnsi="Times New Roman"/>
          <w:sz w:val="20"/>
          <w:szCs w:val="20"/>
          <w:color w:val="121212"/>
        </w:rPr>
        <w:t>product candidates we may develop. The successful development of any product candidate is highly uncertain. This is due to the numerous risks and uncertainties associated with product development, including the following:</w:t>
      </w:r>
    </w:p>
    <w:p>
      <w:pPr>
        <w:spacing w:after="0" w:line="64" w:lineRule="exact"/>
        <w:rPr>
          <w:sz w:val="20"/>
          <w:szCs w:val="20"/>
          <w:color w:val="auto"/>
        </w:rPr>
      </w:pPr>
    </w:p>
    <w:p>
      <w:pPr>
        <w:ind w:left="720" w:hanging="367"/>
        <w:spacing w:after="0"/>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the timing and progress of preclinical and clinical development activities;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the number and scope of preclinical and clinical programs we decide to pursue;</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the ability to raise additional funds necessary to complete clinical development of and commercialize our product candidates;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establish new licensing or collaboration arrangements and the progress of the development efforts of third parties with whom we may enter into such arrangements;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maintain our current research and development programs and to establish new programs;</w:t>
      </w:r>
    </w:p>
    <w:p>
      <w:pPr>
        <w:spacing w:after="0" w:line="133" w:lineRule="exact"/>
        <w:rPr>
          <w:rFonts w:ascii="Arial" w:cs="Arial" w:eastAsia="Arial" w:hAnsi="Arial"/>
          <w:sz w:val="20"/>
          <w:szCs w:val="20"/>
          <w:color w:val="121212"/>
        </w:rPr>
      </w:pPr>
    </w:p>
    <w:p>
      <w:pPr>
        <w:ind w:left="720" w:right="20" w:hanging="367"/>
        <w:spacing w:after="0" w:line="276" w:lineRule="auto"/>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the successful initiation, enrollment and completion of clinical trials with safety, tolerability and efficacy profiles that are satisfactory to the FDA or any comparable foreign regulatory authority;</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the receipt and related terms of regulatory approvals from applicable regulatory authorities for any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the availability of raw materials for use in production of our product candidates;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0"/>
        </w:numPr>
        <w:rPr>
          <w:rFonts w:ascii="Arial" w:cs="Arial" w:eastAsia="Arial" w:hAnsi="Arial"/>
          <w:sz w:val="19"/>
          <w:szCs w:val="19"/>
          <w:color w:val="121212"/>
        </w:rPr>
      </w:pPr>
      <w:r>
        <w:rPr>
          <w:rFonts w:ascii="Times New Roman" w:cs="Times New Roman" w:eastAsia="Times New Roman" w:hAnsi="Times New Roman"/>
          <w:sz w:val="19"/>
          <w:szCs w:val="19"/>
          <w:color w:val="121212"/>
        </w:rPr>
        <w:t>establishing agreements with third-party manufacturers for supply of product candidate components for our clinical trials;</w:t>
      </w:r>
    </w:p>
    <w:p>
      <w:pPr>
        <w:spacing w:after="0" w:line="145" w:lineRule="exact"/>
        <w:rPr>
          <w:rFonts w:ascii="Arial" w:cs="Arial" w:eastAsia="Arial" w:hAnsi="Arial"/>
          <w:sz w:val="19"/>
          <w:szCs w:val="19"/>
          <w:color w:val="121212"/>
        </w:rPr>
      </w:pPr>
    </w:p>
    <w:p>
      <w:pPr>
        <w:ind w:left="720" w:hanging="367"/>
        <w:spacing w:after="0" w:line="276" w:lineRule="auto"/>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obtain and maintain patents, trade secret protection and regulatory exclusivity, both in the United States and internationally;</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protect our other rights in our intellectual property portfolio;</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commercializing product candidates, if and when approved, whether alone or in collaboration with others;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0"/>
        </w:numPr>
        <w:rPr>
          <w:rFonts w:ascii="Arial" w:cs="Arial" w:eastAsia="Arial" w:hAnsi="Arial"/>
          <w:sz w:val="20"/>
          <w:szCs w:val="20"/>
          <w:color w:val="121212"/>
        </w:rPr>
      </w:pPr>
      <w:r>
        <w:rPr>
          <w:rFonts w:ascii="Times New Roman" w:cs="Times New Roman" w:eastAsia="Times New Roman" w:hAnsi="Times New Roman"/>
          <w:sz w:val="20"/>
          <w:szCs w:val="20"/>
          <w:color w:val="121212"/>
        </w:rPr>
        <w:t>obtaining and maintaining third-party insurance coverage and adequate reimbursement for any approved products.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General and Administrative Expenses</w:t>
      </w:r>
    </w:p>
    <w:p>
      <w:pPr>
        <w:spacing w:after="0" w:line="118" w:lineRule="exact"/>
        <w:rPr>
          <w:sz w:val="20"/>
          <w:szCs w:val="20"/>
          <w:color w:val="auto"/>
        </w:rPr>
      </w:pPr>
    </w:p>
    <w:p>
      <w:pPr>
        <w:jc w:val="both"/>
        <w:ind w:firstLine="490"/>
        <w:spacing w:after="0" w:line="265" w:lineRule="auto"/>
        <w:rPr>
          <w:sz w:val="20"/>
          <w:szCs w:val="20"/>
          <w:color w:val="auto"/>
        </w:rPr>
      </w:pPr>
      <w:r>
        <w:rPr>
          <w:rFonts w:ascii="Times New Roman" w:cs="Times New Roman" w:eastAsia="Times New Roman" w:hAnsi="Times New Roman"/>
          <w:sz w:val="19"/>
          <w:szCs w:val="19"/>
          <w:color w:val="121212"/>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director and officer insurance costs and other insurance costs; and facility related expenses including maintenance and allocated expenses for rent and other operating costs.</w:t>
      </w:r>
    </w:p>
    <w:p>
      <w:pPr>
        <w:spacing w:after="0" w:line="6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21212"/>
        </w:rPr>
        <w:t>We anticipate that our general and administrative expenses will increase substantially in the future as we increase our headcount to support our continued research and development and potential commercialization of our product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Other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Interest Income</w:t>
      </w:r>
    </w:p>
    <w:p>
      <w:pPr>
        <w:spacing w:after="0" w:line="118" w:lineRule="exact"/>
        <w:rPr>
          <w:sz w:val="20"/>
          <w:szCs w:val="20"/>
          <w:color w:val="auto"/>
        </w:rPr>
      </w:pPr>
    </w:p>
    <w:p>
      <w:pPr>
        <w:jc w:val="both"/>
        <w:ind w:right="20" w:firstLine="490"/>
        <w:spacing w:after="0" w:line="277" w:lineRule="auto"/>
        <w:rPr>
          <w:sz w:val="20"/>
          <w:szCs w:val="20"/>
          <w:color w:val="auto"/>
        </w:rPr>
      </w:pPr>
      <w:r>
        <w:rPr>
          <w:rFonts w:ascii="Times New Roman" w:cs="Times New Roman" w:eastAsia="Times New Roman" w:hAnsi="Times New Roman"/>
          <w:sz w:val="20"/>
          <w:szCs w:val="20"/>
          <w:color w:val="121212"/>
        </w:rPr>
        <w:t>Interest income primarily consists of interest earned on cash equivalents, consisting of money market funds, U.S. treasury notes and certificates of deposit.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Change in Fair Value of Contingent Value Right Liability</w:t>
      </w:r>
    </w:p>
    <w:p>
      <w:pPr>
        <w:spacing w:after="0" w:line="238"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121212"/>
        </w:rPr>
        <w:t>In December 2022, we entered into the CVR Agreement, described in more detail in Notes 1 and 4 to our consolidated financial statements, which provided a CVR to Gemini’s pre-merger common stockholders to receive common stock from the Company upon its receipt of certain proceeds, calculated in accordance with the CVR Agreement, resulting from a disposition of Gemini’s pre-merger assets within one year after the closing of the merger. The disposition period ended December 29, 2023 and no dispositions of Gemini's pre-merger assets were made during the disposition period. Therefore, there were no CVR payments made to the holders and there will not be any future CVR payments to the holders. The CVR liability was measured at fair value as of each reporting date and the change in the fair value for the period was recorded in the consolidated statements of operations and comprehensive loss in the change in fair value of contingent value right liability.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Change in Fair Value of Derivative Liability</w:t>
      </w:r>
    </w:p>
    <w:p>
      <w:pPr>
        <w:spacing w:after="0" w:line="118" w:lineRule="exact"/>
        <w:rPr>
          <w:sz w:val="20"/>
          <w:szCs w:val="20"/>
          <w:color w:val="auto"/>
        </w:rPr>
      </w:pPr>
    </w:p>
    <w:p>
      <w:pPr>
        <w:jc w:val="both"/>
        <w:ind w:firstLine="490"/>
        <w:spacing w:after="0" w:line="278" w:lineRule="auto"/>
        <w:rPr>
          <w:sz w:val="20"/>
          <w:szCs w:val="20"/>
          <w:color w:val="auto"/>
        </w:rPr>
      </w:pPr>
      <w:r>
        <w:rPr>
          <w:rFonts w:ascii="Times New Roman" w:cs="Times New Roman" w:eastAsia="Times New Roman" w:hAnsi="Times New Roman"/>
          <w:sz w:val="19"/>
          <w:szCs w:val="19"/>
          <w:color w:val="121212"/>
        </w:rPr>
        <w:t>In May 2021, we entered into the Roche Agreement, described in more detail in Notes 4 and 8 to our consolidated financial statements, which included an obligation to issue a variable number of shares of our common stock to Roche for no additional consideration upon the completion of a Roche Qualified Transaction as defined by the Roche Agreement. The liability was measured</w:t>
      </w:r>
    </w:p>
    <w:p>
      <w:pPr>
        <w:sectPr>
          <w:pgSz w:w="12240" w:h="15840" w:orient="portrait"/>
          <w:cols w:equalWidth="0" w:num="1">
            <w:col w:w="10460"/>
          </w:cols>
          <w:pgMar w:left="900" w:top="930" w:right="880" w:bottom="175" w:gutter="0" w:footer="0" w:header="0"/>
        </w:sect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21212"/>
        </w:rPr>
        <w:t>99</w:t>
      </w:r>
    </w:p>
    <w:p>
      <w:pPr>
        <w:sectPr>
          <w:pgSz w:w="12240" w:h="15840" w:orient="portrait"/>
          <w:cols w:equalWidth="0" w:num="1">
            <w:col w:w="10460"/>
          </w:cols>
          <w:pgMar w:left="900" w:top="930" w:right="880" w:bottom="175" w:gutter="0" w:footer="0" w:header="0"/>
          <w:type w:val="continuous"/>
        </w:sectPr>
      </w:pPr>
    </w:p>
    <w:bookmarkStart w:id="109" w:name="page110"/>
    <w:bookmarkEnd w:id="109"/>
    <w:p>
      <w:pPr>
        <w:jc w:val="both"/>
        <w:spacing w:after="0" w:line="258" w:lineRule="auto"/>
        <w:rPr>
          <w:sz w:val="20"/>
          <w:szCs w:val="20"/>
          <w:color w:val="auto"/>
        </w:rPr>
      </w:pPr>
      <w:r>
        <w:rPr>
          <w:rFonts w:ascii="Times New Roman" w:cs="Times New Roman" w:eastAsia="Times New Roman" w:hAnsi="Times New Roman"/>
          <w:sz w:val="20"/>
          <w:szCs w:val="20"/>
          <w:color w:val="121212"/>
        </w:rPr>
        <w:t>at fair value as of each reporting date and the change in the fair value for the period was recorded in the consolidated statements of operations and comprehensive loss in the change in fair value of derivative liability. The liability was settled upon the completion of the merger on December 29,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Comparison of the Years Ended December 31, 2023 and 2022</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The following table summarizes our results of operations for the years ended December 31, 2023 and 2022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121212"/>
                <w:w w:val="99"/>
              </w:rPr>
              <w:t>Year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4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Borders>
              <w:bottom w:val="single" w:sz="8" w:color="121212"/>
            </w:tcBorders>
          </w:tcPr>
          <w:p>
            <w:pPr>
              <w:spacing w:after="0"/>
              <w:rPr>
                <w:sz w:val="17"/>
                <w:szCs w:val="17"/>
                <w:color w:val="auto"/>
              </w:rPr>
            </w:pPr>
          </w:p>
        </w:tc>
        <w:tc>
          <w:tcPr>
            <w:tcW w:w="1060" w:type="dxa"/>
            <w:vAlign w:val="bottom"/>
            <w:tcBorders>
              <w:bottom w:val="single" w:sz="8" w:color="121212"/>
            </w:tcBorders>
          </w:tcPr>
          <w:p>
            <w:pPr>
              <w:spacing w:after="0"/>
              <w:rPr>
                <w:sz w:val="17"/>
                <w:szCs w:val="17"/>
                <w:color w:val="auto"/>
              </w:rPr>
            </w:pPr>
          </w:p>
        </w:tc>
        <w:tc>
          <w:tcPr>
            <w:tcW w:w="160" w:type="dxa"/>
            <w:vAlign w:val="bottom"/>
            <w:tcBorders>
              <w:bottom w:val="single" w:sz="8" w:color="121212"/>
            </w:tcBorders>
          </w:tcPr>
          <w:p>
            <w:pPr>
              <w:spacing w:after="0"/>
              <w:rPr>
                <w:sz w:val="17"/>
                <w:szCs w:val="17"/>
                <w:color w:val="auto"/>
              </w:rPr>
            </w:pPr>
          </w:p>
        </w:tc>
        <w:tc>
          <w:tcPr>
            <w:tcW w:w="120" w:type="dxa"/>
            <w:vAlign w:val="bottom"/>
            <w:tcBorders>
              <w:bottom w:val="single" w:sz="8" w:color="121212"/>
            </w:tcBorders>
          </w:tcPr>
          <w:p>
            <w:pPr>
              <w:spacing w:after="0"/>
              <w:rPr>
                <w:sz w:val="17"/>
                <w:szCs w:val="17"/>
                <w:color w:val="auto"/>
              </w:rPr>
            </w:pPr>
          </w:p>
        </w:tc>
        <w:tc>
          <w:tcPr>
            <w:tcW w:w="1200" w:type="dxa"/>
            <w:vAlign w:val="bottom"/>
            <w:tcBorders>
              <w:bottom w:val="single" w:sz="8" w:color="121212"/>
            </w:tcBorders>
          </w:tcPr>
          <w:p>
            <w:pPr>
              <w:jc w:val="center"/>
              <w:ind w:right="124"/>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60" w:type="dxa"/>
            <w:vAlign w:val="bottom"/>
            <w:tcBorders>
              <w:bottom w:val="single" w:sz="8" w:color="121212"/>
            </w:tcBorders>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100" w:type="dxa"/>
            <w:vAlign w:val="bottom"/>
            <w:tcBorders>
              <w:bottom w:val="single" w:sz="8" w:color="121212"/>
            </w:tcBorders>
          </w:tcPr>
          <w:p>
            <w:pPr>
              <w:spacing w:after="0"/>
              <w:rPr>
                <w:sz w:val="17"/>
                <w:szCs w:val="17"/>
                <w:color w:val="auto"/>
              </w:rPr>
            </w:pPr>
          </w:p>
        </w:tc>
      </w:tr>
      <w:tr>
        <w:trPr>
          <w:trHeight w:val="174"/>
        </w:trPr>
        <w:tc>
          <w:tcPr>
            <w:tcW w:w="4860" w:type="dxa"/>
            <w:vAlign w:val="bottom"/>
            <w:tcBorders>
              <w:bottom w:val="single" w:sz="8" w:color="E0E0E0"/>
            </w:tcBorders>
          </w:tcPr>
          <w:p>
            <w:pPr>
              <w:spacing w:after="0"/>
              <w:rPr>
                <w:sz w:val="15"/>
                <w:szCs w:val="15"/>
                <w:color w:val="auto"/>
              </w:rPr>
            </w:pPr>
          </w:p>
        </w:tc>
        <w:tc>
          <w:tcPr>
            <w:tcW w:w="1280" w:type="dxa"/>
            <w:vAlign w:val="bottom"/>
            <w:tcBorders>
              <w:bottom w:val="single" w:sz="8" w:color="E0E0E0"/>
            </w:tcBorders>
          </w:tcPr>
          <w:p>
            <w:pPr>
              <w:spacing w:after="0"/>
              <w:rPr>
                <w:sz w:val="15"/>
                <w:szCs w:val="15"/>
                <w:color w:val="auto"/>
              </w:rPr>
            </w:pPr>
          </w:p>
        </w:tc>
        <w:tc>
          <w:tcPr>
            <w:tcW w:w="280" w:type="dxa"/>
            <w:vAlign w:val="bottom"/>
            <w:tcBorders>
              <w:bottom w:val="single" w:sz="8" w:color="121212"/>
            </w:tcBorders>
          </w:tcPr>
          <w:p>
            <w:pPr>
              <w:spacing w:after="0"/>
              <w:rPr>
                <w:sz w:val="15"/>
                <w:szCs w:val="15"/>
                <w:color w:val="auto"/>
              </w:rPr>
            </w:pPr>
          </w:p>
        </w:tc>
        <w:tc>
          <w:tcPr>
            <w:tcW w:w="1060" w:type="dxa"/>
            <w:vAlign w:val="bottom"/>
            <w:tcBorders>
              <w:bottom w:val="single" w:sz="8" w:color="121212"/>
            </w:tcBorders>
          </w:tcPr>
          <w:p>
            <w:pPr>
              <w:jc w:val="right"/>
              <w:ind w:right="462"/>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60" w:type="dxa"/>
            <w:vAlign w:val="bottom"/>
            <w:tcBorders>
              <w:bottom w:val="single" w:sz="8" w:color="E0E0E0"/>
            </w:tcBorders>
          </w:tcPr>
          <w:p>
            <w:pPr>
              <w:spacing w:after="0"/>
              <w:rPr>
                <w:sz w:val="15"/>
                <w:szCs w:val="15"/>
                <w:color w:val="auto"/>
              </w:rPr>
            </w:pPr>
          </w:p>
        </w:tc>
        <w:tc>
          <w:tcPr>
            <w:tcW w:w="120" w:type="dxa"/>
            <w:vAlign w:val="bottom"/>
            <w:tcBorders>
              <w:bottom w:val="single" w:sz="8" w:color="121212"/>
            </w:tcBorders>
          </w:tcPr>
          <w:p>
            <w:pPr>
              <w:spacing w:after="0"/>
              <w:rPr>
                <w:sz w:val="15"/>
                <w:szCs w:val="15"/>
                <w:color w:val="auto"/>
              </w:rPr>
            </w:pPr>
          </w:p>
        </w:tc>
        <w:tc>
          <w:tcPr>
            <w:tcW w:w="1200" w:type="dxa"/>
            <w:vAlign w:val="bottom"/>
            <w:tcBorders>
              <w:bottom w:val="single" w:sz="8" w:color="121212"/>
            </w:tcBorders>
          </w:tcPr>
          <w:p>
            <w:pPr>
              <w:jc w:val="center"/>
              <w:ind w:right="144"/>
              <w:spacing w:after="0" w:line="174" w:lineRule="exact"/>
              <w:rPr>
                <w:sz w:val="20"/>
                <w:szCs w:val="20"/>
                <w:color w:val="auto"/>
              </w:rPr>
            </w:pPr>
            <w:r>
              <w:rPr>
                <w:rFonts w:ascii="Times New Roman" w:cs="Times New Roman" w:eastAsia="Times New Roman" w:hAnsi="Times New Roman"/>
                <w:sz w:val="16"/>
                <w:szCs w:val="16"/>
                <w:b w:val="1"/>
                <w:bCs w:val="1"/>
                <w:color w:val="121212"/>
                <w:w w:val="99"/>
              </w:rPr>
              <w:t>2022</w:t>
            </w:r>
          </w:p>
        </w:tc>
        <w:tc>
          <w:tcPr>
            <w:tcW w:w="160" w:type="dxa"/>
            <w:vAlign w:val="bottom"/>
            <w:tcBorders>
              <w:bottom w:val="single" w:sz="8" w:color="E0E0E0"/>
            </w:tcBorders>
          </w:tcPr>
          <w:p>
            <w:pPr>
              <w:spacing w:after="0"/>
              <w:rPr>
                <w:sz w:val="15"/>
                <w:szCs w:val="15"/>
                <w:color w:val="auto"/>
              </w:rPr>
            </w:pPr>
          </w:p>
        </w:tc>
        <w:tc>
          <w:tcPr>
            <w:tcW w:w="22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342"/>
              <w:spacing w:after="0" w:line="174" w:lineRule="exact"/>
              <w:rPr>
                <w:sz w:val="20"/>
                <w:szCs w:val="20"/>
                <w:color w:val="auto"/>
              </w:rPr>
            </w:pPr>
            <w:r>
              <w:rPr>
                <w:rFonts w:ascii="Times New Roman" w:cs="Times New Roman" w:eastAsia="Times New Roman" w:hAnsi="Times New Roman"/>
                <w:sz w:val="16"/>
                <w:szCs w:val="16"/>
                <w:b w:val="1"/>
                <w:bCs w:val="1"/>
                <w:color w:val="121212"/>
              </w:rPr>
              <w:t>Change</w:t>
            </w:r>
          </w:p>
        </w:tc>
      </w:tr>
      <w:tr>
        <w:trPr>
          <w:trHeight w:val="220"/>
        </w:trPr>
        <w:tc>
          <w:tcPr>
            <w:tcW w:w="48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Operating expenses:</w:t>
            </w:r>
          </w:p>
        </w:tc>
        <w:tc>
          <w:tcPr>
            <w:tcW w:w="128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6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Research and development</w:t>
            </w:r>
          </w:p>
        </w:tc>
        <w:tc>
          <w:tcPr>
            <w:tcW w:w="128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21212"/>
                <w:w w:val="7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21212"/>
              </w:rPr>
              <w:t>69,264</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21212"/>
                <w:w w:val="79"/>
              </w:rPr>
              <w:t>$</w:t>
            </w: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21212"/>
              </w:rPr>
              <w:t>33,437</w:t>
            </w:r>
          </w:p>
        </w:tc>
        <w:tc>
          <w:tcPr>
            <w:tcW w:w="16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21212"/>
              </w:rPr>
              <w:t>35,827</w:t>
            </w:r>
          </w:p>
        </w:tc>
      </w:tr>
      <w:tr>
        <w:trPr>
          <w:trHeight w:val="230"/>
        </w:trPr>
        <w:tc>
          <w:tcPr>
            <w:tcW w:w="4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General and administrative</w:t>
            </w:r>
          </w:p>
        </w:tc>
        <w:tc>
          <w:tcPr>
            <w:tcW w:w="1280" w:type="dxa"/>
            <w:vAlign w:val="bottom"/>
            <w:shd w:val="clear" w:color="auto" w:fill="E0E0E0"/>
          </w:tcPr>
          <w:p>
            <w:pPr>
              <w:spacing w:after="0"/>
              <w:rPr>
                <w:sz w:val="19"/>
                <w:szCs w:val="19"/>
                <w:color w:val="auto"/>
              </w:rPr>
            </w:pPr>
          </w:p>
        </w:tc>
        <w:tc>
          <w:tcPr>
            <w:tcW w:w="280" w:type="dxa"/>
            <w:vAlign w:val="bottom"/>
            <w:tcBorders>
              <w:bottom w:val="single" w:sz="8" w:color="121212"/>
            </w:tcBorders>
            <w:shd w:val="clear" w:color="auto" w:fill="E0E0E0"/>
          </w:tcPr>
          <w:p>
            <w:pPr>
              <w:spacing w:after="0"/>
              <w:rPr>
                <w:sz w:val="19"/>
                <w:szCs w:val="19"/>
                <w:color w:val="auto"/>
              </w:rPr>
            </w:pPr>
          </w:p>
        </w:tc>
        <w:tc>
          <w:tcPr>
            <w:tcW w:w="1060" w:type="dxa"/>
            <w:vAlign w:val="bottom"/>
            <w:tcBorders>
              <w:bottom w:val="single" w:sz="8" w:color="121212"/>
            </w:tcBorders>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121212"/>
              </w:rPr>
              <w:t>21,861</w:t>
            </w:r>
          </w:p>
        </w:tc>
        <w:tc>
          <w:tcPr>
            <w:tcW w:w="160" w:type="dxa"/>
            <w:vAlign w:val="bottom"/>
            <w:shd w:val="clear" w:color="auto" w:fill="E0E0E0"/>
          </w:tcPr>
          <w:p>
            <w:pPr>
              <w:spacing w:after="0"/>
              <w:rPr>
                <w:sz w:val="19"/>
                <w:szCs w:val="19"/>
                <w:color w:val="auto"/>
              </w:rPr>
            </w:pPr>
          </w:p>
        </w:tc>
        <w:tc>
          <w:tcPr>
            <w:tcW w:w="120" w:type="dxa"/>
            <w:vAlign w:val="bottom"/>
            <w:tcBorders>
              <w:bottom w:val="single" w:sz="8" w:color="121212"/>
            </w:tcBorders>
            <w:shd w:val="clear" w:color="auto" w:fill="E0E0E0"/>
          </w:tcPr>
          <w:p>
            <w:pPr>
              <w:spacing w:after="0"/>
              <w:rPr>
                <w:sz w:val="19"/>
                <w:szCs w:val="19"/>
                <w:color w:val="auto"/>
              </w:rPr>
            </w:pPr>
          </w:p>
        </w:tc>
        <w:tc>
          <w:tcPr>
            <w:tcW w:w="1200" w:type="dxa"/>
            <w:vAlign w:val="bottom"/>
            <w:tcBorders>
              <w:bottom w:val="single" w:sz="8" w:color="121212"/>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121212"/>
              </w:rPr>
              <w:t>14,038</w:t>
            </w:r>
          </w:p>
        </w:tc>
        <w:tc>
          <w:tcPr>
            <w:tcW w:w="16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spacing w:after="0"/>
              <w:rPr>
                <w:sz w:val="19"/>
                <w:szCs w:val="19"/>
                <w:color w:val="auto"/>
              </w:rPr>
            </w:pPr>
          </w:p>
        </w:tc>
        <w:tc>
          <w:tcPr>
            <w:tcW w:w="1100" w:type="dxa"/>
            <w:vAlign w:val="bottom"/>
            <w:tcBorders>
              <w:bottom w:val="single" w:sz="8" w:color="121212"/>
            </w:tcBorders>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121212"/>
              </w:rPr>
              <w:t>7,823</w:t>
            </w:r>
          </w:p>
        </w:tc>
      </w:tr>
      <w:tr>
        <w:trPr>
          <w:trHeight w:val="220"/>
        </w:trPr>
        <w:tc>
          <w:tcPr>
            <w:tcW w:w="4860" w:type="dxa"/>
            <w:vAlign w:val="bottom"/>
            <w:tcBorders>
              <w:bottom w:val="single" w:sz="8" w:color="E0E0E0"/>
            </w:tcBorders>
          </w:tcPr>
          <w:p>
            <w:pPr>
              <w:ind w:left="400"/>
              <w:spacing w:after="0" w:line="220" w:lineRule="exact"/>
              <w:rPr>
                <w:sz w:val="20"/>
                <w:szCs w:val="20"/>
                <w:color w:val="auto"/>
              </w:rPr>
            </w:pPr>
            <w:r>
              <w:rPr>
                <w:rFonts w:ascii="Times New Roman" w:cs="Times New Roman" w:eastAsia="Times New Roman" w:hAnsi="Times New Roman"/>
                <w:sz w:val="20"/>
                <w:szCs w:val="20"/>
                <w:color w:val="121212"/>
              </w:rPr>
              <w:t>Total operating expenses</w:t>
            </w:r>
          </w:p>
        </w:tc>
        <w:tc>
          <w:tcPr>
            <w:tcW w:w="1280" w:type="dxa"/>
            <w:vAlign w:val="bottom"/>
            <w:tcBorders>
              <w:bottom w:val="single" w:sz="8" w:color="E0E0E0"/>
            </w:tcBorders>
          </w:tcPr>
          <w:p>
            <w:pPr>
              <w:spacing w:after="0"/>
              <w:rPr>
                <w:sz w:val="19"/>
                <w:szCs w:val="19"/>
                <w:color w:val="auto"/>
              </w:rPr>
            </w:pPr>
          </w:p>
        </w:tc>
        <w:tc>
          <w:tcPr>
            <w:tcW w:w="280" w:type="dxa"/>
            <w:vAlign w:val="bottom"/>
            <w:tcBorders>
              <w:bottom w:val="single" w:sz="8" w:color="121212"/>
            </w:tcBorders>
          </w:tcPr>
          <w:p>
            <w:pPr>
              <w:spacing w:after="0"/>
              <w:rPr>
                <w:sz w:val="19"/>
                <w:szCs w:val="19"/>
                <w:color w:val="auto"/>
              </w:rPr>
            </w:pPr>
          </w:p>
        </w:tc>
        <w:tc>
          <w:tcPr>
            <w:tcW w:w="1060" w:type="dxa"/>
            <w:vAlign w:val="bottom"/>
            <w:tcBorders>
              <w:bottom w:val="single" w:sz="8" w:color="121212"/>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121212"/>
              </w:rPr>
              <w:t>91,125</w:t>
            </w:r>
          </w:p>
        </w:tc>
        <w:tc>
          <w:tcPr>
            <w:tcW w:w="160" w:type="dxa"/>
            <w:vAlign w:val="bottom"/>
            <w:tcBorders>
              <w:bottom w:val="single" w:sz="8" w:color="E0E0E0"/>
            </w:tcBorders>
          </w:tcPr>
          <w:p>
            <w:pPr>
              <w:spacing w:after="0"/>
              <w:rPr>
                <w:sz w:val="19"/>
                <w:szCs w:val="19"/>
                <w:color w:val="auto"/>
              </w:rPr>
            </w:pPr>
          </w:p>
        </w:tc>
        <w:tc>
          <w:tcPr>
            <w:tcW w:w="120" w:type="dxa"/>
            <w:vAlign w:val="bottom"/>
            <w:tcBorders>
              <w:bottom w:val="single" w:sz="8" w:color="121212"/>
            </w:tcBorders>
          </w:tcPr>
          <w:p>
            <w:pPr>
              <w:spacing w:after="0"/>
              <w:rPr>
                <w:sz w:val="19"/>
                <w:szCs w:val="19"/>
                <w:color w:val="auto"/>
              </w:rPr>
            </w:pPr>
          </w:p>
        </w:tc>
        <w:tc>
          <w:tcPr>
            <w:tcW w:w="1200" w:type="dxa"/>
            <w:vAlign w:val="bottom"/>
            <w:tcBorders>
              <w:bottom w:val="single" w:sz="8" w:color="121212"/>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121212"/>
              </w:rPr>
              <w:t>47,475</w:t>
            </w:r>
          </w:p>
        </w:tc>
        <w:tc>
          <w:tcPr>
            <w:tcW w:w="160" w:type="dxa"/>
            <w:vAlign w:val="bottom"/>
            <w:tcBorders>
              <w:bottom w:val="single" w:sz="8" w:color="E0E0E0"/>
            </w:tcBorders>
          </w:tcPr>
          <w:p>
            <w:pPr>
              <w:spacing w:after="0"/>
              <w:rPr>
                <w:sz w:val="19"/>
                <w:szCs w:val="19"/>
                <w:color w:val="auto"/>
              </w:rPr>
            </w:pPr>
          </w:p>
        </w:tc>
        <w:tc>
          <w:tcPr>
            <w:tcW w:w="22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ind w:right="2"/>
              <w:spacing w:after="0" w:line="220" w:lineRule="exact"/>
              <w:rPr>
                <w:sz w:val="20"/>
                <w:szCs w:val="20"/>
                <w:color w:val="auto"/>
              </w:rPr>
            </w:pPr>
            <w:r>
              <w:rPr>
                <w:rFonts w:ascii="Times New Roman" w:cs="Times New Roman" w:eastAsia="Times New Roman" w:hAnsi="Times New Roman"/>
                <w:sz w:val="20"/>
                <w:szCs w:val="20"/>
                <w:color w:val="121212"/>
              </w:rPr>
              <w:t>43,650</w:t>
            </w:r>
          </w:p>
        </w:tc>
      </w:tr>
      <w:tr>
        <w:trPr>
          <w:trHeight w:val="220"/>
        </w:trPr>
        <w:tc>
          <w:tcPr>
            <w:tcW w:w="48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Loss from operations</w:t>
            </w:r>
          </w:p>
        </w:tc>
        <w:tc>
          <w:tcPr>
            <w:tcW w:w="128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(91,125)</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(47,475)</w:t>
            </w: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(43,650)</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121212"/>
              </w:rPr>
              <w:t>Other income (expense), net:</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4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Interest income</w:t>
            </w:r>
          </w:p>
        </w:tc>
        <w:tc>
          <w:tcPr>
            <w:tcW w:w="128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60" w:type="dxa"/>
            <w:vAlign w:val="bottom"/>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121212"/>
              </w:rPr>
              <w:t>14,797</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0" w:type="dxa"/>
            <w:vAlign w:val="bottom"/>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121212"/>
              </w:rPr>
              <w:t>709</w:t>
            </w: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jc w:val="right"/>
              <w:ind w:right="2"/>
              <w:spacing w:after="0"/>
              <w:rPr>
                <w:sz w:val="20"/>
                <w:szCs w:val="20"/>
                <w:color w:val="auto"/>
              </w:rPr>
            </w:pPr>
            <w:r>
              <w:rPr>
                <w:rFonts w:ascii="Times New Roman" w:cs="Times New Roman" w:eastAsia="Times New Roman" w:hAnsi="Times New Roman"/>
                <w:sz w:val="20"/>
                <w:szCs w:val="20"/>
                <w:color w:val="121212"/>
              </w:rPr>
              <w:t>14,088</w:t>
            </w: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Change in fair value of derivative liability</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21212"/>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(61)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121212"/>
              </w:rPr>
              <w:t>61</w:t>
            </w:r>
          </w:p>
        </w:tc>
      </w:tr>
      <w:tr>
        <w:trPr>
          <w:trHeight w:val="250"/>
        </w:trPr>
        <w:tc>
          <w:tcPr>
            <w:tcW w:w="486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Other expense</w:t>
            </w:r>
          </w:p>
        </w:tc>
        <w:tc>
          <w:tcPr>
            <w:tcW w:w="128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121212"/>
            </w:tcBorders>
            <w:shd w:val="clear" w:color="auto" w:fill="E0E0E0"/>
          </w:tcPr>
          <w:p>
            <w:pPr>
              <w:spacing w:after="0"/>
              <w:rPr>
                <w:sz w:val="21"/>
                <w:szCs w:val="21"/>
                <w:color w:val="auto"/>
              </w:rPr>
            </w:pPr>
          </w:p>
        </w:tc>
        <w:tc>
          <w:tcPr>
            <w:tcW w:w="1060" w:type="dxa"/>
            <w:vAlign w:val="bottom"/>
            <w:tcBorders>
              <w:bottom w:val="single" w:sz="8" w:color="121212"/>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w:t>
            </w:r>
          </w:p>
        </w:tc>
        <w:tc>
          <w:tcPr>
            <w:tcW w:w="160" w:type="dxa"/>
            <w:vAlign w:val="bottom"/>
            <w:tcBorders>
              <w:bottom w:val="single" w:sz="8" w:color="E0E0E0"/>
            </w:tcBorders>
            <w:shd w:val="clear" w:color="auto" w:fill="E0E0E0"/>
          </w:tcPr>
          <w:p>
            <w:pPr>
              <w:spacing w:after="0"/>
              <w:rPr>
                <w:sz w:val="21"/>
                <w:szCs w:val="21"/>
                <w:color w:val="auto"/>
              </w:rPr>
            </w:pPr>
          </w:p>
        </w:tc>
        <w:tc>
          <w:tcPr>
            <w:tcW w:w="120" w:type="dxa"/>
            <w:vAlign w:val="bottom"/>
            <w:tcBorders>
              <w:bottom w:val="single" w:sz="8" w:color="121212"/>
            </w:tcBorders>
            <w:shd w:val="clear" w:color="auto" w:fill="E0E0E0"/>
          </w:tcPr>
          <w:p>
            <w:pPr>
              <w:spacing w:after="0"/>
              <w:rPr>
                <w:sz w:val="21"/>
                <w:szCs w:val="21"/>
                <w:color w:val="auto"/>
              </w:rPr>
            </w:pPr>
          </w:p>
        </w:tc>
        <w:tc>
          <w:tcPr>
            <w:tcW w:w="1200" w:type="dxa"/>
            <w:vAlign w:val="bottom"/>
            <w:tcBorders>
              <w:bottom w:val="single" w:sz="8" w:color="121212"/>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121212"/>
              </w:rPr>
              <w:t>—</w:t>
            </w:r>
          </w:p>
        </w:tc>
        <w:tc>
          <w:tcPr>
            <w:tcW w:w="160" w:type="dxa"/>
            <w:vAlign w:val="bottom"/>
            <w:tcBorders>
              <w:bottom w:val="single" w:sz="8" w:color="E0E0E0"/>
            </w:tcBorders>
            <w:shd w:val="clear" w:color="auto" w:fill="E0E0E0"/>
          </w:tcPr>
          <w:p>
            <w:pPr>
              <w:spacing w:after="0"/>
              <w:rPr>
                <w:sz w:val="21"/>
                <w:szCs w:val="21"/>
                <w:color w:val="auto"/>
              </w:rPr>
            </w:pPr>
          </w:p>
        </w:tc>
        <w:tc>
          <w:tcPr>
            <w:tcW w:w="220" w:type="dxa"/>
            <w:vAlign w:val="bottom"/>
            <w:tcBorders>
              <w:bottom w:val="single" w:sz="8" w:color="121212"/>
            </w:tcBorders>
            <w:shd w:val="clear" w:color="auto" w:fill="E0E0E0"/>
          </w:tcPr>
          <w:p>
            <w:pPr>
              <w:spacing w:after="0"/>
              <w:rPr>
                <w:sz w:val="21"/>
                <w:szCs w:val="21"/>
                <w:color w:val="auto"/>
              </w:rPr>
            </w:pPr>
          </w:p>
        </w:tc>
        <w:tc>
          <w:tcPr>
            <w:tcW w:w="1100" w:type="dxa"/>
            <w:vAlign w:val="bottom"/>
            <w:tcBorders>
              <w:bottom w:val="single" w:sz="8" w:color="121212"/>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w:t>
            </w:r>
          </w:p>
        </w:tc>
      </w:tr>
      <w:tr>
        <w:trPr>
          <w:trHeight w:val="200"/>
        </w:trPr>
        <w:tc>
          <w:tcPr>
            <w:tcW w:w="4860" w:type="dxa"/>
            <w:vAlign w:val="bottom"/>
            <w:tcBorders>
              <w:bottom w:val="single" w:sz="8" w:color="E0E0E0"/>
            </w:tcBorders>
          </w:tcPr>
          <w:p>
            <w:pPr>
              <w:ind w:left="400"/>
              <w:spacing w:after="0" w:line="200" w:lineRule="exact"/>
              <w:rPr>
                <w:sz w:val="20"/>
                <w:szCs w:val="20"/>
                <w:color w:val="auto"/>
              </w:rPr>
            </w:pPr>
            <w:r>
              <w:rPr>
                <w:rFonts w:ascii="Times New Roman" w:cs="Times New Roman" w:eastAsia="Times New Roman" w:hAnsi="Times New Roman"/>
                <w:sz w:val="20"/>
                <w:szCs w:val="20"/>
                <w:color w:val="121212"/>
              </w:rPr>
              <w:t>Total other income (expense), net</w:t>
            </w:r>
          </w:p>
        </w:tc>
        <w:tc>
          <w:tcPr>
            <w:tcW w:w="1280" w:type="dxa"/>
            <w:vAlign w:val="bottom"/>
            <w:tcBorders>
              <w:bottom w:val="single" w:sz="8" w:color="E0E0E0"/>
            </w:tcBorders>
          </w:tcPr>
          <w:p>
            <w:pPr>
              <w:spacing w:after="0"/>
              <w:rPr>
                <w:sz w:val="17"/>
                <w:szCs w:val="17"/>
                <w:color w:val="auto"/>
              </w:rPr>
            </w:pPr>
          </w:p>
        </w:tc>
        <w:tc>
          <w:tcPr>
            <w:tcW w:w="280" w:type="dxa"/>
            <w:vAlign w:val="bottom"/>
            <w:tcBorders>
              <w:bottom w:val="single" w:sz="8" w:color="121212"/>
            </w:tcBorders>
          </w:tcPr>
          <w:p>
            <w:pPr>
              <w:spacing w:after="0"/>
              <w:rPr>
                <w:sz w:val="17"/>
                <w:szCs w:val="17"/>
                <w:color w:val="auto"/>
              </w:rPr>
            </w:pPr>
          </w:p>
        </w:tc>
        <w:tc>
          <w:tcPr>
            <w:tcW w:w="1060" w:type="dxa"/>
            <w:vAlign w:val="bottom"/>
            <w:tcBorders>
              <w:bottom w:val="single" w:sz="8" w:color="121212"/>
            </w:tcBorders>
          </w:tcPr>
          <w:p>
            <w:pPr>
              <w:jc w:val="right"/>
              <w:ind w:right="2"/>
              <w:spacing w:after="0" w:line="200" w:lineRule="exact"/>
              <w:rPr>
                <w:sz w:val="20"/>
                <w:szCs w:val="20"/>
                <w:color w:val="auto"/>
              </w:rPr>
            </w:pPr>
            <w:r>
              <w:rPr>
                <w:rFonts w:ascii="Times New Roman" w:cs="Times New Roman" w:eastAsia="Times New Roman" w:hAnsi="Times New Roman"/>
                <w:sz w:val="20"/>
                <w:szCs w:val="20"/>
                <w:color w:val="121212"/>
              </w:rPr>
              <w:t>14,795</w:t>
            </w:r>
          </w:p>
        </w:tc>
        <w:tc>
          <w:tcPr>
            <w:tcW w:w="160" w:type="dxa"/>
            <w:vAlign w:val="bottom"/>
            <w:tcBorders>
              <w:bottom w:val="single" w:sz="8" w:color="E0E0E0"/>
            </w:tcBorders>
          </w:tcPr>
          <w:p>
            <w:pPr>
              <w:spacing w:after="0"/>
              <w:rPr>
                <w:sz w:val="17"/>
                <w:szCs w:val="17"/>
                <w:color w:val="auto"/>
              </w:rPr>
            </w:pPr>
          </w:p>
        </w:tc>
        <w:tc>
          <w:tcPr>
            <w:tcW w:w="120" w:type="dxa"/>
            <w:vAlign w:val="bottom"/>
            <w:tcBorders>
              <w:bottom w:val="single" w:sz="8" w:color="121212"/>
            </w:tcBorders>
          </w:tcPr>
          <w:p>
            <w:pPr>
              <w:spacing w:after="0"/>
              <w:rPr>
                <w:sz w:val="17"/>
                <w:szCs w:val="17"/>
                <w:color w:val="auto"/>
              </w:rPr>
            </w:pPr>
          </w:p>
        </w:tc>
        <w:tc>
          <w:tcPr>
            <w:tcW w:w="1200" w:type="dxa"/>
            <w:vAlign w:val="bottom"/>
            <w:tcBorders>
              <w:bottom w:val="single" w:sz="8" w:color="121212"/>
            </w:tcBorders>
          </w:tcPr>
          <w:p>
            <w:pPr>
              <w:jc w:val="right"/>
              <w:ind w:right="4"/>
              <w:spacing w:after="0" w:line="200" w:lineRule="exact"/>
              <w:rPr>
                <w:sz w:val="20"/>
                <w:szCs w:val="20"/>
                <w:color w:val="auto"/>
              </w:rPr>
            </w:pPr>
            <w:r>
              <w:rPr>
                <w:rFonts w:ascii="Times New Roman" w:cs="Times New Roman" w:eastAsia="Times New Roman" w:hAnsi="Times New Roman"/>
                <w:sz w:val="20"/>
                <w:szCs w:val="20"/>
                <w:color w:val="121212"/>
              </w:rPr>
              <w:t>648</w:t>
            </w:r>
          </w:p>
        </w:tc>
        <w:tc>
          <w:tcPr>
            <w:tcW w:w="160" w:type="dxa"/>
            <w:vAlign w:val="bottom"/>
            <w:tcBorders>
              <w:bottom w:val="single" w:sz="8" w:color="E0E0E0"/>
            </w:tcBorders>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100" w:type="dxa"/>
            <w:vAlign w:val="bottom"/>
            <w:tcBorders>
              <w:bottom w:val="single" w:sz="8" w:color="121212"/>
            </w:tcBorders>
          </w:tcPr>
          <w:p>
            <w:pPr>
              <w:jc w:val="right"/>
              <w:ind w:right="2"/>
              <w:spacing w:after="0" w:line="200" w:lineRule="exact"/>
              <w:rPr>
                <w:sz w:val="20"/>
                <w:szCs w:val="20"/>
                <w:color w:val="auto"/>
              </w:rPr>
            </w:pPr>
            <w:r>
              <w:rPr>
                <w:rFonts w:ascii="Times New Roman" w:cs="Times New Roman" w:eastAsia="Times New Roman" w:hAnsi="Times New Roman"/>
                <w:sz w:val="20"/>
                <w:szCs w:val="20"/>
                <w:color w:val="121212"/>
              </w:rPr>
              <w:t>14,147</w:t>
            </w:r>
          </w:p>
        </w:tc>
      </w:tr>
      <w:tr>
        <w:trPr>
          <w:trHeight w:val="240"/>
        </w:trPr>
        <w:tc>
          <w:tcPr>
            <w:tcW w:w="4860" w:type="dxa"/>
            <w:vAlign w:val="bottom"/>
            <w:tcBorders>
              <w:bottom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Loss before income taxes</w:t>
            </w:r>
          </w:p>
        </w:tc>
        <w:tc>
          <w:tcPr>
            <w:tcW w:w="128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121212"/>
            </w:tcBorders>
            <w:shd w:val="clear" w:color="auto" w:fill="E0E0E0"/>
          </w:tcPr>
          <w:p>
            <w:pPr>
              <w:spacing w:after="0"/>
              <w:rPr>
                <w:sz w:val="20"/>
                <w:szCs w:val="20"/>
                <w:color w:val="auto"/>
              </w:rPr>
            </w:pPr>
          </w:p>
        </w:tc>
        <w:tc>
          <w:tcPr>
            <w:tcW w:w="106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(76,330)</w:t>
            </w:r>
          </w:p>
        </w:tc>
        <w:tc>
          <w:tcPr>
            <w:tcW w:w="160" w:type="dxa"/>
            <w:vAlign w:val="bottom"/>
            <w:tcBorders>
              <w:bottom w:val="single" w:sz="8" w:color="E0E0E0"/>
            </w:tcBorders>
            <w:shd w:val="clear" w:color="auto" w:fill="E0E0E0"/>
          </w:tcPr>
          <w:p>
            <w:pPr>
              <w:spacing w:after="0"/>
              <w:rPr>
                <w:sz w:val="20"/>
                <w:szCs w:val="20"/>
                <w:color w:val="auto"/>
              </w:rPr>
            </w:pPr>
          </w:p>
        </w:tc>
        <w:tc>
          <w:tcPr>
            <w:tcW w:w="120" w:type="dxa"/>
            <w:vAlign w:val="bottom"/>
            <w:tcBorders>
              <w:bottom w:val="single" w:sz="8" w:color="121212"/>
            </w:tcBorders>
            <w:shd w:val="clear" w:color="auto" w:fill="E0E0E0"/>
          </w:tcPr>
          <w:p>
            <w:pPr>
              <w:spacing w:after="0"/>
              <w:rPr>
                <w:sz w:val="20"/>
                <w:szCs w:val="20"/>
                <w:color w:val="auto"/>
              </w:rPr>
            </w:pPr>
          </w:p>
        </w:tc>
        <w:tc>
          <w:tcPr>
            <w:tcW w:w="120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(46,827)</w:t>
            </w:r>
          </w:p>
        </w:tc>
        <w:tc>
          <w:tcPr>
            <w:tcW w:w="160" w:type="dxa"/>
            <w:vAlign w:val="bottom"/>
            <w:tcBorders>
              <w:bottom w:val="single" w:sz="8" w:color="E0E0E0"/>
            </w:tcBorders>
            <w:shd w:val="clear" w:color="auto" w:fill="E0E0E0"/>
          </w:tcPr>
          <w:p>
            <w:pPr>
              <w:spacing w:after="0"/>
              <w:rPr>
                <w:sz w:val="20"/>
                <w:szCs w:val="20"/>
                <w:color w:val="auto"/>
              </w:rPr>
            </w:pPr>
          </w:p>
        </w:tc>
        <w:tc>
          <w:tcPr>
            <w:tcW w:w="220" w:type="dxa"/>
            <w:vAlign w:val="bottom"/>
            <w:tcBorders>
              <w:bottom w:val="single" w:sz="8" w:color="121212"/>
            </w:tcBorders>
            <w:shd w:val="clear" w:color="auto" w:fill="E0E0E0"/>
          </w:tcPr>
          <w:p>
            <w:pPr>
              <w:spacing w:after="0"/>
              <w:rPr>
                <w:sz w:val="20"/>
                <w:szCs w:val="20"/>
                <w:color w:val="auto"/>
              </w:rPr>
            </w:pPr>
          </w:p>
        </w:tc>
        <w:tc>
          <w:tcPr>
            <w:tcW w:w="110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(29,503)</w:t>
            </w:r>
          </w:p>
        </w:tc>
      </w:tr>
      <w:tr>
        <w:trPr>
          <w:trHeight w:val="200"/>
        </w:trPr>
        <w:tc>
          <w:tcPr>
            <w:tcW w:w="4860" w:type="dxa"/>
            <w:vAlign w:val="bottom"/>
            <w:tcBorders>
              <w:bottom w:val="single" w:sz="8" w:color="E0E0E0"/>
            </w:tcBorders>
          </w:tcPr>
          <w:p>
            <w:pPr>
              <w:ind w:left="200"/>
              <w:spacing w:after="0" w:line="200" w:lineRule="exact"/>
              <w:rPr>
                <w:sz w:val="20"/>
                <w:szCs w:val="20"/>
                <w:color w:val="auto"/>
              </w:rPr>
            </w:pPr>
            <w:r>
              <w:rPr>
                <w:rFonts w:ascii="Times New Roman" w:cs="Times New Roman" w:eastAsia="Times New Roman" w:hAnsi="Times New Roman"/>
                <w:sz w:val="20"/>
                <w:szCs w:val="20"/>
                <w:color w:val="121212"/>
              </w:rPr>
              <w:t>Income tax expense</w:t>
            </w:r>
          </w:p>
        </w:tc>
        <w:tc>
          <w:tcPr>
            <w:tcW w:w="1280" w:type="dxa"/>
            <w:vAlign w:val="bottom"/>
            <w:tcBorders>
              <w:bottom w:val="single" w:sz="8" w:color="E0E0E0"/>
            </w:tcBorders>
          </w:tcPr>
          <w:p>
            <w:pPr>
              <w:spacing w:after="0"/>
              <w:rPr>
                <w:sz w:val="17"/>
                <w:szCs w:val="17"/>
                <w:color w:val="auto"/>
              </w:rPr>
            </w:pPr>
          </w:p>
        </w:tc>
        <w:tc>
          <w:tcPr>
            <w:tcW w:w="280" w:type="dxa"/>
            <w:vAlign w:val="bottom"/>
            <w:tcBorders>
              <w:bottom w:val="single" w:sz="8" w:color="121212"/>
            </w:tcBorders>
          </w:tcPr>
          <w:p>
            <w:pPr>
              <w:spacing w:after="0"/>
              <w:rPr>
                <w:sz w:val="17"/>
                <w:szCs w:val="17"/>
                <w:color w:val="auto"/>
              </w:rPr>
            </w:pPr>
          </w:p>
        </w:tc>
        <w:tc>
          <w:tcPr>
            <w:tcW w:w="1060" w:type="dxa"/>
            <w:vAlign w:val="bottom"/>
            <w:tcBorders>
              <w:bottom w:val="single" w:sz="8" w:color="121212"/>
            </w:tcBorders>
          </w:tcPr>
          <w:p>
            <w:pPr>
              <w:jc w:val="right"/>
              <w:spacing w:after="0" w:line="200" w:lineRule="exact"/>
              <w:rPr>
                <w:sz w:val="20"/>
                <w:szCs w:val="20"/>
                <w:color w:val="auto"/>
              </w:rPr>
            </w:pPr>
            <w:r>
              <w:rPr>
                <w:rFonts w:ascii="Times New Roman" w:cs="Times New Roman" w:eastAsia="Times New Roman" w:hAnsi="Times New Roman"/>
                <w:sz w:val="20"/>
                <w:szCs w:val="20"/>
                <w:color w:val="121212"/>
              </w:rPr>
              <w:t>(99)</w:t>
            </w:r>
          </w:p>
        </w:tc>
        <w:tc>
          <w:tcPr>
            <w:tcW w:w="160" w:type="dxa"/>
            <w:vAlign w:val="bottom"/>
            <w:tcBorders>
              <w:bottom w:val="single" w:sz="8" w:color="E0E0E0"/>
            </w:tcBorders>
          </w:tcPr>
          <w:p>
            <w:pPr>
              <w:spacing w:after="0"/>
              <w:rPr>
                <w:sz w:val="17"/>
                <w:szCs w:val="17"/>
                <w:color w:val="auto"/>
              </w:rPr>
            </w:pPr>
          </w:p>
        </w:tc>
        <w:tc>
          <w:tcPr>
            <w:tcW w:w="120" w:type="dxa"/>
            <w:vAlign w:val="bottom"/>
            <w:tcBorders>
              <w:bottom w:val="single" w:sz="8" w:color="121212"/>
            </w:tcBorders>
          </w:tcPr>
          <w:p>
            <w:pPr>
              <w:spacing w:after="0"/>
              <w:rPr>
                <w:sz w:val="17"/>
                <w:szCs w:val="17"/>
                <w:color w:val="auto"/>
              </w:rPr>
            </w:pPr>
          </w:p>
        </w:tc>
        <w:tc>
          <w:tcPr>
            <w:tcW w:w="1200" w:type="dxa"/>
            <w:vAlign w:val="bottom"/>
            <w:tcBorders>
              <w:bottom w:val="single" w:sz="8" w:color="121212"/>
            </w:tcBorders>
          </w:tcPr>
          <w:p>
            <w:pPr>
              <w:jc w:val="right"/>
              <w:ind w:right="4"/>
              <w:spacing w:after="0" w:line="200" w:lineRule="exact"/>
              <w:rPr>
                <w:sz w:val="20"/>
                <w:szCs w:val="20"/>
                <w:color w:val="auto"/>
              </w:rPr>
            </w:pPr>
            <w:r>
              <w:rPr>
                <w:rFonts w:ascii="Times New Roman" w:cs="Times New Roman" w:eastAsia="Times New Roman" w:hAnsi="Times New Roman"/>
                <w:sz w:val="20"/>
                <w:szCs w:val="20"/>
                <w:color w:val="121212"/>
              </w:rPr>
              <w:t>—</w:t>
            </w:r>
          </w:p>
        </w:tc>
        <w:tc>
          <w:tcPr>
            <w:tcW w:w="160" w:type="dxa"/>
            <w:vAlign w:val="bottom"/>
            <w:tcBorders>
              <w:bottom w:val="single" w:sz="8" w:color="E0E0E0"/>
            </w:tcBorders>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100" w:type="dxa"/>
            <w:vAlign w:val="bottom"/>
            <w:tcBorders>
              <w:bottom w:val="single" w:sz="8" w:color="121212"/>
            </w:tcBorders>
          </w:tcPr>
          <w:p>
            <w:pPr>
              <w:jc w:val="right"/>
              <w:spacing w:after="0" w:line="200" w:lineRule="exact"/>
              <w:rPr>
                <w:sz w:val="20"/>
                <w:szCs w:val="20"/>
                <w:color w:val="auto"/>
              </w:rPr>
            </w:pPr>
            <w:r>
              <w:rPr>
                <w:rFonts w:ascii="Times New Roman" w:cs="Times New Roman" w:eastAsia="Times New Roman" w:hAnsi="Times New Roman"/>
                <w:sz w:val="20"/>
                <w:szCs w:val="20"/>
                <w:color w:val="121212"/>
              </w:rPr>
              <w:t>(99)</w:t>
            </w:r>
          </w:p>
        </w:tc>
      </w:tr>
      <w:tr>
        <w:trPr>
          <w:trHeight w:val="220"/>
        </w:trPr>
        <w:tc>
          <w:tcPr>
            <w:tcW w:w="48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Net loss</w:t>
            </w:r>
          </w:p>
        </w:tc>
        <w:tc>
          <w:tcPr>
            <w:tcW w:w="1280" w:type="dxa"/>
            <w:vAlign w:val="bottom"/>
            <w:shd w:val="clear" w:color="auto" w:fill="E0E0E0"/>
          </w:tcPr>
          <w:p>
            <w:pPr>
              <w:spacing w:after="0"/>
              <w:rPr>
                <w:sz w:val="19"/>
                <w:szCs w:val="19"/>
                <w:color w:val="auto"/>
              </w:rPr>
            </w:pPr>
          </w:p>
        </w:tc>
        <w:tc>
          <w:tcPr>
            <w:tcW w:w="280" w:type="dxa"/>
            <w:vAlign w:val="bottom"/>
            <w:tcBorders>
              <w:bottom w:val="single" w:sz="8" w:color="121212"/>
            </w:tcBorders>
            <w:shd w:val="clear" w:color="auto" w:fill="E0E0E0"/>
          </w:tcPr>
          <w:p>
            <w:pPr>
              <w:jc w:val="right"/>
              <w:ind w:right="8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06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(76,429)</w:t>
            </w:r>
          </w:p>
        </w:tc>
        <w:tc>
          <w:tcPr>
            <w:tcW w:w="160" w:type="dxa"/>
            <w:vAlign w:val="bottom"/>
            <w:shd w:val="clear" w:color="auto" w:fill="E0E0E0"/>
          </w:tcPr>
          <w:p>
            <w:pPr>
              <w:spacing w:after="0"/>
              <w:rPr>
                <w:sz w:val="19"/>
                <w:szCs w:val="19"/>
                <w:color w:val="auto"/>
              </w:rPr>
            </w:pPr>
          </w:p>
        </w:tc>
        <w:tc>
          <w:tcPr>
            <w:tcW w:w="12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0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(46,827)</w:t>
            </w:r>
          </w:p>
        </w:tc>
        <w:tc>
          <w:tcPr>
            <w:tcW w:w="16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(29,602)</w:t>
            </w:r>
          </w:p>
        </w:tc>
      </w:tr>
      <w:tr>
        <w:trPr>
          <w:trHeight w:val="20"/>
        </w:trPr>
        <w:tc>
          <w:tcPr>
            <w:tcW w:w="4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121212"/>
            </w:tcBorders>
          </w:tcPr>
          <w:p>
            <w:pPr>
              <w:spacing w:after="0" w:line="20" w:lineRule="exact"/>
              <w:rPr>
                <w:sz w:val="1"/>
                <w:szCs w:val="1"/>
                <w:color w:val="auto"/>
              </w:rPr>
            </w:pPr>
          </w:p>
        </w:tc>
        <w:tc>
          <w:tcPr>
            <w:tcW w:w="106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121212"/>
            </w:tcBorders>
          </w:tcPr>
          <w:p>
            <w:pPr>
              <w:spacing w:after="0" w:line="20" w:lineRule="exact"/>
              <w:rPr>
                <w:sz w:val="1"/>
                <w:szCs w:val="1"/>
                <w:color w:val="auto"/>
              </w:rPr>
            </w:pPr>
          </w:p>
        </w:tc>
        <w:tc>
          <w:tcPr>
            <w:tcW w:w="120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Research and Development Expenses</w:t>
      </w:r>
    </w:p>
    <w:p>
      <w:pPr>
        <w:spacing w:after="0" w:line="118"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121212"/>
        </w:rPr>
        <w:t>The following table summarizes our research and development expenses for the years ended December 31, 2023 and 2022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121212"/>
                <w:w w:val="99"/>
              </w:rPr>
              <w:t>Year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121212"/>
            </w:tcBorders>
          </w:tcPr>
          <w:p>
            <w:pPr>
              <w:spacing w:after="0"/>
              <w:rPr>
                <w:sz w:val="17"/>
                <w:szCs w:val="17"/>
                <w:color w:val="auto"/>
              </w:rPr>
            </w:pPr>
          </w:p>
        </w:tc>
        <w:tc>
          <w:tcPr>
            <w:tcW w:w="1060" w:type="dxa"/>
            <w:vAlign w:val="bottom"/>
            <w:tcBorders>
              <w:bottom w:val="single" w:sz="8" w:color="121212"/>
            </w:tcBorders>
          </w:tcPr>
          <w:p>
            <w:pPr>
              <w:spacing w:after="0"/>
              <w:rPr>
                <w:sz w:val="17"/>
                <w:szCs w:val="17"/>
                <w:color w:val="auto"/>
              </w:rPr>
            </w:pPr>
          </w:p>
        </w:tc>
        <w:tc>
          <w:tcPr>
            <w:tcW w:w="160" w:type="dxa"/>
            <w:vAlign w:val="bottom"/>
            <w:tcBorders>
              <w:bottom w:val="single" w:sz="8" w:color="121212"/>
            </w:tcBorders>
          </w:tcPr>
          <w:p>
            <w:pPr>
              <w:spacing w:after="0"/>
              <w:rPr>
                <w:sz w:val="17"/>
                <w:szCs w:val="17"/>
                <w:color w:val="auto"/>
              </w:rPr>
            </w:pPr>
          </w:p>
        </w:tc>
        <w:tc>
          <w:tcPr>
            <w:tcW w:w="120" w:type="dxa"/>
            <w:vAlign w:val="bottom"/>
            <w:tcBorders>
              <w:bottom w:val="single" w:sz="8" w:color="121212"/>
            </w:tcBorders>
          </w:tcPr>
          <w:p>
            <w:pPr>
              <w:spacing w:after="0"/>
              <w:rPr>
                <w:sz w:val="17"/>
                <w:szCs w:val="17"/>
                <w:color w:val="auto"/>
              </w:rPr>
            </w:pPr>
          </w:p>
        </w:tc>
        <w:tc>
          <w:tcPr>
            <w:tcW w:w="1200" w:type="dxa"/>
            <w:vAlign w:val="bottom"/>
            <w:tcBorders>
              <w:bottom w:val="single" w:sz="8" w:color="121212"/>
            </w:tcBorders>
          </w:tcPr>
          <w:p>
            <w:pPr>
              <w:jc w:val="center"/>
              <w:ind w:right="127"/>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60" w:type="dxa"/>
            <w:vAlign w:val="bottom"/>
            <w:tcBorders>
              <w:bottom w:val="single" w:sz="8" w:color="121212"/>
            </w:tcBorders>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100" w:type="dxa"/>
            <w:vAlign w:val="bottom"/>
            <w:tcBorders>
              <w:bottom w:val="single" w:sz="8" w:color="121212"/>
            </w:tcBorders>
          </w:tcPr>
          <w:p>
            <w:pPr>
              <w:spacing w:after="0"/>
              <w:rPr>
                <w:sz w:val="17"/>
                <w:szCs w:val="17"/>
                <w:color w:val="auto"/>
              </w:rPr>
            </w:pPr>
          </w:p>
        </w:tc>
      </w:tr>
      <w:tr>
        <w:trPr>
          <w:trHeight w:val="174"/>
        </w:trPr>
        <w:tc>
          <w:tcPr>
            <w:tcW w:w="61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60" w:type="dxa"/>
            <w:vAlign w:val="bottom"/>
            <w:tcBorders>
              <w:bottom w:val="single" w:sz="8" w:color="121212"/>
            </w:tcBorders>
          </w:tcPr>
          <w:p>
            <w:pPr>
              <w:spacing w:after="0"/>
              <w:rPr>
                <w:sz w:val="15"/>
                <w:szCs w:val="15"/>
                <w:color w:val="auto"/>
              </w:rPr>
            </w:pPr>
          </w:p>
        </w:tc>
        <w:tc>
          <w:tcPr>
            <w:tcW w:w="1060" w:type="dxa"/>
            <w:vAlign w:val="bottom"/>
            <w:tcBorders>
              <w:bottom w:val="single" w:sz="8" w:color="121212"/>
            </w:tcBorders>
          </w:tcPr>
          <w:p>
            <w:pPr>
              <w:jc w:val="right"/>
              <w:ind w:right="463"/>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60" w:type="dxa"/>
            <w:vAlign w:val="bottom"/>
            <w:tcBorders>
              <w:bottom w:val="single" w:sz="8" w:color="E0E0E0"/>
            </w:tcBorders>
          </w:tcPr>
          <w:p>
            <w:pPr>
              <w:spacing w:after="0"/>
              <w:rPr>
                <w:sz w:val="15"/>
                <w:szCs w:val="15"/>
                <w:color w:val="auto"/>
              </w:rPr>
            </w:pPr>
          </w:p>
        </w:tc>
        <w:tc>
          <w:tcPr>
            <w:tcW w:w="120" w:type="dxa"/>
            <w:vAlign w:val="bottom"/>
            <w:tcBorders>
              <w:bottom w:val="single" w:sz="8" w:color="121212"/>
            </w:tcBorders>
          </w:tcPr>
          <w:p>
            <w:pPr>
              <w:spacing w:after="0"/>
              <w:rPr>
                <w:sz w:val="15"/>
                <w:szCs w:val="15"/>
                <w:color w:val="auto"/>
              </w:rPr>
            </w:pPr>
          </w:p>
        </w:tc>
        <w:tc>
          <w:tcPr>
            <w:tcW w:w="1200" w:type="dxa"/>
            <w:vAlign w:val="bottom"/>
            <w:tcBorders>
              <w:bottom w:val="single" w:sz="8" w:color="121212"/>
            </w:tcBorders>
          </w:tcPr>
          <w:p>
            <w:pPr>
              <w:jc w:val="center"/>
              <w:ind w:right="147"/>
              <w:spacing w:after="0" w:line="174" w:lineRule="exact"/>
              <w:rPr>
                <w:sz w:val="20"/>
                <w:szCs w:val="20"/>
                <w:color w:val="auto"/>
              </w:rPr>
            </w:pPr>
            <w:r>
              <w:rPr>
                <w:rFonts w:ascii="Times New Roman" w:cs="Times New Roman" w:eastAsia="Times New Roman" w:hAnsi="Times New Roman"/>
                <w:sz w:val="16"/>
                <w:szCs w:val="16"/>
                <w:b w:val="1"/>
                <w:bCs w:val="1"/>
                <w:color w:val="121212"/>
                <w:w w:val="99"/>
              </w:rPr>
              <w:t>2022</w:t>
            </w:r>
          </w:p>
        </w:tc>
        <w:tc>
          <w:tcPr>
            <w:tcW w:w="160" w:type="dxa"/>
            <w:vAlign w:val="bottom"/>
            <w:tcBorders>
              <w:bottom w:val="single" w:sz="8" w:color="E0E0E0"/>
            </w:tcBorders>
          </w:tcPr>
          <w:p>
            <w:pPr>
              <w:spacing w:after="0"/>
              <w:rPr>
                <w:sz w:val="15"/>
                <w:szCs w:val="15"/>
                <w:color w:val="auto"/>
              </w:rPr>
            </w:pPr>
          </w:p>
        </w:tc>
        <w:tc>
          <w:tcPr>
            <w:tcW w:w="22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343"/>
              <w:spacing w:after="0" w:line="174" w:lineRule="exact"/>
              <w:rPr>
                <w:sz w:val="20"/>
                <w:szCs w:val="20"/>
                <w:color w:val="auto"/>
              </w:rPr>
            </w:pPr>
            <w:r>
              <w:rPr>
                <w:rFonts w:ascii="Times New Roman" w:cs="Times New Roman" w:eastAsia="Times New Roman" w:hAnsi="Times New Roman"/>
                <w:sz w:val="16"/>
                <w:szCs w:val="16"/>
                <w:b w:val="1"/>
                <w:bCs w:val="1"/>
                <w:color w:val="121212"/>
              </w:rPr>
              <w:t>Change</w:t>
            </w:r>
          </w:p>
        </w:tc>
      </w:tr>
      <w:tr>
        <w:trPr>
          <w:trHeight w:val="220"/>
        </w:trPr>
        <w:tc>
          <w:tcPr>
            <w:tcW w:w="61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DISC-3405</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95"/>
              <w:spacing w:after="0"/>
              <w:rPr>
                <w:sz w:val="20"/>
                <w:szCs w:val="20"/>
                <w:color w:val="auto"/>
              </w:rPr>
            </w:pPr>
            <w:r>
              <w:rPr>
                <w:rFonts w:ascii="Times New Roman" w:cs="Times New Roman" w:eastAsia="Times New Roman" w:hAnsi="Times New Roman"/>
                <w:sz w:val="17"/>
                <w:szCs w:val="17"/>
                <w:color w:val="121212"/>
                <w:w w:val="70"/>
              </w:rPr>
              <w:t>$</w:t>
            </w:r>
          </w:p>
        </w:tc>
        <w:tc>
          <w:tcPr>
            <w:tcW w:w="1060" w:type="dxa"/>
            <w:vAlign w:val="bottom"/>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20,168</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00" w:type="dxa"/>
            <w:vAlign w:val="bottom"/>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20,168</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121212"/>
              </w:rPr>
              <w:t>Bitopertin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17,271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8,783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8,488</w:t>
            </w:r>
          </w:p>
        </w:tc>
      </w:tr>
      <w:tr>
        <w:trPr>
          <w:trHeight w:val="230"/>
        </w:trPr>
        <w:tc>
          <w:tcPr>
            <w:tcW w:w="6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DISC-0974</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106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9,136</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20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10,241</w:t>
            </w: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(1,105)</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121212"/>
              </w:rPr>
              <w:t>Other research programs and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7,066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5,236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1,830</w:t>
            </w:r>
          </w:p>
        </w:tc>
      </w:tr>
      <w:tr>
        <w:trPr>
          <w:trHeight w:val="230"/>
        </w:trPr>
        <w:tc>
          <w:tcPr>
            <w:tcW w:w="6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Personnel-related (including equity-based compensation)</w:t>
            </w:r>
          </w:p>
        </w:tc>
        <w:tc>
          <w:tcPr>
            <w:tcW w:w="20" w:type="dxa"/>
            <w:vAlign w:val="bottom"/>
            <w:shd w:val="clear" w:color="auto" w:fill="E0E0E0"/>
          </w:tcPr>
          <w:p>
            <w:pPr>
              <w:spacing w:after="0"/>
              <w:rPr>
                <w:sz w:val="19"/>
                <w:szCs w:val="19"/>
                <w:color w:val="auto"/>
              </w:rPr>
            </w:pPr>
          </w:p>
        </w:tc>
        <w:tc>
          <w:tcPr>
            <w:tcW w:w="260" w:type="dxa"/>
            <w:vAlign w:val="bottom"/>
            <w:tcBorders>
              <w:bottom w:val="single" w:sz="8" w:color="121212"/>
            </w:tcBorders>
            <w:shd w:val="clear" w:color="auto" w:fill="E0E0E0"/>
          </w:tcPr>
          <w:p>
            <w:pPr>
              <w:spacing w:after="0"/>
              <w:rPr>
                <w:sz w:val="19"/>
                <w:szCs w:val="19"/>
                <w:color w:val="auto"/>
              </w:rPr>
            </w:pPr>
          </w:p>
        </w:tc>
        <w:tc>
          <w:tcPr>
            <w:tcW w:w="1060" w:type="dxa"/>
            <w:vAlign w:val="bottom"/>
            <w:tcBorders>
              <w:bottom w:val="single" w:sz="8" w:color="121212"/>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15,623</w:t>
            </w:r>
          </w:p>
        </w:tc>
        <w:tc>
          <w:tcPr>
            <w:tcW w:w="160" w:type="dxa"/>
            <w:vAlign w:val="bottom"/>
            <w:shd w:val="clear" w:color="auto" w:fill="E0E0E0"/>
          </w:tcPr>
          <w:p>
            <w:pPr>
              <w:spacing w:after="0"/>
              <w:rPr>
                <w:sz w:val="19"/>
                <w:szCs w:val="19"/>
                <w:color w:val="auto"/>
              </w:rPr>
            </w:pPr>
          </w:p>
        </w:tc>
        <w:tc>
          <w:tcPr>
            <w:tcW w:w="120" w:type="dxa"/>
            <w:vAlign w:val="bottom"/>
            <w:tcBorders>
              <w:bottom w:val="single" w:sz="8" w:color="121212"/>
            </w:tcBorders>
            <w:shd w:val="clear" w:color="auto" w:fill="E0E0E0"/>
          </w:tcPr>
          <w:p>
            <w:pPr>
              <w:spacing w:after="0"/>
              <w:rPr>
                <w:sz w:val="19"/>
                <w:szCs w:val="19"/>
                <w:color w:val="auto"/>
              </w:rPr>
            </w:pPr>
          </w:p>
        </w:tc>
        <w:tc>
          <w:tcPr>
            <w:tcW w:w="1200" w:type="dxa"/>
            <w:vAlign w:val="bottom"/>
            <w:tcBorders>
              <w:bottom w:val="single" w:sz="8" w:color="121212"/>
            </w:tcBorders>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9,177</w:t>
            </w:r>
          </w:p>
        </w:tc>
        <w:tc>
          <w:tcPr>
            <w:tcW w:w="16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spacing w:after="0"/>
              <w:rPr>
                <w:sz w:val="19"/>
                <w:szCs w:val="19"/>
                <w:color w:val="auto"/>
              </w:rPr>
            </w:pPr>
          </w:p>
        </w:tc>
        <w:tc>
          <w:tcPr>
            <w:tcW w:w="1100" w:type="dxa"/>
            <w:vAlign w:val="bottom"/>
            <w:tcBorders>
              <w:bottom w:val="single" w:sz="8" w:color="121212"/>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6,446</w:t>
            </w:r>
          </w:p>
        </w:tc>
      </w:tr>
      <w:tr>
        <w:trPr>
          <w:trHeight w:val="220"/>
        </w:trPr>
        <w:tc>
          <w:tcPr>
            <w:tcW w:w="6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121212"/>
              </w:rPr>
              <w:t>Total research and development expenses</w:t>
            </w:r>
          </w:p>
        </w:tc>
        <w:tc>
          <w:tcPr>
            <w:tcW w:w="20" w:type="dxa"/>
            <w:vAlign w:val="bottom"/>
          </w:tcPr>
          <w:p>
            <w:pPr>
              <w:spacing w:after="0"/>
              <w:rPr>
                <w:sz w:val="19"/>
                <w:szCs w:val="19"/>
                <w:color w:val="auto"/>
              </w:rPr>
            </w:pPr>
          </w:p>
        </w:tc>
        <w:tc>
          <w:tcPr>
            <w:tcW w:w="260" w:type="dxa"/>
            <w:vAlign w:val="bottom"/>
            <w:tcBorders>
              <w:bottom w:val="single" w:sz="8" w:color="121212"/>
            </w:tcBorders>
          </w:tcPr>
          <w:p>
            <w:pPr>
              <w:jc w:val="right"/>
              <w:ind w:right="95"/>
              <w:spacing w:after="0"/>
              <w:rPr>
                <w:sz w:val="20"/>
                <w:szCs w:val="20"/>
                <w:color w:val="auto"/>
              </w:rPr>
            </w:pPr>
            <w:r>
              <w:rPr>
                <w:rFonts w:ascii="Times New Roman" w:cs="Times New Roman" w:eastAsia="Times New Roman" w:hAnsi="Times New Roman"/>
                <w:sz w:val="17"/>
                <w:szCs w:val="17"/>
                <w:color w:val="121212"/>
                <w:w w:val="70"/>
              </w:rPr>
              <w:t>$</w:t>
            </w:r>
          </w:p>
        </w:tc>
        <w:tc>
          <w:tcPr>
            <w:tcW w:w="1060" w:type="dxa"/>
            <w:vAlign w:val="bottom"/>
            <w:tcBorders>
              <w:bottom w:val="single" w:sz="8" w:color="121212"/>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69,264</w:t>
            </w:r>
          </w:p>
        </w:tc>
        <w:tc>
          <w:tcPr>
            <w:tcW w:w="160" w:type="dxa"/>
            <w:vAlign w:val="bottom"/>
          </w:tcPr>
          <w:p>
            <w:pPr>
              <w:spacing w:after="0"/>
              <w:rPr>
                <w:sz w:val="19"/>
                <w:szCs w:val="19"/>
                <w:color w:val="auto"/>
              </w:rPr>
            </w:pPr>
          </w:p>
        </w:tc>
        <w:tc>
          <w:tcPr>
            <w:tcW w:w="12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00" w:type="dxa"/>
            <w:vAlign w:val="bottom"/>
            <w:tcBorders>
              <w:bottom w:val="single" w:sz="8" w:color="121212"/>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33,437</w:t>
            </w:r>
          </w:p>
        </w:tc>
        <w:tc>
          <w:tcPr>
            <w:tcW w:w="160" w:type="dxa"/>
            <w:vAlign w:val="bottom"/>
          </w:tcPr>
          <w:p>
            <w:pPr>
              <w:spacing w:after="0"/>
              <w:rPr>
                <w:sz w:val="19"/>
                <w:szCs w:val="19"/>
                <w:color w:val="auto"/>
              </w:rPr>
            </w:pPr>
          </w:p>
        </w:tc>
        <w:tc>
          <w:tcPr>
            <w:tcW w:w="220" w:type="dxa"/>
            <w:vAlign w:val="bottom"/>
            <w:tcBorders>
              <w:bottom w:val="single" w:sz="8" w:color="121212"/>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35,827</w:t>
            </w:r>
          </w:p>
        </w:tc>
      </w:tr>
      <w:tr>
        <w:trPr>
          <w:trHeight w:val="20"/>
        </w:trPr>
        <w:tc>
          <w:tcPr>
            <w:tcW w:w="6140" w:type="dxa"/>
            <w:vAlign w:val="bottom"/>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260" w:type="dxa"/>
            <w:vAlign w:val="bottom"/>
            <w:tcBorders>
              <w:bottom w:val="single" w:sz="8" w:color="121212"/>
            </w:tcBorders>
          </w:tcPr>
          <w:p>
            <w:pPr>
              <w:spacing w:after="0" w:line="20" w:lineRule="exact"/>
              <w:rPr>
                <w:sz w:val="1"/>
                <w:szCs w:val="1"/>
                <w:color w:val="auto"/>
              </w:rPr>
            </w:pPr>
          </w:p>
        </w:tc>
        <w:tc>
          <w:tcPr>
            <w:tcW w:w="106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121212"/>
            </w:tcBorders>
          </w:tcPr>
          <w:p>
            <w:pPr>
              <w:spacing w:after="0" w:line="20" w:lineRule="exact"/>
              <w:rPr>
                <w:sz w:val="1"/>
                <w:szCs w:val="1"/>
                <w:color w:val="auto"/>
              </w:rPr>
            </w:pPr>
          </w:p>
        </w:tc>
        <w:tc>
          <w:tcPr>
            <w:tcW w:w="120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35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21212"/>
        </w:rPr>
        <w:t>Research and development expenses were $69.3 million for the year ended December 31, 2023, compared to $33.4 million for the year ended December 31, 2022. The increase of $35.8 million in research and development expenses was primarily due to a $20.2 million increase related to the DISC-3405 program which incurred $15.0 million in upfront and milestone license fees in 2023, a $8.5 million increase in bitopertin development expense related to increased clinical study and drug manufacturing activity, and a $ 6.4 million increase in personnel-related costs related to higher research and development headcount, including an increase of $1.2 million in stock-based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General and Administrative Expenses</w:t>
      </w:r>
    </w:p>
    <w:p>
      <w:pPr>
        <w:spacing w:after="0" w:line="118"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121212"/>
        </w:rPr>
        <w:t>The following table summarizes our general and administrative expenses for the years ended December 31, 2023 and 2022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121212"/>
                <w:w w:val="99"/>
              </w:rPr>
              <w:t>Year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614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60" w:type="dxa"/>
            <w:vAlign w:val="bottom"/>
            <w:tcBorders>
              <w:bottom w:val="single" w:sz="8" w:color="121212"/>
            </w:tcBorders>
          </w:tcPr>
          <w:p>
            <w:pPr>
              <w:spacing w:after="0"/>
              <w:rPr>
                <w:sz w:val="17"/>
                <w:szCs w:val="17"/>
                <w:color w:val="auto"/>
              </w:rPr>
            </w:pPr>
          </w:p>
        </w:tc>
        <w:tc>
          <w:tcPr>
            <w:tcW w:w="1060" w:type="dxa"/>
            <w:vAlign w:val="bottom"/>
            <w:tcBorders>
              <w:bottom w:val="single" w:sz="8" w:color="121212"/>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121212"/>
              </w:rPr>
              <w:t>2023</w:t>
            </w:r>
          </w:p>
        </w:tc>
        <w:tc>
          <w:tcPr>
            <w:tcW w:w="160" w:type="dxa"/>
            <w:vAlign w:val="bottom"/>
            <w:tcBorders>
              <w:bottom w:val="single" w:sz="8" w:color="E0E0E0"/>
            </w:tcBorders>
          </w:tcPr>
          <w:p>
            <w:pPr>
              <w:spacing w:after="0"/>
              <w:rPr>
                <w:sz w:val="17"/>
                <w:szCs w:val="17"/>
                <w:color w:val="auto"/>
              </w:rPr>
            </w:pPr>
          </w:p>
        </w:tc>
        <w:tc>
          <w:tcPr>
            <w:tcW w:w="120" w:type="dxa"/>
            <w:vAlign w:val="bottom"/>
            <w:tcBorders>
              <w:bottom w:val="single" w:sz="8" w:color="121212"/>
            </w:tcBorders>
          </w:tcPr>
          <w:p>
            <w:pPr>
              <w:spacing w:after="0"/>
              <w:rPr>
                <w:sz w:val="17"/>
                <w:szCs w:val="17"/>
                <w:color w:val="auto"/>
              </w:rPr>
            </w:pPr>
          </w:p>
        </w:tc>
        <w:tc>
          <w:tcPr>
            <w:tcW w:w="1200" w:type="dxa"/>
            <w:vAlign w:val="bottom"/>
            <w:tcBorders>
              <w:bottom w:val="single" w:sz="8" w:color="121212"/>
            </w:tcBorders>
          </w:tcPr>
          <w:p>
            <w:pPr>
              <w:jc w:val="center"/>
              <w:ind w:right="149"/>
              <w:spacing w:after="0"/>
              <w:rPr>
                <w:sz w:val="20"/>
                <w:szCs w:val="20"/>
                <w:color w:val="auto"/>
              </w:rPr>
            </w:pPr>
            <w:r>
              <w:rPr>
                <w:rFonts w:ascii="Times New Roman" w:cs="Times New Roman" w:eastAsia="Times New Roman" w:hAnsi="Times New Roman"/>
                <w:sz w:val="16"/>
                <w:szCs w:val="16"/>
                <w:b w:val="1"/>
                <w:bCs w:val="1"/>
                <w:color w:val="121212"/>
                <w:w w:val="99"/>
              </w:rPr>
              <w:t>2022</w:t>
            </w:r>
          </w:p>
        </w:tc>
        <w:tc>
          <w:tcPr>
            <w:tcW w:w="160" w:type="dxa"/>
            <w:vAlign w:val="bottom"/>
            <w:tcBorders>
              <w:bottom w:val="single" w:sz="8" w:color="E0E0E0"/>
            </w:tcBorders>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100" w:type="dxa"/>
            <w:vAlign w:val="bottom"/>
            <w:tcBorders>
              <w:bottom w:val="single" w:sz="8" w:color="121212"/>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121212"/>
              </w:rPr>
              <w:t>Change</w:t>
            </w:r>
          </w:p>
        </w:tc>
      </w:tr>
      <w:tr>
        <w:trPr>
          <w:trHeight w:val="220"/>
        </w:trPr>
        <w:tc>
          <w:tcPr>
            <w:tcW w:w="61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Personnel-related (including equity-based compensation)</w:t>
            </w: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95"/>
              <w:spacing w:after="0"/>
              <w:rPr>
                <w:sz w:val="20"/>
                <w:szCs w:val="20"/>
                <w:color w:val="auto"/>
              </w:rPr>
            </w:pPr>
            <w:r>
              <w:rPr>
                <w:rFonts w:ascii="Times New Roman" w:cs="Times New Roman" w:eastAsia="Times New Roman" w:hAnsi="Times New Roman"/>
                <w:sz w:val="17"/>
                <w:szCs w:val="17"/>
                <w:color w:val="121212"/>
                <w:w w:val="70"/>
              </w:rPr>
              <w:t>$</w:t>
            </w:r>
          </w:p>
        </w:tc>
        <w:tc>
          <w:tcPr>
            <w:tcW w:w="1060" w:type="dxa"/>
            <w:vAlign w:val="bottom"/>
            <w:shd w:val="clear" w:color="auto" w:fill="E0E0E0"/>
          </w:tcPr>
          <w:p>
            <w:pPr>
              <w:jc w:val="right"/>
              <w:ind w:right="4"/>
              <w:spacing w:after="0" w:line="220" w:lineRule="exact"/>
              <w:rPr>
                <w:sz w:val="20"/>
                <w:szCs w:val="20"/>
                <w:color w:val="auto"/>
              </w:rPr>
            </w:pPr>
            <w:r>
              <w:rPr>
                <w:rFonts w:ascii="Times New Roman" w:cs="Times New Roman" w:eastAsia="Times New Roman" w:hAnsi="Times New Roman"/>
                <w:sz w:val="20"/>
                <w:szCs w:val="20"/>
                <w:color w:val="121212"/>
              </w:rPr>
              <w:t>10,481</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00" w:type="dxa"/>
            <w:vAlign w:val="bottom"/>
            <w:shd w:val="clear" w:color="auto" w:fill="E0E0E0"/>
          </w:tcPr>
          <w:p>
            <w:pPr>
              <w:jc w:val="right"/>
              <w:ind w:right="9"/>
              <w:spacing w:after="0" w:line="220" w:lineRule="exact"/>
              <w:rPr>
                <w:sz w:val="20"/>
                <w:szCs w:val="20"/>
                <w:color w:val="auto"/>
              </w:rPr>
            </w:pPr>
            <w:r>
              <w:rPr>
                <w:rFonts w:ascii="Times New Roman" w:cs="Times New Roman" w:eastAsia="Times New Roman" w:hAnsi="Times New Roman"/>
                <w:sz w:val="20"/>
                <w:szCs w:val="20"/>
                <w:color w:val="121212"/>
              </w:rPr>
              <w:t>6,983</w:t>
            </w: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shd w:val="clear" w:color="auto" w:fill="E0E0E0"/>
          </w:tcPr>
          <w:p>
            <w:pPr>
              <w:jc w:val="right"/>
              <w:ind w:right="4"/>
              <w:spacing w:after="0" w:line="220" w:lineRule="exact"/>
              <w:rPr>
                <w:sz w:val="20"/>
                <w:szCs w:val="20"/>
                <w:color w:val="auto"/>
              </w:rPr>
            </w:pPr>
            <w:r>
              <w:rPr>
                <w:rFonts w:ascii="Times New Roman" w:cs="Times New Roman" w:eastAsia="Times New Roman" w:hAnsi="Times New Roman"/>
                <w:sz w:val="20"/>
                <w:szCs w:val="20"/>
                <w:color w:val="121212"/>
              </w:rPr>
              <w:t>3,498</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121212"/>
              </w:rPr>
              <w:t>Legal, consulting and professional fees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21212"/>
              </w:rPr>
              <w:t>7,448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121212"/>
              </w:rPr>
              <w:t>6,252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21212"/>
              </w:rPr>
              <w:t>1,196</w:t>
            </w:r>
          </w:p>
        </w:tc>
      </w:tr>
      <w:tr>
        <w:trPr>
          <w:trHeight w:val="230"/>
        </w:trPr>
        <w:tc>
          <w:tcPr>
            <w:tcW w:w="6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Other expenses</w:t>
            </w:r>
          </w:p>
        </w:tc>
        <w:tc>
          <w:tcPr>
            <w:tcW w:w="20" w:type="dxa"/>
            <w:vAlign w:val="bottom"/>
            <w:shd w:val="clear" w:color="auto" w:fill="E0E0E0"/>
          </w:tcPr>
          <w:p>
            <w:pPr>
              <w:spacing w:after="0"/>
              <w:rPr>
                <w:sz w:val="19"/>
                <w:szCs w:val="19"/>
                <w:color w:val="auto"/>
              </w:rPr>
            </w:pPr>
          </w:p>
        </w:tc>
        <w:tc>
          <w:tcPr>
            <w:tcW w:w="260" w:type="dxa"/>
            <w:vAlign w:val="bottom"/>
            <w:tcBorders>
              <w:bottom w:val="single" w:sz="8" w:color="121212"/>
            </w:tcBorders>
            <w:shd w:val="clear" w:color="auto" w:fill="E0E0E0"/>
          </w:tcPr>
          <w:p>
            <w:pPr>
              <w:spacing w:after="0"/>
              <w:rPr>
                <w:sz w:val="19"/>
                <w:szCs w:val="19"/>
                <w:color w:val="auto"/>
              </w:rPr>
            </w:pPr>
          </w:p>
        </w:tc>
        <w:tc>
          <w:tcPr>
            <w:tcW w:w="1060" w:type="dxa"/>
            <w:vAlign w:val="bottom"/>
            <w:tcBorders>
              <w:bottom w:val="single" w:sz="8" w:color="121212"/>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121212"/>
              </w:rPr>
              <w:t>3,932</w:t>
            </w:r>
          </w:p>
        </w:tc>
        <w:tc>
          <w:tcPr>
            <w:tcW w:w="160" w:type="dxa"/>
            <w:vAlign w:val="bottom"/>
            <w:shd w:val="clear" w:color="auto" w:fill="E0E0E0"/>
          </w:tcPr>
          <w:p>
            <w:pPr>
              <w:spacing w:after="0"/>
              <w:rPr>
                <w:sz w:val="19"/>
                <w:szCs w:val="19"/>
                <w:color w:val="auto"/>
              </w:rPr>
            </w:pPr>
          </w:p>
        </w:tc>
        <w:tc>
          <w:tcPr>
            <w:tcW w:w="120" w:type="dxa"/>
            <w:vAlign w:val="bottom"/>
            <w:tcBorders>
              <w:bottom w:val="single" w:sz="8" w:color="121212"/>
            </w:tcBorders>
            <w:shd w:val="clear" w:color="auto" w:fill="E0E0E0"/>
          </w:tcPr>
          <w:p>
            <w:pPr>
              <w:spacing w:after="0"/>
              <w:rPr>
                <w:sz w:val="19"/>
                <w:szCs w:val="19"/>
                <w:color w:val="auto"/>
              </w:rPr>
            </w:pPr>
          </w:p>
        </w:tc>
        <w:tc>
          <w:tcPr>
            <w:tcW w:w="1200" w:type="dxa"/>
            <w:vAlign w:val="bottom"/>
            <w:tcBorders>
              <w:bottom w:val="single" w:sz="8" w:color="121212"/>
            </w:tcBorders>
            <w:shd w:val="clear" w:color="auto" w:fill="E0E0E0"/>
          </w:tcPr>
          <w:p>
            <w:pPr>
              <w:jc w:val="right"/>
              <w:ind w:right="9"/>
              <w:spacing w:after="0"/>
              <w:rPr>
                <w:sz w:val="20"/>
                <w:szCs w:val="20"/>
                <w:color w:val="auto"/>
              </w:rPr>
            </w:pPr>
            <w:r>
              <w:rPr>
                <w:rFonts w:ascii="Times New Roman" w:cs="Times New Roman" w:eastAsia="Times New Roman" w:hAnsi="Times New Roman"/>
                <w:sz w:val="20"/>
                <w:szCs w:val="20"/>
                <w:color w:val="121212"/>
              </w:rPr>
              <w:t>803</w:t>
            </w:r>
          </w:p>
        </w:tc>
        <w:tc>
          <w:tcPr>
            <w:tcW w:w="16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spacing w:after="0"/>
              <w:rPr>
                <w:sz w:val="19"/>
                <w:szCs w:val="19"/>
                <w:color w:val="auto"/>
              </w:rPr>
            </w:pPr>
          </w:p>
        </w:tc>
        <w:tc>
          <w:tcPr>
            <w:tcW w:w="1100" w:type="dxa"/>
            <w:vAlign w:val="bottom"/>
            <w:tcBorders>
              <w:bottom w:val="single" w:sz="8" w:color="121212"/>
            </w:tcBorders>
            <w:shd w:val="clear" w:color="auto" w:fill="E0E0E0"/>
          </w:tcPr>
          <w:p>
            <w:pPr>
              <w:jc w:val="right"/>
              <w:ind w:right="4"/>
              <w:spacing w:after="0"/>
              <w:rPr>
                <w:sz w:val="20"/>
                <w:szCs w:val="20"/>
                <w:color w:val="auto"/>
              </w:rPr>
            </w:pPr>
            <w:r>
              <w:rPr>
                <w:rFonts w:ascii="Times New Roman" w:cs="Times New Roman" w:eastAsia="Times New Roman" w:hAnsi="Times New Roman"/>
                <w:sz w:val="20"/>
                <w:szCs w:val="20"/>
                <w:color w:val="121212"/>
              </w:rPr>
              <w:t>3,129</w:t>
            </w:r>
          </w:p>
        </w:tc>
      </w:tr>
      <w:tr>
        <w:trPr>
          <w:trHeight w:val="220"/>
        </w:trPr>
        <w:tc>
          <w:tcPr>
            <w:tcW w:w="6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121212"/>
              </w:rPr>
              <w:t>Total general and administrative expenses</w:t>
            </w:r>
          </w:p>
        </w:tc>
        <w:tc>
          <w:tcPr>
            <w:tcW w:w="20" w:type="dxa"/>
            <w:vAlign w:val="bottom"/>
          </w:tcPr>
          <w:p>
            <w:pPr>
              <w:spacing w:after="0"/>
              <w:rPr>
                <w:sz w:val="19"/>
                <w:szCs w:val="19"/>
                <w:color w:val="auto"/>
              </w:rPr>
            </w:pPr>
          </w:p>
        </w:tc>
        <w:tc>
          <w:tcPr>
            <w:tcW w:w="260" w:type="dxa"/>
            <w:vAlign w:val="bottom"/>
            <w:tcBorders>
              <w:bottom w:val="single" w:sz="8" w:color="121212"/>
            </w:tcBorders>
          </w:tcPr>
          <w:p>
            <w:pPr>
              <w:jc w:val="right"/>
              <w:ind w:right="95"/>
              <w:spacing w:after="0"/>
              <w:rPr>
                <w:sz w:val="20"/>
                <w:szCs w:val="20"/>
                <w:color w:val="auto"/>
              </w:rPr>
            </w:pPr>
            <w:r>
              <w:rPr>
                <w:rFonts w:ascii="Times New Roman" w:cs="Times New Roman" w:eastAsia="Times New Roman" w:hAnsi="Times New Roman"/>
                <w:sz w:val="17"/>
                <w:szCs w:val="17"/>
                <w:color w:val="121212"/>
                <w:w w:val="70"/>
              </w:rPr>
              <w:t>$</w:t>
            </w:r>
          </w:p>
        </w:tc>
        <w:tc>
          <w:tcPr>
            <w:tcW w:w="1060" w:type="dxa"/>
            <w:vAlign w:val="bottom"/>
            <w:tcBorders>
              <w:bottom w:val="single" w:sz="8" w:color="121212"/>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121212"/>
              </w:rPr>
              <w:t>21,861</w:t>
            </w:r>
          </w:p>
        </w:tc>
        <w:tc>
          <w:tcPr>
            <w:tcW w:w="160" w:type="dxa"/>
            <w:vAlign w:val="bottom"/>
          </w:tcPr>
          <w:p>
            <w:pPr>
              <w:spacing w:after="0"/>
              <w:rPr>
                <w:sz w:val="19"/>
                <w:szCs w:val="19"/>
                <w:color w:val="auto"/>
              </w:rPr>
            </w:pPr>
          </w:p>
        </w:tc>
        <w:tc>
          <w:tcPr>
            <w:tcW w:w="12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00" w:type="dxa"/>
            <w:vAlign w:val="bottom"/>
            <w:tcBorders>
              <w:bottom w:val="single" w:sz="8" w:color="121212"/>
            </w:tcBorders>
          </w:tcPr>
          <w:p>
            <w:pPr>
              <w:jc w:val="right"/>
              <w:ind w:right="9"/>
              <w:spacing w:after="0" w:line="220" w:lineRule="exact"/>
              <w:rPr>
                <w:sz w:val="20"/>
                <w:szCs w:val="20"/>
                <w:color w:val="auto"/>
              </w:rPr>
            </w:pPr>
            <w:r>
              <w:rPr>
                <w:rFonts w:ascii="Times New Roman" w:cs="Times New Roman" w:eastAsia="Times New Roman" w:hAnsi="Times New Roman"/>
                <w:sz w:val="20"/>
                <w:szCs w:val="20"/>
                <w:color w:val="121212"/>
              </w:rPr>
              <w:t>14,038</w:t>
            </w:r>
          </w:p>
        </w:tc>
        <w:tc>
          <w:tcPr>
            <w:tcW w:w="160" w:type="dxa"/>
            <w:vAlign w:val="bottom"/>
          </w:tcPr>
          <w:p>
            <w:pPr>
              <w:spacing w:after="0"/>
              <w:rPr>
                <w:sz w:val="19"/>
                <w:szCs w:val="19"/>
                <w:color w:val="auto"/>
              </w:rPr>
            </w:pPr>
          </w:p>
        </w:tc>
        <w:tc>
          <w:tcPr>
            <w:tcW w:w="220" w:type="dxa"/>
            <w:vAlign w:val="bottom"/>
            <w:tcBorders>
              <w:bottom w:val="single" w:sz="8" w:color="121212"/>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121212"/>
              </w:rPr>
              <w:t>7,823</w:t>
            </w:r>
          </w:p>
        </w:tc>
      </w:tr>
      <w:tr>
        <w:trPr>
          <w:trHeight w:val="20"/>
        </w:trPr>
        <w:tc>
          <w:tcPr>
            <w:tcW w:w="6140" w:type="dxa"/>
            <w:vAlign w:val="bottom"/>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260" w:type="dxa"/>
            <w:vAlign w:val="bottom"/>
            <w:tcBorders>
              <w:bottom w:val="single" w:sz="8" w:color="121212"/>
            </w:tcBorders>
          </w:tcPr>
          <w:p>
            <w:pPr>
              <w:spacing w:after="0" w:line="20" w:lineRule="exact"/>
              <w:rPr>
                <w:sz w:val="1"/>
                <w:szCs w:val="1"/>
                <w:color w:val="auto"/>
              </w:rPr>
            </w:pPr>
          </w:p>
        </w:tc>
        <w:tc>
          <w:tcPr>
            <w:tcW w:w="106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121212"/>
            </w:tcBorders>
          </w:tcPr>
          <w:p>
            <w:pPr>
              <w:spacing w:after="0" w:line="20" w:lineRule="exact"/>
              <w:rPr>
                <w:sz w:val="1"/>
                <w:szCs w:val="1"/>
                <w:color w:val="auto"/>
              </w:rPr>
            </w:pPr>
          </w:p>
        </w:tc>
        <w:tc>
          <w:tcPr>
            <w:tcW w:w="120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900" w:top="930" w:right="900" w:bottom="175" w:gutter="0" w:footer="0" w:header="0"/>
        </w:sectPr>
      </w:pP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100</w:t>
      </w:r>
    </w:p>
    <w:p>
      <w:pPr>
        <w:sectPr>
          <w:pgSz w:w="12240" w:h="15840" w:orient="portrait"/>
          <w:cols w:equalWidth="0" w:num="1">
            <w:col w:w="10440"/>
          </w:cols>
          <w:pgMar w:left="900" w:top="930" w:right="900" w:bottom="175" w:gutter="0" w:footer="0" w:header="0"/>
          <w:type w:val="continuous"/>
        </w:sectPr>
      </w:pPr>
    </w:p>
    <w:bookmarkStart w:id="110" w:name="page111"/>
    <w:bookmarkEnd w:id="110"/>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General and administrative expenses were $21.9 million for the year ended December 31, 2023, compared to $14.0 million for the year ended December 31, 2022. The increase of $ 7.8 million in general and administrative expenses was primarily due to an increase of $3.5 million in personnel-related costs due to higher general and administrative headcount, including an increase of $2.3 million in stock-based compensation, and an increase of $3.1 million in other expenses related to increased costs as a public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Other Income (Expense), Net</w:t>
      </w:r>
    </w:p>
    <w:p>
      <w:pPr>
        <w:spacing w:after="0" w:line="118"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121212"/>
        </w:rPr>
        <w:t>Other income, net was $14.8 million for the year ended December 31, 2023, compared to other income, net of $ 0.6 million for the year ended December 31, 2022. The change of $14.1 million in other income (expense), net was primarily due to an increase in interest income based on a larger cash and cash equivalents balance and higher interest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Income Tax Expense</w:t>
      </w:r>
    </w:p>
    <w:p>
      <w:pPr>
        <w:spacing w:after="0" w:line="118" w:lineRule="exact"/>
        <w:rPr>
          <w:sz w:val="20"/>
          <w:szCs w:val="20"/>
          <w:color w:val="auto"/>
        </w:rPr>
      </w:pPr>
    </w:p>
    <w:p>
      <w:pPr>
        <w:jc w:val="both"/>
        <w:ind w:right="20" w:firstLine="540"/>
        <w:spacing w:after="0" w:line="277" w:lineRule="auto"/>
        <w:rPr>
          <w:sz w:val="20"/>
          <w:szCs w:val="20"/>
          <w:color w:val="auto"/>
        </w:rPr>
      </w:pPr>
      <w:r>
        <w:rPr>
          <w:rFonts w:ascii="Times New Roman" w:cs="Times New Roman" w:eastAsia="Times New Roman" w:hAnsi="Times New Roman"/>
          <w:sz w:val="20"/>
          <w:szCs w:val="20"/>
          <w:color w:val="121212"/>
        </w:rPr>
        <w:t>Income tax expense was $ 0.1 million for the year ended December 31, 2023, compared to no expense for the year ended December 31, 2022. The increase in expense relates to state income tax resulting from an increase in interest income.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Sources of Liquidity</w:t>
      </w:r>
    </w:p>
    <w:p>
      <w:pPr>
        <w:spacing w:after="0" w:line="12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spacing w:after="0" w:line="82"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To date, we have funded our operations primarily with proceeds from the sale of our convertible preferred stock and common stock, the proceeds from the merger with Gemini, proceeds from at-the-market offerings, proceeds from a registered direct offering and proceeds from a follow-on public offering. Through December 31, 2023, we have received net proceeds of $144.5 million from sales of our Series Seed, Series A and Series B convertible preferred stock, $89.5 million from the merger with Gemini, $53.5 million from sales of common stock in a pre-closing private financing, $62.4 million from sales of common stock and pre-funded warrants in a registered direct offering, $147.9 million from sales of common stock and pre-funded warrants in a public follow-on offering and $26.4 million from at-the-market offerings. As of December 31, 2023, we had cash and cash equivalents of $360.4 million.</w:t>
      </w:r>
    </w:p>
    <w:p>
      <w:pPr>
        <w:spacing w:after="0" w:line="82"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21212"/>
        </w:rPr>
        <w:t>We have incurred significant operating losses since inception and, as of December 31, 2023, had an accumulated deficit of $188.6 million. In addition, we expect to continue to incur significant and increasing expenses and operating losses for the foreseeable future. We believe that our current cash resources will enable us to fund our current planned operating expense and capital expenditure requirements well into 2026. We may also pursue additional cash resources through public or private equity offerings, collaborations or debt financings.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Cash Flows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The following table provides information regarding our cash flows for each period presented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121212"/>
              </w:rPr>
              <w:t>Year Ended</w:t>
            </w:r>
          </w:p>
        </w:tc>
        <w:tc>
          <w:tcPr>
            <w:tcW w:w="1100" w:type="dxa"/>
            <w:vAlign w:val="bottom"/>
          </w:tcPr>
          <w:p>
            <w:pPr>
              <w:spacing w:after="0"/>
              <w:rPr>
                <w:sz w:val="16"/>
                <w:szCs w:val="16"/>
                <w:color w:val="auto"/>
              </w:rPr>
            </w:pPr>
          </w:p>
        </w:tc>
      </w:tr>
      <w:tr>
        <w:trPr>
          <w:trHeight w:val="203"/>
        </w:trPr>
        <w:tc>
          <w:tcPr>
            <w:tcW w:w="5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Borders>
              <w:bottom w:val="single" w:sz="8" w:color="121212"/>
            </w:tcBorders>
          </w:tcPr>
          <w:p>
            <w:pPr>
              <w:spacing w:after="0"/>
              <w:rPr>
                <w:sz w:val="17"/>
                <w:szCs w:val="17"/>
                <w:color w:val="auto"/>
              </w:rPr>
            </w:pPr>
          </w:p>
        </w:tc>
        <w:tc>
          <w:tcPr>
            <w:tcW w:w="1840" w:type="dxa"/>
            <w:vAlign w:val="bottom"/>
            <w:tcBorders>
              <w:bottom w:val="single" w:sz="8" w:color="121212"/>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100" w:type="dxa"/>
            <w:vAlign w:val="bottom"/>
            <w:tcBorders>
              <w:bottom w:val="single" w:sz="8" w:color="121212"/>
            </w:tcBorders>
          </w:tcPr>
          <w:p>
            <w:pPr>
              <w:spacing w:after="0"/>
              <w:rPr>
                <w:sz w:val="17"/>
                <w:szCs w:val="17"/>
                <w:color w:val="auto"/>
              </w:rPr>
            </w:pPr>
          </w:p>
        </w:tc>
      </w:tr>
      <w:tr>
        <w:trPr>
          <w:trHeight w:val="174"/>
        </w:trPr>
        <w:tc>
          <w:tcPr>
            <w:tcW w:w="5860" w:type="dxa"/>
            <w:vAlign w:val="bottom"/>
            <w:tcBorders>
              <w:bottom w:val="single" w:sz="8" w:color="E0E0E0"/>
            </w:tcBorders>
          </w:tcPr>
          <w:p>
            <w:pPr>
              <w:spacing w:after="0"/>
              <w:rPr>
                <w:sz w:val="15"/>
                <w:szCs w:val="15"/>
                <w:color w:val="auto"/>
              </w:rPr>
            </w:pPr>
          </w:p>
        </w:tc>
        <w:tc>
          <w:tcPr>
            <w:tcW w:w="1300" w:type="dxa"/>
            <w:vAlign w:val="bottom"/>
            <w:tcBorders>
              <w:bottom w:val="single" w:sz="8" w:color="E0E0E0"/>
            </w:tcBorders>
          </w:tcPr>
          <w:p>
            <w:pPr>
              <w:spacing w:after="0"/>
              <w:rPr>
                <w:sz w:val="15"/>
                <w:szCs w:val="15"/>
                <w:color w:val="auto"/>
              </w:rPr>
            </w:pPr>
          </w:p>
        </w:tc>
        <w:tc>
          <w:tcPr>
            <w:tcW w:w="340" w:type="dxa"/>
            <w:vAlign w:val="bottom"/>
            <w:tcBorders>
              <w:bottom w:val="single" w:sz="8" w:color="121212"/>
            </w:tcBorders>
          </w:tcPr>
          <w:p>
            <w:pPr>
              <w:spacing w:after="0"/>
              <w:rPr>
                <w:sz w:val="15"/>
                <w:szCs w:val="15"/>
                <w:color w:val="auto"/>
              </w:rPr>
            </w:pPr>
          </w:p>
        </w:tc>
        <w:tc>
          <w:tcPr>
            <w:tcW w:w="1220" w:type="dxa"/>
            <w:vAlign w:val="bottom"/>
            <w:tcBorders>
              <w:bottom w:val="single" w:sz="8" w:color="121212"/>
            </w:tcBorders>
          </w:tcPr>
          <w:p>
            <w:pPr>
              <w:jc w:val="right"/>
              <w:ind w:right="569"/>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80" w:type="dxa"/>
            <w:vAlign w:val="bottom"/>
            <w:tcBorders>
              <w:bottom w:val="single" w:sz="8" w:color="E0E0E0"/>
            </w:tcBorders>
          </w:tcPr>
          <w:p>
            <w:pPr>
              <w:spacing w:after="0"/>
              <w:rPr>
                <w:sz w:val="15"/>
                <w:szCs w:val="15"/>
                <w:color w:val="auto"/>
              </w:rPr>
            </w:pPr>
          </w:p>
        </w:tc>
        <w:tc>
          <w:tcPr>
            <w:tcW w:w="44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564"/>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58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Net cash provided by (used in):</w:t>
            </w:r>
          </w:p>
        </w:tc>
        <w:tc>
          <w:tcPr>
            <w:tcW w:w="130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121212"/>
              </w:rPr>
              <w:t>Operating activities</w:t>
            </w:r>
          </w:p>
        </w:tc>
        <w:tc>
          <w:tcPr>
            <w:tcW w:w="1300" w:type="dxa"/>
            <w:vAlign w:val="bottom"/>
          </w:tcPr>
          <w:p>
            <w:pPr>
              <w:spacing w:after="0"/>
              <w:rPr>
                <w:sz w:val="19"/>
                <w:szCs w:val="19"/>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(73,462)</w:t>
            </w:r>
          </w:p>
        </w:tc>
        <w:tc>
          <w:tcPr>
            <w:tcW w:w="180" w:type="dxa"/>
            <w:vAlign w:val="bottom"/>
          </w:tcPr>
          <w:p>
            <w:pPr>
              <w:spacing w:after="0"/>
              <w:rPr>
                <w:sz w:val="19"/>
                <w:szCs w:val="19"/>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(42,252)</w:t>
            </w:r>
          </w:p>
        </w:tc>
      </w:tr>
      <w:tr>
        <w:trPr>
          <w:trHeight w:val="230"/>
        </w:trPr>
        <w:tc>
          <w:tcPr>
            <w:tcW w:w="58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Investing activities</w:t>
            </w:r>
          </w:p>
        </w:tc>
        <w:tc>
          <w:tcPr>
            <w:tcW w:w="130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(89)</w:t>
            </w: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(151)</w:t>
            </w:r>
          </w:p>
        </w:tc>
      </w:tr>
      <w:tr>
        <w:trPr>
          <w:trHeight w:val="230"/>
        </w:trPr>
        <w:tc>
          <w:tcPr>
            <w:tcW w:w="58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121212"/>
              </w:rPr>
              <w:t>Financing activities</w:t>
            </w:r>
          </w:p>
        </w:tc>
        <w:tc>
          <w:tcPr>
            <w:tcW w:w="1300" w:type="dxa"/>
            <w:vAlign w:val="bottom"/>
            <w:tcBorders>
              <w:bottom w:val="single" w:sz="8" w:color="E0E0E0"/>
            </w:tcBorders>
          </w:tcPr>
          <w:p>
            <w:pPr>
              <w:spacing w:after="0"/>
              <w:rPr>
                <w:sz w:val="19"/>
                <w:szCs w:val="19"/>
                <w:color w:val="auto"/>
              </w:rPr>
            </w:pPr>
          </w:p>
        </w:tc>
        <w:tc>
          <w:tcPr>
            <w:tcW w:w="340" w:type="dxa"/>
            <w:vAlign w:val="bottom"/>
            <w:tcBorders>
              <w:bottom w:val="single" w:sz="8" w:color="121212"/>
            </w:tcBorders>
          </w:tcPr>
          <w:p>
            <w:pPr>
              <w:spacing w:after="0"/>
              <w:rPr>
                <w:sz w:val="19"/>
                <w:szCs w:val="19"/>
                <w:color w:val="auto"/>
              </w:rPr>
            </w:pPr>
          </w:p>
        </w:tc>
        <w:tc>
          <w:tcPr>
            <w:tcW w:w="1220" w:type="dxa"/>
            <w:vAlign w:val="bottom"/>
            <w:tcBorders>
              <w:bottom w:val="single" w:sz="8" w:color="121212"/>
            </w:tcBorders>
          </w:tcPr>
          <w:p>
            <w:pPr>
              <w:jc w:val="right"/>
              <w:ind w:right="9"/>
              <w:spacing w:after="0"/>
              <w:rPr>
                <w:sz w:val="20"/>
                <w:szCs w:val="20"/>
                <w:color w:val="auto"/>
              </w:rPr>
            </w:pPr>
            <w:r>
              <w:rPr>
                <w:rFonts w:ascii="Times New Roman" w:cs="Times New Roman" w:eastAsia="Times New Roman" w:hAnsi="Times New Roman"/>
                <w:sz w:val="20"/>
                <w:szCs w:val="20"/>
                <w:color w:val="121212"/>
              </w:rPr>
              <w:t>239,379</w:t>
            </w:r>
          </w:p>
        </w:tc>
        <w:tc>
          <w:tcPr>
            <w:tcW w:w="180" w:type="dxa"/>
            <w:vAlign w:val="bottom"/>
            <w:tcBorders>
              <w:bottom w:val="single" w:sz="8" w:color="E0E0E0"/>
            </w:tcBorders>
          </w:tcPr>
          <w:p>
            <w:pPr>
              <w:spacing w:after="0"/>
              <w:rPr>
                <w:sz w:val="19"/>
                <w:szCs w:val="19"/>
                <w:color w:val="auto"/>
              </w:rPr>
            </w:pPr>
          </w:p>
        </w:tc>
        <w:tc>
          <w:tcPr>
            <w:tcW w:w="44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ind w:right="4"/>
              <w:spacing w:after="0"/>
              <w:rPr>
                <w:sz w:val="20"/>
                <w:szCs w:val="20"/>
                <w:color w:val="auto"/>
              </w:rPr>
            </w:pPr>
            <w:r>
              <w:rPr>
                <w:rFonts w:ascii="Times New Roman" w:cs="Times New Roman" w:eastAsia="Times New Roman" w:hAnsi="Times New Roman"/>
                <w:sz w:val="20"/>
                <w:szCs w:val="20"/>
                <w:color w:val="121212"/>
              </w:rPr>
              <w:t>148,978</w:t>
            </w:r>
          </w:p>
        </w:tc>
      </w:tr>
      <w:tr>
        <w:trPr>
          <w:trHeight w:val="220"/>
        </w:trPr>
        <w:tc>
          <w:tcPr>
            <w:tcW w:w="58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Net increase in cash, cash equivalents and restricted cash</w:t>
            </w:r>
          </w:p>
        </w:tc>
        <w:tc>
          <w:tcPr>
            <w:tcW w:w="1300" w:type="dxa"/>
            <w:vAlign w:val="bottom"/>
            <w:shd w:val="clear" w:color="auto" w:fill="E0E0E0"/>
          </w:tcPr>
          <w:p>
            <w:pPr>
              <w:spacing w:after="0"/>
              <w:rPr>
                <w:sz w:val="19"/>
                <w:szCs w:val="19"/>
                <w:color w:val="auto"/>
              </w:rPr>
            </w:pPr>
          </w:p>
        </w:tc>
        <w:tc>
          <w:tcPr>
            <w:tcW w:w="340" w:type="dxa"/>
            <w:vAlign w:val="bottom"/>
            <w:tcBorders>
              <w:bottom w:val="single" w:sz="8" w:color="121212"/>
            </w:tcBorders>
            <w:shd w:val="clear" w:color="auto" w:fill="E0E0E0"/>
          </w:tcPr>
          <w:p>
            <w:pPr>
              <w:jc w:val="right"/>
              <w:ind w:right="14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Borders>
              <w:bottom w:val="single" w:sz="8" w:color="121212"/>
            </w:tcBorders>
            <w:shd w:val="clear" w:color="auto" w:fill="E0E0E0"/>
          </w:tcPr>
          <w:p>
            <w:pPr>
              <w:jc w:val="right"/>
              <w:ind w:right="9"/>
              <w:spacing w:after="0" w:line="220" w:lineRule="exact"/>
              <w:rPr>
                <w:sz w:val="20"/>
                <w:szCs w:val="20"/>
                <w:color w:val="auto"/>
              </w:rPr>
            </w:pPr>
            <w:r>
              <w:rPr>
                <w:rFonts w:ascii="Times New Roman" w:cs="Times New Roman" w:eastAsia="Times New Roman" w:hAnsi="Times New Roman"/>
                <w:sz w:val="20"/>
                <w:szCs w:val="20"/>
                <w:color w:val="121212"/>
              </w:rPr>
              <w:t>165,828</w:t>
            </w:r>
          </w:p>
        </w:tc>
        <w:tc>
          <w:tcPr>
            <w:tcW w:w="180" w:type="dxa"/>
            <w:vAlign w:val="bottom"/>
            <w:shd w:val="clear" w:color="auto" w:fill="E0E0E0"/>
          </w:tcPr>
          <w:p>
            <w:pPr>
              <w:spacing w:after="0"/>
              <w:rPr>
                <w:sz w:val="19"/>
                <w:szCs w:val="19"/>
                <w:color w:val="auto"/>
              </w:rPr>
            </w:pPr>
          </w:p>
        </w:tc>
        <w:tc>
          <w:tcPr>
            <w:tcW w:w="440" w:type="dxa"/>
            <w:vAlign w:val="bottom"/>
            <w:tcBorders>
              <w:bottom w:val="single" w:sz="8" w:color="121212"/>
            </w:tcBorders>
            <w:shd w:val="clear" w:color="auto" w:fill="E0E0E0"/>
          </w:tcPr>
          <w:p>
            <w:pPr>
              <w:jc w:val="right"/>
              <w:ind w:right="24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shd w:val="clear" w:color="auto" w:fill="E0E0E0"/>
          </w:tcPr>
          <w:p>
            <w:pPr>
              <w:jc w:val="right"/>
              <w:ind w:right="4"/>
              <w:spacing w:after="0" w:line="220" w:lineRule="exact"/>
              <w:rPr>
                <w:sz w:val="20"/>
                <w:szCs w:val="20"/>
                <w:color w:val="auto"/>
              </w:rPr>
            </w:pPr>
            <w:r>
              <w:rPr>
                <w:rFonts w:ascii="Times New Roman" w:cs="Times New Roman" w:eastAsia="Times New Roman" w:hAnsi="Times New Roman"/>
                <w:sz w:val="20"/>
                <w:szCs w:val="20"/>
                <w:color w:val="121212"/>
              </w:rPr>
              <w:t>106,575</w:t>
            </w:r>
          </w:p>
        </w:tc>
      </w:tr>
      <w:tr>
        <w:trPr>
          <w:trHeight w:val="20"/>
        </w:trPr>
        <w:tc>
          <w:tcPr>
            <w:tcW w:w="5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Borders>
              <w:bottom w:val="single" w:sz="8" w:color="121212"/>
            </w:tcBorders>
          </w:tcPr>
          <w:p>
            <w:pPr>
              <w:spacing w:after="0" w:line="20" w:lineRule="exact"/>
              <w:rPr>
                <w:sz w:val="1"/>
                <w:szCs w:val="1"/>
                <w:color w:val="auto"/>
              </w:rPr>
            </w:pPr>
          </w:p>
        </w:tc>
        <w:tc>
          <w:tcPr>
            <w:tcW w:w="1220" w:type="dxa"/>
            <w:vAlign w:val="bottom"/>
            <w:tcBorders>
              <w:bottom w:val="single" w:sz="8" w:color="12121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Operating Activities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Our cash flows from operating activities are greatly influenced by our use of cash for operating expenses and working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capital requirements to support our business. We have historically experienced negative cash flows from operating activities as we</w:t>
      </w:r>
    </w:p>
    <w:p>
      <w:pPr>
        <w:sectPr>
          <w:pgSz w:w="12240" w:h="15840" w:orient="portrait"/>
          <w:cols w:equalWidth="0" w:num="1">
            <w:col w:w="10460"/>
          </w:cols>
          <w:pgMar w:left="900" w:top="1068" w:right="880" w:bottom="175"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101</w:t>
      </w:r>
    </w:p>
    <w:p>
      <w:pPr>
        <w:sectPr>
          <w:pgSz w:w="12240" w:h="15840" w:orient="portrait"/>
          <w:cols w:equalWidth="0" w:num="1">
            <w:col w:w="10460"/>
          </w:cols>
          <w:pgMar w:left="900" w:top="1068" w:right="880" w:bottom="175" w:gutter="0" w:footer="0" w:header="0"/>
          <w:type w:val="continuous"/>
        </w:sectPr>
      </w:pPr>
    </w:p>
    <w:bookmarkStart w:id="111" w:name="page112"/>
    <w:bookmarkEnd w:id="111"/>
    <w:p>
      <w:pPr>
        <w:ind w:right="540"/>
        <w:spacing w:after="0" w:line="252" w:lineRule="auto"/>
        <w:rPr>
          <w:sz w:val="20"/>
          <w:szCs w:val="20"/>
          <w:color w:val="auto"/>
        </w:rPr>
      </w:pPr>
      <w:r>
        <w:rPr>
          <w:rFonts w:ascii="Times New Roman" w:cs="Times New Roman" w:eastAsia="Times New Roman" w:hAnsi="Times New Roman"/>
          <w:sz w:val="20"/>
          <w:szCs w:val="20"/>
          <w:color w:val="121212"/>
        </w:rPr>
        <w:t>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7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121212"/>
        </w:rPr>
        <w:t>During the year ended December 31, 2023, net cash used in operating activities of $73.5 million was primarily due to our net loss of $76.4 million and changes in operating assets and liabilities of $3.0 million, offset by non-cash expenses of $5.9 million primarily related to stock-based compensation expense of $5.5 million.</w:t>
      </w:r>
    </w:p>
    <w:p>
      <w:pPr>
        <w:spacing w:after="0" w:line="68"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121212"/>
        </w:rPr>
        <w:t>During the year ended December 31, 2022, net cash used in operating activities of $42.3 million was primarily due to our net loss of $46.8 million, offset by non-cash expenses of $2.4 million and changes in operating assets and liabilities of $2.1 million primarily related to accounts payable and accrued expenses assumed in the merger.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Investing Activities</w:t>
      </w:r>
    </w:p>
    <w:p>
      <w:pPr>
        <w:spacing w:after="0" w:line="118"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121212"/>
        </w:rPr>
        <w:t>During the years ended December 31, 2023 and 2022, net cash used in investing activities was due to purchases of property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Financing Activities</w:t>
      </w:r>
    </w:p>
    <w:p>
      <w:pPr>
        <w:spacing w:after="0" w:line="118"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121212"/>
        </w:rPr>
        <w:t>During the year ended December 31, 2023, net cash provided by financing activities of $239.4 million consisted primarily of net proceeds of $147.9 million from sales of common stock and pre-funded warrants in a public follow-on offering, net proceeds of $62.4 million from sales of common stock and pre-funded warrants in a registered direct offering and aggregate net proceeds of $26.4 million from the at-the-market offerings.</w:t>
      </w:r>
    </w:p>
    <w:p>
      <w:pPr>
        <w:spacing w:after="0" w:line="7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121212"/>
        </w:rPr>
        <w:t>During the year ended December 31, 2022, net cash provided by financing activities of $149.0 million consisted primarily of $97.4 million of net cash proceeds from the completion of the merger with Gemini and $53.5 million of net cash proceeds from the pre-closing financing.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Future Funding Requirements</w:t>
      </w:r>
    </w:p>
    <w:p>
      <w:pPr>
        <w:spacing w:after="0" w:line="12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83" w:lineRule="exact"/>
        <w:rPr>
          <w:sz w:val="20"/>
          <w:szCs w:val="20"/>
          <w:color w:val="auto"/>
        </w:rPr>
      </w:pPr>
    </w:p>
    <w:p>
      <w:pPr>
        <w:ind w:left="720" w:right="20" w:hanging="367"/>
        <w:spacing w:after="0" w:line="276" w:lineRule="auto"/>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the initiation, progress, timing, costs and results of preclinical studies and clinical trials for our product candidates or any future product candidates we may develop;</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the costs, timing and outcome of regulatory review of our product candidates;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changes in laws or regulations applicable to any product candidates we may develop, including but not limited to clinical trial requirements for approvals;</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the cost and timing of obtaining materials to produce adequate product supply for any preclinical or clinical development of any product candidate we may develop;</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the effect of competing technological and market developments;</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our ability to establish and maintain strategic collaborations, licensing or other arrangements and the financial terms of such arrangements;</w:t>
      </w:r>
    </w:p>
    <w:p>
      <w:pPr>
        <w:spacing w:after="0" w:line="64" w:lineRule="exact"/>
        <w:rPr>
          <w:rFonts w:ascii="Arial" w:cs="Arial" w:eastAsia="Arial" w:hAnsi="Arial"/>
          <w:sz w:val="20"/>
          <w:szCs w:val="20"/>
          <w:color w:val="121212"/>
        </w:rPr>
      </w:pPr>
    </w:p>
    <w:p>
      <w:pPr>
        <w:ind w:left="720" w:hanging="367"/>
        <w:spacing w:after="0"/>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the payment or receipt of milestones, royalties and other collaboration-based revenues, if any;</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the costs and timing of future commercialization activities, including product manufacturing, marketing, sales and distribution, for any product candidate we may develop for which we obtain marketing approval;</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the amount and timing of revenue, if any, received from commercial sales of our product candidates for which we receive marketing approval; and</w:t>
      </w:r>
    </w:p>
    <w:p>
      <w:pPr>
        <w:spacing w:after="0" w:line="64"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1"/>
        </w:numPr>
        <w:rPr>
          <w:rFonts w:ascii="Arial" w:cs="Arial" w:eastAsia="Arial" w:hAnsi="Arial"/>
          <w:sz w:val="20"/>
          <w:szCs w:val="20"/>
          <w:color w:val="121212"/>
        </w:rPr>
      </w:pPr>
      <w:r>
        <w:rPr>
          <w:rFonts w:ascii="Times New Roman" w:cs="Times New Roman" w:eastAsia="Times New Roman" w:hAnsi="Times New Roman"/>
          <w:sz w:val="20"/>
          <w:szCs w:val="20"/>
          <w:color w:val="121212"/>
        </w:rPr>
        <w:t>the legal costs involved in prosecuting patent applications and enforcing patent claims and other intellectual property claims.</w:t>
      </w:r>
    </w:p>
    <w:p>
      <w:pPr>
        <w:spacing w:after="0" w:line="5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102</w:t>
      </w:r>
    </w:p>
    <w:p>
      <w:pPr>
        <w:sectPr>
          <w:pgSz w:w="12240" w:h="15840" w:orient="portrait"/>
          <w:cols w:equalWidth="0" w:num="1">
            <w:col w:w="10460"/>
          </w:cols>
          <w:pgMar w:left="900" w:top="930" w:right="880" w:bottom="175" w:gutter="0" w:footer="0" w:header="0"/>
          <w:type w:val="continuous"/>
        </w:sectPr>
      </w:pPr>
    </w:p>
    <w:bookmarkStart w:id="112" w:name="page113"/>
    <w:bookmarkEnd w:id="112"/>
    <w:p>
      <w:pPr>
        <w:jc w:val="both"/>
        <w:ind w:left="7" w:right="20"/>
        <w:spacing w:after="0" w:line="305" w:lineRule="auto"/>
        <w:rPr>
          <w:sz w:val="20"/>
          <w:szCs w:val="20"/>
          <w:color w:val="auto"/>
        </w:rPr>
      </w:pPr>
      <w:r>
        <w:rPr>
          <w:rFonts w:ascii="Times New Roman" w:cs="Times New Roman" w:eastAsia="Times New Roman" w:hAnsi="Times New Roman"/>
          <w:sz w:val="19"/>
          <w:szCs w:val="19"/>
          <w:color w:val="121212"/>
        </w:rPr>
        <w:t>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25" w:lineRule="exact"/>
        <w:rPr>
          <w:sz w:val="20"/>
          <w:szCs w:val="20"/>
          <w:color w:val="auto"/>
        </w:rPr>
      </w:pPr>
    </w:p>
    <w:p>
      <w:pPr>
        <w:jc w:val="both"/>
        <w:ind w:left="7" w:firstLine="490"/>
        <w:spacing w:after="0" w:line="257" w:lineRule="auto"/>
        <w:rPr>
          <w:sz w:val="20"/>
          <w:szCs w:val="20"/>
          <w:color w:val="auto"/>
        </w:rPr>
      </w:pPr>
      <w:r>
        <w:rPr>
          <w:rFonts w:ascii="Times New Roman" w:cs="Times New Roman" w:eastAsia="Times New Roman" w:hAnsi="Times New Roman"/>
          <w:sz w:val="19"/>
          <w:szCs w:val="19"/>
          <w:color w:val="121212"/>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Contractual Obligations and Other Commitments</w:t>
      </w:r>
    </w:p>
    <w:p>
      <w:pPr>
        <w:spacing w:after="0" w:line="120" w:lineRule="exact"/>
        <w:rPr>
          <w:sz w:val="20"/>
          <w:szCs w:val="20"/>
          <w:color w:val="auto"/>
        </w:rPr>
      </w:pPr>
    </w:p>
    <w:p>
      <w:pPr>
        <w:ind w:left="7" w:right="220" w:firstLine="490"/>
        <w:spacing w:after="0" w:line="277" w:lineRule="auto"/>
        <w:rPr>
          <w:sz w:val="20"/>
          <w:szCs w:val="20"/>
          <w:color w:val="auto"/>
        </w:rPr>
      </w:pPr>
      <w:r>
        <w:rPr>
          <w:rFonts w:ascii="Times New Roman" w:cs="Times New Roman" w:eastAsia="Times New Roman" w:hAnsi="Times New Roman"/>
          <w:sz w:val="20"/>
          <w:szCs w:val="20"/>
          <w:color w:val="121212"/>
        </w:rPr>
        <w:t>The following table summarizes our contractual obligations as of December 31, 2023 and the effects that such obligations are expected to have on our liquidity and cash flows in future periods (in thousands):</w:t>
      </w:r>
    </w:p>
    <w:p>
      <w:pPr>
        <w:spacing w:after="0" w:line="15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121212"/>
            </w:tcBorders>
          </w:tcPr>
          <w:p>
            <w:pPr>
              <w:spacing w:after="0"/>
              <w:rPr>
                <w:sz w:val="17"/>
                <w:szCs w:val="17"/>
                <w:color w:val="auto"/>
              </w:rPr>
            </w:pPr>
          </w:p>
        </w:tc>
        <w:tc>
          <w:tcPr>
            <w:tcW w:w="1000" w:type="dxa"/>
            <w:vAlign w:val="bottom"/>
            <w:tcBorders>
              <w:bottom w:val="single" w:sz="8" w:color="121212"/>
            </w:tcBorders>
          </w:tcPr>
          <w:p>
            <w:pPr>
              <w:spacing w:after="0"/>
              <w:rPr>
                <w:sz w:val="17"/>
                <w:szCs w:val="17"/>
                <w:color w:val="auto"/>
              </w:rPr>
            </w:pPr>
          </w:p>
        </w:tc>
        <w:tc>
          <w:tcPr>
            <w:tcW w:w="120" w:type="dxa"/>
            <w:vAlign w:val="bottom"/>
            <w:tcBorders>
              <w:bottom w:val="single" w:sz="8" w:color="121212"/>
            </w:tcBorders>
          </w:tcPr>
          <w:p>
            <w:pPr>
              <w:spacing w:after="0"/>
              <w:rPr>
                <w:sz w:val="17"/>
                <w:szCs w:val="17"/>
                <w:color w:val="auto"/>
              </w:rPr>
            </w:pPr>
          </w:p>
        </w:tc>
        <w:tc>
          <w:tcPr>
            <w:tcW w:w="20" w:type="dxa"/>
            <w:vAlign w:val="bottom"/>
            <w:tcBorders>
              <w:bottom w:val="single" w:sz="8" w:color="121212"/>
            </w:tcBorders>
          </w:tcPr>
          <w:p>
            <w:pPr>
              <w:spacing w:after="0"/>
              <w:rPr>
                <w:sz w:val="17"/>
                <w:szCs w:val="17"/>
                <w:color w:val="auto"/>
              </w:rPr>
            </w:pPr>
          </w:p>
        </w:tc>
        <w:tc>
          <w:tcPr>
            <w:tcW w:w="100" w:type="dxa"/>
            <w:vAlign w:val="bottom"/>
            <w:tcBorders>
              <w:bottom w:val="single" w:sz="8" w:color="121212"/>
            </w:tcBorders>
          </w:tcPr>
          <w:p>
            <w:pPr>
              <w:spacing w:after="0"/>
              <w:rPr>
                <w:sz w:val="17"/>
                <w:szCs w:val="17"/>
                <w:color w:val="auto"/>
              </w:rPr>
            </w:pPr>
          </w:p>
        </w:tc>
        <w:tc>
          <w:tcPr>
            <w:tcW w:w="2560" w:type="dxa"/>
            <w:vAlign w:val="bottom"/>
            <w:tcBorders>
              <w:bottom w:val="single" w:sz="8" w:color="121212"/>
            </w:tcBorders>
            <w:gridSpan w:val="8"/>
          </w:tcPr>
          <w:p>
            <w:pPr>
              <w:jc w:val="center"/>
              <w:ind w:left="592"/>
              <w:spacing w:after="0"/>
              <w:rPr>
                <w:sz w:val="20"/>
                <w:szCs w:val="20"/>
                <w:color w:val="auto"/>
              </w:rPr>
            </w:pPr>
            <w:r>
              <w:rPr>
                <w:rFonts w:ascii="Times New Roman" w:cs="Times New Roman" w:eastAsia="Times New Roman" w:hAnsi="Times New Roman"/>
                <w:sz w:val="16"/>
                <w:szCs w:val="16"/>
                <w:b w:val="1"/>
                <w:bCs w:val="1"/>
                <w:color w:val="121212"/>
                <w:w w:val="99"/>
              </w:rPr>
              <w:t>Payments Due by Period</w:t>
            </w:r>
          </w:p>
        </w:tc>
        <w:tc>
          <w:tcPr>
            <w:tcW w:w="900" w:type="dxa"/>
            <w:vAlign w:val="bottom"/>
            <w:tcBorders>
              <w:bottom w:val="single" w:sz="8" w:color="121212"/>
            </w:tcBorders>
          </w:tcPr>
          <w:p>
            <w:pPr>
              <w:spacing w:after="0"/>
              <w:rPr>
                <w:sz w:val="17"/>
                <w:szCs w:val="17"/>
                <w:color w:val="auto"/>
              </w:rPr>
            </w:pPr>
          </w:p>
        </w:tc>
        <w:tc>
          <w:tcPr>
            <w:tcW w:w="20" w:type="dxa"/>
            <w:vAlign w:val="bottom"/>
            <w:tcBorders>
              <w:bottom w:val="single" w:sz="8" w:color="121212"/>
            </w:tcBorders>
          </w:tcPr>
          <w:p>
            <w:pPr>
              <w:spacing w:after="0"/>
              <w:rPr>
                <w:sz w:val="17"/>
                <w:szCs w:val="17"/>
                <w:color w:val="auto"/>
              </w:rPr>
            </w:pPr>
          </w:p>
        </w:tc>
        <w:tc>
          <w:tcPr>
            <w:tcW w:w="100" w:type="dxa"/>
            <w:vAlign w:val="bottom"/>
            <w:tcBorders>
              <w:bottom w:val="single" w:sz="8" w:color="121212"/>
            </w:tcBorders>
          </w:tcPr>
          <w:p>
            <w:pPr>
              <w:spacing w:after="0"/>
              <w:rPr>
                <w:sz w:val="17"/>
                <w:szCs w:val="17"/>
                <w:color w:val="auto"/>
              </w:rPr>
            </w:pPr>
          </w:p>
        </w:tc>
        <w:tc>
          <w:tcPr>
            <w:tcW w:w="20" w:type="dxa"/>
            <w:vAlign w:val="bottom"/>
            <w:tcBorders>
              <w:bottom w:val="single" w:sz="8" w:color="121212"/>
            </w:tcBorders>
          </w:tcPr>
          <w:p>
            <w:pPr>
              <w:spacing w:after="0"/>
              <w:rPr>
                <w:sz w:val="17"/>
                <w:szCs w:val="17"/>
                <w:color w:val="auto"/>
              </w:rPr>
            </w:pPr>
          </w:p>
        </w:tc>
        <w:tc>
          <w:tcPr>
            <w:tcW w:w="80" w:type="dxa"/>
            <w:vAlign w:val="bottom"/>
            <w:tcBorders>
              <w:bottom w:val="single" w:sz="8" w:color="121212"/>
            </w:tcBorders>
          </w:tcPr>
          <w:p>
            <w:pPr>
              <w:spacing w:after="0"/>
              <w:rPr>
                <w:sz w:val="17"/>
                <w:szCs w:val="17"/>
                <w:color w:val="auto"/>
              </w:rPr>
            </w:pPr>
          </w:p>
        </w:tc>
        <w:tc>
          <w:tcPr>
            <w:tcW w:w="1000" w:type="dxa"/>
            <w:vAlign w:val="bottom"/>
            <w:tcBorders>
              <w:bottom w:val="single" w:sz="8" w:color="121212"/>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327"/>
              <w:spacing w:after="0"/>
              <w:rPr>
                <w:sz w:val="20"/>
                <w:szCs w:val="20"/>
                <w:color w:val="auto"/>
              </w:rPr>
            </w:pPr>
            <w:r>
              <w:rPr>
                <w:rFonts w:ascii="Times New Roman" w:cs="Times New Roman" w:eastAsia="Times New Roman" w:hAnsi="Times New Roman"/>
                <w:sz w:val="16"/>
                <w:szCs w:val="16"/>
                <w:b w:val="1"/>
                <w:bCs w:val="1"/>
                <w:color w:val="121212"/>
              </w:rPr>
              <w:t>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172"/>
              <w:spacing w:after="0" w:line="155" w:lineRule="exact"/>
              <w:rPr>
                <w:sz w:val="20"/>
                <w:szCs w:val="20"/>
                <w:color w:val="auto"/>
              </w:rPr>
            </w:pPr>
            <w:r>
              <w:rPr>
                <w:rFonts w:ascii="Times New Roman" w:cs="Times New Roman" w:eastAsia="Times New Roman" w:hAnsi="Times New Roman"/>
                <w:sz w:val="16"/>
                <w:szCs w:val="16"/>
                <w:b w:val="1"/>
                <w:bCs w:val="1"/>
                <w:color w:val="121212"/>
              </w:rPr>
              <w:t>Less Than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230"/>
              <w:spacing w:after="0" w:line="155" w:lineRule="exact"/>
              <w:rPr>
                <w:sz w:val="20"/>
                <w:szCs w:val="20"/>
                <w:color w:val="auto"/>
              </w:rPr>
            </w:pPr>
            <w:r>
              <w:rPr>
                <w:rFonts w:ascii="Times New Roman" w:cs="Times New Roman" w:eastAsia="Times New Roman" w:hAnsi="Times New Roman"/>
                <w:sz w:val="16"/>
                <w:szCs w:val="16"/>
                <w:b w:val="1"/>
                <w:bCs w:val="1"/>
                <w:color w:val="121212"/>
              </w:rPr>
              <w:t>1 to 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121212"/>
              </w:rPr>
              <w:t>3 to 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110"/>
              <w:spacing w:after="0" w:line="155" w:lineRule="exact"/>
              <w:rPr>
                <w:sz w:val="20"/>
                <w:szCs w:val="20"/>
                <w:color w:val="auto"/>
              </w:rPr>
            </w:pPr>
            <w:r>
              <w:rPr>
                <w:rFonts w:ascii="Times New Roman" w:cs="Times New Roman" w:eastAsia="Times New Roman" w:hAnsi="Times New Roman"/>
                <w:sz w:val="16"/>
                <w:szCs w:val="16"/>
                <w:b w:val="1"/>
                <w:bCs w:val="1"/>
                <w:color w:val="121212"/>
                <w:w w:val="97"/>
              </w:rPr>
              <w:t>More Than</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E0E0E0"/>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121212"/>
            </w:tcBorders>
          </w:tcPr>
          <w:p>
            <w:pPr>
              <w:spacing w:after="0"/>
              <w:rPr>
                <w:sz w:val="17"/>
                <w:szCs w:val="17"/>
                <w:color w:val="auto"/>
              </w:rPr>
            </w:pPr>
          </w:p>
        </w:tc>
        <w:tc>
          <w:tcPr>
            <w:tcW w:w="1000" w:type="dxa"/>
            <w:vAlign w:val="bottom"/>
            <w:tcBorders>
              <w:bottom w:val="single" w:sz="8" w:color="121212"/>
            </w:tcBorders>
            <w:vMerge w:val="continue"/>
          </w:tcPr>
          <w:p>
            <w:pPr>
              <w:spacing w:after="0"/>
              <w:rPr>
                <w:sz w:val="17"/>
                <w:szCs w:val="17"/>
                <w:color w:val="auto"/>
              </w:rPr>
            </w:pP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00" w:type="dxa"/>
            <w:vAlign w:val="bottom"/>
            <w:tcBorders>
              <w:bottom w:val="single" w:sz="8" w:color="121212"/>
            </w:tcBorders>
          </w:tcPr>
          <w:p>
            <w:pPr>
              <w:spacing w:after="0"/>
              <w:rPr>
                <w:sz w:val="17"/>
                <w:szCs w:val="17"/>
                <w:color w:val="auto"/>
              </w:rPr>
            </w:pPr>
          </w:p>
        </w:tc>
        <w:tc>
          <w:tcPr>
            <w:tcW w:w="1000" w:type="dxa"/>
            <w:vAlign w:val="bottom"/>
            <w:tcBorders>
              <w:bottom w:val="single" w:sz="8" w:color="121212"/>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121212"/>
              </w:rPr>
              <w:t>1 Year</w:t>
            </w: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80" w:type="dxa"/>
            <w:vAlign w:val="bottom"/>
            <w:tcBorders>
              <w:bottom w:val="single" w:sz="8" w:color="121212"/>
            </w:tcBorders>
          </w:tcPr>
          <w:p>
            <w:pPr>
              <w:spacing w:after="0"/>
              <w:rPr>
                <w:sz w:val="17"/>
                <w:szCs w:val="17"/>
                <w:color w:val="auto"/>
              </w:rPr>
            </w:pPr>
          </w:p>
        </w:tc>
        <w:tc>
          <w:tcPr>
            <w:tcW w:w="900" w:type="dxa"/>
            <w:vAlign w:val="bottom"/>
            <w:tcBorders>
              <w:bottom w:val="single" w:sz="8" w:color="121212"/>
            </w:tcBorders>
          </w:tcPr>
          <w:p>
            <w:pPr>
              <w:jc w:val="center"/>
              <w:ind w:right="210"/>
              <w:spacing w:after="0"/>
              <w:rPr>
                <w:sz w:val="20"/>
                <w:szCs w:val="20"/>
                <w:color w:val="auto"/>
              </w:rPr>
            </w:pPr>
            <w:r>
              <w:rPr>
                <w:rFonts w:ascii="Times New Roman" w:cs="Times New Roman" w:eastAsia="Times New Roman" w:hAnsi="Times New Roman"/>
                <w:sz w:val="16"/>
                <w:szCs w:val="16"/>
                <w:b w:val="1"/>
                <w:bCs w:val="1"/>
                <w:color w:val="121212"/>
                <w:w w:val="99"/>
              </w:rPr>
              <w:t>Years</w:t>
            </w:r>
          </w:p>
        </w:tc>
        <w:tc>
          <w:tcPr>
            <w:tcW w:w="12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200" w:type="dxa"/>
            <w:vAlign w:val="bottom"/>
            <w:tcBorders>
              <w:bottom w:val="single" w:sz="8" w:color="121212"/>
            </w:tcBorders>
          </w:tcPr>
          <w:p>
            <w:pPr>
              <w:spacing w:after="0"/>
              <w:rPr>
                <w:sz w:val="17"/>
                <w:szCs w:val="17"/>
                <w:color w:val="auto"/>
              </w:rPr>
            </w:pPr>
          </w:p>
        </w:tc>
        <w:tc>
          <w:tcPr>
            <w:tcW w:w="920" w:type="dxa"/>
            <w:vAlign w:val="bottom"/>
            <w:tcBorders>
              <w:bottom w:val="single" w:sz="8" w:color="121212"/>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121212"/>
              </w:rPr>
              <w:t>Years</w:t>
            </w:r>
          </w:p>
        </w:tc>
        <w:tc>
          <w:tcPr>
            <w:tcW w:w="1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80" w:type="dxa"/>
            <w:vAlign w:val="bottom"/>
            <w:tcBorders>
              <w:bottom w:val="single" w:sz="8" w:color="121212"/>
            </w:tcBorders>
          </w:tcPr>
          <w:p>
            <w:pPr>
              <w:spacing w:after="0"/>
              <w:rPr>
                <w:sz w:val="17"/>
                <w:szCs w:val="17"/>
                <w:color w:val="auto"/>
              </w:rPr>
            </w:pPr>
          </w:p>
        </w:tc>
        <w:tc>
          <w:tcPr>
            <w:tcW w:w="1000" w:type="dxa"/>
            <w:vAlign w:val="bottom"/>
            <w:tcBorders>
              <w:bottom w:val="single" w:sz="8" w:color="121212"/>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121212"/>
                <w:w w:val="99"/>
              </w:rPr>
              <w:t>5 Years</w:t>
            </w:r>
          </w:p>
        </w:tc>
        <w:tc>
          <w:tcPr>
            <w:tcW w:w="0" w:type="dxa"/>
            <w:vAlign w:val="bottom"/>
          </w:tcPr>
          <w:p>
            <w:pPr>
              <w:spacing w:after="0"/>
              <w:rPr>
                <w:sz w:val="1"/>
                <w:szCs w:val="1"/>
                <w:color w:val="auto"/>
              </w:rPr>
            </w:pPr>
          </w:p>
        </w:tc>
      </w:tr>
      <w:tr>
        <w:trPr>
          <w:trHeight w:val="220"/>
        </w:trPr>
        <w:tc>
          <w:tcPr>
            <w:tcW w:w="440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19"/>
                <w:szCs w:val="19"/>
                <w:color w:val="121212"/>
              </w:rPr>
              <w:t>Operating lease commitments</w:t>
            </w:r>
            <w:r>
              <w:rPr>
                <w:rFonts w:ascii="Times New Roman" w:cs="Times New Roman" w:eastAsia="Times New Roman" w:hAnsi="Times New Roman"/>
                <w:sz w:val="25"/>
                <w:szCs w:val="25"/>
                <w:color w:val="121212"/>
                <w:vertAlign w:val="superscript"/>
              </w:rPr>
              <w:t>(1)</w:t>
            </w:r>
          </w:p>
        </w:tc>
        <w:tc>
          <w:tcPr>
            <w:tcW w:w="20" w:type="dxa"/>
            <w:vAlign w:val="bottom"/>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121212"/>
                <w:w w:val="70"/>
                <w:shd w:val="clear" w:color="auto" w:fill="E0E0E0"/>
              </w:rPr>
              <w:t>$</w:t>
            </w:r>
          </w:p>
        </w:tc>
        <w:tc>
          <w:tcPr>
            <w:tcW w:w="1000" w:type="dxa"/>
            <w:vAlign w:val="bottom"/>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2,424</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000" w:type="dxa"/>
            <w:vAlign w:val="bottom"/>
            <w:shd w:val="clear" w:color="auto" w:fill="E0E0E0"/>
          </w:tcPr>
          <w:p>
            <w:pPr>
              <w:jc w:val="right"/>
              <w:ind w:right="32"/>
              <w:spacing w:after="0" w:line="220" w:lineRule="exact"/>
              <w:rPr>
                <w:sz w:val="20"/>
                <w:szCs w:val="20"/>
                <w:color w:val="auto"/>
              </w:rPr>
            </w:pPr>
            <w:r>
              <w:rPr>
                <w:rFonts w:ascii="Times New Roman" w:cs="Times New Roman" w:eastAsia="Times New Roman" w:hAnsi="Times New Roman"/>
                <w:sz w:val="20"/>
                <w:szCs w:val="20"/>
                <w:color w:val="121212"/>
              </w:rPr>
              <w:t>845</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7"/>
                <w:szCs w:val="17"/>
                <w:color w:val="121212"/>
                <w:w w:val="70"/>
              </w:rPr>
              <w:t>$</w:t>
            </w:r>
          </w:p>
        </w:tc>
        <w:tc>
          <w:tcPr>
            <w:tcW w:w="900" w:type="dxa"/>
            <w:vAlign w:val="bottom"/>
            <w:shd w:val="clear" w:color="auto" w:fill="E0E0E0"/>
          </w:tcPr>
          <w:p>
            <w:pPr>
              <w:jc w:val="right"/>
              <w:ind w:right="10"/>
              <w:spacing w:after="0" w:line="220" w:lineRule="exact"/>
              <w:rPr>
                <w:sz w:val="20"/>
                <w:szCs w:val="20"/>
                <w:color w:val="auto"/>
              </w:rPr>
            </w:pPr>
            <w:r>
              <w:rPr>
                <w:rFonts w:ascii="Times New Roman" w:cs="Times New Roman" w:eastAsia="Times New Roman" w:hAnsi="Times New Roman"/>
                <w:sz w:val="20"/>
                <w:szCs w:val="20"/>
                <w:color w:val="121212"/>
              </w:rPr>
              <w:t>1,579</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jc w:val="right"/>
              <w:ind w:right="35"/>
              <w:spacing w:after="0"/>
              <w:rPr>
                <w:sz w:val="20"/>
                <w:szCs w:val="20"/>
                <w:color w:val="auto"/>
              </w:rPr>
            </w:pPr>
            <w:r>
              <w:rPr>
                <w:rFonts w:ascii="Times New Roman" w:cs="Times New Roman" w:eastAsia="Times New Roman" w:hAnsi="Times New Roman"/>
                <w:sz w:val="17"/>
                <w:szCs w:val="17"/>
                <w:color w:val="121212"/>
                <w:w w:val="70"/>
              </w:rPr>
              <w:t>$</w:t>
            </w:r>
          </w:p>
        </w:tc>
        <w:tc>
          <w:tcPr>
            <w:tcW w:w="920" w:type="dxa"/>
            <w:vAlign w:val="bottom"/>
            <w:gridSpan w:val="2"/>
            <w:shd w:val="clear" w:color="auto" w:fill="E0E0E0"/>
          </w:tcPr>
          <w:p>
            <w:pPr>
              <w:ind w:left="600"/>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1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000" w:type="dxa"/>
            <w:vAlign w:val="bottom"/>
            <w:shd w:val="clear" w:color="auto" w:fill="E0E0E0"/>
          </w:tcPr>
          <w:p>
            <w:pPr>
              <w:ind w:left="700"/>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20"/>
        </w:trPr>
        <w:tc>
          <w:tcPr>
            <w:tcW w:w="44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21212"/>
              </w:rPr>
              <w:t>Total</w:t>
            </w:r>
          </w:p>
        </w:tc>
        <w:tc>
          <w:tcPr>
            <w:tcW w:w="20" w:type="dxa"/>
            <w:vAlign w:val="bottom"/>
            <w:tcBorders>
              <w:top w:val="single" w:sz="8" w:color="121212"/>
              <w:bottom w:val="single" w:sz="8" w:color="121212"/>
            </w:tcBorders>
          </w:tcPr>
          <w:p>
            <w:pPr>
              <w:spacing w:after="0"/>
              <w:rPr>
                <w:sz w:val="19"/>
                <w:szCs w:val="19"/>
                <w:color w:val="auto"/>
              </w:rPr>
            </w:pPr>
          </w:p>
        </w:tc>
        <w:tc>
          <w:tcPr>
            <w:tcW w:w="100" w:type="dxa"/>
            <w:vAlign w:val="bottom"/>
            <w:tcBorders>
              <w:top w:val="single" w:sz="8" w:color="121212"/>
              <w:bottom w:val="single" w:sz="8" w:color="121212"/>
            </w:tcBorders>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000" w:type="dxa"/>
            <w:vAlign w:val="bottom"/>
            <w:tcBorders>
              <w:top w:val="single" w:sz="8" w:color="121212"/>
              <w:bottom w:val="single" w:sz="8" w:color="121212"/>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2,424</w:t>
            </w:r>
          </w:p>
        </w:tc>
        <w:tc>
          <w:tcPr>
            <w:tcW w:w="120" w:type="dxa"/>
            <w:vAlign w:val="bottom"/>
          </w:tcPr>
          <w:p>
            <w:pPr>
              <w:spacing w:after="0"/>
              <w:rPr>
                <w:sz w:val="19"/>
                <w:szCs w:val="19"/>
                <w:color w:val="auto"/>
              </w:rPr>
            </w:pPr>
          </w:p>
        </w:tc>
        <w:tc>
          <w:tcPr>
            <w:tcW w:w="20" w:type="dxa"/>
            <w:vAlign w:val="bottom"/>
            <w:tcBorders>
              <w:top w:val="single" w:sz="8" w:color="121212"/>
            </w:tcBorders>
          </w:tcPr>
          <w:p>
            <w:pPr>
              <w:spacing w:after="0"/>
              <w:rPr>
                <w:sz w:val="19"/>
                <w:szCs w:val="19"/>
                <w:color w:val="auto"/>
              </w:rPr>
            </w:pPr>
          </w:p>
        </w:tc>
        <w:tc>
          <w:tcPr>
            <w:tcW w:w="100" w:type="dxa"/>
            <w:vAlign w:val="bottom"/>
            <w:tcBorders>
              <w:top w:val="single" w:sz="8" w:color="121212"/>
              <w:bottom w:val="single" w:sz="8" w:color="121212"/>
            </w:tcBorders>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000" w:type="dxa"/>
            <w:vAlign w:val="bottom"/>
            <w:tcBorders>
              <w:top w:val="single" w:sz="8" w:color="121212"/>
              <w:bottom w:val="single" w:sz="8" w:color="121212"/>
            </w:tcBorders>
          </w:tcPr>
          <w:p>
            <w:pPr>
              <w:jc w:val="right"/>
              <w:ind w:right="32"/>
              <w:spacing w:after="0" w:line="220" w:lineRule="exact"/>
              <w:rPr>
                <w:sz w:val="20"/>
                <w:szCs w:val="20"/>
                <w:color w:val="auto"/>
              </w:rPr>
            </w:pPr>
            <w:r>
              <w:rPr>
                <w:rFonts w:ascii="Times New Roman" w:cs="Times New Roman" w:eastAsia="Times New Roman" w:hAnsi="Times New Roman"/>
                <w:sz w:val="20"/>
                <w:szCs w:val="20"/>
                <w:color w:val="121212"/>
              </w:rPr>
              <w:t>845</w:t>
            </w:r>
          </w:p>
        </w:tc>
        <w:tc>
          <w:tcPr>
            <w:tcW w:w="120" w:type="dxa"/>
            <w:vAlign w:val="bottom"/>
          </w:tcPr>
          <w:p>
            <w:pPr>
              <w:spacing w:after="0"/>
              <w:rPr>
                <w:sz w:val="19"/>
                <w:szCs w:val="19"/>
                <w:color w:val="auto"/>
              </w:rPr>
            </w:pPr>
          </w:p>
        </w:tc>
        <w:tc>
          <w:tcPr>
            <w:tcW w:w="20" w:type="dxa"/>
            <w:vAlign w:val="bottom"/>
            <w:tcBorders>
              <w:top w:val="single" w:sz="8" w:color="121212"/>
            </w:tcBorders>
          </w:tcPr>
          <w:p>
            <w:pPr>
              <w:spacing w:after="0"/>
              <w:rPr>
                <w:sz w:val="19"/>
                <w:szCs w:val="19"/>
                <w:color w:val="auto"/>
              </w:rPr>
            </w:pPr>
          </w:p>
        </w:tc>
        <w:tc>
          <w:tcPr>
            <w:tcW w:w="180" w:type="dxa"/>
            <w:vAlign w:val="bottom"/>
            <w:tcBorders>
              <w:top w:val="single" w:sz="8" w:color="121212"/>
              <w:bottom w:val="single" w:sz="8" w:color="121212"/>
            </w:tcBorders>
          </w:tcPr>
          <w:p>
            <w:pPr>
              <w:jc w:val="right"/>
              <w:ind w:right="15"/>
              <w:spacing w:after="0"/>
              <w:rPr>
                <w:sz w:val="20"/>
                <w:szCs w:val="20"/>
                <w:color w:val="auto"/>
              </w:rPr>
            </w:pPr>
            <w:r>
              <w:rPr>
                <w:rFonts w:ascii="Times New Roman" w:cs="Times New Roman" w:eastAsia="Times New Roman" w:hAnsi="Times New Roman"/>
                <w:sz w:val="17"/>
                <w:szCs w:val="17"/>
                <w:color w:val="121212"/>
                <w:w w:val="70"/>
              </w:rPr>
              <w:t>$</w:t>
            </w:r>
          </w:p>
        </w:tc>
        <w:tc>
          <w:tcPr>
            <w:tcW w:w="900" w:type="dxa"/>
            <w:vAlign w:val="bottom"/>
            <w:tcBorders>
              <w:top w:val="single" w:sz="8" w:color="121212"/>
              <w:bottom w:val="single" w:sz="8" w:color="121212"/>
            </w:tcBorders>
          </w:tcPr>
          <w:p>
            <w:pPr>
              <w:jc w:val="right"/>
              <w:ind w:right="10"/>
              <w:spacing w:after="0" w:line="220" w:lineRule="exact"/>
              <w:rPr>
                <w:sz w:val="20"/>
                <w:szCs w:val="20"/>
                <w:color w:val="auto"/>
              </w:rPr>
            </w:pPr>
            <w:r>
              <w:rPr>
                <w:rFonts w:ascii="Times New Roman" w:cs="Times New Roman" w:eastAsia="Times New Roman" w:hAnsi="Times New Roman"/>
                <w:sz w:val="20"/>
                <w:szCs w:val="20"/>
                <w:color w:val="121212"/>
              </w:rPr>
              <w:t>1,579</w:t>
            </w:r>
          </w:p>
        </w:tc>
        <w:tc>
          <w:tcPr>
            <w:tcW w:w="120" w:type="dxa"/>
            <w:vAlign w:val="bottom"/>
          </w:tcPr>
          <w:p>
            <w:pPr>
              <w:spacing w:after="0"/>
              <w:rPr>
                <w:sz w:val="19"/>
                <w:szCs w:val="19"/>
                <w:color w:val="auto"/>
              </w:rPr>
            </w:pPr>
          </w:p>
        </w:tc>
        <w:tc>
          <w:tcPr>
            <w:tcW w:w="20" w:type="dxa"/>
            <w:vAlign w:val="bottom"/>
            <w:tcBorders>
              <w:top w:val="single" w:sz="8" w:color="121212"/>
            </w:tcBorders>
          </w:tcPr>
          <w:p>
            <w:pPr>
              <w:spacing w:after="0"/>
              <w:rPr>
                <w:sz w:val="19"/>
                <w:szCs w:val="19"/>
                <w:color w:val="auto"/>
              </w:rPr>
            </w:pPr>
          </w:p>
        </w:tc>
        <w:tc>
          <w:tcPr>
            <w:tcW w:w="200" w:type="dxa"/>
            <w:vAlign w:val="bottom"/>
            <w:tcBorders>
              <w:top w:val="single" w:sz="8" w:color="121212"/>
              <w:bottom w:val="single" w:sz="8" w:color="121212"/>
            </w:tcBorders>
          </w:tcPr>
          <w:p>
            <w:pPr>
              <w:jc w:val="right"/>
              <w:ind w:right="35"/>
              <w:spacing w:after="0"/>
              <w:rPr>
                <w:sz w:val="20"/>
                <w:szCs w:val="20"/>
                <w:color w:val="auto"/>
              </w:rPr>
            </w:pPr>
            <w:r>
              <w:rPr>
                <w:rFonts w:ascii="Times New Roman" w:cs="Times New Roman" w:eastAsia="Times New Roman" w:hAnsi="Times New Roman"/>
                <w:sz w:val="17"/>
                <w:szCs w:val="17"/>
                <w:color w:val="121212"/>
                <w:w w:val="70"/>
              </w:rPr>
              <w:t>$</w:t>
            </w:r>
          </w:p>
        </w:tc>
        <w:tc>
          <w:tcPr>
            <w:tcW w:w="900" w:type="dxa"/>
            <w:vAlign w:val="bottom"/>
            <w:tcBorders>
              <w:top w:val="single" w:sz="8" w:color="121212"/>
              <w:bottom w:val="single" w:sz="8" w:color="121212"/>
            </w:tcBorders>
          </w:tcPr>
          <w:p>
            <w:pPr>
              <w:ind w:left="600"/>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20" w:type="dxa"/>
            <w:vAlign w:val="bottom"/>
            <w:tcBorders>
              <w:bottom w:val="single" w:sz="8" w:color="121212"/>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121212"/>
            </w:tcBorders>
          </w:tcPr>
          <w:p>
            <w:pPr>
              <w:spacing w:after="0"/>
              <w:rPr>
                <w:sz w:val="19"/>
                <w:szCs w:val="19"/>
                <w:color w:val="auto"/>
              </w:rPr>
            </w:pPr>
          </w:p>
        </w:tc>
        <w:tc>
          <w:tcPr>
            <w:tcW w:w="80" w:type="dxa"/>
            <w:vAlign w:val="bottom"/>
            <w:tcBorders>
              <w:top w:val="single" w:sz="8" w:color="121212"/>
              <w:bottom w:val="single" w:sz="8" w:color="121212"/>
            </w:tcBorders>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000" w:type="dxa"/>
            <w:vAlign w:val="bottom"/>
            <w:tcBorders>
              <w:top w:val="single" w:sz="8" w:color="121212"/>
              <w:bottom w:val="single" w:sz="8" w:color="121212"/>
            </w:tcBorders>
          </w:tcPr>
          <w:p>
            <w:pPr>
              <w:ind w:left="700"/>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121212"/>
            </w:tcBorders>
          </w:tcPr>
          <w:p>
            <w:pPr>
              <w:spacing w:after="0" w:line="20" w:lineRule="exact"/>
              <w:rPr>
                <w:sz w:val="1"/>
                <w:szCs w:val="1"/>
                <w:color w:val="auto"/>
              </w:rPr>
            </w:pPr>
          </w:p>
        </w:tc>
        <w:tc>
          <w:tcPr>
            <w:tcW w:w="1000" w:type="dxa"/>
            <w:vAlign w:val="bottom"/>
            <w:tcBorders>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121212"/>
            </w:tcBorders>
          </w:tcPr>
          <w:p>
            <w:pPr>
              <w:spacing w:after="0" w:line="20" w:lineRule="exact"/>
              <w:rPr>
                <w:sz w:val="1"/>
                <w:szCs w:val="1"/>
                <w:color w:val="auto"/>
              </w:rPr>
            </w:pPr>
          </w:p>
        </w:tc>
        <w:tc>
          <w:tcPr>
            <w:tcW w:w="1000" w:type="dxa"/>
            <w:vAlign w:val="bottom"/>
            <w:tcBorders>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900" w:type="dxa"/>
            <w:vAlign w:val="bottom"/>
            <w:tcBorders>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121212"/>
            </w:tcBorders>
          </w:tcPr>
          <w:p>
            <w:pPr>
              <w:spacing w:after="0" w:line="20" w:lineRule="exact"/>
              <w:rPr>
                <w:sz w:val="1"/>
                <w:szCs w:val="1"/>
                <w:color w:val="auto"/>
              </w:rPr>
            </w:pPr>
          </w:p>
        </w:tc>
        <w:tc>
          <w:tcPr>
            <w:tcW w:w="900" w:type="dxa"/>
            <w:vAlign w:val="bottom"/>
            <w:tcBorders>
              <w:bottom w:val="single" w:sz="8" w:color="121212"/>
            </w:tcBorders>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121212"/>
            </w:tcBorders>
          </w:tcPr>
          <w:p>
            <w:pPr>
              <w:spacing w:after="0" w:line="20" w:lineRule="exact"/>
              <w:rPr>
                <w:sz w:val="1"/>
                <w:szCs w:val="1"/>
                <w:color w:val="auto"/>
              </w:rPr>
            </w:pPr>
          </w:p>
        </w:tc>
        <w:tc>
          <w:tcPr>
            <w:tcW w:w="1000" w:type="dxa"/>
            <w:vAlign w:val="bottom"/>
            <w:tcBorders>
              <w:bottom w:val="single" w:sz="8" w:color="12121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 w:right="320" w:hanging="7"/>
        <w:spacing w:after="0" w:line="257" w:lineRule="auto"/>
        <w:tabs>
          <w:tab w:leader="none" w:pos="234" w:val="left"/>
        </w:tabs>
        <w:numPr>
          <w:ilvl w:val="0"/>
          <w:numId w:val="52"/>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Amounts reflect payments due for our leased and subleased office spaces in Watertown, Massachusetts as of December 31, 2023. The lease terms began in November 2021 and June 2023, and both end in November 2026.</w:t>
      </w:r>
    </w:p>
    <w:p>
      <w:pPr>
        <w:spacing w:after="0" w:line="74" w:lineRule="exact"/>
        <w:rPr>
          <w:sz w:val="20"/>
          <w:szCs w:val="20"/>
          <w:color w:val="auto"/>
        </w:rPr>
      </w:pPr>
    </w:p>
    <w:p>
      <w:pPr>
        <w:jc w:val="both"/>
        <w:ind w:left="7" w:firstLine="490"/>
        <w:spacing w:after="0" w:line="247" w:lineRule="auto"/>
        <w:rPr>
          <w:sz w:val="20"/>
          <w:szCs w:val="20"/>
          <w:color w:val="auto"/>
        </w:rPr>
      </w:pPr>
      <w:r>
        <w:rPr>
          <w:rFonts w:ascii="Times New Roman" w:cs="Times New Roman" w:eastAsia="Times New Roman" w:hAnsi="Times New Roman"/>
          <w:sz w:val="20"/>
          <w:szCs w:val="20"/>
          <w:color w:val="121212"/>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80" w:lineRule="exact"/>
        <w:rPr>
          <w:sz w:val="20"/>
          <w:szCs w:val="20"/>
          <w:color w:val="auto"/>
        </w:rPr>
      </w:pPr>
    </w:p>
    <w:p>
      <w:pPr>
        <w:jc w:val="both"/>
        <w:ind w:left="7" w:firstLine="490"/>
        <w:spacing w:after="0" w:line="247" w:lineRule="auto"/>
        <w:rPr>
          <w:sz w:val="20"/>
          <w:szCs w:val="20"/>
          <w:color w:val="auto"/>
        </w:rPr>
      </w:pPr>
      <w:r>
        <w:rPr>
          <w:rFonts w:ascii="Times New Roman" w:cs="Times New Roman" w:eastAsia="Times New Roman" w:hAnsi="Times New Roman"/>
          <w:sz w:val="20"/>
          <w:szCs w:val="20"/>
          <w:color w:val="121212"/>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consolidated financial statements.</w:t>
      </w:r>
    </w:p>
    <w:p>
      <w:pPr>
        <w:spacing w:after="0" w:line="19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21212"/>
        </w:rPr>
        <w:t>Critical Accounting Policies and Estimates</w:t>
      </w:r>
    </w:p>
    <w:p>
      <w:pPr>
        <w:spacing w:after="0" w:line="124" w:lineRule="exact"/>
        <w:rPr>
          <w:sz w:val="20"/>
          <w:szCs w:val="20"/>
          <w:color w:val="auto"/>
        </w:rPr>
      </w:pPr>
    </w:p>
    <w:p>
      <w:pPr>
        <w:ind w:left="7" w:right="20" w:firstLine="490"/>
        <w:spacing w:after="0" w:line="245" w:lineRule="auto"/>
        <w:rPr>
          <w:sz w:val="20"/>
          <w:szCs w:val="20"/>
          <w:color w:val="auto"/>
        </w:rPr>
      </w:pPr>
      <w:r>
        <w:rPr>
          <w:rFonts w:ascii="Times New Roman" w:cs="Times New Roman" w:eastAsia="Times New Roman" w:hAnsi="Times New Roman"/>
          <w:sz w:val="20"/>
          <w:szCs w:val="20"/>
          <w:color w:val="121212"/>
        </w:rPr>
        <w:t>Our management’s discussion and analysis of our financial condition and results of operations is based on our consolidated financial statements, which have been prepared in accordance with U.S. generally accepted accounting principles, or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2" w:lineRule="exact"/>
        <w:rPr>
          <w:sz w:val="20"/>
          <w:szCs w:val="20"/>
          <w:color w:val="auto"/>
        </w:rPr>
      </w:pPr>
    </w:p>
    <w:p>
      <w:pPr>
        <w:jc w:val="both"/>
        <w:ind w:left="7" w:right="40" w:firstLine="490"/>
        <w:spacing w:after="0" w:line="258" w:lineRule="auto"/>
        <w:rPr>
          <w:sz w:val="20"/>
          <w:szCs w:val="20"/>
          <w:color w:val="auto"/>
        </w:rPr>
      </w:pPr>
      <w:r>
        <w:rPr>
          <w:rFonts w:ascii="Times New Roman" w:cs="Times New Roman" w:eastAsia="Times New Roman" w:hAnsi="Times New Roman"/>
          <w:sz w:val="20"/>
          <w:szCs w:val="20"/>
          <w:color w:val="121212"/>
        </w:rPr>
        <w:t>While our significant accounting policies are described in more detail in Note 2 to our consolidated financial statements, we believe that the following accounting policies are those most critical to the judgments and estimates used in the preparation of our consolidated financial statements.</w:t>
      </w:r>
    </w:p>
    <w:p>
      <w:pPr>
        <w:spacing w:after="0" w:line="1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Research and Development Contract Costs and Accruals</w:t>
      </w:r>
    </w:p>
    <w:p>
      <w:pPr>
        <w:spacing w:after="0" w:line="120" w:lineRule="exact"/>
        <w:rPr>
          <w:sz w:val="20"/>
          <w:szCs w:val="20"/>
          <w:color w:val="auto"/>
        </w:rPr>
      </w:pPr>
    </w:p>
    <w:p>
      <w:pPr>
        <w:jc w:val="both"/>
        <w:ind w:left="7" w:right="60" w:firstLine="490"/>
        <w:spacing w:after="0" w:line="277" w:lineRule="auto"/>
        <w:rPr>
          <w:sz w:val="20"/>
          <w:szCs w:val="20"/>
          <w:color w:val="auto"/>
        </w:rPr>
      </w:pPr>
      <w:r>
        <w:rPr>
          <w:rFonts w:ascii="Times New Roman" w:cs="Times New Roman" w:eastAsia="Times New Roman" w:hAnsi="Times New Roman"/>
          <w:sz w:val="20"/>
          <w:szCs w:val="20"/>
          <w:color w:val="121212"/>
        </w:rPr>
        <w:t>As part of the process of preparing our consolidated financial statements, we are required to estimate our accrued and prepaid research and development expenses. This process involves reviewing open contracts and purchase orders, communicating</w:t>
      </w:r>
    </w:p>
    <w:p>
      <w:pPr>
        <w:sectPr>
          <w:pgSz w:w="12240" w:h="15840" w:orient="portrait"/>
          <w:cols w:equalWidth="0" w:num="1">
            <w:col w:w="10467"/>
          </w:cols>
          <w:pgMar w:left="893" w:top="930" w:right="880" w:bottom="175" w:gutter="0" w:footer="0" w:header="0"/>
        </w:sectPr>
      </w:pPr>
    </w:p>
    <w:p>
      <w:pPr>
        <w:spacing w:after="0" w:line="27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21212"/>
        </w:rPr>
        <w:t>103</w:t>
      </w:r>
    </w:p>
    <w:p>
      <w:pPr>
        <w:sectPr>
          <w:pgSz w:w="12240" w:h="15840" w:orient="portrait"/>
          <w:cols w:equalWidth="0" w:num="1">
            <w:col w:w="10467"/>
          </w:cols>
          <w:pgMar w:left="893" w:top="930" w:right="880" w:bottom="175" w:gutter="0" w:footer="0" w:header="0"/>
          <w:type w:val="continuous"/>
        </w:sectPr>
      </w:pPr>
    </w:p>
    <w:bookmarkStart w:id="113" w:name="page114"/>
    <w:bookmarkEnd w:id="113"/>
    <w:p>
      <w:pPr>
        <w:ind w:right="40"/>
        <w:spacing w:after="0" w:line="246" w:lineRule="auto"/>
        <w:rPr>
          <w:sz w:val="20"/>
          <w:szCs w:val="20"/>
          <w:color w:val="auto"/>
        </w:rPr>
      </w:pPr>
      <w:r>
        <w:rPr>
          <w:rFonts w:ascii="Times New Roman" w:cs="Times New Roman" w:eastAsia="Times New Roman" w:hAnsi="Times New Roman"/>
          <w:sz w:val="20"/>
          <w:szCs w:val="20"/>
          <w:color w:val="121212"/>
        </w:rPr>
        <w:t>with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makes adjustments, if necessary. Examples of estimated accrued research and development expenses include fees paid to:</w:t>
      </w:r>
    </w:p>
    <w:p>
      <w:pPr>
        <w:spacing w:after="0" w:line="94" w:lineRule="exact"/>
        <w:rPr>
          <w:sz w:val="20"/>
          <w:szCs w:val="20"/>
          <w:color w:val="auto"/>
        </w:rPr>
      </w:pPr>
    </w:p>
    <w:p>
      <w:pPr>
        <w:ind w:left="720" w:hanging="367"/>
        <w:spacing w:after="0"/>
        <w:tabs>
          <w:tab w:leader="none" w:pos="720" w:val="left"/>
        </w:tabs>
        <w:numPr>
          <w:ilvl w:val="0"/>
          <w:numId w:val="53"/>
        </w:numPr>
        <w:rPr>
          <w:rFonts w:ascii="Arial" w:cs="Arial" w:eastAsia="Arial" w:hAnsi="Arial"/>
          <w:sz w:val="20"/>
          <w:szCs w:val="20"/>
          <w:color w:val="121212"/>
        </w:rPr>
      </w:pPr>
      <w:r>
        <w:rPr>
          <w:rFonts w:ascii="Times New Roman" w:cs="Times New Roman" w:eastAsia="Times New Roman" w:hAnsi="Times New Roman"/>
          <w:sz w:val="20"/>
          <w:szCs w:val="20"/>
          <w:color w:val="121212"/>
        </w:rPr>
        <w:t>vendors in connection with preclinical development activities;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3"/>
        </w:numPr>
        <w:rPr>
          <w:rFonts w:ascii="Arial" w:cs="Arial" w:eastAsia="Arial" w:hAnsi="Arial"/>
          <w:sz w:val="20"/>
          <w:szCs w:val="20"/>
          <w:color w:val="121212"/>
        </w:rPr>
      </w:pPr>
      <w:r>
        <w:rPr>
          <w:rFonts w:ascii="Times New Roman" w:cs="Times New Roman" w:eastAsia="Times New Roman" w:hAnsi="Times New Roman"/>
          <w:sz w:val="20"/>
          <w:szCs w:val="20"/>
          <w:color w:val="121212"/>
        </w:rPr>
        <w:t>CROs and investigative sites in connection with preclinical studies and clinical trials; and</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3"/>
        </w:numPr>
        <w:rPr>
          <w:rFonts w:ascii="Arial" w:cs="Arial" w:eastAsia="Arial" w:hAnsi="Arial"/>
          <w:sz w:val="20"/>
          <w:szCs w:val="20"/>
          <w:color w:val="121212"/>
        </w:rPr>
      </w:pPr>
      <w:r>
        <w:rPr>
          <w:rFonts w:ascii="Times New Roman" w:cs="Times New Roman" w:eastAsia="Times New Roman" w:hAnsi="Times New Roman"/>
          <w:sz w:val="20"/>
          <w:szCs w:val="20"/>
          <w:color w:val="121212"/>
        </w:rPr>
        <w:t>CDMOs in connection with the production of preclinical study and clinical trial materials.</w:t>
      </w:r>
    </w:p>
    <w:p>
      <w:pPr>
        <w:spacing w:after="0" w:line="11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121212"/>
        </w:rPr>
        <w:t>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Fair Value of Derivative Liability</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In May 2021, we entered into a license agreement (the “Roche Agreement”) with F. Hoffmann-La Roche Ltd. and Hoffmann-La Roche Inc. (together, “Roche”) pursuant to which Roche granted us an exclusive and sublicensable worldwide license under certain patent rights and know-how to develop, manufacture and commercialize certain compounds (the “Compounds”) as further described in Note 8. We recognized a liability in connection with the Roche Agreement which included an obligation to issue a variable number of shares of our common stock to Roche for no additional consideration upon our completion of an initial public offering or certain merger transactions (a “Roche Qualified Transaction”). Prior to settlement in Q4 2022, the fair value measurement of the derivative liability was classified as Level 3 under the fair value hierarchy as it was valued using certain unobservable inputs. These inputs included: (1) our estimated shares outstanding and fair value per share upon completion of a Roche Qualified Transaction and (2) the probability of us completing a Roche Qualified Transaction.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We remeasured the derivative liability based on the stock price of its publicly-traded common stock on December 29, 2022. The change in the fair value for the period was recorded in the consolidated statements of operations and comprehensive loss in the change in fair value of derivative liability. Upon completion of the merger, we issued 482,313 shares of common stock to Roche, thereby settling the derivative liability, with the fair value of the common stock at the time of issuance recorded as additional paid-in capital.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Stock-Based Compensation Expense</w:t>
      </w:r>
    </w:p>
    <w:p>
      <w:pPr>
        <w:spacing w:after="0" w:line="12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121212"/>
        </w:rPr>
        <w:t>We measure stock-based awards granted to employees, directors, and nonemployees based on their fair value on the date of the grant and recognize compensation expense for those awards over the requisite service period, which is generally the vesting period of the respective award. For stock-based awards with service-based vesting conditions, we recognize compensation expense using the straight-line method. For stock-based awards with performance-based vesting conditions, we use the accelerated attribution method to expense the awards over the implicit service period based on the probability of achieving the performance conditions. The fair value of each stock option grant is estimated on the date of grant using the Black-Scholes option-pricing model, which requires inputs based on certain subjective assumptions, including the fair value of our common stock, the expected stock price volatility, the expected term of the option, the risk-free interest rate for a period that approximates the expected term of the option, and the expected dividend yield. Due to the lack of company-specific historical and implied volatility data, we determine the volatility for awards granted based on an analysis of reported data for a group of guideline companies that issued options with substantially similar terms. The expected volatility has been determined using a weighted average of the historical volatility measures of this group of guideline companies. We expect to continue to do so until such time that we have adequate historical data regarding the volatility of our own traded stock price. The expected term of our stock options granted to employees has been determined utilizing the “simplified” method for awards that qualify as “plain-vanilla” options, using the average between the vesting date and the contractual term. The fair value of each restricted common stock award is estimated on the date of grant based on the estimated fair value of our common stock on the date of grant.</w:t>
      </w:r>
    </w:p>
    <w:p>
      <w:pPr>
        <w:sectPr>
          <w:pgSz w:w="12240" w:h="15840" w:orient="portrait"/>
          <w:cols w:equalWidth="0" w:num="1">
            <w:col w:w="10420"/>
          </w:cols>
          <w:pgMar w:left="900" w:top="930"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21212"/>
        </w:rPr>
        <w:t>104</w:t>
      </w:r>
    </w:p>
    <w:p>
      <w:pPr>
        <w:sectPr>
          <w:pgSz w:w="12240" w:h="15840" w:orient="portrait"/>
          <w:cols w:equalWidth="0" w:num="1">
            <w:col w:w="10420"/>
          </w:cols>
          <w:pgMar w:left="900" w:top="930" w:right="920" w:bottom="175"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i w:val="1"/>
          <w:iCs w:val="1"/>
          <w:color w:val="121212"/>
        </w:rPr>
        <w:t>Determination of the Fair Value of Common Stock</w:t>
      </w:r>
    </w:p>
    <w:p>
      <w:pPr>
        <w:spacing w:after="0" w:line="118"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121212"/>
        </w:rPr>
        <w:t xml:space="preserve">Prior to the merger closing, the estimated fair value of our common stock had been determined by our board of directors as of the date of each option grant with input from management, considering our most recently available third-party valuation of common stock, and our board of directors’ assessment of additional objective and subjective factors that we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20"/>
          <w:szCs w:val="20"/>
          <w:i w:val="1"/>
          <w:iCs w:val="1"/>
          <w:color w:val="121212"/>
        </w:rPr>
        <w:t>Valuation of Privately-Held-Company Equity Securities Issued as Compensation</w:t>
      </w:r>
      <w:r>
        <w:rPr>
          <w:rFonts w:ascii="Times New Roman" w:cs="Times New Roman" w:eastAsia="Times New Roman" w:hAnsi="Times New Roman"/>
          <w:sz w:val="20"/>
          <w:szCs w:val="20"/>
          <w:color w:val="121212"/>
        </w:rPr>
        <w:t>.</w:t>
      </w:r>
    </w:p>
    <w:p>
      <w:pPr>
        <w:spacing w:after="0" w:line="8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21212"/>
        </w:rPr>
        <w:t>Our common stock valuations were prepared using either an option pricing method, or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21212"/>
        </w:rPr>
        <w:t>The hybrid method is a probability-weighted expected return method, or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w:t>
      </w:r>
    </w:p>
    <w:p>
      <w:pPr>
        <w:spacing w:after="0" w:line="8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121212"/>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stock-based compensation expense could be materially different.</w:t>
      </w:r>
    </w:p>
    <w:p>
      <w:pPr>
        <w:spacing w:after="0" w:line="7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121212"/>
        </w:rPr>
        <w:t>Upon closing of the merger,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Recently Issued and Adopted Accounting Pronouncements</w:t>
      </w:r>
    </w:p>
    <w:p>
      <w:pPr>
        <w:spacing w:after="0" w:line="124"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21212"/>
        </w:rPr>
        <w:t>A description of recently issued and certain recently adopted accounting pronouncements that have or may potentially impact our financial position and results of operations is included in Note 2 to our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Emerging Growth Company and Smaller Reporting Company Status</w:t>
      </w:r>
    </w:p>
    <w:p>
      <w:pPr>
        <w:spacing w:after="0" w:line="124"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which occurred in August 2020,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83"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Additionally, we are a “smaller reporting company” as defined in Item 10(f)(1) of Regulation S-K. Smaller reporting companies may take advantage of certain reduced disclosure obligations, including, among other things, providing only two years of audited financial statements.</w:t>
      </w:r>
    </w:p>
    <w:p>
      <w:pPr>
        <w:sectPr>
          <w:pgSz w:w="12240" w:h="15840" w:orient="portrait"/>
          <w:cols w:equalWidth="0" w:num="1">
            <w:col w:w="10460"/>
          </w:cols>
          <w:pgMar w:left="900" w:top="932"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105</w:t>
      </w:r>
    </w:p>
    <w:p>
      <w:pPr>
        <w:sectPr>
          <w:pgSz w:w="12240" w:h="15840" w:orient="portrait"/>
          <w:cols w:equalWidth="0" w:num="1">
            <w:col w:w="10460"/>
          </w:cols>
          <w:pgMar w:left="900" w:top="932" w:right="880" w:bottom="175"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121212"/>
        </w:rPr>
        <w:t>Item 7A. Quantitative and Qualitative Disclosures About Market Risk.</w:t>
      </w:r>
    </w:p>
    <w:p>
      <w:pPr>
        <w:spacing w:after="0" w:line="12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121212"/>
        </w:rPr>
        <w:t>As of December 31, 2023 and 2022, we had cash and cash equivalents of $360.4 million and $194.6 million, respectively, which consisted of cash, money market funds and U.S. treasury notes.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spacing w:after="0" w:line="74" w:lineRule="exact"/>
        <w:rPr>
          <w:sz w:val="20"/>
          <w:szCs w:val="20"/>
          <w:color w:val="auto"/>
        </w:rPr>
      </w:pPr>
    </w:p>
    <w:p>
      <w:pPr>
        <w:jc w:val="both"/>
        <w:ind w:firstLine="490"/>
        <w:spacing w:after="0" w:line="270" w:lineRule="auto"/>
        <w:rPr>
          <w:sz w:val="20"/>
          <w:szCs w:val="20"/>
          <w:color w:val="auto"/>
        </w:rPr>
      </w:pPr>
      <w:r>
        <w:rPr>
          <w:rFonts w:ascii="Times New Roman" w:cs="Times New Roman" w:eastAsia="Times New Roman" w:hAnsi="Times New Roman"/>
          <w:sz w:val="19"/>
          <w:szCs w:val="19"/>
          <w:color w:val="121212"/>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57"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121212"/>
        </w:rPr>
        <w:t>Inflation generally affects us by increasing our cost of labor and contract research. We do not believe that inflation had a material effect on our business, financial condition or results of operations during the twelve months ended December 31, 2023 and 2022.</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106</w:t>
      </w:r>
    </w:p>
    <w:p>
      <w:pPr>
        <w:sectPr>
          <w:pgSz w:w="12240" w:h="15840" w:orient="portrait"/>
          <w:cols w:equalWidth="0" w:num="1">
            <w:col w:w="10460"/>
          </w:cols>
          <w:pgMar w:left="900" w:top="926" w:right="880" w:bottom="175" w:gutter="0" w:footer="0" w:header="0"/>
          <w:type w:val="continuous"/>
        </w:sectPr>
      </w:pPr>
    </w:p>
    <w:bookmarkStart w:id="116" w:name="page117"/>
    <w:bookmarkEnd w:id="116"/>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8.</w:t>
      </w:r>
      <w:r>
        <w:rPr>
          <w:sz w:val="20"/>
          <w:szCs w:val="20"/>
          <w:color w:val="auto"/>
        </w:rPr>
        <w:tab/>
      </w:r>
      <w:r>
        <w:rPr>
          <w:rFonts w:ascii="Times New Roman" w:cs="Times New Roman" w:eastAsia="Times New Roman" w:hAnsi="Times New Roman"/>
          <w:sz w:val="20"/>
          <w:szCs w:val="20"/>
          <w:b w:val="1"/>
          <w:bCs w:val="1"/>
          <w:color w:val="121212"/>
        </w:rPr>
        <w:t>CONSOLIDATED FINANCIAL STATEMENTS AND SUPPLEMENTARY DATA</w:t>
      </w:r>
    </w:p>
    <w:p>
      <w:pPr>
        <w:spacing w:after="0" w:line="24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121212"/>
        </w:rPr>
        <w:t>DISC MEDICINE, INC.</w:t>
      </w:r>
    </w:p>
    <w:p>
      <w:pPr>
        <w:spacing w:after="0" w:line="24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121212"/>
        </w:rPr>
        <w:t>Index to Consolidated Financial Statements</w:t>
      </w:r>
    </w:p>
    <w:p>
      <w:pPr>
        <w:spacing w:after="0" w:line="234"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6"/>
          <w:szCs w:val="16"/>
          <w:b w:val="1"/>
          <w:bCs w:val="1"/>
          <w:color w:val="121212"/>
        </w:rPr>
        <w:t>Page(s)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6163945</wp:posOffset>
                </wp:positionH>
                <wp:positionV relativeFrom="paragraph">
                  <wp:posOffset>15240</wp:posOffset>
                </wp:positionV>
                <wp:extent cx="46355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0" cy="4763"/>
                        </a:xfrm>
                        <a:prstGeom prst="line">
                          <a:avLst/>
                        </a:prstGeom>
                        <a:solidFill>
                          <a:srgbClr val="FFFFFF"/>
                        </a:solidFill>
                        <a:ln w="6350">
                          <a:solidFill>
                            <a:srgbClr val="121212"/>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35pt,1.2pt" to="521.85pt,1.2pt" o:allowincell="f" strokecolor="#121212" strokeweight="0.5pt"/>
            </w:pict>
          </mc:Fallback>
        </mc:AlternateContent>
      </w:r>
    </w:p>
    <w:p>
      <w:pPr>
        <w:spacing w:after="0" w:line="17" w:lineRule="exact"/>
        <w:rPr>
          <w:sz w:val="20"/>
          <w:szCs w:val="20"/>
          <w:color w:val="auto"/>
        </w:rPr>
      </w:pP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Report of Independent Registered Public Accounting Firm (PCAOB ID: 42)</w:t>
      </w:r>
      <w:r>
        <w:rPr>
          <w:sz w:val="20"/>
          <w:szCs w:val="20"/>
          <w:color w:val="auto"/>
        </w:rPr>
        <w:tab/>
      </w:r>
      <w:r>
        <w:rPr>
          <w:rFonts w:ascii="Times New Roman" w:cs="Times New Roman" w:eastAsia="Times New Roman" w:hAnsi="Times New Roman"/>
          <w:sz w:val="20"/>
          <w:szCs w:val="20"/>
          <w:color w:val="121212"/>
        </w:rPr>
        <w:t>108</w:t>
      </w:r>
    </w:p>
    <w:p>
      <w:pPr>
        <w:spacing w:after="0" w:line="1" w:lineRule="exact"/>
        <w:rPr>
          <w:sz w:val="20"/>
          <w:szCs w:val="20"/>
          <w:color w:val="auto"/>
        </w:rPr>
      </w:pP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121212"/>
        </w:rPr>
        <w:t>109</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Operations and Comprehensive Loss</w:t>
      </w:r>
      <w:r>
        <w:rPr>
          <w:sz w:val="20"/>
          <w:szCs w:val="20"/>
          <w:color w:val="auto"/>
        </w:rPr>
        <w:tab/>
      </w:r>
      <w:r>
        <w:rPr>
          <w:rFonts w:ascii="Times New Roman" w:cs="Times New Roman" w:eastAsia="Times New Roman" w:hAnsi="Times New Roman"/>
          <w:sz w:val="20"/>
          <w:szCs w:val="20"/>
          <w:color w:val="121212"/>
        </w:rPr>
        <w:t>110</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Preferred Stock and Stockholders’ Equity (Deficit)</w:t>
      </w:r>
      <w:r>
        <w:rPr>
          <w:sz w:val="20"/>
          <w:szCs w:val="20"/>
          <w:color w:val="auto"/>
        </w:rPr>
        <w:tab/>
      </w:r>
      <w:r>
        <w:rPr>
          <w:rFonts w:ascii="Times New Roman" w:cs="Times New Roman" w:eastAsia="Times New Roman" w:hAnsi="Times New Roman"/>
          <w:sz w:val="20"/>
          <w:szCs w:val="20"/>
          <w:color w:val="121212"/>
        </w:rPr>
        <w:t>111</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121212"/>
        </w:rPr>
        <w:t>112</w:t>
      </w:r>
    </w:p>
    <w:p>
      <w:pPr>
        <w:spacing w:after="0"/>
        <w:tabs>
          <w:tab w:leader="dot" w:pos="1012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121212"/>
        </w:rPr>
        <w:t>113</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107</w:t>
      </w:r>
    </w:p>
    <w:p>
      <w:pPr>
        <w:sectPr>
          <w:pgSz w:w="12240" w:h="15840" w:orient="portrait"/>
          <w:cols w:equalWidth="0" w:num="1">
            <w:col w:w="10440"/>
          </w:cols>
          <w:pgMar w:left="900" w:top="926" w:right="900" w:bottom="175" w:gutter="0" w:footer="0" w:header="0"/>
          <w:type w:val="continuous"/>
        </w:sectPr>
      </w:pPr>
    </w:p>
    <w:bookmarkStart w:id="117" w:name="page118"/>
    <w:bookmarkEnd w:id="117"/>
    <w:p>
      <w:pPr>
        <w:ind w:left="2720"/>
        <w:spacing w:after="0"/>
        <w:rPr>
          <w:sz w:val="20"/>
          <w:szCs w:val="20"/>
          <w:color w:val="auto"/>
        </w:rPr>
      </w:pPr>
      <w:r>
        <w:rPr>
          <w:rFonts w:ascii="Times New Roman" w:cs="Times New Roman" w:eastAsia="Times New Roman" w:hAnsi="Times New Roman"/>
          <w:sz w:val="20"/>
          <w:szCs w:val="20"/>
          <w:b w:val="1"/>
          <w:bCs w:val="1"/>
          <w:color w:val="121212"/>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The Stockholders and Board of Directors of Disc Medicine, 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Opinion on the Financial Statements</w:t>
      </w:r>
    </w:p>
    <w:p>
      <w:pPr>
        <w:spacing w:after="0" w:line="12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121212"/>
        </w:rPr>
        <w:t>We have audited the accompanying consolidated balance sheets of Disc Medicine, Inc. (the Company) as of December 31, 2023 and 2022, the related consolidated statements of operations and comprehensive loss, convertible preferred stock and stockholders' equity (deficit)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Basis for Opinion</w:t>
      </w:r>
    </w:p>
    <w:p>
      <w:pPr>
        <w:spacing w:after="0" w:line="12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21212"/>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121212"/>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21212"/>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/s/ Ernst &amp; Young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We have served as the Company’s auditor since 2020.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March 21, 2024</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108</w:t>
      </w:r>
    </w:p>
    <w:p>
      <w:pPr>
        <w:sectPr>
          <w:pgSz w:w="12240" w:h="15840" w:orient="portrait"/>
          <w:cols w:equalWidth="0" w:num="1">
            <w:col w:w="10440"/>
          </w:cols>
          <w:pgMar w:left="900" w:top="926" w:right="900" w:bottom="175"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121212"/>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121212"/>
        </w:rPr>
        <w:t>(In thousands, except share and per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0" w:type="dxa"/>
            <w:vAlign w:val="bottom"/>
          </w:tcPr>
          <w:p>
            <w:pPr>
              <w:spacing w:after="0"/>
              <w:rPr>
                <w:sz w:val="1"/>
                <w:szCs w:val="1"/>
                <w:color w:val="auto"/>
              </w:rPr>
            </w:pPr>
          </w:p>
        </w:tc>
      </w:tr>
      <w:tr>
        <w:trPr>
          <w:trHeight w:val="213"/>
        </w:trPr>
        <w:tc>
          <w:tcPr>
            <w:tcW w:w="7160" w:type="dxa"/>
            <w:vAlign w:val="bottom"/>
            <w:tcBorders>
              <w:bottom w:val="single" w:sz="8" w:color="DFDFDF"/>
            </w:tcBorders>
          </w:tcPr>
          <w:p>
            <w:pPr>
              <w:spacing w:after="0"/>
              <w:rPr>
                <w:sz w:val="18"/>
                <w:szCs w:val="18"/>
                <w:color w:val="auto"/>
              </w:rPr>
            </w:pPr>
          </w:p>
        </w:tc>
        <w:tc>
          <w:tcPr>
            <w:tcW w:w="180" w:type="dxa"/>
            <w:vAlign w:val="bottom"/>
            <w:tcBorders>
              <w:bottom w:val="single" w:sz="8" w:color="121212"/>
            </w:tcBorders>
          </w:tcPr>
          <w:p>
            <w:pPr>
              <w:spacing w:after="0"/>
              <w:rPr>
                <w:sz w:val="18"/>
                <w:szCs w:val="18"/>
                <w:color w:val="auto"/>
              </w:rPr>
            </w:pPr>
          </w:p>
        </w:tc>
        <w:tc>
          <w:tcPr>
            <w:tcW w:w="1280" w:type="dxa"/>
            <w:vAlign w:val="bottom"/>
            <w:tcBorders>
              <w:bottom w:val="single" w:sz="8" w:color="121212"/>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121212"/>
              </w:rPr>
              <w:t>2023</w:t>
            </w:r>
          </w:p>
        </w:tc>
        <w:tc>
          <w:tcPr>
            <w:tcW w:w="160" w:type="dxa"/>
            <w:vAlign w:val="bottom"/>
            <w:tcBorders>
              <w:bottom w:val="single" w:sz="8" w:color="DFDFDF"/>
            </w:tcBorders>
          </w:tcPr>
          <w:p>
            <w:pPr>
              <w:spacing w:after="0"/>
              <w:rPr>
                <w:sz w:val="18"/>
                <w:szCs w:val="18"/>
                <w:color w:val="auto"/>
              </w:rPr>
            </w:pPr>
          </w:p>
        </w:tc>
        <w:tc>
          <w:tcPr>
            <w:tcW w:w="120" w:type="dxa"/>
            <w:vAlign w:val="bottom"/>
            <w:tcBorders>
              <w:bottom w:val="single" w:sz="8" w:color="DFDFDF"/>
            </w:tcBorders>
          </w:tcPr>
          <w:p>
            <w:pPr>
              <w:spacing w:after="0"/>
              <w:rPr>
                <w:sz w:val="18"/>
                <w:szCs w:val="18"/>
                <w:color w:val="auto"/>
              </w:rPr>
            </w:pPr>
          </w:p>
        </w:tc>
        <w:tc>
          <w:tcPr>
            <w:tcW w:w="180" w:type="dxa"/>
            <w:vAlign w:val="bottom"/>
            <w:tcBorders>
              <w:bottom w:val="single" w:sz="8" w:color="121212"/>
            </w:tcBorders>
          </w:tcPr>
          <w:p>
            <w:pPr>
              <w:spacing w:after="0"/>
              <w:rPr>
                <w:sz w:val="18"/>
                <w:szCs w:val="18"/>
                <w:color w:val="auto"/>
              </w:rPr>
            </w:pPr>
          </w:p>
        </w:tc>
        <w:tc>
          <w:tcPr>
            <w:tcW w:w="1260" w:type="dxa"/>
            <w:vAlign w:val="bottom"/>
            <w:tcBorders>
              <w:bottom w:val="single" w:sz="8" w:color="121212"/>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121212"/>
              </w:rPr>
              <w:t>2022</w:t>
            </w:r>
          </w:p>
        </w:tc>
        <w:tc>
          <w:tcPr>
            <w:tcW w:w="100" w:type="dxa"/>
            <w:vAlign w:val="bottom"/>
            <w:tcBorders>
              <w:bottom w:val="single" w:sz="8" w:color="DFDFD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spacing w:after="0" w:line="220" w:lineRule="exact"/>
              <w:rPr>
                <w:sz w:val="20"/>
                <w:szCs w:val="20"/>
                <w:color w:val="auto"/>
              </w:rPr>
            </w:pPr>
            <w:r>
              <w:rPr>
                <w:rFonts w:ascii="Times New Roman" w:cs="Times New Roman" w:eastAsia="Times New Roman" w:hAnsi="Times New Roman"/>
                <w:sz w:val="20"/>
                <w:szCs w:val="20"/>
                <w:b w:val="1"/>
                <w:bCs w:val="1"/>
                <w:color w:val="121212"/>
              </w:rPr>
              <w:t>Assets</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spacing w:after="0"/>
              <w:rPr>
                <w:sz w:val="19"/>
                <w:szCs w:val="19"/>
                <w:color w:val="auto"/>
              </w:rPr>
            </w:pP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spacing w:after="0"/>
              <w:rPr>
                <w:sz w:val="19"/>
                <w:szCs w:val="19"/>
                <w:color w:val="auto"/>
              </w:rPr>
            </w:pP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121212"/>
              </w:rPr>
              <w:t>Current assets: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Cash and cash equivalents</w:t>
            </w:r>
          </w:p>
        </w:tc>
        <w:tc>
          <w:tcPr>
            <w:tcW w:w="18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w w:val="79"/>
              </w:rPr>
              <w:t>$</w:t>
            </w:r>
          </w:p>
        </w:tc>
        <w:tc>
          <w:tcPr>
            <w:tcW w:w="128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360,382</w:t>
            </w:r>
          </w:p>
        </w:tc>
        <w:tc>
          <w:tcPr>
            <w:tcW w:w="160" w:type="dxa"/>
            <w:vAlign w:val="bottom"/>
            <w:shd w:val="clear" w:color="auto" w:fill="DFDFDF"/>
          </w:tcPr>
          <w:p>
            <w:pPr>
              <w:spacing w:after="0"/>
              <w:rPr>
                <w:sz w:val="19"/>
                <w:szCs w:val="19"/>
                <w:color w:val="auto"/>
              </w:rPr>
            </w:pPr>
          </w:p>
        </w:tc>
        <w:tc>
          <w:tcPr>
            <w:tcW w:w="300" w:type="dxa"/>
            <w:vAlign w:val="bottom"/>
            <w:gridSpan w:val="2"/>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w:t>
            </w:r>
          </w:p>
        </w:tc>
        <w:tc>
          <w:tcPr>
            <w:tcW w:w="126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194,611</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DFDFDF"/>
            </w:tcBorders>
          </w:tcPr>
          <w:p>
            <w:pPr>
              <w:ind w:left="200"/>
              <w:spacing w:after="0"/>
              <w:rPr>
                <w:sz w:val="20"/>
                <w:szCs w:val="20"/>
                <w:color w:val="auto"/>
              </w:rPr>
            </w:pPr>
            <w:r>
              <w:rPr>
                <w:rFonts w:ascii="Times New Roman" w:cs="Times New Roman" w:eastAsia="Times New Roman" w:hAnsi="Times New Roman"/>
                <w:sz w:val="20"/>
                <w:szCs w:val="20"/>
                <w:color w:val="121212"/>
              </w:rPr>
              <w:t>Prepaid expenses and other current assets</w:t>
            </w:r>
          </w:p>
        </w:tc>
        <w:tc>
          <w:tcPr>
            <w:tcW w:w="180" w:type="dxa"/>
            <w:vAlign w:val="bottom"/>
            <w:tcBorders>
              <w:bottom w:val="single" w:sz="8" w:color="121212"/>
            </w:tcBorders>
          </w:tcPr>
          <w:p>
            <w:pPr>
              <w:spacing w:after="0"/>
              <w:rPr>
                <w:sz w:val="19"/>
                <w:szCs w:val="19"/>
                <w:color w:val="auto"/>
              </w:rPr>
            </w:pPr>
          </w:p>
        </w:tc>
        <w:tc>
          <w:tcPr>
            <w:tcW w:w="128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5,280</w:t>
            </w:r>
          </w:p>
        </w:tc>
        <w:tc>
          <w:tcPr>
            <w:tcW w:w="160" w:type="dxa"/>
            <w:vAlign w:val="bottom"/>
            <w:tcBorders>
              <w:bottom w:val="single" w:sz="8" w:color="DFDFDF"/>
            </w:tcBorders>
          </w:tcPr>
          <w:p>
            <w:pPr>
              <w:spacing w:after="0"/>
              <w:rPr>
                <w:sz w:val="19"/>
                <w:szCs w:val="19"/>
                <w:color w:val="auto"/>
              </w:rPr>
            </w:pPr>
          </w:p>
        </w:tc>
        <w:tc>
          <w:tcPr>
            <w:tcW w:w="120" w:type="dxa"/>
            <w:vAlign w:val="bottom"/>
            <w:tcBorders>
              <w:bottom w:val="single" w:sz="8" w:color="DFDFDF"/>
            </w:tcBorders>
          </w:tcPr>
          <w:p>
            <w:pPr>
              <w:spacing w:after="0"/>
              <w:rPr>
                <w:sz w:val="19"/>
                <w:szCs w:val="19"/>
                <w:color w:val="auto"/>
              </w:rPr>
            </w:pPr>
          </w:p>
        </w:tc>
        <w:tc>
          <w:tcPr>
            <w:tcW w:w="180" w:type="dxa"/>
            <w:vAlign w:val="bottom"/>
            <w:tcBorders>
              <w:bottom w:val="single" w:sz="8" w:color="121212"/>
            </w:tcBorders>
          </w:tcPr>
          <w:p>
            <w:pPr>
              <w:spacing w:after="0"/>
              <w:rPr>
                <w:sz w:val="19"/>
                <w:szCs w:val="19"/>
                <w:color w:val="auto"/>
              </w:rPr>
            </w:pPr>
          </w:p>
        </w:tc>
        <w:tc>
          <w:tcPr>
            <w:tcW w:w="126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3,880</w:t>
            </w:r>
          </w:p>
        </w:tc>
        <w:tc>
          <w:tcPr>
            <w:tcW w:w="100" w:type="dxa"/>
            <w:vAlign w:val="bottom"/>
            <w:tcBorders>
              <w:bottom w:val="single" w:sz="8" w:color="DFDFD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ind w:left="400"/>
              <w:spacing w:after="0" w:line="220" w:lineRule="exact"/>
              <w:rPr>
                <w:sz w:val="20"/>
                <w:szCs w:val="20"/>
                <w:color w:val="auto"/>
              </w:rPr>
            </w:pPr>
            <w:r>
              <w:rPr>
                <w:rFonts w:ascii="Times New Roman" w:cs="Times New Roman" w:eastAsia="Times New Roman" w:hAnsi="Times New Roman"/>
                <w:sz w:val="20"/>
                <w:szCs w:val="20"/>
                <w:color w:val="121212"/>
              </w:rPr>
              <w:t>Total current assets</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365,662</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198,491</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121212"/>
              </w:rPr>
              <w:t>Property and equipment, net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170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spacing w:after="0"/>
              <w:rPr>
                <w:sz w:val="20"/>
                <w:szCs w:val="20"/>
                <w:color w:val="auto"/>
              </w:rPr>
            </w:pPr>
            <w:r>
              <w:rPr>
                <w:rFonts w:ascii="Times New Roman" w:cs="Times New Roman" w:eastAsia="Times New Roman" w:hAnsi="Times New Roman"/>
                <w:sz w:val="20"/>
                <w:szCs w:val="20"/>
                <w:color w:val="121212"/>
              </w:rPr>
              <w:t>Right-of-use assets, operating leases</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1,930</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1,430</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DFDFDF"/>
            </w:tcBorders>
          </w:tcPr>
          <w:p>
            <w:pPr>
              <w:spacing w:after="0"/>
              <w:rPr>
                <w:sz w:val="20"/>
                <w:szCs w:val="20"/>
                <w:color w:val="auto"/>
              </w:rPr>
            </w:pPr>
            <w:r>
              <w:rPr>
                <w:rFonts w:ascii="Times New Roman" w:cs="Times New Roman" w:eastAsia="Times New Roman" w:hAnsi="Times New Roman"/>
                <w:sz w:val="20"/>
                <w:szCs w:val="20"/>
                <w:color w:val="121212"/>
              </w:rPr>
              <w:t>Other assets</w:t>
            </w:r>
          </w:p>
        </w:tc>
        <w:tc>
          <w:tcPr>
            <w:tcW w:w="180" w:type="dxa"/>
            <w:vAlign w:val="bottom"/>
            <w:tcBorders>
              <w:bottom w:val="single" w:sz="8" w:color="121212"/>
            </w:tcBorders>
          </w:tcPr>
          <w:p>
            <w:pPr>
              <w:spacing w:after="0"/>
              <w:rPr>
                <w:sz w:val="19"/>
                <w:szCs w:val="19"/>
                <w:color w:val="auto"/>
              </w:rPr>
            </w:pPr>
          </w:p>
        </w:tc>
        <w:tc>
          <w:tcPr>
            <w:tcW w:w="128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234</w:t>
            </w:r>
          </w:p>
        </w:tc>
        <w:tc>
          <w:tcPr>
            <w:tcW w:w="160" w:type="dxa"/>
            <w:vAlign w:val="bottom"/>
            <w:tcBorders>
              <w:bottom w:val="single" w:sz="8" w:color="DFDFDF"/>
            </w:tcBorders>
          </w:tcPr>
          <w:p>
            <w:pPr>
              <w:spacing w:after="0"/>
              <w:rPr>
                <w:sz w:val="19"/>
                <w:szCs w:val="19"/>
                <w:color w:val="auto"/>
              </w:rPr>
            </w:pPr>
          </w:p>
        </w:tc>
        <w:tc>
          <w:tcPr>
            <w:tcW w:w="120" w:type="dxa"/>
            <w:vAlign w:val="bottom"/>
            <w:tcBorders>
              <w:bottom w:val="single" w:sz="8" w:color="DFDFDF"/>
            </w:tcBorders>
          </w:tcPr>
          <w:p>
            <w:pPr>
              <w:spacing w:after="0"/>
              <w:rPr>
                <w:sz w:val="19"/>
                <w:szCs w:val="19"/>
                <w:color w:val="auto"/>
              </w:rPr>
            </w:pPr>
          </w:p>
        </w:tc>
        <w:tc>
          <w:tcPr>
            <w:tcW w:w="180" w:type="dxa"/>
            <w:vAlign w:val="bottom"/>
            <w:tcBorders>
              <w:bottom w:val="single" w:sz="8" w:color="121212"/>
            </w:tcBorders>
          </w:tcPr>
          <w:p>
            <w:pPr>
              <w:spacing w:after="0"/>
              <w:rPr>
                <w:sz w:val="19"/>
                <w:szCs w:val="19"/>
                <w:color w:val="auto"/>
              </w:rPr>
            </w:pPr>
          </w:p>
        </w:tc>
        <w:tc>
          <w:tcPr>
            <w:tcW w:w="126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116</w:t>
            </w:r>
          </w:p>
        </w:tc>
        <w:tc>
          <w:tcPr>
            <w:tcW w:w="100" w:type="dxa"/>
            <w:vAlign w:val="bottom"/>
            <w:tcBorders>
              <w:bottom w:val="single" w:sz="8" w:color="DFDFD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spacing w:after="0" w:line="220" w:lineRule="exact"/>
              <w:rPr>
                <w:sz w:val="20"/>
                <w:szCs w:val="20"/>
                <w:color w:val="auto"/>
              </w:rPr>
            </w:pPr>
            <w:r>
              <w:rPr>
                <w:rFonts w:ascii="Times New Roman" w:cs="Times New Roman" w:eastAsia="Times New Roman" w:hAnsi="Times New Roman"/>
                <w:sz w:val="20"/>
                <w:szCs w:val="20"/>
                <w:color w:val="121212"/>
              </w:rPr>
              <w:t>Total assets</w:t>
            </w:r>
          </w:p>
        </w:tc>
        <w:tc>
          <w:tcPr>
            <w:tcW w:w="180" w:type="dxa"/>
            <w:vAlign w:val="bottom"/>
            <w:tcBorders>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80" w:type="dxa"/>
            <w:vAlign w:val="bottom"/>
            <w:tcBorders>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367,996</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tcBorders>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60" w:type="dxa"/>
            <w:vAlign w:val="bottom"/>
            <w:tcBorders>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200,205</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21212"/>
              </w:rPr>
              <w:t>Liabilities and Stockholders’ Equity</w:t>
            </w:r>
          </w:p>
        </w:tc>
        <w:tc>
          <w:tcPr>
            <w:tcW w:w="180" w:type="dxa"/>
            <w:vAlign w:val="bottom"/>
            <w:tcBorders>
              <w:bottom w:val="single" w:sz="8" w:color="121212"/>
            </w:tcBorders>
          </w:tcPr>
          <w:p>
            <w:pPr>
              <w:spacing w:after="0" w:line="20" w:lineRule="exact"/>
              <w:rPr>
                <w:sz w:val="1"/>
                <w:szCs w:val="1"/>
                <w:color w:val="auto"/>
              </w:rPr>
            </w:pPr>
          </w:p>
        </w:tc>
        <w:tc>
          <w:tcPr>
            <w:tcW w:w="128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1260" w:type="dxa"/>
            <w:vAlign w:val="bottom"/>
            <w:tcBorders>
              <w:bottom w:val="single" w:sz="8" w:color="12121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spacing w:after="0"/>
              <w:rPr>
                <w:sz w:val="20"/>
                <w:szCs w:val="20"/>
                <w:color w:val="auto"/>
              </w:rPr>
            </w:pPr>
            <w:r>
              <w:rPr>
                <w:rFonts w:ascii="Times New Roman" w:cs="Times New Roman" w:eastAsia="Times New Roman" w:hAnsi="Times New Roman"/>
                <w:sz w:val="20"/>
                <w:szCs w:val="20"/>
                <w:color w:val="121212"/>
              </w:rPr>
              <w:t>Current liabilities:</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spacing w:after="0"/>
              <w:rPr>
                <w:sz w:val="19"/>
                <w:szCs w:val="19"/>
                <w:color w:val="auto"/>
              </w:rPr>
            </w:pP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spacing w:after="0"/>
              <w:rPr>
                <w:sz w:val="19"/>
                <w:szCs w:val="19"/>
                <w:color w:val="auto"/>
              </w:rPr>
            </w:pP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121212"/>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12,629</w:t>
            </w:r>
          </w:p>
        </w:tc>
        <w:tc>
          <w:tcPr>
            <w:tcW w:w="1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21212"/>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16,162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Accrued expenses</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8,145</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6,109</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DFDFDF"/>
            </w:tcBorders>
          </w:tcPr>
          <w:p>
            <w:pPr>
              <w:ind w:left="200"/>
              <w:spacing w:after="0"/>
              <w:rPr>
                <w:sz w:val="20"/>
                <w:szCs w:val="20"/>
                <w:color w:val="auto"/>
              </w:rPr>
            </w:pPr>
            <w:r>
              <w:rPr>
                <w:rFonts w:ascii="Times New Roman" w:cs="Times New Roman" w:eastAsia="Times New Roman" w:hAnsi="Times New Roman"/>
                <w:sz w:val="20"/>
                <w:szCs w:val="20"/>
                <w:color w:val="121212"/>
              </w:rPr>
              <w:t>Operating lease liabilities, current</w:t>
            </w:r>
          </w:p>
        </w:tc>
        <w:tc>
          <w:tcPr>
            <w:tcW w:w="180" w:type="dxa"/>
            <w:vAlign w:val="bottom"/>
            <w:tcBorders>
              <w:bottom w:val="single" w:sz="8" w:color="121212"/>
            </w:tcBorders>
          </w:tcPr>
          <w:p>
            <w:pPr>
              <w:spacing w:after="0"/>
              <w:rPr>
                <w:sz w:val="19"/>
                <w:szCs w:val="19"/>
                <w:color w:val="auto"/>
              </w:rPr>
            </w:pPr>
          </w:p>
        </w:tc>
        <w:tc>
          <w:tcPr>
            <w:tcW w:w="128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665</w:t>
            </w:r>
          </w:p>
        </w:tc>
        <w:tc>
          <w:tcPr>
            <w:tcW w:w="160" w:type="dxa"/>
            <w:vAlign w:val="bottom"/>
            <w:tcBorders>
              <w:bottom w:val="single" w:sz="8" w:color="DFDFDF"/>
            </w:tcBorders>
          </w:tcPr>
          <w:p>
            <w:pPr>
              <w:spacing w:after="0"/>
              <w:rPr>
                <w:sz w:val="19"/>
                <w:szCs w:val="19"/>
                <w:color w:val="auto"/>
              </w:rPr>
            </w:pPr>
          </w:p>
        </w:tc>
        <w:tc>
          <w:tcPr>
            <w:tcW w:w="120" w:type="dxa"/>
            <w:vAlign w:val="bottom"/>
            <w:tcBorders>
              <w:bottom w:val="single" w:sz="8" w:color="DFDFDF"/>
            </w:tcBorders>
          </w:tcPr>
          <w:p>
            <w:pPr>
              <w:spacing w:after="0"/>
              <w:rPr>
                <w:sz w:val="19"/>
                <w:szCs w:val="19"/>
                <w:color w:val="auto"/>
              </w:rPr>
            </w:pPr>
          </w:p>
        </w:tc>
        <w:tc>
          <w:tcPr>
            <w:tcW w:w="180" w:type="dxa"/>
            <w:vAlign w:val="bottom"/>
            <w:tcBorders>
              <w:bottom w:val="single" w:sz="8" w:color="121212"/>
            </w:tcBorders>
          </w:tcPr>
          <w:p>
            <w:pPr>
              <w:spacing w:after="0"/>
              <w:rPr>
                <w:sz w:val="19"/>
                <w:szCs w:val="19"/>
                <w:color w:val="auto"/>
              </w:rPr>
            </w:pPr>
          </w:p>
        </w:tc>
        <w:tc>
          <w:tcPr>
            <w:tcW w:w="126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307</w:t>
            </w:r>
          </w:p>
        </w:tc>
        <w:tc>
          <w:tcPr>
            <w:tcW w:w="100" w:type="dxa"/>
            <w:vAlign w:val="bottom"/>
            <w:tcBorders>
              <w:bottom w:val="single" w:sz="8" w:color="DFDFD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ind w:left="400"/>
              <w:spacing w:after="0" w:line="220" w:lineRule="exact"/>
              <w:rPr>
                <w:sz w:val="20"/>
                <w:szCs w:val="20"/>
                <w:color w:val="auto"/>
              </w:rPr>
            </w:pPr>
            <w:r>
              <w:rPr>
                <w:rFonts w:ascii="Times New Roman" w:cs="Times New Roman" w:eastAsia="Times New Roman" w:hAnsi="Times New Roman"/>
                <w:sz w:val="20"/>
                <w:szCs w:val="20"/>
                <w:color w:val="121212"/>
              </w:rPr>
              <w:t>Total current liabilities</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21,439</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22,578</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DFDFDF"/>
            </w:tcBorders>
          </w:tcPr>
          <w:p>
            <w:pPr>
              <w:spacing w:after="0"/>
              <w:rPr>
                <w:sz w:val="20"/>
                <w:szCs w:val="20"/>
                <w:color w:val="auto"/>
              </w:rPr>
            </w:pPr>
            <w:r>
              <w:rPr>
                <w:rFonts w:ascii="Times New Roman" w:cs="Times New Roman" w:eastAsia="Times New Roman" w:hAnsi="Times New Roman"/>
                <w:sz w:val="20"/>
                <w:szCs w:val="20"/>
                <w:color w:val="121212"/>
              </w:rPr>
              <w:t>Operating lease liabilities, non-current</w:t>
            </w:r>
          </w:p>
        </w:tc>
        <w:tc>
          <w:tcPr>
            <w:tcW w:w="180" w:type="dxa"/>
            <w:vAlign w:val="bottom"/>
            <w:tcBorders>
              <w:bottom w:val="single" w:sz="8" w:color="121212"/>
            </w:tcBorders>
          </w:tcPr>
          <w:p>
            <w:pPr>
              <w:spacing w:after="0"/>
              <w:rPr>
                <w:sz w:val="19"/>
                <w:szCs w:val="19"/>
                <w:color w:val="auto"/>
              </w:rPr>
            </w:pPr>
          </w:p>
        </w:tc>
        <w:tc>
          <w:tcPr>
            <w:tcW w:w="128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1,436</w:t>
            </w:r>
          </w:p>
        </w:tc>
        <w:tc>
          <w:tcPr>
            <w:tcW w:w="160" w:type="dxa"/>
            <w:vAlign w:val="bottom"/>
            <w:tcBorders>
              <w:bottom w:val="single" w:sz="8" w:color="DFDFDF"/>
            </w:tcBorders>
          </w:tcPr>
          <w:p>
            <w:pPr>
              <w:spacing w:after="0"/>
              <w:rPr>
                <w:sz w:val="19"/>
                <w:szCs w:val="19"/>
                <w:color w:val="auto"/>
              </w:rPr>
            </w:pPr>
          </w:p>
        </w:tc>
        <w:tc>
          <w:tcPr>
            <w:tcW w:w="120" w:type="dxa"/>
            <w:vAlign w:val="bottom"/>
            <w:tcBorders>
              <w:bottom w:val="single" w:sz="8" w:color="DFDFDF"/>
            </w:tcBorders>
          </w:tcPr>
          <w:p>
            <w:pPr>
              <w:spacing w:after="0"/>
              <w:rPr>
                <w:sz w:val="19"/>
                <w:szCs w:val="19"/>
                <w:color w:val="auto"/>
              </w:rPr>
            </w:pPr>
          </w:p>
        </w:tc>
        <w:tc>
          <w:tcPr>
            <w:tcW w:w="180" w:type="dxa"/>
            <w:vAlign w:val="bottom"/>
            <w:tcBorders>
              <w:bottom w:val="single" w:sz="8" w:color="121212"/>
            </w:tcBorders>
          </w:tcPr>
          <w:p>
            <w:pPr>
              <w:spacing w:after="0"/>
              <w:rPr>
                <w:sz w:val="19"/>
                <w:szCs w:val="19"/>
                <w:color w:val="auto"/>
              </w:rPr>
            </w:pPr>
          </w:p>
        </w:tc>
        <w:tc>
          <w:tcPr>
            <w:tcW w:w="126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1,027</w:t>
            </w:r>
          </w:p>
        </w:tc>
        <w:tc>
          <w:tcPr>
            <w:tcW w:w="100" w:type="dxa"/>
            <w:vAlign w:val="bottom"/>
            <w:tcBorders>
              <w:bottom w:val="single" w:sz="8" w:color="DFDFD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ind w:left="400"/>
              <w:spacing w:after="0" w:line="220" w:lineRule="exact"/>
              <w:rPr>
                <w:sz w:val="20"/>
                <w:szCs w:val="20"/>
                <w:color w:val="auto"/>
              </w:rPr>
            </w:pPr>
            <w:r>
              <w:rPr>
                <w:rFonts w:ascii="Times New Roman" w:cs="Times New Roman" w:eastAsia="Times New Roman" w:hAnsi="Times New Roman"/>
                <w:sz w:val="20"/>
                <w:szCs w:val="20"/>
                <w:color w:val="121212"/>
              </w:rPr>
              <w:t>Total liabilities</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22,875</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23,605</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121212"/>
              </w:rPr>
              <w:t>Commitments and contingencies (Note 14)</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spacing w:after="0"/>
              <w:rPr>
                <w:sz w:val="20"/>
                <w:szCs w:val="20"/>
                <w:color w:val="auto"/>
              </w:rPr>
            </w:pPr>
            <w:r>
              <w:rPr>
                <w:rFonts w:ascii="Times New Roman" w:cs="Times New Roman" w:eastAsia="Times New Roman" w:hAnsi="Times New Roman"/>
                <w:sz w:val="20"/>
                <w:szCs w:val="20"/>
                <w:color w:val="121212"/>
              </w:rPr>
              <w:t>Stockholders’ equity:</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spacing w:after="0"/>
              <w:rPr>
                <w:sz w:val="19"/>
                <w:szCs w:val="19"/>
                <w:color w:val="auto"/>
              </w:rPr>
            </w:pP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spacing w:after="0"/>
              <w:rPr>
                <w:sz w:val="19"/>
                <w:szCs w:val="19"/>
                <w:color w:val="auto"/>
              </w:rPr>
            </w:pP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6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121212"/>
              </w:rPr>
              <w:t>Common stock, $0.0001 par value; 100,000,000 shares authorized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40"/>
              <w:spacing w:after="0"/>
              <w:rPr>
                <w:sz w:val="20"/>
                <w:szCs w:val="20"/>
                <w:color w:val="auto"/>
              </w:rPr>
            </w:pPr>
            <w:r>
              <w:rPr>
                <w:rFonts w:ascii="Times New Roman" w:cs="Times New Roman" w:eastAsia="Times New Roman" w:hAnsi="Times New Roman"/>
                <w:sz w:val="20"/>
                <w:szCs w:val="20"/>
                <w:color w:val="121212"/>
              </w:rPr>
              <w:t>as of December 31, 2023 and 2022; 24,360,233 and 17,405,231</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40"/>
              <w:spacing w:after="0"/>
              <w:rPr>
                <w:sz w:val="20"/>
                <w:szCs w:val="20"/>
                <w:color w:val="auto"/>
              </w:rPr>
            </w:pPr>
            <w:r>
              <w:rPr>
                <w:rFonts w:ascii="Times New Roman" w:cs="Times New Roman" w:eastAsia="Times New Roman" w:hAnsi="Times New Roman"/>
                <w:sz w:val="20"/>
                <w:szCs w:val="20"/>
                <w:color w:val="121212"/>
              </w:rPr>
              <w:t>shares issued as of December 31, 2023 and 2022, respectively;</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340"/>
              <w:spacing w:after="0"/>
              <w:rPr>
                <w:sz w:val="20"/>
                <w:szCs w:val="20"/>
                <w:color w:val="auto"/>
              </w:rPr>
            </w:pPr>
            <w:r>
              <w:rPr>
                <w:rFonts w:ascii="Times New Roman" w:cs="Times New Roman" w:eastAsia="Times New Roman" w:hAnsi="Times New Roman"/>
                <w:sz w:val="20"/>
                <w:szCs w:val="20"/>
                <w:color w:val="121212"/>
              </w:rPr>
              <w:t>and 24,360,233 and 17,403,315 shares outstanding as of</w:t>
            </w:r>
          </w:p>
        </w:tc>
        <w:tc>
          <w:tcPr>
            <w:tcW w:w="18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21212"/>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21212"/>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160" w:type="dxa"/>
            <w:vAlign w:val="bottom"/>
          </w:tcPr>
          <w:p>
            <w:pPr>
              <w:ind w:left="340"/>
              <w:spacing w:after="0"/>
              <w:rPr>
                <w:sz w:val="20"/>
                <w:szCs w:val="20"/>
                <w:color w:val="auto"/>
              </w:rPr>
            </w:pPr>
            <w:r>
              <w:rPr>
                <w:rFonts w:ascii="Times New Roman" w:cs="Times New Roman" w:eastAsia="Times New Roman" w:hAnsi="Times New Roman"/>
                <w:sz w:val="20"/>
                <w:szCs w:val="20"/>
                <w:color w:val="121212"/>
              </w:rPr>
              <w:t>December 31, 2023 and 2022, respectively</w:t>
            </w:r>
          </w:p>
        </w:tc>
        <w:tc>
          <w:tcPr>
            <w:tcW w:w="1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Additional paid-in capital</w:t>
            </w:r>
          </w:p>
        </w:tc>
        <w:tc>
          <w:tcPr>
            <w:tcW w:w="180" w:type="dxa"/>
            <w:vAlign w:val="bottom"/>
            <w:shd w:val="clear" w:color="auto" w:fill="DFDFDF"/>
          </w:tcPr>
          <w:p>
            <w:pPr>
              <w:spacing w:after="0"/>
              <w:rPr>
                <w:sz w:val="19"/>
                <w:szCs w:val="19"/>
                <w:color w:val="auto"/>
              </w:rPr>
            </w:pPr>
          </w:p>
        </w:tc>
        <w:tc>
          <w:tcPr>
            <w:tcW w:w="128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533,764</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126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288,814</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Accumulated deficit</w:t>
            </w:r>
          </w:p>
        </w:tc>
        <w:tc>
          <w:tcPr>
            <w:tcW w:w="1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121212"/>
              </w:rPr>
              <w:t>(188,645)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21212"/>
              </w:rPr>
              <w:t>(112,216)</w:t>
            </w:r>
          </w:p>
        </w:tc>
        <w:tc>
          <w:tcPr>
            <w:tcW w:w="0" w:type="dxa"/>
            <w:vAlign w:val="bottom"/>
          </w:tcPr>
          <w:p>
            <w:pPr>
              <w:spacing w:after="0"/>
              <w:rPr>
                <w:sz w:val="1"/>
                <w:szCs w:val="1"/>
                <w:color w:val="auto"/>
              </w:rPr>
            </w:pPr>
          </w:p>
        </w:tc>
      </w:tr>
      <w:tr>
        <w:trPr>
          <w:trHeight w:val="220"/>
        </w:trPr>
        <w:tc>
          <w:tcPr>
            <w:tcW w:w="7160" w:type="dxa"/>
            <w:vAlign w:val="bottom"/>
            <w:tcBorders>
              <w:top w:val="single" w:sz="8" w:color="DFDFDF"/>
            </w:tcBorders>
            <w:shd w:val="clear" w:color="auto" w:fill="DFDFDF"/>
          </w:tcPr>
          <w:p>
            <w:pPr>
              <w:ind w:left="200"/>
              <w:spacing w:after="0" w:line="220" w:lineRule="exact"/>
              <w:rPr>
                <w:sz w:val="20"/>
                <w:szCs w:val="20"/>
                <w:color w:val="auto"/>
              </w:rPr>
            </w:pPr>
            <w:r>
              <w:rPr>
                <w:rFonts w:ascii="Times New Roman" w:cs="Times New Roman" w:eastAsia="Times New Roman" w:hAnsi="Times New Roman"/>
                <w:sz w:val="20"/>
                <w:szCs w:val="20"/>
                <w:color w:val="121212"/>
              </w:rPr>
              <w:t>Total stockholders’ equity</w:t>
            </w:r>
          </w:p>
        </w:tc>
        <w:tc>
          <w:tcPr>
            <w:tcW w:w="180" w:type="dxa"/>
            <w:vAlign w:val="bottom"/>
            <w:tcBorders>
              <w:top w:val="single" w:sz="8" w:color="121212"/>
              <w:bottom w:val="single" w:sz="8" w:color="121212"/>
            </w:tcBorders>
            <w:shd w:val="clear" w:color="auto" w:fill="DFDFDF"/>
          </w:tcPr>
          <w:p>
            <w:pPr>
              <w:spacing w:after="0"/>
              <w:rPr>
                <w:sz w:val="19"/>
                <w:szCs w:val="19"/>
                <w:color w:val="auto"/>
              </w:rPr>
            </w:pPr>
          </w:p>
        </w:tc>
        <w:tc>
          <w:tcPr>
            <w:tcW w:w="1280" w:type="dxa"/>
            <w:vAlign w:val="bottom"/>
            <w:tcBorders>
              <w:top w:val="single" w:sz="8" w:color="121212"/>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345,121</w:t>
            </w:r>
          </w:p>
        </w:tc>
        <w:tc>
          <w:tcPr>
            <w:tcW w:w="160" w:type="dxa"/>
            <w:vAlign w:val="bottom"/>
            <w:tcBorders>
              <w:top w:val="single" w:sz="8" w:color="DFDFDF"/>
            </w:tcBorders>
            <w:shd w:val="clear" w:color="auto" w:fill="DFDFDF"/>
          </w:tcPr>
          <w:p>
            <w:pPr>
              <w:spacing w:after="0"/>
              <w:rPr>
                <w:sz w:val="19"/>
                <w:szCs w:val="19"/>
                <w:color w:val="auto"/>
              </w:rPr>
            </w:pPr>
          </w:p>
        </w:tc>
        <w:tc>
          <w:tcPr>
            <w:tcW w:w="120" w:type="dxa"/>
            <w:vAlign w:val="bottom"/>
            <w:tcBorders>
              <w:top w:val="single" w:sz="8" w:color="DFDFDF"/>
            </w:tcBorders>
            <w:shd w:val="clear" w:color="auto" w:fill="DFDFDF"/>
          </w:tcPr>
          <w:p>
            <w:pPr>
              <w:spacing w:after="0"/>
              <w:rPr>
                <w:sz w:val="19"/>
                <w:szCs w:val="19"/>
                <w:color w:val="auto"/>
              </w:rPr>
            </w:pPr>
          </w:p>
        </w:tc>
        <w:tc>
          <w:tcPr>
            <w:tcW w:w="180" w:type="dxa"/>
            <w:vAlign w:val="bottom"/>
            <w:tcBorders>
              <w:top w:val="single" w:sz="8" w:color="121212"/>
              <w:bottom w:val="single" w:sz="8" w:color="121212"/>
            </w:tcBorders>
            <w:shd w:val="clear" w:color="auto" w:fill="DFDFDF"/>
          </w:tcPr>
          <w:p>
            <w:pPr>
              <w:spacing w:after="0"/>
              <w:rPr>
                <w:sz w:val="19"/>
                <w:szCs w:val="19"/>
                <w:color w:val="auto"/>
              </w:rPr>
            </w:pPr>
          </w:p>
        </w:tc>
        <w:tc>
          <w:tcPr>
            <w:tcW w:w="1260" w:type="dxa"/>
            <w:vAlign w:val="bottom"/>
            <w:tcBorders>
              <w:top w:val="single" w:sz="8" w:color="121212"/>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176,600</w:t>
            </w:r>
          </w:p>
        </w:tc>
        <w:tc>
          <w:tcPr>
            <w:tcW w:w="100" w:type="dxa"/>
            <w:vAlign w:val="bottom"/>
            <w:tcBorders>
              <w:top w:val="single" w:sz="8" w:color="DFDFDF"/>
            </w:tcBorders>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21212"/>
              </w:rPr>
              <w:t>Total liabilities and stockholders’ equity</w:t>
            </w:r>
          </w:p>
        </w:tc>
        <w:tc>
          <w:tcPr>
            <w:tcW w:w="18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8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rPr>
              <w:t>367,996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26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rPr>
              <w:t>200,205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128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1260" w:type="dxa"/>
            <w:vAlign w:val="bottom"/>
            <w:tcBorders>
              <w:bottom w:val="single" w:sz="8" w:color="12121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21212"/>
        </w:rPr>
        <w:t>The accompanying notes are an integral part of these consolidated financial statements.</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109</w:t>
      </w:r>
    </w:p>
    <w:p>
      <w:pPr>
        <w:sectPr>
          <w:pgSz w:w="12240" w:h="15840" w:orient="portrait"/>
          <w:cols w:equalWidth="0" w:num="1">
            <w:col w:w="10440"/>
          </w:cols>
          <w:pgMar w:left="900" w:top="926" w:right="900" w:bottom="175"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121212"/>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121212"/>
        </w:rPr>
        <w:t>(In thousands, except share and per share amounts)</w:t>
      </w:r>
    </w:p>
    <w:p>
      <w:pPr>
        <w:spacing w:after="0" w:line="24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121212"/>
        </w:rPr>
        <w:t>Year Ended</w:t>
      </w:r>
    </w:p>
    <w:p>
      <w:pPr>
        <w:spacing w:after="0" w:line="2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b w:val="1"/>
          <w:bCs w:val="1"/>
          <w:color w:val="121212"/>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4550410</wp:posOffset>
                </wp:positionH>
                <wp:positionV relativeFrom="paragraph">
                  <wp:posOffset>-635</wp:posOffset>
                </wp:positionV>
                <wp:extent cx="201676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6760" cy="4763"/>
                        </a:xfrm>
                        <a:prstGeom prst="line">
                          <a:avLst/>
                        </a:prstGeom>
                        <a:solidFill>
                          <a:srgbClr val="FFFFFF"/>
                        </a:solidFill>
                        <a:ln w="6350">
                          <a:solidFill>
                            <a:srgbClr val="121212"/>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3pt,-0.0499pt" to="517.1pt,-0.0499pt" o:allowincell="f" strokecolor="#121212" strokeweight="0.5pt"/>
            </w:pict>
          </mc:Fallback>
        </mc:AlternateConten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Borders>
              <w:bottom w:val="single" w:sz="8" w:color="DFDFDF"/>
            </w:tcBorders>
          </w:tcPr>
          <w:p>
            <w:pPr>
              <w:spacing w:after="0"/>
              <w:rPr>
                <w:sz w:val="17"/>
                <w:szCs w:val="17"/>
                <w:color w:val="auto"/>
              </w:rPr>
            </w:pPr>
          </w:p>
        </w:tc>
        <w:tc>
          <w:tcPr>
            <w:tcW w:w="20" w:type="dxa"/>
            <w:vAlign w:val="bottom"/>
            <w:tcBorders>
              <w:bottom w:val="single" w:sz="8" w:color="DFDFDF"/>
            </w:tcBorders>
          </w:tcPr>
          <w:p>
            <w:pPr>
              <w:spacing w:after="0"/>
              <w:rPr>
                <w:sz w:val="17"/>
                <w:szCs w:val="17"/>
                <w:color w:val="auto"/>
              </w:rPr>
            </w:pPr>
          </w:p>
        </w:tc>
        <w:tc>
          <w:tcPr>
            <w:tcW w:w="320" w:type="dxa"/>
            <w:vAlign w:val="bottom"/>
            <w:tcBorders>
              <w:bottom w:val="single" w:sz="8" w:color="121212"/>
            </w:tcBorders>
          </w:tcPr>
          <w:p>
            <w:pPr>
              <w:spacing w:after="0"/>
              <w:rPr>
                <w:sz w:val="17"/>
                <w:szCs w:val="17"/>
                <w:color w:val="auto"/>
              </w:rPr>
            </w:pPr>
          </w:p>
        </w:tc>
        <w:tc>
          <w:tcPr>
            <w:tcW w:w="1120" w:type="dxa"/>
            <w:vAlign w:val="bottom"/>
            <w:tcBorders>
              <w:bottom w:val="single" w:sz="8" w:color="121212"/>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121212"/>
              </w:rPr>
              <w:t>2023</w:t>
            </w:r>
          </w:p>
        </w:tc>
        <w:tc>
          <w:tcPr>
            <w:tcW w:w="160" w:type="dxa"/>
            <w:vAlign w:val="bottom"/>
            <w:tcBorders>
              <w:bottom w:val="single" w:sz="8" w:color="DFDFDF"/>
            </w:tcBorders>
          </w:tcPr>
          <w:p>
            <w:pPr>
              <w:spacing w:after="0"/>
              <w:rPr>
                <w:sz w:val="17"/>
                <w:szCs w:val="17"/>
                <w:color w:val="auto"/>
              </w:rPr>
            </w:pPr>
          </w:p>
        </w:tc>
        <w:tc>
          <w:tcPr>
            <w:tcW w:w="120" w:type="dxa"/>
            <w:vAlign w:val="bottom"/>
            <w:tcBorders>
              <w:bottom w:val="single" w:sz="8" w:color="DFDFDF"/>
            </w:tcBorders>
          </w:tcPr>
          <w:p>
            <w:pPr>
              <w:spacing w:after="0"/>
              <w:rPr>
                <w:sz w:val="17"/>
                <w:szCs w:val="17"/>
                <w:color w:val="auto"/>
              </w:rPr>
            </w:pPr>
          </w:p>
        </w:tc>
        <w:tc>
          <w:tcPr>
            <w:tcW w:w="320" w:type="dxa"/>
            <w:vAlign w:val="bottom"/>
            <w:tcBorders>
              <w:bottom w:val="single" w:sz="8" w:color="121212"/>
            </w:tcBorders>
          </w:tcPr>
          <w:p>
            <w:pPr>
              <w:spacing w:after="0"/>
              <w:rPr>
                <w:sz w:val="17"/>
                <w:szCs w:val="17"/>
                <w:color w:val="auto"/>
              </w:rPr>
            </w:pPr>
          </w:p>
        </w:tc>
        <w:tc>
          <w:tcPr>
            <w:tcW w:w="1120" w:type="dxa"/>
            <w:vAlign w:val="bottom"/>
            <w:tcBorders>
              <w:bottom w:val="single" w:sz="8" w:color="121212"/>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121212"/>
              </w:rPr>
              <w:t>2022</w:t>
            </w:r>
          </w:p>
        </w:tc>
        <w:tc>
          <w:tcPr>
            <w:tcW w:w="100" w:type="dxa"/>
            <w:vAlign w:val="bottom"/>
            <w:tcBorders>
              <w:bottom w:val="single" w:sz="8" w:color="DFDFD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spacing w:after="0" w:line="220" w:lineRule="exact"/>
              <w:rPr>
                <w:sz w:val="20"/>
                <w:szCs w:val="20"/>
                <w:color w:val="auto"/>
              </w:rPr>
            </w:pPr>
            <w:r>
              <w:rPr>
                <w:rFonts w:ascii="Times New Roman" w:cs="Times New Roman" w:eastAsia="Times New Roman" w:hAnsi="Times New Roman"/>
                <w:sz w:val="20"/>
                <w:szCs w:val="20"/>
                <w:color w:val="121212"/>
              </w:rPr>
              <w:t>Operating expenses:</w:t>
            </w:r>
          </w:p>
        </w:tc>
        <w:tc>
          <w:tcPr>
            <w:tcW w:w="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120" w:type="dxa"/>
            <w:vAlign w:val="bottom"/>
            <w:shd w:val="clear" w:color="auto" w:fill="DFDFDF"/>
          </w:tcPr>
          <w:p>
            <w:pPr>
              <w:spacing w:after="0"/>
              <w:rPr>
                <w:sz w:val="19"/>
                <w:szCs w:val="19"/>
                <w:color w:val="auto"/>
              </w:rPr>
            </w:pP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120" w:type="dxa"/>
            <w:vAlign w:val="bottom"/>
            <w:shd w:val="clear" w:color="auto" w:fill="DFDFDF"/>
          </w:tcPr>
          <w:p>
            <w:pPr>
              <w:spacing w:after="0"/>
              <w:rPr>
                <w:sz w:val="19"/>
                <w:szCs w:val="19"/>
                <w:color w:val="auto"/>
              </w:rPr>
            </w:pP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Research and development</w:t>
            </w:r>
          </w:p>
        </w:tc>
        <w:tc>
          <w:tcPr>
            <w:tcW w:w="20" w:type="dxa"/>
            <w:vAlign w:val="bottom"/>
          </w:tcPr>
          <w:p>
            <w:pPr>
              <w:spacing w:after="0"/>
              <w:rPr>
                <w:sz w:val="19"/>
                <w:szCs w:val="19"/>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121212"/>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69,264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21212"/>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33,437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General and administrative</w:t>
            </w:r>
          </w:p>
        </w:tc>
        <w:tc>
          <w:tcPr>
            <w:tcW w:w="20" w:type="dxa"/>
            <w:vAlign w:val="bottom"/>
            <w:shd w:val="clear" w:color="auto" w:fill="DFDFDF"/>
          </w:tcPr>
          <w:p>
            <w:pPr>
              <w:spacing w:after="0"/>
              <w:rPr>
                <w:sz w:val="19"/>
                <w:szCs w:val="19"/>
                <w:color w:val="auto"/>
              </w:rPr>
            </w:pPr>
          </w:p>
        </w:tc>
        <w:tc>
          <w:tcPr>
            <w:tcW w:w="320" w:type="dxa"/>
            <w:vAlign w:val="bottom"/>
            <w:tcBorders>
              <w:bottom w:val="single" w:sz="8" w:color="121212"/>
            </w:tcBorders>
            <w:shd w:val="clear" w:color="auto" w:fill="DFDFDF"/>
          </w:tcPr>
          <w:p>
            <w:pPr>
              <w:spacing w:after="0"/>
              <w:rPr>
                <w:sz w:val="19"/>
                <w:szCs w:val="19"/>
                <w:color w:val="auto"/>
              </w:rPr>
            </w:pPr>
          </w:p>
        </w:tc>
        <w:tc>
          <w:tcPr>
            <w:tcW w:w="1120" w:type="dxa"/>
            <w:vAlign w:val="bottom"/>
            <w:tcBorders>
              <w:bottom w:val="single" w:sz="8" w:color="121212"/>
            </w:tcBorders>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21,861</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320" w:type="dxa"/>
            <w:vAlign w:val="bottom"/>
            <w:tcBorders>
              <w:bottom w:val="single" w:sz="8" w:color="121212"/>
            </w:tcBorders>
            <w:shd w:val="clear" w:color="auto" w:fill="DFDFDF"/>
          </w:tcPr>
          <w:p>
            <w:pPr>
              <w:spacing w:after="0"/>
              <w:rPr>
                <w:sz w:val="19"/>
                <w:szCs w:val="19"/>
                <w:color w:val="auto"/>
              </w:rPr>
            </w:pPr>
          </w:p>
        </w:tc>
        <w:tc>
          <w:tcPr>
            <w:tcW w:w="1120" w:type="dxa"/>
            <w:vAlign w:val="bottom"/>
            <w:tcBorders>
              <w:bottom w:val="single" w:sz="8" w:color="121212"/>
            </w:tcBorders>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14,038</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tcBorders>
              <w:bottom w:val="single" w:sz="8" w:color="DFDFDF"/>
            </w:tcBorders>
          </w:tcPr>
          <w:p>
            <w:pPr>
              <w:ind w:left="400"/>
              <w:spacing w:after="0" w:line="220" w:lineRule="exact"/>
              <w:rPr>
                <w:sz w:val="20"/>
                <w:szCs w:val="20"/>
                <w:color w:val="auto"/>
              </w:rPr>
            </w:pPr>
            <w:r>
              <w:rPr>
                <w:rFonts w:ascii="Times New Roman" w:cs="Times New Roman" w:eastAsia="Times New Roman" w:hAnsi="Times New Roman"/>
                <w:sz w:val="20"/>
                <w:szCs w:val="20"/>
                <w:color w:val="121212"/>
              </w:rPr>
              <w:t>Total operating expenses</w:t>
            </w:r>
          </w:p>
        </w:tc>
        <w:tc>
          <w:tcPr>
            <w:tcW w:w="20" w:type="dxa"/>
            <w:vAlign w:val="bottom"/>
            <w:tcBorders>
              <w:bottom w:val="single" w:sz="8" w:color="DFDFDF"/>
            </w:tcBorders>
          </w:tcPr>
          <w:p>
            <w:pPr>
              <w:spacing w:after="0"/>
              <w:rPr>
                <w:sz w:val="19"/>
                <w:szCs w:val="19"/>
                <w:color w:val="auto"/>
              </w:rPr>
            </w:pPr>
          </w:p>
        </w:tc>
        <w:tc>
          <w:tcPr>
            <w:tcW w:w="320" w:type="dxa"/>
            <w:vAlign w:val="bottom"/>
            <w:tcBorders>
              <w:bottom w:val="single" w:sz="8" w:color="121212"/>
            </w:tcBorders>
          </w:tcPr>
          <w:p>
            <w:pPr>
              <w:spacing w:after="0"/>
              <w:rPr>
                <w:sz w:val="19"/>
                <w:szCs w:val="19"/>
                <w:color w:val="auto"/>
              </w:rPr>
            </w:pPr>
          </w:p>
        </w:tc>
        <w:tc>
          <w:tcPr>
            <w:tcW w:w="112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rPr>
              <w:t>91,125</w:t>
            </w:r>
          </w:p>
        </w:tc>
        <w:tc>
          <w:tcPr>
            <w:tcW w:w="160" w:type="dxa"/>
            <w:vAlign w:val="bottom"/>
            <w:tcBorders>
              <w:bottom w:val="single" w:sz="8" w:color="DFDFDF"/>
            </w:tcBorders>
          </w:tcPr>
          <w:p>
            <w:pPr>
              <w:spacing w:after="0"/>
              <w:rPr>
                <w:sz w:val="19"/>
                <w:szCs w:val="19"/>
                <w:color w:val="auto"/>
              </w:rPr>
            </w:pPr>
          </w:p>
        </w:tc>
        <w:tc>
          <w:tcPr>
            <w:tcW w:w="120" w:type="dxa"/>
            <w:vAlign w:val="bottom"/>
            <w:tcBorders>
              <w:bottom w:val="single" w:sz="8" w:color="DFDFDF"/>
            </w:tcBorders>
          </w:tcPr>
          <w:p>
            <w:pPr>
              <w:spacing w:after="0"/>
              <w:rPr>
                <w:sz w:val="19"/>
                <w:szCs w:val="19"/>
                <w:color w:val="auto"/>
              </w:rPr>
            </w:pPr>
          </w:p>
        </w:tc>
        <w:tc>
          <w:tcPr>
            <w:tcW w:w="320" w:type="dxa"/>
            <w:vAlign w:val="bottom"/>
            <w:tcBorders>
              <w:bottom w:val="single" w:sz="8" w:color="121212"/>
            </w:tcBorders>
          </w:tcPr>
          <w:p>
            <w:pPr>
              <w:spacing w:after="0"/>
              <w:rPr>
                <w:sz w:val="19"/>
                <w:szCs w:val="19"/>
                <w:color w:val="auto"/>
              </w:rPr>
            </w:pPr>
          </w:p>
        </w:tc>
        <w:tc>
          <w:tcPr>
            <w:tcW w:w="112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rPr>
              <w:t>47,475</w:t>
            </w:r>
          </w:p>
        </w:tc>
        <w:tc>
          <w:tcPr>
            <w:tcW w:w="100" w:type="dxa"/>
            <w:vAlign w:val="bottom"/>
            <w:tcBorders>
              <w:bottom w:val="single" w:sz="8" w:color="DFDFD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spacing w:after="0" w:line="220" w:lineRule="exact"/>
              <w:rPr>
                <w:sz w:val="20"/>
                <w:szCs w:val="20"/>
                <w:color w:val="auto"/>
              </w:rPr>
            </w:pPr>
            <w:r>
              <w:rPr>
                <w:rFonts w:ascii="Times New Roman" w:cs="Times New Roman" w:eastAsia="Times New Roman" w:hAnsi="Times New Roman"/>
                <w:sz w:val="20"/>
                <w:szCs w:val="20"/>
                <w:color w:val="121212"/>
              </w:rPr>
              <w:t>Loss from operations</w:t>
            </w:r>
          </w:p>
        </w:tc>
        <w:tc>
          <w:tcPr>
            <w:tcW w:w="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12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(91,125)</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12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(47,475)</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121212"/>
              </w:rPr>
              <w:t>Other income (expense), net: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Interest income</w:t>
            </w:r>
          </w:p>
        </w:tc>
        <w:tc>
          <w:tcPr>
            <w:tcW w:w="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12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14,797</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12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709</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Change in fair value of derivative liability</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121212"/>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121212"/>
              </w:rPr>
              <w:t>(61)</w:t>
            </w:r>
          </w:p>
        </w:tc>
        <w:tc>
          <w:tcPr>
            <w:tcW w:w="0" w:type="dxa"/>
            <w:vAlign w:val="bottom"/>
          </w:tcPr>
          <w:p>
            <w:pPr>
              <w:spacing w:after="0"/>
              <w:rPr>
                <w:sz w:val="1"/>
                <w:szCs w:val="1"/>
                <w:color w:val="auto"/>
              </w:rPr>
            </w:pPr>
          </w:p>
        </w:tc>
      </w:tr>
      <w:tr>
        <w:trPr>
          <w:trHeight w:val="230"/>
        </w:trPr>
        <w:tc>
          <w:tcPr>
            <w:tcW w:w="716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Other expense</w:t>
            </w:r>
          </w:p>
        </w:tc>
        <w:tc>
          <w:tcPr>
            <w:tcW w:w="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280" w:type="dxa"/>
            <w:vAlign w:val="bottom"/>
            <w:gridSpan w:val="2"/>
            <w:shd w:val="clear" w:color="auto" w:fill="DFDFDF"/>
          </w:tcPr>
          <w:p>
            <w:pPr>
              <w:jc w:val="right"/>
              <w:ind w:right="100"/>
              <w:spacing w:after="0"/>
              <w:rPr>
                <w:sz w:val="20"/>
                <w:szCs w:val="20"/>
                <w:color w:val="auto"/>
              </w:rPr>
            </w:pPr>
            <w:r>
              <w:rPr>
                <w:rFonts w:ascii="Times New Roman" w:cs="Times New Roman" w:eastAsia="Times New Roman" w:hAnsi="Times New Roman"/>
                <w:sz w:val="20"/>
                <w:szCs w:val="20"/>
                <w:color w:val="121212"/>
              </w:rPr>
              <w:t>(2)</w:t>
            </w:r>
          </w:p>
        </w:tc>
        <w:tc>
          <w:tcPr>
            <w:tcW w:w="1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220" w:type="dxa"/>
            <w:vAlign w:val="bottom"/>
            <w:gridSpan w:val="2"/>
            <w:shd w:val="clear" w:color="auto" w:fill="DFDFDF"/>
          </w:tcPr>
          <w:p>
            <w:pPr>
              <w:jc w:val="right"/>
              <w:ind w:right="100"/>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20"/>
        </w:trPr>
        <w:tc>
          <w:tcPr>
            <w:tcW w:w="7160" w:type="dxa"/>
            <w:vAlign w:val="bottom"/>
            <w:tcBorders>
              <w:bottom w:val="single" w:sz="8" w:color="DFDFDF"/>
            </w:tcBorders>
          </w:tcPr>
          <w:p>
            <w:pPr>
              <w:ind w:left="400"/>
              <w:spacing w:after="0" w:line="220" w:lineRule="exact"/>
              <w:rPr>
                <w:sz w:val="20"/>
                <w:szCs w:val="20"/>
                <w:color w:val="auto"/>
              </w:rPr>
            </w:pPr>
            <w:r>
              <w:rPr>
                <w:rFonts w:ascii="Times New Roman" w:cs="Times New Roman" w:eastAsia="Times New Roman" w:hAnsi="Times New Roman"/>
                <w:sz w:val="20"/>
                <w:szCs w:val="20"/>
                <w:color w:val="121212"/>
              </w:rPr>
              <w:t>Total other income (expense), net</w:t>
            </w:r>
          </w:p>
        </w:tc>
        <w:tc>
          <w:tcPr>
            <w:tcW w:w="20" w:type="dxa"/>
            <w:vAlign w:val="bottom"/>
            <w:tcBorders>
              <w:bottom w:val="single" w:sz="8" w:color="DFDFDF"/>
            </w:tcBorders>
          </w:tcPr>
          <w:p>
            <w:pPr>
              <w:spacing w:after="0"/>
              <w:rPr>
                <w:sz w:val="19"/>
                <w:szCs w:val="19"/>
                <w:color w:val="auto"/>
              </w:rPr>
            </w:pPr>
          </w:p>
        </w:tc>
        <w:tc>
          <w:tcPr>
            <w:tcW w:w="320" w:type="dxa"/>
            <w:vAlign w:val="bottom"/>
            <w:tcBorders>
              <w:top w:val="single" w:sz="8" w:color="121212"/>
              <w:bottom w:val="single" w:sz="8" w:color="121212"/>
            </w:tcBorders>
          </w:tcPr>
          <w:p>
            <w:pPr>
              <w:spacing w:after="0"/>
              <w:rPr>
                <w:sz w:val="19"/>
                <w:szCs w:val="19"/>
                <w:color w:val="auto"/>
              </w:rPr>
            </w:pPr>
          </w:p>
        </w:tc>
        <w:tc>
          <w:tcPr>
            <w:tcW w:w="1120" w:type="dxa"/>
            <w:vAlign w:val="bottom"/>
            <w:tcBorders>
              <w:top w:val="single" w:sz="8" w:color="121212"/>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rPr>
              <w:t>14,795</w:t>
            </w:r>
          </w:p>
        </w:tc>
        <w:tc>
          <w:tcPr>
            <w:tcW w:w="160" w:type="dxa"/>
            <w:vAlign w:val="bottom"/>
            <w:tcBorders>
              <w:bottom w:val="single" w:sz="8" w:color="DFDFDF"/>
            </w:tcBorders>
          </w:tcPr>
          <w:p>
            <w:pPr>
              <w:spacing w:after="0"/>
              <w:rPr>
                <w:sz w:val="19"/>
                <w:szCs w:val="19"/>
                <w:color w:val="auto"/>
              </w:rPr>
            </w:pPr>
          </w:p>
        </w:tc>
        <w:tc>
          <w:tcPr>
            <w:tcW w:w="120" w:type="dxa"/>
            <w:vAlign w:val="bottom"/>
            <w:tcBorders>
              <w:bottom w:val="single" w:sz="8" w:color="DFDFDF"/>
            </w:tcBorders>
          </w:tcPr>
          <w:p>
            <w:pPr>
              <w:spacing w:after="0"/>
              <w:rPr>
                <w:sz w:val="19"/>
                <w:szCs w:val="19"/>
                <w:color w:val="auto"/>
              </w:rPr>
            </w:pPr>
          </w:p>
        </w:tc>
        <w:tc>
          <w:tcPr>
            <w:tcW w:w="320" w:type="dxa"/>
            <w:vAlign w:val="bottom"/>
            <w:tcBorders>
              <w:top w:val="single" w:sz="8" w:color="121212"/>
              <w:bottom w:val="single" w:sz="8" w:color="121212"/>
            </w:tcBorders>
          </w:tcPr>
          <w:p>
            <w:pPr>
              <w:spacing w:after="0"/>
              <w:rPr>
                <w:sz w:val="19"/>
                <w:szCs w:val="19"/>
                <w:color w:val="auto"/>
              </w:rPr>
            </w:pPr>
          </w:p>
        </w:tc>
        <w:tc>
          <w:tcPr>
            <w:tcW w:w="1120" w:type="dxa"/>
            <w:vAlign w:val="bottom"/>
            <w:tcBorders>
              <w:top w:val="single" w:sz="8" w:color="121212"/>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rPr>
              <w:t>648</w:t>
            </w:r>
          </w:p>
        </w:tc>
        <w:tc>
          <w:tcPr>
            <w:tcW w:w="100" w:type="dxa"/>
            <w:vAlign w:val="bottom"/>
            <w:tcBorders>
              <w:bottom w:val="single" w:sz="8" w:color="DFDFD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spacing w:after="0" w:line="220" w:lineRule="exact"/>
              <w:rPr>
                <w:sz w:val="20"/>
                <w:szCs w:val="20"/>
                <w:color w:val="auto"/>
              </w:rPr>
            </w:pPr>
            <w:r>
              <w:rPr>
                <w:rFonts w:ascii="Times New Roman" w:cs="Times New Roman" w:eastAsia="Times New Roman" w:hAnsi="Times New Roman"/>
                <w:sz w:val="20"/>
                <w:szCs w:val="20"/>
                <w:color w:val="121212"/>
              </w:rPr>
              <w:t>Loss before income taxes</w:t>
            </w:r>
          </w:p>
        </w:tc>
        <w:tc>
          <w:tcPr>
            <w:tcW w:w="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12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(76,330)</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320" w:type="dxa"/>
            <w:vAlign w:val="bottom"/>
            <w:shd w:val="clear" w:color="auto" w:fill="DFDFDF"/>
          </w:tcPr>
          <w:p>
            <w:pPr>
              <w:spacing w:after="0"/>
              <w:rPr>
                <w:sz w:val="19"/>
                <w:szCs w:val="19"/>
                <w:color w:val="auto"/>
              </w:rPr>
            </w:pPr>
          </w:p>
        </w:tc>
        <w:tc>
          <w:tcPr>
            <w:tcW w:w="1120" w:type="dxa"/>
            <w:vAlign w:val="bottom"/>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(46,827)</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DFDFDF"/>
            </w:tcBorders>
          </w:tcPr>
          <w:p>
            <w:pPr>
              <w:ind w:left="200"/>
              <w:spacing w:after="0"/>
              <w:rPr>
                <w:sz w:val="20"/>
                <w:szCs w:val="20"/>
                <w:color w:val="auto"/>
              </w:rPr>
            </w:pPr>
            <w:r>
              <w:rPr>
                <w:rFonts w:ascii="Times New Roman" w:cs="Times New Roman" w:eastAsia="Times New Roman" w:hAnsi="Times New Roman"/>
                <w:sz w:val="20"/>
                <w:szCs w:val="20"/>
                <w:color w:val="121212"/>
              </w:rPr>
              <w:t>Income tax expense</w:t>
            </w:r>
          </w:p>
        </w:tc>
        <w:tc>
          <w:tcPr>
            <w:tcW w:w="20" w:type="dxa"/>
            <w:vAlign w:val="bottom"/>
            <w:tcBorders>
              <w:bottom w:val="single" w:sz="8" w:color="DFDFDF"/>
            </w:tcBorders>
          </w:tcPr>
          <w:p>
            <w:pPr>
              <w:spacing w:after="0"/>
              <w:rPr>
                <w:sz w:val="19"/>
                <w:szCs w:val="19"/>
                <w:color w:val="auto"/>
              </w:rPr>
            </w:pPr>
          </w:p>
        </w:tc>
        <w:tc>
          <w:tcPr>
            <w:tcW w:w="320" w:type="dxa"/>
            <w:vAlign w:val="bottom"/>
            <w:tcBorders>
              <w:bottom w:val="single" w:sz="8" w:color="121212"/>
            </w:tcBorders>
          </w:tcPr>
          <w:p>
            <w:pPr>
              <w:spacing w:after="0"/>
              <w:rPr>
                <w:sz w:val="19"/>
                <w:szCs w:val="19"/>
                <w:color w:val="auto"/>
              </w:rPr>
            </w:pPr>
          </w:p>
        </w:tc>
        <w:tc>
          <w:tcPr>
            <w:tcW w:w="112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(99)</w:t>
            </w:r>
          </w:p>
        </w:tc>
        <w:tc>
          <w:tcPr>
            <w:tcW w:w="160" w:type="dxa"/>
            <w:vAlign w:val="bottom"/>
            <w:tcBorders>
              <w:bottom w:val="single" w:sz="8" w:color="DFDFDF"/>
            </w:tcBorders>
          </w:tcPr>
          <w:p>
            <w:pPr>
              <w:spacing w:after="0"/>
              <w:rPr>
                <w:sz w:val="19"/>
                <w:szCs w:val="19"/>
                <w:color w:val="auto"/>
              </w:rPr>
            </w:pPr>
          </w:p>
        </w:tc>
        <w:tc>
          <w:tcPr>
            <w:tcW w:w="120" w:type="dxa"/>
            <w:vAlign w:val="bottom"/>
            <w:tcBorders>
              <w:bottom w:val="single" w:sz="8" w:color="DFDFDF"/>
            </w:tcBorders>
          </w:tcPr>
          <w:p>
            <w:pPr>
              <w:spacing w:after="0"/>
              <w:rPr>
                <w:sz w:val="19"/>
                <w:szCs w:val="19"/>
                <w:color w:val="auto"/>
              </w:rPr>
            </w:pPr>
          </w:p>
        </w:tc>
        <w:tc>
          <w:tcPr>
            <w:tcW w:w="320" w:type="dxa"/>
            <w:vAlign w:val="bottom"/>
            <w:tcBorders>
              <w:bottom w:val="single" w:sz="8" w:color="121212"/>
            </w:tcBorders>
          </w:tcPr>
          <w:p>
            <w:pPr>
              <w:spacing w:after="0"/>
              <w:rPr>
                <w:sz w:val="19"/>
                <w:szCs w:val="19"/>
                <w:color w:val="auto"/>
              </w:rPr>
            </w:pPr>
          </w:p>
        </w:tc>
        <w:tc>
          <w:tcPr>
            <w:tcW w:w="112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w:t>
            </w:r>
          </w:p>
        </w:tc>
        <w:tc>
          <w:tcPr>
            <w:tcW w:w="100" w:type="dxa"/>
            <w:vAlign w:val="bottom"/>
            <w:tcBorders>
              <w:bottom w:val="single" w:sz="8" w:color="DFDFD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shd w:val="clear" w:color="auto" w:fill="DFDFDF"/>
          </w:tcPr>
          <w:p>
            <w:pPr>
              <w:spacing w:after="0" w:line="220" w:lineRule="exact"/>
              <w:rPr>
                <w:sz w:val="20"/>
                <w:szCs w:val="20"/>
                <w:color w:val="auto"/>
              </w:rPr>
            </w:pPr>
            <w:r>
              <w:rPr>
                <w:rFonts w:ascii="Times New Roman" w:cs="Times New Roman" w:eastAsia="Times New Roman" w:hAnsi="Times New Roman"/>
                <w:sz w:val="20"/>
                <w:szCs w:val="20"/>
                <w:color w:val="121212"/>
              </w:rPr>
              <w:t>Net loss and comprehensive loss</w:t>
            </w:r>
          </w:p>
        </w:tc>
        <w:tc>
          <w:tcPr>
            <w:tcW w:w="20" w:type="dxa"/>
            <w:vAlign w:val="bottom"/>
            <w:shd w:val="clear" w:color="auto" w:fill="DFDFDF"/>
          </w:tcPr>
          <w:p>
            <w:pPr>
              <w:spacing w:after="0"/>
              <w:rPr>
                <w:sz w:val="19"/>
                <w:szCs w:val="19"/>
                <w:color w:val="auto"/>
              </w:rPr>
            </w:pPr>
          </w:p>
        </w:tc>
        <w:tc>
          <w:tcPr>
            <w:tcW w:w="320" w:type="dxa"/>
            <w:vAlign w:val="bottom"/>
            <w:tcBorders>
              <w:bottom w:val="single" w:sz="8" w:color="121212"/>
            </w:tcBorders>
            <w:shd w:val="clear" w:color="auto" w:fill="DFDFDF"/>
          </w:tcPr>
          <w:p>
            <w:pPr>
              <w:jc w:val="right"/>
              <w:ind w:right="155"/>
              <w:spacing w:after="0"/>
              <w:rPr>
                <w:sz w:val="20"/>
                <w:szCs w:val="20"/>
                <w:color w:val="auto"/>
              </w:rPr>
            </w:pPr>
            <w:r>
              <w:rPr>
                <w:rFonts w:ascii="Times New Roman" w:cs="Times New Roman" w:eastAsia="Times New Roman" w:hAnsi="Times New Roman"/>
                <w:sz w:val="17"/>
                <w:szCs w:val="17"/>
                <w:color w:val="121212"/>
                <w:w w:val="70"/>
              </w:rPr>
              <w:t>$</w:t>
            </w:r>
          </w:p>
        </w:tc>
        <w:tc>
          <w:tcPr>
            <w:tcW w:w="1120" w:type="dxa"/>
            <w:vAlign w:val="bottom"/>
            <w:tcBorders>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(76,429)</w:t>
            </w:r>
          </w:p>
        </w:tc>
        <w:tc>
          <w:tcPr>
            <w:tcW w:w="160" w:type="dxa"/>
            <w:vAlign w:val="bottom"/>
            <w:shd w:val="clear" w:color="auto" w:fill="DFDFDF"/>
          </w:tcPr>
          <w:p>
            <w:pPr>
              <w:spacing w:after="0"/>
              <w:rPr>
                <w:sz w:val="19"/>
                <w:szCs w:val="19"/>
                <w:color w:val="auto"/>
              </w:rPr>
            </w:pPr>
          </w:p>
        </w:tc>
        <w:tc>
          <w:tcPr>
            <w:tcW w:w="120" w:type="dxa"/>
            <w:vAlign w:val="bottom"/>
            <w:shd w:val="clear" w:color="auto" w:fill="DFDFDF"/>
          </w:tcPr>
          <w:p>
            <w:pPr>
              <w:spacing w:after="0"/>
              <w:rPr>
                <w:sz w:val="19"/>
                <w:szCs w:val="19"/>
                <w:color w:val="auto"/>
              </w:rPr>
            </w:pPr>
          </w:p>
        </w:tc>
        <w:tc>
          <w:tcPr>
            <w:tcW w:w="320" w:type="dxa"/>
            <w:vAlign w:val="bottom"/>
            <w:tcBorders>
              <w:bottom w:val="single" w:sz="8" w:color="121212"/>
            </w:tcBorders>
            <w:shd w:val="clear" w:color="auto" w:fill="DFDFDF"/>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20" w:type="dxa"/>
            <w:vAlign w:val="bottom"/>
            <w:tcBorders>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(46,827)</w:t>
            </w:r>
          </w:p>
        </w:tc>
        <w:tc>
          <w:tcPr>
            <w:tcW w:w="10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color w:val="121212"/>
              </w:rPr>
              <w:t>Net loss attributable to common stockholders-basic and diluted</w:t>
            </w: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121212"/>
            </w:tcBorders>
          </w:tcPr>
          <w:p>
            <w:pPr>
              <w:spacing w:after="0" w:line="20" w:lineRule="exact"/>
              <w:rPr>
                <w:sz w:val="1"/>
                <w:szCs w:val="1"/>
                <w:color w:val="auto"/>
              </w:rPr>
            </w:pPr>
          </w:p>
        </w:tc>
        <w:tc>
          <w:tcPr>
            <w:tcW w:w="1120" w:type="dxa"/>
            <w:vAlign w:val="bottom"/>
            <w:tcBorders>
              <w:bottom w:val="single" w:sz="8" w:color="121212"/>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121212"/>
            </w:tcBorders>
          </w:tcPr>
          <w:p>
            <w:pPr>
              <w:spacing w:after="0" w:line="20" w:lineRule="exact"/>
              <w:rPr>
                <w:sz w:val="1"/>
                <w:szCs w:val="1"/>
                <w:color w:val="auto"/>
              </w:rPr>
            </w:pPr>
          </w:p>
        </w:tc>
        <w:tc>
          <w:tcPr>
            <w:tcW w:w="1120" w:type="dxa"/>
            <w:vAlign w:val="bottom"/>
            <w:tcBorders>
              <w:bottom w:val="single" w:sz="8" w:color="121212"/>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160" w:type="dxa"/>
            <w:vAlign w:val="bottom"/>
            <w:tcBorders>
              <w:bottom w:val="single" w:sz="8" w:color="DFDFDF"/>
            </w:tcBorders>
            <w:vMerge w:val="continue"/>
          </w:tcPr>
          <w:p>
            <w:pPr>
              <w:spacing w:after="0"/>
              <w:rPr>
                <w:sz w:val="22"/>
                <w:szCs w:val="22"/>
                <w:color w:val="auto"/>
              </w:rPr>
            </w:pPr>
          </w:p>
        </w:tc>
        <w:tc>
          <w:tcPr>
            <w:tcW w:w="20" w:type="dxa"/>
            <w:vAlign w:val="bottom"/>
            <w:tcBorders>
              <w:bottom w:val="single" w:sz="8" w:color="DFDFDF"/>
            </w:tcBorders>
            <w:vMerge w:val="continue"/>
          </w:tcPr>
          <w:p>
            <w:pPr>
              <w:spacing w:after="0"/>
              <w:rPr>
                <w:sz w:val="22"/>
                <w:szCs w:val="22"/>
                <w:color w:val="auto"/>
              </w:rPr>
            </w:pPr>
          </w:p>
        </w:tc>
        <w:tc>
          <w:tcPr>
            <w:tcW w:w="320" w:type="dxa"/>
            <w:vAlign w:val="bottom"/>
            <w:tcBorders>
              <w:bottom w:val="single" w:sz="8" w:color="121212"/>
            </w:tcBorders>
          </w:tcPr>
          <w:p>
            <w:pPr>
              <w:jc w:val="right"/>
              <w:ind w:right="155"/>
              <w:spacing w:after="0"/>
              <w:rPr>
                <w:sz w:val="20"/>
                <w:szCs w:val="20"/>
                <w:color w:val="auto"/>
              </w:rPr>
            </w:pPr>
            <w:r>
              <w:rPr>
                <w:rFonts w:ascii="Times New Roman" w:cs="Times New Roman" w:eastAsia="Times New Roman" w:hAnsi="Times New Roman"/>
                <w:sz w:val="17"/>
                <w:szCs w:val="17"/>
                <w:color w:val="121212"/>
                <w:w w:val="70"/>
              </w:rPr>
              <w:t>$</w:t>
            </w:r>
          </w:p>
        </w:tc>
        <w:tc>
          <w:tcPr>
            <w:tcW w:w="1120" w:type="dxa"/>
            <w:vAlign w:val="bottom"/>
            <w:tcBorders>
              <w:bottom w:val="single" w:sz="8" w:color="121212"/>
            </w:tcBorders>
          </w:tcPr>
          <w:p>
            <w:pPr>
              <w:jc w:val="right"/>
              <w:spacing w:after="0" w:line="215" w:lineRule="exact"/>
              <w:rPr>
                <w:sz w:val="20"/>
                <w:szCs w:val="20"/>
                <w:color w:val="auto"/>
              </w:rPr>
            </w:pPr>
            <w:r>
              <w:rPr>
                <w:rFonts w:ascii="Times New Roman" w:cs="Times New Roman" w:eastAsia="Times New Roman" w:hAnsi="Times New Roman"/>
                <w:sz w:val="20"/>
                <w:szCs w:val="20"/>
                <w:color w:val="121212"/>
              </w:rPr>
              <w:t>(76,429)</w:t>
            </w:r>
          </w:p>
        </w:tc>
        <w:tc>
          <w:tcPr>
            <w:tcW w:w="160" w:type="dxa"/>
            <w:vAlign w:val="bottom"/>
            <w:tcBorders>
              <w:bottom w:val="single" w:sz="8" w:color="DFDFDF"/>
            </w:tcBorders>
            <w:vMerge w:val="continue"/>
          </w:tcPr>
          <w:p>
            <w:pPr>
              <w:spacing w:after="0"/>
              <w:rPr>
                <w:sz w:val="22"/>
                <w:szCs w:val="22"/>
                <w:color w:val="auto"/>
              </w:rPr>
            </w:pPr>
          </w:p>
        </w:tc>
        <w:tc>
          <w:tcPr>
            <w:tcW w:w="120" w:type="dxa"/>
            <w:vAlign w:val="bottom"/>
            <w:tcBorders>
              <w:bottom w:val="single" w:sz="8" w:color="DFDFDF"/>
            </w:tcBorders>
            <w:vMerge w:val="continue"/>
          </w:tcPr>
          <w:p>
            <w:pPr>
              <w:spacing w:after="0"/>
              <w:rPr>
                <w:sz w:val="22"/>
                <w:szCs w:val="22"/>
                <w:color w:val="auto"/>
              </w:rPr>
            </w:pPr>
          </w:p>
        </w:tc>
        <w:tc>
          <w:tcPr>
            <w:tcW w:w="320" w:type="dxa"/>
            <w:vAlign w:val="bottom"/>
            <w:tcBorders>
              <w:bottom w:val="single" w:sz="8" w:color="121212"/>
            </w:tcBorders>
          </w:tcPr>
          <w:p>
            <w:pPr>
              <w:jc w:val="right"/>
              <w:ind w:right="120"/>
              <w:spacing w:after="0" w:line="215" w:lineRule="exact"/>
              <w:rPr>
                <w:sz w:val="20"/>
                <w:szCs w:val="20"/>
                <w:color w:val="auto"/>
              </w:rPr>
            </w:pPr>
            <w:r>
              <w:rPr>
                <w:rFonts w:ascii="Times New Roman" w:cs="Times New Roman" w:eastAsia="Times New Roman" w:hAnsi="Times New Roman"/>
                <w:sz w:val="20"/>
                <w:szCs w:val="20"/>
                <w:color w:val="121212"/>
                <w:w w:val="79"/>
              </w:rPr>
              <w:t>$</w:t>
            </w:r>
          </w:p>
        </w:tc>
        <w:tc>
          <w:tcPr>
            <w:tcW w:w="1120" w:type="dxa"/>
            <w:vAlign w:val="bottom"/>
            <w:tcBorders>
              <w:bottom w:val="single" w:sz="8" w:color="121212"/>
            </w:tcBorders>
          </w:tcPr>
          <w:p>
            <w:pPr>
              <w:jc w:val="right"/>
              <w:spacing w:after="0" w:line="215" w:lineRule="exact"/>
              <w:rPr>
                <w:sz w:val="20"/>
                <w:szCs w:val="20"/>
                <w:color w:val="auto"/>
              </w:rPr>
            </w:pPr>
            <w:r>
              <w:rPr>
                <w:rFonts w:ascii="Times New Roman" w:cs="Times New Roman" w:eastAsia="Times New Roman" w:hAnsi="Times New Roman"/>
                <w:sz w:val="20"/>
                <w:szCs w:val="20"/>
                <w:color w:val="121212"/>
              </w:rPr>
              <w:t>(46,827)</w:t>
            </w:r>
          </w:p>
        </w:tc>
        <w:tc>
          <w:tcPr>
            <w:tcW w:w="100" w:type="dxa"/>
            <w:vAlign w:val="bottom"/>
            <w:tcBorders>
              <w:bottom w:val="single" w:sz="8" w:color="DFDFD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DFDFDF"/>
          </w:tcPr>
          <w:p>
            <w:pPr>
              <w:spacing w:after="0" w:line="215" w:lineRule="exact"/>
              <w:rPr>
                <w:sz w:val="20"/>
                <w:szCs w:val="20"/>
                <w:color w:val="auto"/>
              </w:rPr>
            </w:pPr>
            <w:r>
              <w:rPr>
                <w:rFonts w:ascii="Times New Roman" w:cs="Times New Roman" w:eastAsia="Times New Roman" w:hAnsi="Times New Roman"/>
                <w:sz w:val="20"/>
                <w:szCs w:val="20"/>
                <w:color w:val="121212"/>
              </w:rPr>
              <w:t>Weighted-average common shares outstanding-basic and diluted</w:t>
            </w:r>
          </w:p>
        </w:tc>
        <w:tc>
          <w:tcPr>
            <w:tcW w:w="20" w:type="dxa"/>
            <w:vAlign w:val="bottom"/>
            <w:shd w:val="clear" w:color="auto" w:fill="DFDFDF"/>
          </w:tcPr>
          <w:p>
            <w:pPr>
              <w:spacing w:after="0"/>
              <w:rPr>
                <w:sz w:val="18"/>
                <w:szCs w:val="18"/>
                <w:color w:val="auto"/>
              </w:rPr>
            </w:pPr>
          </w:p>
        </w:tc>
        <w:tc>
          <w:tcPr>
            <w:tcW w:w="320" w:type="dxa"/>
            <w:vAlign w:val="bottom"/>
            <w:tcBorders>
              <w:bottom w:val="single" w:sz="8" w:color="121212"/>
            </w:tcBorders>
            <w:shd w:val="clear" w:color="auto" w:fill="DFDFDF"/>
          </w:tcPr>
          <w:p>
            <w:pPr>
              <w:spacing w:after="0"/>
              <w:rPr>
                <w:sz w:val="18"/>
                <w:szCs w:val="18"/>
                <w:color w:val="auto"/>
              </w:rPr>
            </w:pPr>
          </w:p>
        </w:tc>
        <w:tc>
          <w:tcPr>
            <w:tcW w:w="1120" w:type="dxa"/>
            <w:vAlign w:val="bottom"/>
            <w:tcBorders>
              <w:bottom w:val="single" w:sz="8" w:color="121212"/>
            </w:tcBorders>
            <w:shd w:val="clear" w:color="auto" w:fill="DFDFDF"/>
          </w:tcPr>
          <w:p>
            <w:pPr>
              <w:jc w:val="right"/>
              <w:spacing w:after="0" w:line="215" w:lineRule="exact"/>
              <w:rPr>
                <w:sz w:val="20"/>
                <w:szCs w:val="20"/>
                <w:color w:val="auto"/>
              </w:rPr>
            </w:pPr>
            <w:r>
              <w:rPr>
                <w:rFonts w:ascii="Times New Roman" w:cs="Times New Roman" w:eastAsia="Times New Roman" w:hAnsi="Times New Roman"/>
                <w:sz w:val="20"/>
                <w:szCs w:val="20"/>
                <w:color w:val="121212"/>
              </w:rPr>
              <w:t>22,315,877</w:t>
            </w:r>
          </w:p>
        </w:tc>
        <w:tc>
          <w:tcPr>
            <w:tcW w:w="160" w:type="dxa"/>
            <w:vAlign w:val="bottom"/>
            <w:shd w:val="clear" w:color="auto" w:fill="DFDFDF"/>
          </w:tcPr>
          <w:p>
            <w:pPr>
              <w:spacing w:after="0"/>
              <w:rPr>
                <w:sz w:val="18"/>
                <w:szCs w:val="18"/>
                <w:color w:val="auto"/>
              </w:rPr>
            </w:pPr>
          </w:p>
        </w:tc>
        <w:tc>
          <w:tcPr>
            <w:tcW w:w="120" w:type="dxa"/>
            <w:vAlign w:val="bottom"/>
            <w:shd w:val="clear" w:color="auto" w:fill="DFDFDF"/>
          </w:tcPr>
          <w:p>
            <w:pPr>
              <w:spacing w:after="0"/>
              <w:rPr>
                <w:sz w:val="18"/>
                <w:szCs w:val="18"/>
                <w:color w:val="auto"/>
              </w:rPr>
            </w:pPr>
          </w:p>
        </w:tc>
        <w:tc>
          <w:tcPr>
            <w:tcW w:w="320" w:type="dxa"/>
            <w:vAlign w:val="bottom"/>
            <w:tcBorders>
              <w:bottom w:val="single" w:sz="8" w:color="121212"/>
            </w:tcBorders>
            <w:shd w:val="clear" w:color="auto" w:fill="DFDFDF"/>
          </w:tcPr>
          <w:p>
            <w:pPr>
              <w:spacing w:after="0"/>
              <w:rPr>
                <w:sz w:val="18"/>
                <w:szCs w:val="18"/>
                <w:color w:val="auto"/>
              </w:rPr>
            </w:pPr>
          </w:p>
        </w:tc>
        <w:tc>
          <w:tcPr>
            <w:tcW w:w="1120" w:type="dxa"/>
            <w:vAlign w:val="bottom"/>
            <w:tcBorders>
              <w:bottom w:val="single" w:sz="8" w:color="121212"/>
            </w:tcBorders>
            <w:shd w:val="clear" w:color="auto" w:fill="DFDFDF"/>
          </w:tcPr>
          <w:p>
            <w:pPr>
              <w:jc w:val="right"/>
              <w:spacing w:after="0" w:line="215" w:lineRule="exact"/>
              <w:rPr>
                <w:sz w:val="20"/>
                <w:szCs w:val="20"/>
                <w:color w:val="auto"/>
              </w:rPr>
            </w:pPr>
            <w:r>
              <w:rPr>
                <w:rFonts w:ascii="Times New Roman" w:cs="Times New Roman" w:eastAsia="Times New Roman" w:hAnsi="Times New Roman"/>
                <w:sz w:val="20"/>
                <w:szCs w:val="20"/>
                <w:color w:val="121212"/>
              </w:rPr>
              <w:t>1,039,490</w:t>
            </w:r>
          </w:p>
        </w:tc>
        <w:tc>
          <w:tcPr>
            <w:tcW w:w="100" w:type="dxa"/>
            <w:vAlign w:val="bottom"/>
            <w:shd w:val="clear" w:color="auto" w:fill="DFDFD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color w:val="121212"/>
              </w:rPr>
              <w:t>Net loss per share attributable to common stockholders-basic and diluted</w:t>
            </w: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121212"/>
            </w:tcBorders>
          </w:tcPr>
          <w:p>
            <w:pPr>
              <w:spacing w:after="0" w:line="20" w:lineRule="exact"/>
              <w:rPr>
                <w:sz w:val="1"/>
                <w:szCs w:val="1"/>
                <w:color w:val="auto"/>
              </w:rPr>
            </w:pPr>
          </w:p>
        </w:tc>
        <w:tc>
          <w:tcPr>
            <w:tcW w:w="1120" w:type="dxa"/>
            <w:vAlign w:val="bottom"/>
            <w:tcBorders>
              <w:bottom w:val="single" w:sz="8" w:color="121212"/>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121212"/>
            </w:tcBorders>
          </w:tcPr>
          <w:p>
            <w:pPr>
              <w:spacing w:after="0" w:line="20" w:lineRule="exact"/>
              <w:rPr>
                <w:sz w:val="1"/>
                <w:szCs w:val="1"/>
                <w:color w:val="auto"/>
              </w:rPr>
            </w:pPr>
          </w:p>
        </w:tc>
        <w:tc>
          <w:tcPr>
            <w:tcW w:w="1120" w:type="dxa"/>
            <w:vAlign w:val="bottom"/>
            <w:tcBorders>
              <w:bottom w:val="single" w:sz="8" w:color="121212"/>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1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20" w:type="dxa"/>
            <w:vAlign w:val="bottom"/>
            <w:tcBorders>
              <w:bottom w:val="single" w:sz="8" w:color="121212"/>
            </w:tcBorders>
          </w:tcPr>
          <w:p>
            <w:pPr>
              <w:jc w:val="right"/>
              <w:ind w:right="155"/>
              <w:spacing w:after="0"/>
              <w:rPr>
                <w:sz w:val="20"/>
                <w:szCs w:val="20"/>
                <w:color w:val="auto"/>
              </w:rPr>
            </w:pPr>
            <w:r>
              <w:rPr>
                <w:rFonts w:ascii="Times New Roman" w:cs="Times New Roman" w:eastAsia="Times New Roman" w:hAnsi="Times New Roman"/>
                <w:sz w:val="17"/>
                <w:szCs w:val="17"/>
                <w:color w:val="121212"/>
                <w:w w:val="70"/>
              </w:rPr>
              <w:t>$</w:t>
            </w:r>
          </w:p>
        </w:tc>
        <w:tc>
          <w:tcPr>
            <w:tcW w:w="1120" w:type="dxa"/>
            <w:vAlign w:val="bottom"/>
            <w:tcBorders>
              <w:bottom w:val="single" w:sz="8" w:color="121212"/>
            </w:tcBorders>
          </w:tcPr>
          <w:p>
            <w:pPr>
              <w:jc w:val="right"/>
              <w:spacing w:after="0" w:line="215" w:lineRule="exact"/>
              <w:rPr>
                <w:sz w:val="20"/>
                <w:szCs w:val="20"/>
                <w:color w:val="auto"/>
              </w:rPr>
            </w:pPr>
            <w:r>
              <w:rPr>
                <w:rFonts w:ascii="Times New Roman" w:cs="Times New Roman" w:eastAsia="Times New Roman" w:hAnsi="Times New Roman"/>
                <w:sz w:val="20"/>
                <w:szCs w:val="20"/>
                <w:color w:val="121212"/>
              </w:rPr>
              <w:t>(3.42)</w:t>
            </w:r>
          </w:p>
        </w:tc>
        <w:tc>
          <w:tcPr>
            <w:tcW w:w="1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20" w:type="dxa"/>
            <w:vAlign w:val="bottom"/>
            <w:tcBorders>
              <w:bottom w:val="single" w:sz="8" w:color="121212"/>
            </w:tcBorders>
          </w:tcPr>
          <w:p>
            <w:pPr>
              <w:jc w:val="right"/>
              <w:ind w:right="120"/>
              <w:spacing w:after="0" w:line="215" w:lineRule="exact"/>
              <w:rPr>
                <w:sz w:val="20"/>
                <w:szCs w:val="20"/>
                <w:color w:val="auto"/>
              </w:rPr>
            </w:pPr>
            <w:r>
              <w:rPr>
                <w:rFonts w:ascii="Times New Roman" w:cs="Times New Roman" w:eastAsia="Times New Roman" w:hAnsi="Times New Roman"/>
                <w:sz w:val="20"/>
                <w:szCs w:val="20"/>
                <w:color w:val="121212"/>
                <w:w w:val="79"/>
              </w:rPr>
              <w:t>$</w:t>
            </w:r>
          </w:p>
        </w:tc>
        <w:tc>
          <w:tcPr>
            <w:tcW w:w="1120" w:type="dxa"/>
            <w:vAlign w:val="bottom"/>
            <w:tcBorders>
              <w:bottom w:val="single" w:sz="8" w:color="121212"/>
            </w:tcBorders>
          </w:tcPr>
          <w:p>
            <w:pPr>
              <w:jc w:val="right"/>
              <w:spacing w:after="0" w:line="215" w:lineRule="exact"/>
              <w:rPr>
                <w:sz w:val="20"/>
                <w:szCs w:val="20"/>
                <w:color w:val="auto"/>
              </w:rPr>
            </w:pPr>
            <w:r>
              <w:rPr>
                <w:rFonts w:ascii="Times New Roman" w:cs="Times New Roman" w:eastAsia="Times New Roman" w:hAnsi="Times New Roman"/>
                <w:sz w:val="20"/>
                <w:szCs w:val="20"/>
                <w:color w:val="121212"/>
              </w:rPr>
              <w:t>(45.05)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320" w:type="dxa"/>
            <w:vAlign w:val="bottom"/>
            <w:tcBorders>
              <w:bottom w:val="single" w:sz="8" w:color="121212"/>
            </w:tcBorders>
          </w:tcPr>
          <w:p>
            <w:pPr>
              <w:spacing w:after="0" w:line="20" w:lineRule="exact"/>
              <w:rPr>
                <w:sz w:val="1"/>
                <w:szCs w:val="1"/>
                <w:color w:val="auto"/>
              </w:rPr>
            </w:pPr>
          </w:p>
        </w:tc>
        <w:tc>
          <w:tcPr>
            <w:tcW w:w="112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121212"/>
            </w:tcBorders>
          </w:tcPr>
          <w:p>
            <w:pPr>
              <w:spacing w:after="0" w:line="20" w:lineRule="exact"/>
              <w:rPr>
                <w:sz w:val="1"/>
                <w:szCs w:val="1"/>
                <w:color w:val="auto"/>
              </w:rPr>
            </w:pPr>
          </w:p>
        </w:tc>
        <w:tc>
          <w:tcPr>
            <w:tcW w:w="1120" w:type="dxa"/>
            <w:vAlign w:val="bottom"/>
            <w:tcBorders>
              <w:bottom w:val="single" w:sz="8" w:color="12121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21212"/>
        </w:rPr>
        <w:t>The accompanying notes are an integral part of these consolidated financial statements.</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110</w:t>
      </w:r>
    </w:p>
    <w:p>
      <w:pPr>
        <w:sectPr>
          <w:pgSz w:w="12240" w:h="15840" w:orient="portrait"/>
          <w:cols w:equalWidth="0" w:num="1">
            <w:col w:w="10440"/>
          </w:cols>
          <w:pgMar w:left="900" w:top="926" w:right="900" w:bottom="175"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243" w:type="dxa"/>
            <w:vAlign w:val="bottom"/>
            <w:textDirection w:val="tbRl"/>
          </w:tcPr>
          <w:p>
            <w:pPr>
              <w:spacing w:after="0"/>
              <w:rPr>
                <w:sz w:val="20"/>
                <w:szCs w:val="20"/>
                <w:color w:val="auto"/>
              </w:rPr>
            </w:pPr>
            <w:r>
              <w:rPr>
                <w:rFonts w:ascii="Times New Roman" w:cs="Times New Roman" w:eastAsia="Times New Roman" w:hAnsi="Times New Roman"/>
                <w:sz w:val="20"/>
                <w:szCs w:val="20"/>
                <w:color w:val="121212"/>
              </w:rPr>
              <w:t>11</w:t>
            </w:r>
            <w:r>
              <w:rPr>
                <w:rFonts w:ascii="PMingLiU" w:cs="PMingLiU" w:eastAsia="PMingLiU" w:hAnsi="PMingLiU"/>
                <w:sz w:val="20"/>
                <w:szCs w:val="20"/>
                <w:color w:val="121212"/>
              </w:rPr>
              <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b w:val="1"/>
          <w:bCs w:val="1"/>
          <w:color w:val="121212"/>
        </w:rPr>
        <w:t>DISC MEDICINE,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21212"/>
        </w:rPr>
        <w:t>CONSOLIDATED STATEMENTS OF CONVERTIBLE PREFERRED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21212"/>
        </w:rPr>
        <w:t>AND STOCKHOLDERS’ EQUITY (DEFICIT)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21212"/>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bottom w:val="single" w:sz="8" w:color="121212"/>
            </w:tcBorders>
          </w:tcPr>
          <w:p>
            <w:pPr>
              <w:spacing w:after="0"/>
              <w:rPr>
                <w:sz w:val="10"/>
                <w:szCs w:val="10"/>
                <w:color w:val="auto"/>
              </w:rPr>
            </w:pPr>
          </w:p>
        </w:tc>
        <w:tc>
          <w:tcPr>
            <w:tcW w:w="140" w:type="dxa"/>
            <w:vAlign w:val="bottom"/>
            <w:tcBorders>
              <w:bottom w:val="single" w:sz="8" w:color="121212"/>
            </w:tcBorders>
          </w:tcPr>
          <w:p>
            <w:pPr>
              <w:spacing w:after="0"/>
              <w:rPr>
                <w:sz w:val="10"/>
                <w:szCs w:val="10"/>
                <w:color w:val="auto"/>
              </w:rPr>
            </w:pPr>
          </w:p>
        </w:tc>
        <w:tc>
          <w:tcPr>
            <w:tcW w:w="20" w:type="dxa"/>
            <w:vAlign w:val="bottom"/>
            <w:tcBorders>
              <w:bottom w:val="single" w:sz="8" w:color="121212"/>
            </w:tcBorders>
          </w:tcPr>
          <w:p>
            <w:pPr>
              <w:spacing w:after="0"/>
              <w:rPr>
                <w:sz w:val="10"/>
                <w:szCs w:val="10"/>
                <w:color w:val="auto"/>
              </w:rPr>
            </w:pPr>
          </w:p>
        </w:tc>
        <w:tc>
          <w:tcPr>
            <w:tcW w:w="20" w:type="dxa"/>
            <w:vAlign w:val="bottom"/>
            <w:tcBorders>
              <w:bottom w:val="single" w:sz="8" w:color="121212"/>
            </w:tcBorders>
          </w:tcPr>
          <w:p>
            <w:pPr>
              <w:spacing w:after="0"/>
              <w:rPr>
                <w:sz w:val="10"/>
                <w:szCs w:val="10"/>
                <w:color w:val="auto"/>
              </w:rPr>
            </w:pPr>
          </w:p>
        </w:tc>
        <w:tc>
          <w:tcPr>
            <w:tcW w:w="540" w:type="dxa"/>
            <w:vAlign w:val="bottom"/>
            <w:tcBorders>
              <w:bottom w:val="single" w:sz="8" w:color="121212"/>
            </w:tcBorders>
          </w:tcPr>
          <w:p>
            <w:pPr>
              <w:spacing w:after="0"/>
              <w:rPr>
                <w:sz w:val="10"/>
                <w:szCs w:val="10"/>
                <w:color w:val="auto"/>
              </w:rPr>
            </w:pPr>
          </w:p>
        </w:tc>
        <w:tc>
          <w:tcPr>
            <w:tcW w:w="20" w:type="dxa"/>
            <w:vAlign w:val="bottom"/>
            <w:tcBorders>
              <w:bottom w:val="single" w:sz="8" w:color="121212"/>
            </w:tcBorders>
          </w:tcPr>
          <w:p>
            <w:pPr>
              <w:spacing w:after="0"/>
              <w:rPr>
                <w:sz w:val="10"/>
                <w:szCs w:val="10"/>
                <w:color w:val="auto"/>
              </w:rPr>
            </w:pPr>
          </w:p>
        </w:tc>
        <w:tc>
          <w:tcPr>
            <w:tcW w:w="120" w:type="dxa"/>
            <w:vAlign w:val="bottom"/>
            <w:tcBorders>
              <w:bottom w:val="single" w:sz="8" w:color="121212"/>
            </w:tcBorders>
          </w:tcPr>
          <w:p>
            <w:pPr>
              <w:spacing w:after="0"/>
              <w:rPr>
                <w:sz w:val="10"/>
                <w:szCs w:val="10"/>
                <w:color w:val="auto"/>
              </w:rPr>
            </w:pPr>
          </w:p>
        </w:tc>
        <w:tc>
          <w:tcPr>
            <w:tcW w:w="1780" w:type="dxa"/>
            <w:vAlign w:val="bottom"/>
            <w:tcBorders>
              <w:bottom w:val="single" w:sz="8" w:color="121212"/>
            </w:tcBorders>
            <w:gridSpan w:val="6"/>
          </w:tcPr>
          <w:p>
            <w:pPr>
              <w:ind w:left="320"/>
              <w:spacing w:after="0"/>
              <w:rPr>
                <w:sz w:val="20"/>
                <w:szCs w:val="20"/>
                <w:color w:val="auto"/>
              </w:rPr>
            </w:pPr>
            <w:r>
              <w:rPr>
                <w:rFonts w:ascii="Times New Roman" w:cs="Times New Roman" w:eastAsia="Times New Roman" w:hAnsi="Times New Roman"/>
                <w:sz w:val="10"/>
                <w:szCs w:val="10"/>
                <w:b w:val="1"/>
                <w:bCs w:val="1"/>
                <w:color w:val="121212"/>
              </w:rPr>
              <w:t>Convertible Preferred Stock</w:t>
            </w:r>
          </w:p>
        </w:tc>
        <w:tc>
          <w:tcPr>
            <w:tcW w:w="120" w:type="dxa"/>
            <w:vAlign w:val="bottom"/>
            <w:tcBorders>
              <w:bottom w:val="single" w:sz="8" w:color="121212"/>
            </w:tcBorders>
          </w:tcPr>
          <w:p>
            <w:pPr>
              <w:spacing w:after="0"/>
              <w:rPr>
                <w:sz w:val="10"/>
                <w:szCs w:val="10"/>
                <w:color w:val="auto"/>
              </w:rPr>
            </w:pPr>
          </w:p>
        </w:tc>
        <w:tc>
          <w:tcPr>
            <w:tcW w:w="960" w:type="dxa"/>
            <w:vAlign w:val="bottom"/>
            <w:tcBorders>
              <w:bottom w:val="single" w:sz="8" w:color="121212"/>
            </w:tcBorders>
          </w:tcPr>
          <w:p>
            <w:pPr>
              <w:spacing w:after="0"/>
              <w:rPr>
                <w:sz w:val="10"/>
                <w:szCs w:val="10"/>
                <w:color w:val="auto"/>
              </w:rPr>
            </w:pPr>
          </w:p>
        </w:tc>
        <w:tc>
          <w:tcPr>
            <w:tcW w:w="140" w:type="dxa"/>
            <w:vAlign w:val="bottom"/>
            <w:tcBorders>
              <w:bottom w:val="single" w:sz="8" w:color="121212"/>
            </w:tcBorders>
          </w:tcPr>
          <w:p>
            <w:pPr>
              <w:spacing w:after="0"/>
              <w:rPr>
                <w:sz w:val="10"/>
                <w:szCs w:val="10"/>
                <w:color w:val="auto"/>
              </w:rPr>
            </w:pPr>
          </w:p>
        </w:tc>
        <w:tc>
          <w:tcPr>
            <w:tcW w:w="20" w:type="dxa"/>
            <w:vAlign w:val="bottom"/>
            <w:tcBorders>
              <w:bottom w:val="single" w:sz="8" w:color="121212"/>
            </w:tcBorders>
          </w:tcPr>
          <w:p>
            <w:pPr>
              <w:spacing w:after="0"/>
              <w:rPr>
                <w:sz w:val="10"/>
                <w:szCs w:val="10"/>
                <w:color w:val="auto"/>
              </w:rPr>
            </w:pPr>
          </w:p>
        </w:tc>
        <w:tc>
          <w:tcPr>
            <w:tcW w:w="80" w:type="dxa"/>
            <w:vAlign w:val="bottom"/>
            <w:tcBorders>
              <w:bottom w:val="single" w:sz="8" w:color="121212"/>
            </w:tcBorders>
          </w:tcPr>
          <w:p>
            <w:pPr>
              <w:spacing w:after="0"/>
              <w:rPr>
                <w:sz w:val="10"/>
                <w:szCs w:val="10"/>
                <w:color w:val="auto"/>
              </w:rPr>
            </w:pPr>
          </w:p>
        </w:tc>
        <w:tc>
          <w:tcPr>
            <w:tcW w:w="600" w:type="dxa"/>
            <w:vAlign w:val="bottom"/>
            <w:tcBorders>
              <w:bottom w:val="single" w:sz="8" w:color="121212"/>
            </w:tcBorders>
          </w:tcPr>
          <w:p>
            <w:pPr>
              <w:spacing w:after="0"/>
              <w:rPr>
                <w:sz w:val="10"/>
                <w:szCs w:val="10"/>
                <w:color w:val="auto"/>
              </w:rPr>
            </w:pPr>
          </w:p>
        </w:tc>
        <w:tc>
          <w:tcPr>
            <w:tcW w:w="140" w:type="dxa"/>
            <w:vAlign w:val="bottom"/>
            <w:tcBorders>
              <w:right w:val="single" w:sz="8" w:color="121212"/>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left="252"/>
              <w:spacing w:after="0"/>
              <w:rPr>
                <w:sz w:val="20"/>
                <w:szCs w:val="20"/>
                <w:color w:val="auto"/>
              </w:rPr>
            </w:pPr>
            <w:r>
              <w:rPr>
                <w:rFonts w:ascii="Times New Roman" w:cs="Times New Roman" w:eastAsia="Times New Roman" w:hAnsi="Times New Roman"/>
                <w:sz w:val="10"/>
                <w:szCs w:val="10"/>
                <w:b w:val="1"/>
                <w:bCs w:val="1"/>
                <w:color w:val="121212"/>
                <w:w w:val="94"/>
              </w:rPr>
              <w:t>Common Stock</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121212"/>
                <w:w w:val="96"/>
              </w:rPr>
              <w:t>Additional</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ind w:right="232"/>
              <w:spacing w:after="0"/>
              <w:rPr>
                <w:sz w:val="20"/>
                <w:szCs w:val="20"/>
                <w:color w:val="auto"/>
              </w:rPr>
            </w:pPr>
            <w:r>
              <w:rPr>
                <w:rFonts w:ascii="Times New Roman" w:cs="Times New Roman" w:eastAsia="Times New Roman" w:hAnsi="Times New Roman"/>
                <w:sz w:val="10"/>
                <w:szCs w:val="10"/>
                <w:b w:val="1"/>
                <w:bCs w:val="1"/>
                <w:color w:val="121212"/>
                <w:w w:val="96"/>
              </w:rPr>
              <w:t>Total</w:t>
            </w:r>
          </w:p>
        </w:tc>
        <w:tc>
          <w:tcPr>
            <w:tcW w:w="0" w:type="dxa"/>
            <w:vAlign w:val="bottom"/>
          </w:tcPr>
          <w:p>
            <w:pPr>
              <w:spacing w:after="0"/>
              <w:rPr>
                <w:sz w:val="1"/>
                <w:szCs w:val="1"/>
                <w:color w:val="auto"/>
              </w:rPr>
            </w:pPr>
          </w:p>
        </w:tc>
      </w:tr>
      <w:tr>
        <w:trPr>
          <w:trHeight w:val="79"/>
        </w:trPr>
        <w:tc>
          <w:tcPr>
            <w:tcW w:w="2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tcPr>
          <w:p>
            <w:pPr>
              <w:jc w:val="center"/>
              <w:ind w:left="413"/>
              <w:spacing w:after="0" w:line="79" w:lineRule="exact"/>
              <w:rPr>
                <w:sz w:val="20"/>
                <w:szCs w:val="20"/>
                <w:color w:val="auto"/>
              </w:rPr>
            </w:pPr>
            <w:r>
              <w:rPr>
                <w:rFonts w:ascii="Times New Roman" w:cs="Times New Roman" w:eastAsia="Times New Roman" w:hAnsi="Times New Roman"/>
                <w:sz w:val="8"/>
                <w:szCs w:val="8"/>
                <w:b w:val="1"/>
                <w:bCs w:val="1"/>
                <w:color w:val="121212"/>
              </w:rPr>
              <w:t>Series Seed</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tcPr>
          <w:p>
            <w:pPr>
              <w:jc w:val="center"/>
              <w:ind w:left="473"/>
              <w:spacing w:after="0" w:line="79" w:lineRule="exact"/>
              <w:rPr>
                <w:sz w:val="20"/>
                <w:szCs w:val="20"/>
                <w:color w:val="auto"/>
              </w:rPr>
            </w:pPr>
            <w:r>
              <w:rPr>
                <w:rFonts w:ascii="Times New Roman" w:cs="Times New Roman" w:eastAsia="Times New Roman" w:hAnsi="Times New Roman"/>
                <w:sz w:val="8"/>
                <w:szCs w:val="8"/>
                <w:b w:val="1"/>
                <w:bCs w:val="1"/>
                <w:color w:val="121212"/>
              </w:rPr>
              <w:t>Series A</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3"/>
          </w:tcPr>
          <w:p>
            <w:pPr>
              <w:jc w:val="center"/>
              <w:ind w:left="493"/>
              <w:spacing w:after="0" w:line="79" w:lineRule="exact"/>
              <w:rPr>
                <w:sz w:val="20"/>
                <w:szCs w:val="20"/>
                <w:color w:val="auto"/>
              </w:rPr>
            </w:pPr>
            <w:r>
              <w:rPr>
                <w:rFonts w:ascii="Times New Roman" w:cs="Times New Roman" w:eastAsia="Times New Roman" w:hAnsi="Times New Roman"/>
                <w:sz w:val="8"/>
                <w:szCs w:val="8"/>
                <w:b w:val="1"/>
                <w:bCs w:val="1"/>
                <w:color w:val="121212"/>
              </w:rPr>
              <w:t>Series B</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Borders>
              <w:right w:val="single" w:sz="8" w:color="121212"/>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6"/>
          </w:tcPr>
          <w:p>
            <w:pPr>
              <w:jc w:val="center"/>
              <w:ind w:right="140"/>
              <w:spacing w:after="0"/>
              <w:rPr>
                <w:sz w:val="20"/>
                <w:szCs w:val="20"/>
                <w:color w:val="auto"/>
              </w:rPr>
            </w:pPr>
            <w:r>
              <w:rPr>
                <w:rFonts w:ascii="Times New Roman" w:cs="Times New Roman" w:eastAsia="Times New Roman" w:hAnsi="Times New Roman"/>
                <w:sz w:val="10"/>
                <w:szCs w:val="10"/>
                <w:b w:val="1"/>
                <w:bCs w:val="1"/>
                <w:color w:val="121212"/>
                <w:w w:val="94"/>
              </w:rPr>
              <w:t>$0.0001 Par Value</w:t>
            </w:r>
          </w:p>
        </w:tc>
        <w:tc>
          <w:tcPr>
            <w:tcW w:w="120" w:type="dxa"/>
            <w:vAlign w:val="bottom"/>
          </w:tcPr>
          <w:p>
            <w:pPr>
              <w:spacing w:after="0"/>
              <w:rPr>
                <w:sz w:val="11"/>
                <w:szCs w:val="11"/>
                <w:color w:val="auto"/>
              </w:rPr>
            </w:pPr>
          </w:p>
        </w:tc>
        <w:tc>
          <w:tcPr>
            <w:tcW w:w="1180" w:type="dxa"/>
            <w:vAlign w:val="bottom"/>
            <w:gridSpan w:val="4"/>
          </w:tcPr>
          <w:p>
            <w:pPr>
              <w:jc w:val="center"/>
              <w:ind w:left="393"/>
              <w:spacing w:after="0"/>
              <w:rPr>
                <w:sz w:val="20"/>
                <w:szCs w:val="20"/>
                <w:color w:val="auto"/>
              </w:rPr>
            </w:pPr>
            <w:r>
              <w:rPr>
                <w:rFonts w:ascii="Times New Roman" w:cs="Times New Roman" w:eastAsia="Times New Roman" w:hAnsi="Times New Roman"/>
                <w:sz w:val="10"/>
                <w:szCs w:val="10"/>
                <w:b w:val="1"/>
                <w:bCs w:val="1"/>
                <w:color w:val="121212"/>
                <w:w w:val="94"/>
              </w:rPr>
              <w:t>$0.0001 Par Value</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jc w:val="center"/>
              <w:ind w:left="413"/>
              <w:spacing w:after="0"/>
              <w:rPr>
                <w:sz w:val="20"/>
                <w:szCs w:val="20"/>
                <w:color w:val="auto"/>
              </w:rPr>
            </w:pPr>
            <w:r>
              <w:rPr>
                <w:rFonts w:ascii="Times New Roman" w:cs="Times New Roman" w:eastAsia="Times New Roman" w:hAnsi="Times New Roman"/>
                <w:sz w:val="10"/>
                <w:szCs w:val="10"/>
                <w:b w:val="1"/>
                <w:bCs w:val="1"/>
                <w:color w:val="121212"/>
                <w:w w:val="94"/>
              </w:rPr>
              <w:t>$0.0001 Par Value</w:t>
            </w:r>
          </w:p>
        </w:tc>
        <w:tc>
          <w:tcPr>
            <w:tcW w:w="600" w:type="dxa"/>
            <w:vAlign w:val="bottom"/>
          </w:tcPr>
          <w:p>
            <w:pPr>
              <w:spacing w:after="0"/>
              <w:rPr>
                <w:sz w:val="11"/>
                <w:szCs w:val="11"/>
                <w:color w:val="auto"/>
              </w:rPr>
            </w:pPr>
          </w:p>
        </w:tc>
        <w:tc>
          <w:tcPr>
            <w:tcW w:w="140" w:type="dxa"/>
            <w:vAlign w:val="bottom"/>
            <w:tcBorders>
              <w:right w:val="single" w:sz="8" w:color="121212"/>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4"/>
          </w:tcPr>
          <w:p>
            <w:pPr>
              <w:jc w:val="center"/>
              <w:ind w:left="192"/>
              <w:spacing w:after="0"/>
              <w:rPr>
                <w:sz w:val="20"/>
                <w:szCs w:val="20"/>
                <w:color w:val="auto"/>
              </w:rPr>
            </w:pPr>
            <w:r>
              <w:rPr>
                <w:rFonts w:ascii="Times New Roman" w:cs="Times New Roman" w:eastAsia="Times New Roman" w:hAnsi="Times New Roman"/>
                <w:sz w:val="10"/>
                <w:szCs w:val="10"/>
                <w:b w:val="1"/>
                <w:bCs w:val="1"/>
                <w:color w:val="121212"/>
                <w:w w:val="94"/>
              </w:rPr>
              <w:t>$0.0001 Par Value</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121212"/>
                <w:w w:val="92"/>
              </w:rPr>
              <w:t>Paid-In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121212"/>
                <w:w w:val="95"/>
              </w:rPr>
              <w:t>Accumulated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121212"/>
                <w:w w:val="95"/>
              </w:rPr>
              <w:t>Stockholders’</w:t>
            </w:r>
          </w:p>
        </w:tc>
        <w:tc>
          <w:tcPr>
            <w:tcW w:w="0" w:type="dxa"/>
            <w:vAlign w:val="bottom"/>
          </w:tcPr>
          <w:p>
            <w:pPr>
              <w:spacing w:after="0"/>
              <w:rPr>
                <w:sz w:val="1"/>
                <w:szCs w:val="1"/>
                <w:color w:val="auto"/>
              </w:rPr>
            </w:pPr>
          </w:p>
        </w:tc>
      </w:tr>
      <w:tr>
        <w:trPr>
          <w:trHeight w:val="101"/>
        </w:trPr>
        <w:tc>
          <w:tcPr>
            <w:tcW w:w="2200" w:type="dxa"/>
            <w:vAlign w:val="bottom"/>
            <w:tcBorders>
              <w:bottom w:val="single" w:sz="8" w:color="DFDFDF"/>
            </w:tcBorders>
          </w:tcPr>
          <w:p>
            <w:pPr>
              <w:spacing w:after="0"/>
              <w:rPr>
                <w:sz w:val="8"/>
                <w:szCs w:val="8"/>
                <w:color w:val="auto"/>
              </w:rPr>
            </w:pPr>
          </w:p>
        </w:tc>
        <w:tc>
          <w:tcPr>
            <w:tcW w:w="140" w:type="dxa"/>
            <w:vAlign w:val="bottom"/>
            <w:tcBorders>
              <w:bottom w:val="single" w:sz="8" w:color="DFDFDF"/>
            </w:tcBorders>
          </w:tcPr>
          <w:p>
            <w:pPr>
              <w:spacing w:after="0"/>
              <w:rPr>
                <w:sz w:val="8"/>
                <w:szCs w:val="8"/>
                <w:color w:val="auto"/>
              </w:rPr>
            </w:pPr>
          </w:p>
        </w:tc>
        <w:tc>
          <w:tcPr>
            <w:tcW w:w="900" w:type="dxa"/>
            <w:vAlign w:val="bottom"/>
            <w:tcBorders>
              <w:top w:val="single" w:sz="8" w:color="121212"/>
              <w:bottom w:val="single" w:sz="8" w:color="121212"/>
            </w:tcBorders>
          </w:tcPr>
          <w:p>
            <w:pPr>
              <w:jc w:val="right"/>
              <w:ind w:right="333"/>
              <w:spacing w:after="0" w:line="101" w:lineRule="exact"/>
              <w:rPr>
                <w:sz w:val="20"/>
                <w:szCs w:val="20"/>
                <w:color w:val="auto"/>
              </w:rPr>
            </w:pPr>
            <w:r>
              <w:rPr>
                <w:rFonts w:ascii="Times New Roman" w:cs="Times New Roman" w:eastAsia="Times New Roman" w:hAnsi="Times New Roman"/>
                <w:sz w:val="10"/>
                <w:szCs w:val="10"/>
                <w:b w:val="1"/>
                <w:bCs w:val="1"/>
                <w:color w:val="121212"/>
              </w:rPr>
              <w:t>Shares</w:t>
            </w:r>
          </w:p>
        </w:tc>
        <w:tc>
          <w:tcPr>
            <w:tcW w:w="140" w:type="dxa"/>
            <w:vAlign w:val="bottom"/>
            <w:tcBorders>
              <w:top w:val="single" w:sz="8" w:color="121212"/>
              <w:bottom w:val="single" w:sz="8" w:color="DFDFDF"/>
            </w:tcBorders>
          </w:tcPr>
          <w:p>
            <w:pPr>
              <w:spacing w:after="0"/>
              <w:rPr>
                <w:sz w:val="8"/>
                <w:szCs w:val="8"/>
                <w:color w:val="auto"/>
              </w:rPr>
            </w:pPr>
          </w:p>
        </w:tc>
        <w:tc>
          <w:tcPr>
            <w:tcW w:w="20" w:type="dxa"/>
            <w:vAlign w:val="bottom"/>
            <w:tcBorders>
              <w:top w:val="single" w:sz="8" w:color="121212"/>
              <w:bottom w:val="single" w:sz="8" w:color="121212"/>
            </w:tcBorders>
          </w:tcPr>
          <w:p>
            <w:pPr>
              <w:spacing w:after="0"/>
              <w:rPr>
                <w:sz w:val="8"/>
                <w:szCs w:val="8"/>
                <w:color w:val="auto"/>
              </w:rPr>
            </w:pPr>
          </w:p>
        </w:tc>
        <w:tc>
          <w:tcPr>
            <w:tcW w:w="20" w:type="dxa"/>
            <w:vAlign w:val="bottom"/>
            <w:tcBorders>
              <w:top w:val="single" w:sz="8" w:color="121212"/>
              <w:bottom w:val="single" w:sz="8" w:color="121212"/>
            </w:tcBorders>
          </w:tcPr>
          <w:p>
            <w:pPr>
              <w:spacing w:after="0"/>
              <w:rPr>
                <w:sz w:val="8"/>
                <w:szCs w:val="8"/>
                <w:color w:val="auto"/>
              </w:rPr>
            </w:pPr>
          </w:p>
        </w:tc>
        <w:tc>
          <w:tcPr>
            <w:tcW w:w="540" w:type="dxa"/>
            <w:vAlign w:val="bottom"/>
            <w:tcBorders>
              <w:top w:val="single" w:sz="8" w:color="121212"/>
              <w:bottom w:val="single" w:sz="8" w:color="121212"/>
            </w:tcBorders>
          </w:tcPr>
          <w:p>
            <w:pPr>
              <w:jc w:val="right"/>
              <w:ind w:right="152"/>
              <w:spacing w:after="0" w:line="101" w:lineRule="exact"/>
              <w:rPr>
                <w:sz w:val="20"/>
                <w:szCs w:val="20"/>
                <w:color w:val="auto"/>
              </w:rPr>
            </w:pPr>
            <w:r>
              <w:rPr>
                <w:rFonts w:ascii="Times New Roman" w:cs="Times New Roman" w:eastAsia="Times New Roman" w:hAnsi="Times New Roman"/>
                <w:sz w:val="10"/>
                <w:szCs w:val="10"/>
                <w:b w:val="1"/>
                <w:bCs w:val="1"/>
                <w:color w:val="121212"/>
                <w:w w:val="91"/>
              </w:rPr>
              <w:t>Amount</w:t>
            </w:r>
          </w:p>
        </w:tc>
        <w:tc>
          <w:tcPr>
            <w:tcW w:w="20" w:type="dxa"/>
            <w:vAlign w:val="bottom"/>
          </w:tcPr>
          <w:p>
            <w:pPr>
              <w:spacing w:after="0"/>
              <w:rPr>
                <w:sz w:val="8"/>
                <w:szCs w:val="8"/>
                <w:color w:val="auto"/>
              </w:rPr>
            </w:pPr>
          </w:p>
        </w:tc>
        <w:tc>
          <w:tcPr>
            <w:tcW w:w="120" w:type="dxa"/>
            <w:vAlign w:val="bottom"/>
            <w:tcBorders>
              <w:bottom w:val="single" w:sz="8" w:color="DFDFDF"/>
            </w:tcBorders>
          </w:tcPr>
          <w:p>
            <w:pPr>
              <w:spacing w:after="0"/>
              <w:rPr>
                <w:sz w:val="8"/>
                <w:szCs w:val="8"/>
                <w:color w:val="auto"/>
              </w:rPr>
            </w:pPr>
          </w:p>
        </w:tc>
        <w:tc>
          <w:tcPr>
            <w:tcW w:w="960" w:type="dxa"/>
            <w:vAlign w:val="bottom"/>
            <w:tcBorders>
              <w:top w:val="single" w:sz="8" w:color="121212"/>
              <w:bottom w:val="single" w:sz="8" w:color="121212"/>
            </w:tcBorders>
          </w:tcPr>
          <w:p>
            <w:pPr>
              <w:jc w:val="right"/>
              <w:ind w:right="373"/>
              <w:spacing w:after="0" w:line="101" w:lineRule="exact"/>
              <w:rPr>
                <w:sz w:val="20"/>
                <w:szCs w:val="20"/>
                <w:color w:val="auto"/>
              </w:rPr>
            </w:pPr>
            <w:r>
              <w:rPr>
                <w:rFonts w:ascii="Times New Roman" w:cs="Times New Roman" w:eastAsia="Times New Roman" w:hAnsi="Times New Roman"/>
                <w:sz w:val="10"/>
                <w:szCs w:val="10"/>
                <w:b w:val="1"/>
                <w:bCs w:val="1"/>
                <w:color w:val="121212"/>
              </w:rPr>
              <w:t>Shares</w:t>
            </w:r>
          </w:p>
        </w:tc>
        <w:tc>
          <w:tcPr>
            <w:tcW w:w="140" w:type="dxa"/>
            <w:vAlign w:val="bottom"/>
            <w:tcBorders>
              <w:top w:val="single" w:sz="8" w:color="121212"/>
              <w:bottom w:val="single" w:sz="8" w:color="DFDFDF"/>
            </w:tcBorders>
          </w:tcPr>
          <w:p>
            <w:pPr>
              <w:spacing w:after="0"/>
              <w:rPr>
                <w:sz w:val="8"/>
                <w:szCs w:val="8"/>
                <w:color w:val="auto"/>
              </w:rPr>
            </w:pPr>
          </w:p>
        </w:tc>
        <w:tc>
          <w:tcPr>
            <w:tcW w:w="20" w:type="dxa"/>
            <w:vAlign w:val="bottom"/>
            <w:tcBorders>
              <w:top w:val="single" w:sz="8" w:color="121212"/>
              <w:bottom w:val="single" w:sz="8" w:color="121212"/>
            </w:tcBorders>
          </w:tcPr>
          <w:p>
            <w:pPr>
              <w:spacing w:after="0"/>
              <w:rPr>
                <w:sz w:val="8"/>
                <w:szCs w:val="8"/>
                <w:color w:val="auto"/>
              </w:rPr>
            </w:pPr>
          </w:p>
        </w:tc>
        <w:tc>
          <w:tcPr>
            <w:tcW w:w="60" w:type="dxa"/>
            <w:vAlign w:val="bottom"/>
            <w:tcBorders>
              <w:top w:val="single" w:sz="8" w:color="121212"/>
              <w:bottom w:val="single" w:sz="8" w:color="121212"/>
            </w:tcBorders>
          </w:tcPr>
          <w:p>
            <w:pPr>
              <w:spacing w:after="0"/>
              <w:rPr>
                <w:sz w:val="8"/>
                <w:szCs w:val="8"/>
                <w:color w:val="auto"/>
              </w:rPr>
            </w:pPr>
          </w:p>
        </w:tc>
        <w:tc>
          <w:tcPr>
            <w:tcW w:w="580" w:type="dxa"/>
            <w:vAlign w:val="bottom"/>
            <w:tcBorders>
              <w:top w:val="single" w:sz="8" w:color="121212"/>
              <w:bottom w:val="single" w:sz="8" w:color="121212"/>
            </w:tcBorders>
          </w:tcPr>
          <w:p>
            <w:pPr>
              <w:jc w:val="right"/>
              <w:ind w:right="192"/>
              <w:spacing w:after="0" w:line="101" w:lineRule="exact"/>
              <w:rPr>
                <w:sz w:val="20"/>
                <w:szCs w:val="20"/>
                <w:color w:val="auto"/>
              </w:rPr>
            </w:pPr>
            <w:r>
              <w:rPr>
                <w:rFonts w:ascii="Times New Roman" w:cs="Times New Roman" w:eastAsia="Times New Roman" w:hAnsi="Times New Roman"/>
                <w:sz w:val="10"/>
                <w:szCs w:val="10"/>
                <w:b w:val="1"/>
                <w:bCs w:val="1"/>
                <w:color w:val="121212"/>
                <w:w w:val="91"/>
              </w:rPr>
              <w:t>Amount</w:t>
            </w:r>
          </w:p>
        </w:tc>
        <w:tc>
          <w:tcPr>
            <w:tcW w:w="20" w:type="dxa"/>
            <w:vAlign w:val="bottom"/>
          </w:tcPr>
          <w:p>
            <w:pPr>
              <w:spacing w:after="0"/>
              <w:rPr>
                <w:sz w:val="8"/>
                <w:szCs w:val="8"/>
                <w:color w:val="auto"/>
              </w:rPr>
            </w:pPr>
          </w:p>
        </w:tc>
        <w:tc>
          <w:tcPr>
            <w:tcW w:w="120" w:type="dxa"/>
            <w:vAlign w:val="bottom"/>
            <w:tcBorders>
              <w:bottom w:val="single" w:sz="8" w:color="DFDFDF"/>
            </w:tcBorders>
          </w:tcPr>
          <w:p>
            <w:pPr>
              <w:spacing w:after="0"/>
              <w:rPr>
                <w:sz w:val="8"/>
                <w:szCs w:val="8"/>
                <w:color w:val="auto"/>
              </w:rPr>
            </w:pPr>
          </w:p>
        </w:tc>
        <w:tc>
          <w:tcPr>
            <w:tcW w:w="960" w:type="dxa"/>
            <w:vAlign w:val="bottom"/>
            <w:tcBorders>
              <w:top w:val="single" w:sz="8" w:color="121212"/>
              <w:bottom w:val="single" w:sz="8" w:color="121212"/>
            </w:tcBorders>
          </w:tcPr>
          <w:p>
            <w:pPr>
              <w:jc w:val="right"/>
              <w:ind w:right="353"/>
              <w:spacing w:after="0" w:line="101" w:lineRule="exact"/>
              <w:rPr>
                <w:sz w:val="20"/>
                <w:szCs w:val="20"/>
                <w:color w:val="auto"/>
              </w:rPr>
            </w:pPr>
            <w:r>
              <w:rPr>
                <w:rFonts w:ascii="Times New Roman" w:cs="Times New Roman" w:eastAsia="Times New Roman" w:hAnsi="Times New Roman"/>
                <w:sz w:val="10"/>
                <w:szCs w:val="10"/>
                <w:b w:val="1"/>
                <w:bCs w:val="1"/>
                <w:color w:val="121212"/>
              </w:rPr>
              <w:t>Shares</w:t>
            </w:r>
          </w:p>
        </w:tc>
        <w:tc>
          <w:tcPr>
            <w:tcW w:w="140" w:type="dxa"/>
            <w:vAlign w:val="bottom"/>
            <w:tcBorders>
              <w:top w:val="single" w:sz="8" w:color="121212"/>
              <w:bottom w:val="single" w:sz="8" w:color="DFDFDF"/>
            </w:tcBorders>
          </w:tcPr>
          <w:p>
            <w:pPr>
              <w:spacing w:after="0"/>
              <w:rPr>
                <w:sz w:val="8"/>
                <w:szCs w:val="8"/>
                <w:color w:val="auto"/>
              </w:rPr>
            </w:pPr>
          </w:p>
        </w:tc>
        <w:tc>
          <w:tcPr>
            <w:tcW w:w="20" w:type="dxa"/>
            <w:vAlign w:val="bottom"/>
            <w:tcBorders>
              <w:top w:val="single" w:sz="8" w:color="121212"/>
              <w:bottom w:val="single" w:sz="8" w:color="121212"/>
            </w:tcBorders>
          </w:tcPr>
          <w:p>
            <w:pPr>
              <w:spacing w:after="0"/>
              <w:rPr>
                <w:sz w:val="8"/>
                <w:szCs w:val="8"/>
                <w:color w:val="auto"/>
              </w:rPr>
            </w:pPr>
          </w:p>
        </w:tc>
        <w:tc>
          <w:tcPr>
            <w:tcW w:w="80" w:type="dxa"/>
            <w:vAlign w:val="bottom"/>
            <w:tcBorders>
              <w:top w:val="single" w:sz="8" w:color="121212"/>
              <w:bottom w:val="single" w:sz="8" w:color="121212"/>
            </w:tcBorders>
          </w:tcPr>
          <w:p>
            <w:pPr>
              <w:spacing w:after="0"/>
              <w:rPr>
                <w:sz w:val="8"/>
                <w:szCs w:val="8"/>
                <w:color w:val="auto"/>
              </w:rPr>
            </w:pPr>
          </w:p>
        </w:tc>
        <w:tc>
          <w:tcPr>
            <w:tcW w:w="600" w:type="dxa"/>
            <w:vAlign w:val="bottom"/>
            <w:tcBorders>
              <w:top w:val="single" w:sz="8" w:color="121212"/>
              <w:bottom w:val="single" w:sz="8" w:color="121212"/>
            </w:tcBorders>
          </w:tcPr>
          <w:p>
            <w:pPr>
              <w:jc w:val="right"/>
              <w:ind w:right="212"/>
              <w:spacing w:after="0" w:line="101" w:lineRule="exact"/>
              <w:rPr>
                <w:sz w:val="20"/>
                <w:szCs w:val="20"/>
                <w:color w:val="auto"/>
              </w:rPr>
            </w:pPr>
            <w:r>
              <w:rPr>
                <w:rFonts w:ascii="Times New Roman" w:cs="Times New Roman" w:eastAsia="Times New Roman" w:hAnsi="Times New Roman"/>
                <w:sz w:val="10"/>
                <w:szCs w:val="10"/>
                <w:b w:val="1"/>
                <w:bCs w:val="1"/>
                <w:color w:val="121212"/>
                <w:w w:val="91"/>
              </w:rPr>
              <w:t>Amount</w:t>
            </w:r>
          </w:p>
        </w:tc>
        <w:tc>
          <w:tcPr>
            <w:tcW w:w="140" w:type="dxa"/>
            <w:vAlign w:val="bottom"/>
            <w:tcBorders>
              <w:bottom w:val="single" w:sz="8" w:color="DFDFDF"/>
              <w:right w:val="single" w:sz="8" w:color="121212"/>
            </w:tcBorders>
          </w:tcPr>
          <w:p>
            <w:pPr>
              <w:spacing w:after="0"/>
              <w:rPr>
                <w:sz w:val="8"/>
                <w:szCs w:val="8"/>
                <w:color w:val="auto"/>
              </w:rPr>
            </w:pPr>
          </w:p>
        </w:tc>
        <w:tc>
          <w:tcPr>
            <w:tcW w:w="120" w:type="dxa"/>
            <w:vAlign w:val="bottom"/>
            <w:tcBorders>
              <w:bottom w:val="single" w:sz="8" w:color="DFDFDF"/>
            </w:tcBorders>
          </w:tcPr>
          <w:p>
            <w:pPr>
              <w:spacing w:after="0"/>
              <w:rPr>
                <w:sz w:val="8"/>
                <w:szCs w:val="8"/>
                <w:color w:val="auto"/>
              </w:rPr>
            </w:pPr>
          </w:p>
        </w:tc>
        <w:tc>
          <w:tcPr>
            <w:tcW w:w="200" w:type="dxa"/>
            <w:vAlign w:val="bottom"/>
            <w:tcBorders>
              <w:top w:val="single" w:sz="8" w:color="121212"/>
              <w:bottom w:val="single" w:sz="8" w:color="121212"/>
            </w:tcBorders>
          </w:tcPr>
          <w:p>
            <w:pPr>
              <w:spacing w:after="0"/>
              <w:rPr>
                <w:sz w:val="8"/>
                <w:szCs w:val="8"/>
                <w:color w:val="auto"/>
              </w:rPr>
            </w:pPr>
          </w:p>
        </w:tc>
        <w:tc>
          <w:tcPr>
            <w:tcW w:w="860" w:type="dxa"/>
            <w:vAlign w:val="bottom"/>
            <w:tcBorders>
              <w:top w:val="single" w:sz="8" w:color="121212"/>
              <w:bottom w:val="single" w:sz="8" w:color="121212"/>
            </w:tcBorders>
          </w:tcPr>
          <w:p>
            <w:pPr>
              <w:jc w:val="right"/>
              <w:ind w:right="412"/>
              <w:spacing w:after="0" w:line="101" w:lineRule="exact"/>
              <w:rPr>
                <w:sz w:val="20"/>
                <w:szCs w:val="20"/>
                <w:color w:val="auto"/>
              </w:rPr>
            </w:pPr>
            <w:r>
              <w:rPr>
                <w:rFonts w:ascii="Times New Roman" w:cs="Times New Roman" w:eastAsia="Times New Roman" w:hAnsi="Times New Roman"/>
                <w:sz w:val="10"/>
                <w:szCs w:val="10"/>
                <w:b w:val="1"/>
                <w:bCs w:val="1"/>
                <w:color w:val="121212"/>
              </w:rPr>
              <w:t>Shares</w:t>
            </w:r>
          </w:p>
        </w:tc>
        <w:tc>
          <w:tcPr>
            <w:tcW w:w="140" w:type="dxa"/>
            <w:vAlign w:val="bottom"/>
            <w:tcBorders>
              <w:top w:val="single" w:sz="8" w:color="121212"/>
              <w:bottom w:val="single" w:sz="8" w:color="DFDFDF"/>
            </w:tcBorders>
          </w:tcPr>
          <w:p>
            <w:pPr>
              <w:spacing w:after="0"/>
              <w:rPr>
                <w:sz w:val="8"/>
                <w:szCs w:val="8"/>
                <w:color w:val="auto"/>
              </w:rPr>
            </w:pPr>
          </w:p>
        </w:tc>
        <w:tc>
          <w:tcPr>
            <w:tcW w:w="20" w:type="dxa"/>
            <w:vAlign w:val="bottom"/>
            <w:tcBorders>
              <w:top w:val="single" w:sz="8" w:color="121212"/>
              <w:bottom w:val="single" w:sz="8" w:color="121212"/>
            </w:tcBorders>
          </w:tcPr>
          <w:p>
            <w:pPr>
              <w:spacing w:after="0"/>
              <w:rPr>
                <w:sz w:val="8"/>
                <w:szCs w:val="8"/>
                <w:color w:val="auto"/>
              </w:rPr>
            </w:pPr>
          </w:p>
        </w:tc>
        <w:tc>
          <w:tcPr>
            <w:tcW w:w="40" w:type="dxa"/>
            <w:vAlign w:val="bottom"/>
            <w:tcBorders>
              <w:top w:val="single" w:sz="8" w:color="121212"/>
              <w:bottom w:val="single" w:sz="8" w:color="121212"/>
            </w:tcBorders>
          </w:tcPr>
          <w:p>
            <w:pPr>
              <w:spacing w:after="0"/>
              <w:rPr>
                <w:sz w:val="8"/>
                <w:szCs w:val="8"/>
                <w:color w:val="auto"/>
              </w:rPr>
            </w:pPr>
          </w:p>
        </w:tc>
        <w:tc>
          <w:tcPr>
            <w:tcW w:w="560" w:type="dxa"/>
            <w:vAlign w:val="bottom"/>
            <w:tcBorders>
              <w:top w:val="single" w:sz="8" w:color="121212"/>
              <w:bottom w:val="single" w:sz="8" w:color="121212"/>
            </w:tcBorders>
          </w:tcPr>
          <w:p>
            <w:pPr>
              <w:jc w:val="right"/>
              <w:ind w:right="172"/>
              <w:spacing w:after="0" w:line="101" w:lineRule="exact"/>
              <w:rPr>
                <w:sz w:val="20"/>
                <w:szCs w:val="20"/>
                <w:color w:val="auto"/>
              </w:rPr>
            </w:pPr>
            <w:r>
              <w:rPr>
                <w:rFonts w:ascii="Times New Roman" w:cs="Times New Roman" w:eastAsia="Times New Roman" w:hAnsi="Times New Roman"/>
                <w:sz w:val="10"/>
                <w:szCs w:val="10"/>
                <w:b w:val="1"/>
                <w:bCs w:val="1"/>
                <w:color w:val="121212"/>
                <w:w w:val="91"/>
              </w:rPr>
              <w:t>Amount</w:t>
            </w:r>
          </w:p>
        </w:tc>
        <w:tc>
          <w:tcPr>
            <w:tcW w:w="20" w:type="dxa"/>
            <w:vAlign w:val="bottom"/>
          </w:tcPr>
          <w:p>
            <w:pPr>
              <w:spacing w:after="0"/>
              <w:rPr>
                <w:sz w:val="8"/>
                <w:szCs w:val="8"/>
                <w:color w:val="auto"/>
              </w:rPr>
            </w:pPr>
          </w:p>
        </w:tc>
        <w:tc>
          <w:tcPr>
            <w:tcW w:w="12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120" w:type="dxa"/>
            <w:vAlign w:val="bottom"/>
            <w:tcBorders>
              <w:bottom w:val="single" w:sz="8" w:color="121212"/>
            </w:tcBorders>
          </w:tcPr>
          <w:p>
            <w:pPr>
              <w:spacing w:after="0"/>
              <w:rPr>
                <w:sz w:val="8"/>
                <w:szCs w:val="8"/>
                <w:color w:val="auto"/>
              </w:rPr>
            </w:pPr>
          </w:p>
        </w:tc>
        <w:tc>
          <w:tcPr>
            <w:tcW w:w="900" w:type="dxa"/>
            <w:vAlign w:val="bottom"/>
            <w:tcBorders>
              <w:bottom w:val="single" w:sz="8" w:color="121212"/>
            </w:tcBorders>
            <w:gridSpan w:val="2"/>
          </w:tcPr>
          <w:p>
            <w:pPr>
              <w:jc w:val="center"/>
              <w:ind w:right="280"/>
              <w:spacing w:after="0" w:line="101" w:lineRule="exact"/>
              <w:rPr>
                <w:sz w:val="20"/>
                <w:szCs w:val="20"/>
                <w:color w:val="auto"/>
              </w:rPr>
            </w:pPr>
            <w:r>
              <w:rPr>
                <w:rFonts w:ascii="Times New Roman" w:cs="Times New Roman" w:eastAsia="Times New Roman" w:hAnsi="Times New Roman"/>
                <w:sz w:val="10"/>
                <w:szCs w:val="10"/>
                <w:b w:val="1"/>
                <w:bCs w:val="1"/>
                <w:color w:val="121212"/>
                <w:w w:val="94"/>
              </w:rPr>
              <w:t>Capital</w:t>
            </w:r>
          </w:p>
        </w:tc>
        <w:tc>
          <w:tcPr>
            <w:tcW w:w="14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80" w:type="dxa"/>
            <w:vAlign w:val="bottom"/>
            <w:tcBorders>
              <w:bottom w:val="single" w:sz="8" w:color="121212"/>
            </w:tcBorders>
          </w:tcPr>
          <w:p>
            <w:pPr>
              <w:spacing w:after="0"/>
              <w:rPr>
                <w:sz w:val="8"/>
                <w:szCs w:val="8"/>
                <w:color w:val="auto"/>
              </w:rPr>
            </w:pPr>
          </w:p>
        </w:tc>
        <w:tc>
          <w:tcPr>
            <w:tcW w:w="880" w:type="dxa"/>
            <w:vAlign w:val="bottom"/>
            <w:tcBorders>
              <w:bottom w:val="single" w:sz="8" w:color="121212"/>
            </w:tcBorders>
          </w:tcPr>
          <w:p>
            <w:pPr>
              <w:jc w:val="center"/>
              <w:ind w:right="192"/>
              <w:spacing w:after="0" w:line="101" w:lineRule="exact"/>
              <w:rPr>
                <w:sz w:val="20"/>
                <w:szCs w:val="20"/>
                <w:color w:val="auto"/>
              </w:rPr>
            </w:pPr>
            <w:r>
              <w:rPr>
                <w:rFonts w:ascii="Times New Roman" w:cs="Times New Roman" w:eastAsia="Times New Roman" w:hAnsi="Times New Roman"/>
                <w:sz w:val="10"/>
                <w:szCs w:val="10"/>
                <w:b w:val="1"/>
                <w:bCs w:val="1"/>
                <w:color w:val="121212"/>
                <w:w w:val="98"/>
              </w:rPr>
              <w:t>Deficit</w:t>
            </w:r>
          </w:p>
        </w:tc>
        <w:tc>
          <w:tcPr>
            <w:tcW w:w="14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100" w:type="dxa"/>
            <w:vAlign w:val="bottom"/>
            <w:tcBorders>
              <w:bottom w:val="single" w:sz="8" w:color="121212"/>
            </w:tcBorders>
          </w:tcPr>
          <w:p>
            <w:pPr>
              <w:spacing w:after="0"/>
              <w:rPr>
                <w:sz w:val="8"/>
                <w:szCs w:val="8"/>
                <w:color w:val="auto"/>
              </w:rPr>
            </w:pPr>
          </w:p>
        </w:tc>
        <w:tc>
          <w:tcPr>
            <w:tcW w:w="980" w:type="dxa"/>
            <w:vAlign w:val="bottom"/>
            <w:tcBorders>
              <w:bottom w:val="single" w:sz="8" w:color="121212"/>
            </w:tcBorders>
          </w:tcPr>
          <w:p>
            <w:pPr>
              <w:jc w:val="center"/>
              <w:ind w:right="212"/>
              <w:spacing w:after="0" w:line="101" w:lineRule="exact"/>
              <w:rPr>
                <w:sz w:val="20"/>
                <w:szCs w:val="20"/>
                <w:color w:val="auto"/>
              </w:rPr>
            </w:pPr>
            <w:r>
              <w:rPr>
                <w:rFonts w:ascii="Times New Roman" w:cs="Times New Roman" w:eastAsia="Times New Roman" w:hAnsi="Times New Roman"/>
                <w:sz w:val="10"/>
                <w:szCs w:val="10"/>
                <w:b w:val="1"/>
                <w:bCs w:val="1"/>
                <w:color w:val="121212"/>
                <w:w w:val="98"/>
              </w:rPr>
              <w:t>Deficit</w:t>
            </w:r>
          </w:p>
        </w:tc>
        <w:tc>
          <w:tcPr>
            <w:tcW w:w="0" w:type="dxa"/>
            <w:vAlign w:val="bottom"/>
          </w:tcPr>
          <w:p>
            <w:pPr>
              <w:spacing w:after="0"/>
              <w:rPr>
                <w:sz w:val="1"/>
                <w:szCs w:val="1"/>
                <w:color w:val="auto"/>
              </w:rPr>
            </w:pPr>
          </w:p>
        </w:tc>
      </w:tr>
      <w:tr>
        <w:trPr>
          <w:trHeight w:val="99"/>
        </w:trPr>
        <w:tc>
          <w:tcPr>
            <w:tcW w:w="2200" w:type="dxa"/>
            <w:vAlign w:val="bottom"/>
            <w:shd w:val="clear" w:color="auto" w:fill="DFDFDF"/>
          </w:tcPr>
          <w:p>
            <w:pPr>
              <w:spacing w:after="0" w:line="100" w:lineRule="exact"/>
              <w:rPr>
                <w:sz w:val="20"/>
                <w:szCs w:val="20"/>
                <w:color w:val="auto"/>
              </w:rPr>
            </w:pPr>
            <w:r>
              <w:rPr>
                <w:rFonts w:ascii="Times New Roman" w:cs="Times New Roman" w:eastAsia="Times New Roman" w:hAnsi="Times New Roman"/>
                <w:sz w:val="10"/>
                <w:szCs w:val="10"/>
                <w:b w:val="1"/>
                <w:bCs w:val="1"/>
                <w:color w:val="121212"/>
              </w:rPr>
              <w:t>Balance at December 31, 2021</w:t>
            </w:r>
          </w:p>
        </w:tc>
        <w:tc>
          <w:tcPr>
            <w:tcW w:w="140" w:type="dxa"/>
            <w:vAlign w:val="bottom"/>
            <w:shd w:val="clear" w:color="auto" w:fill="DFDFDF"/>
          </w:tcPr>
          <w:p>
            <w:pPr>
              <w:spacing w:after="0"/>
              <w:rPr>
                <w:sz w:val="8"/>
                <w:szCs w:val="8"/>
                <w:color w:val="auto"/>
              </w:rPr>
            </w:pPr>
          </w:p>
        </w:tc>
        <w:tc>
          <w:tcPr>
            <w:tcW w:w="900" w:type="dxa"/>
            <w:vAlign w:val="bottom"/>
            <w:shd w:val="clear" w:color="auto" w:fill="DFDFDF"/>
          </w:tcPr>
          <w:p>
            <w:pPr>
              <w:jc w:val="right"/>
              <w:ind w:right="93"/>
              <w:spacing w:after="0" w:line="100" w:lineRule="exact"/>
              <w:rPr>
                <w:sz w:val="20"/>
                <w:szCs w:val="20"/>
                <w:color w:val="auto"/>
              </w:rPr>
            </w:pPr>
            <w:r>
              <w:rPr>
                <w:rFonts w:ascii="Times New Roman" w:cs="Times New Roman" w:eastAsia="Times New Roman" w:hAnsi="Times New Roman"/>
                <w:sz w:val="10"/>
                <w:szCs w:val="10"/>
                <w:color w:val="121212"/>
              </w:rPr>
              <w:t>5,000,000</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2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1"/>
                <w:szCs w:val="1"/>
                <w:color w:val="121212"/>
                <w:w w:val="4294967286"/>
              </w:rPr>
              <w:t>$</w:t>
            </w:r>
          </w:p>
        </w:tc>
        <w:tc>
          <w:tcPr>
            <w:tcW w:w="54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2,350</w:t>
            </w:r>
          </w:p>
        </w:tc>
        <w:tc>
          <w:tcPr>
            <w:tcW w:w="20" w:type="dxa"/>
            <w:vAlign w:val="bottom"/>
            <w:shd w:val="clear" w:color="auto" w:fill="DFDFDF"/>
          </w:tcPr>
          <w:p>
            <w:pPr>
              <w:spacing w:after="0"/>
              <w:rPr>
                <w:sz w:val="8"/>
                <w:szCs w:val="8"/>
                <w:color w:val="auto"/>
              </w:rPr>
            </w:pPr>
          </w:p>
        </w:tc>
        <w:tc>
          <w:tcPr>
            <w:tcW w:w="120" w:type="dxa"/>
            <w:vAlign w:val="bottom"/>
            <w:shd w:val="clear" w:color="auto" w:fill="DFDFDF"/>
          </w:tcPr>
          <w:p>
            <w:pPr>
              <w:spacing w:after="0"/>
              <w:rPr>
                <w:sz w:val="8"/>
                <w:szCs w:val="8"/>
                <w:color w:val="auto"/>
              </w:rPr>
            </w:pPr>
          </w:p>
        </w:tc>
        <w:tc>
          <w:tcPr>
            <w:tcW w:w="960" w:type="dxa"/>
            <w:vAlign w:val="bottom"/>
            <w:shd w:val="clear" w:color="auto" w:fill="DFDFDF"/>
          </w:tcPr>
          <w:p>
            <w:pPr>
              <w:jc w:val="right"/>
              <w:ind w:right="93"/>
              <w:spacing w:after="0" w:line="100" w:lineRule="exact"/>
              <w:rPr>
                <w:sz w:val="20"/>
                <w:szCs w:val="20"/>
                <w:color w:val="auto"/>
              </w:rPr>
            </w:pPr>
            <w:r>
              <w:rPr>
                <w:rFonts w:ascii="Times New Roman" w:cs="Times New Roman" w:eastAsia="Times New Roman" w:hAnsi="Times New Roman"/>
                <w:sz w:val="10"/>
                <w:szCs w:val="10"/>
                <w:color w:val="121212"/>
              </w:rPr>
              <w:t>41,666,666</w:t>
            </w:r>
          </w:p>
        </w:tc>
        <w:tc>
          <w:tcPr>
            <w:tcW w:w="140" w:type="dxa"/>
            <w:vAlign w:val="bottom"/>
            <w:shd w:val="clear" w:color="auto" w:fill="DFDFDF"/>
          </w:tcPr>
          <w:p>
            <w:pPr>
              <w:spacing w:after="0"/>
              <w:rPr>
                <w:sz w:val="8"/>
                <w:szCs w:val="8"/>
                <w:color w:val="auto"/>
              </w:rPr>
            </w:pPr>
          </w:p>
        </w:tc>
        <w:tc>
          <w:tcPr>
            <w:tcW w:w="80" w:type="dxa"/>
            <w:vAlign w:val="bottom"/>
            <w:gridSpan w:val="2"/>
            <w:shd w:val="clear" w:color="auto" w:fill="DFDFDF"/>
          </w:tcPr>
          <w:p>
            <w:pPr>
              <w:jc w:val="right"/>
              <w:ind w:right="34"/>
              <w:spacing w:after="0"/>
              <w:rPr>
                <w:sz w:val="20"/>
                <w:szCs w:val="20"/>
                <w:color w:val="auto"/>
              </w:rPr>
            </w:pPr>
            <w:r>
              <w:rPr>
                <w:rFonts w:ascii="Times New Roman" w:cs="Times New Roman" w:eastAsia="Times New Roman" w:hAnsi="Times New Roman"/>
                <w:sz w:val="5"/>
                <w:szCs w:val="5"/>
                <w:color w:val="121212"/>
                <w:w w:val="78"/>
              </w:rPr>
              <w:t>$</w:t>
            </w:r>
          </w:p>
        </w:tc>
        <w:tc>
          <w:tcPr>
            <w:tcW w:w="58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49,762</w:t>
            </w:r>
          </w:p>
        </w:tc>
        <w:tc>
          <w:tcPr>
            <w:tcW w:w="20" w:type="dxa"/>
            <w:vAlign w:val="bottom"/>
            <w:shd w:val="clear" w:color="auto" w:fill="DFDFDF"/>
          </w:tcPr>
          <w:p>
            <w:pPr>
              <w:spacing w:after="0"/>
              <w:rPr>
                <w:sz w:val="8"/>
                <w:szCs w:val="8"/>
                <w:color w:val="auto"/>
              </w:rPr>
            </w:pPr>
          </w:p>
        </w:tc>
        <w:tc>
          <w:tcPr>
            <w:tcW w:w="120" w:type="dxa"/>
            <w:vAlign w:val="bottom"/>
            <w:shd w:val="clear" w:color="auto" w:fill="DFDFDF"/>
          </w:tcPr>
          <w:p>
            <w:pPr>
              <w:spacing w:after="0"/>
              <w:rPr>
                <w:sz w:val="8"/>
                <w:szCs w:val="8"/>
                <w:color w:val="auto"/>
              </w:rPr>
            </w:pPr>
          </w:p>
        </w:tc>
        <w:tc>
          <w:tcPr>
            <w:tcW w:w="960" w:type="dxa"/>
            <w:vAlign w:val="bottom"/>
            <w:shd w:val="clear" w:color="auto" w:fill="DFDFDF"/>
          </w:tcPr>
          <w:p>
            <w:pPr>
              <w:jc w:val="right"/>
              <w:ind w:right="73"/>
              <w:spacing w:after="0" w:line="100" w:lineRule="exact"/>
              <w:rPr>
                <w:sz w:val="20"/>
                <w:szCs w:val="20"/>
                <w:color w:val="auto"/>
              </w:rPr>
            </w:pPr>
            <w:r>
              <w:rPr>
                <w:rFonts w:ascii="Times New Roman" w:cs="Times New Roman" w:eastAsia="Times New Roman" w:hAnsi="Times New Roman"/>
                <w:sz w:val="10"/>
                <w:szCs w:val="10"/>
                <w:color w:val="121212"/>
              </w:rPr>
              <w:t>37,499,999</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80" w:type="dxa"/>
            <w:vAlign w:val="bottom"/>
            <w:shd w:val="clear" w:color="auto" w:fill="DFDFDF"/>
          </w:tcPr>
          <w:p>
            <w:pPr>
              <w:jc w:val="right"/>
              <w:ind w:right="54"/>
              <w:spacing w:after="0"/>
              <w:rPr>
                <w:sz w:val="20"/>
                <w:szCs w:val="20"/>
                <w:color w:val="auto"/>
              </w:rPr>
            </w:pPr>
            <w:r>
              <w:rPr>
                <w:rFonts w:ascii="Times New Roman" w:cs="Times New Roman" w:eastAsia="Times New Roman" w:hAnsi="Times New Roman"/>
                <w:sz w:val="1"/>
                <w:szCs w:val="1"/>
                <w:color w:val="121212"/>
                <w:w w:val="4294967286"/>
              </w:rPr>
              <w:t>$</w:t>
            </w:r>
          </w:p>
        </w:tc>
        <w:tc>
          <w:tcPr>
            <w:tcW w:w="60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89,744</w:t>
            </w:r>
          </w:p>
        </w:tc>
        <w:tc>
          <w:tcPr>
            <w:tcW w:w="140" w:type="dxa"/>
            <w:vAlign w:val="bottom"/>
            <w:tcBorders>
              <w:right w:val="single" w:sz="8" w:color="121212"/>
            </w:tcBorders>
            <w:shd w:val="clear" w:color="auto" w:fill="DFDFDF"/>
          </w:tcPr>
          <w:p>
            <w:pPr>
              <w:spacing w:after="0"/>
              <w:rPr>
                <w:sz w:val="8"/>
                <w:szCs w:val="8"/>
                <w:color w:val="auto"/>
              </w:rPr>
            </w:pPr>
          </w:p>
        </w:tc>
        <w:tc>
          <w:tcPr>
            <w:tcW w:w="120" w:type="dxa"/>
            <w:vAlign w:val="bottom"/>
            <w:shd w:val="clear" w:color="auto" w:fill="DFDFDF"/>
          </w:tcPr>
          <w:p>
            <w:pPr>
              <w:spacing w:after="0"/>
              <w:rPr>
                <w:sz w:val="8"/>
                <w:szCs w:val="8"/>
                <w:color w:val="auto"/>
              </w:rPr>
            </w:pPr>
          </w:p>
        </w:tc>
        <w:tc>
          <w:tcPr>
            <w:tcW w:w="200" w:type="dxa"/>
            <w:vAlign w:val="bottom"/>
            <w:shd w:val="clear" w:color="auto" w:fill="DFDFDF"/>
          </w:tcPr>
          <w:p>
            <w:pPr>
              <w:spacing w:after="0"/>
              <w:rPr>
                <w:sz w:val="8"/>
                <w:szCs w:val="8"/>
                <w:color w:val="auto"/>
              </w:rPr>
            </w:pPr>
          </w:p>
        </w:tc>
        <w:tc>
          <w:tcPr>
            <w:tcW w:w="86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909,418</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40" w:type="dxa"/>
            <w:vAlign w:val="bottom"/>
            <w:shd w:val="clear" w:color="auto" w:fill="DFDFDF"/>
          </w:tcPr>
          <w:p>
            <w:pPr>
              <w:jc w:val="right"/>
              <w:ind w:right="14"/>
              <w:spacing w:after="0"/>
              <w:rPr>
                <w:sz w:val="20"/>
                <w:szCs w:val="20"/>
                <w:color w:val="auto"/>
              </w:rPr>
            </w:pPr>
            <w:r>
              <w:rPr>
                <w:rFonts w:ascii="Times New Roman" w:cs="Times New Roman" w:eastAsia="Times New Roman" w:hAnsi="Times New Roman"/>
                <w:sz w:val="1"/>
                <w:szCs w:val="1"/>
                <w:color w:val="121212"/>
                <w:w w:val="4294967286"/>
              </w:rPr>
              <w:t>$</w:t>
            </w:r>
          </w:p>
        </w:tc>
        <w:tc>
          <w:tcPr>
            <w:tcW w:w="580" w:type="dxa"/>
            <w:vAlign w:val="bottom"/>
            <w:gridSpan w:val="2"/>
            <w:shd w:val="clear" w:color="auto" w:fill="DFDFDF"/>
          </w:tcPr>
          <w:p>
            <w:pPr>
              <w:jc w:val="right"/>
              <w:ind w:right="160"/>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120" w:type="dxa"/>
            <w:vAlign w:val="bottom"/>
            <w:shd w:val="clear" w:color="auto" w:fill="DFDFDF"/>
          </w:tcPr>
          <w:p>
            <w:pPr>
              <w:jc w:val="right"/>
              <w:ind w:right="94"/>
              <w:spacing w:after="0"/>
              <w:rPr>
                <w:sz w:val="20"/>
                <w:szCs w:val="20"/>
                <w:color w:val="auto"/>
              </w:rPr>
            </w:pPr>
            <w:r>
              <w:rPr>
                <w:rFonts w:ascii="Times New Roman" w:cs="Times New Roman" w:eastAsia="Times New Roman" w:hAnsi="Times New Roman"/>
                <w:sz w:val="1"/>
                <w:szCs w:val="1"/>
                <w:color w:val="121212"/>
                <w:w w:val="4294967286"/>
              </w:rPr>
              <w:t>$</w:t>
            </w:r>
          </w:p>
        </w:tc>
        <w:tc>
          <w:tcPr>
            <w:tcW w:w="900" w:type="dxa"/>
            <w:vAlign w:val="bottom"/>
            <w:gridSpan w:val="2"/>
            <w:shd w:val="clear" w:color="auto" w:fill="DFDFDF"/>
          </w:tcPr>
          <w:p>
            <w:pPr>
              <w:jc w:val="right"/>
              <w:ind w:right="120"/>
              <w:spacing w:after="0" w:line="100" w:lineRule="exact"/>
              <w:rPr>
                <w:sz w:val="20"/>
                <w:szCs w:val="20"/>
                <w:color w:val="auto"/>
              </w:rPr>
            </w:pPr>
            <w:r>
              <w:rPr>
                <w:rFonts w:ascii="Times New Roman" w:cs="Times New Roman" w:eastAsia="Times New Roman" w:hAnsi="Times New Roman"/>
                <w:sz w:val="10"/>
                <w:szCs w:val="10"/>
                <w:color w:val="121212"/>
              </w:rPr>
              <w:t>1,186</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80" w:type="dxa"/>
            <w:vAlign w:val="bottom"/>
            <w:shd w:val="clear" w:color="auto" w:fill="DFDFDF"/>
          </w:tcPr>
          <w:p>
            <w:pPr>
              <w:jc w:val="right"/>
              <w:ind w:right="16"/>
              <w:spacing w:after="0"/>
              <w:rPr>
                <w:sz w:val="20"/>
                <w:szCs w:val="20"/>
                <w:color w:val="auto"/>
              </w:rPr>
            </w:pPr>
            <w:r>
              <w:rPr>
                <w:rFonts w:ascii="Times New Roman" w:cs="Times New Roman" w:eastAsia="Times New Roman" w:hAnsi="Times New Roman"/>
                <w:sz w:val="5"/>
                <w:szCs w:val="5"/>
                <w:color w:val="121212"/>
                <w:w w:val="78"/>
              </w:rPr>
              <w:t>$</w:t>
            </w:r>
          </w:p>
        </w:tc>
        <w:tc>
          <w:tcPr>
            <w:tcW w:w="880" w:type="dxa"/>
            <w:vAlign w:val="bottom"/>
            <w:shd w:val="clear" w:color="auto" w:fill="DFDFDF"/>
          </w:tcPr>
          <w:p>
            <w:pPr>
              <w:jc w:val="right"/>
              <w:ind w:right="52"/>
              <w:spacing w:after="0" w:line="100" w:lineRule="exact"/>
              <w:rPr>
                <w:sz w:val="20"/>
                <w:szCs w:val="20"/>
                <w:color w:val="auto"/>
              </w:rPr>
            </w:pPr>
            <w:r>
              <w:rPr>
                <w:rFonts w:ascii="Times New Roman" w:cs="Times New Roman" w:eastAsia="Times New Roman" w:hAnsi="Times New Roman"/>
                <w:sz w:val="10"/>
                <w:szCs w:val="10"/>
                <w:color w:val="121212"/>
              </w:rPr>
              <w:t>(65,389)</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100" w:type="dxa"/>
            <w:vAlign w:val="bottom"/>
            <w:shd w:val="clear" w:color="auto" w:fill="DFDFDF"/>
          </w:tcPr>
          <w:p>
            <w:pPr>
              <w:jc w:val="right"/>
              <w:ind w:right="74"/>
              <w:spacing w:after="0"/>
              <w:rPr>
                <w:sz w:val="20"/>
                <w:szCs w:val="20"/>
                <w:color w:val="auto"/>
              </w:rPr>
            </w:pPr>
            <w:r>
              <w:rPr>
                <w:rFonts w:ascii="Times New Roman" w:cs="Times New Roman" w:eastAsia="Times New Roman" w:hAnsi="Times New Roman"/>
                <w:sz w:val="1"/>
                <w:szCs w:val="1"/>
                <w:color w:val="121212"/>
                <w:w w:val="4294967286"/>
              </w:rPr>
              <w:t>$</w:t>
            </w:r>
          </w:p>
        </w:tc>
        <w:tc>
          <w:tcPr>
            <w:tcW w:w="980" w:type="dxa"/>
            <w:vAlign w:val="bottom"/>
            <w:shd w:val="clear" w:color="auto" w:fill="DFDFDF"/>
          </w:tcPr>
          <w:p>
            <w:pPr>
              <w:jc w:val="right"/>
              <w:ind w:right="52"/>
              <w:spacing w:after="0" w:line="100" w:lineRule="exact"/>
              <w:rPr>
                <w:sz w:val="20"/>
                <w:szCs w:val="20"/>
                <w:color w:val="auto"/>
              </w:rPr>
            </w:pPr>
            <w:r>
              <w:rPr>
                <w:rFonts w:ascii="Times New Roman" w:cs="Times New Roman" w:eastAsia="Times New Roman" w:hAnsi="Times New Roman"/>
                <w:sz w:val="10"/>
                <w:szCs w:val="10"/>
                <w:color w:val="121212"/>
              </w:rPr>
              <w:t>(64,203)</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113" w:lineRule="exact"/>
              <w:rPr>
                <w:sz w:val="20"/>
                <w:szCs w:val="20"/>
                <w:color w:val="auto"/>
              </w:rPr>
            </w:pPr>
            <w:r>
              <w:rPr>
                <w:rFonts w:ascii="Times New Roman" w:cs="Times New Roman" w:eastAsia="Times New Roman" w:hAnsi="Times New Roman"/>
                <w:sz w:val="10"/>
                <w:szCs w:val="10"/>
                <w:color w:val="121212"/>
              </w:rPr>
              <w:t>Issuance of common stock</w:t>
            </w:r>
          </w:p>
        </w:tc>
        <w:tc>
          <w:tcPr>
            <w:tcW w:w="140" w:type="dxa"/>
            <w:vAlign w:val="bottom"/>
          </w:tcPr>
          <w:p>
            <w:pPr>
              <w:spacing w:after="0" w:line="20" w:lineRule="exact"/>
              <w:rPr>
                <w:sz w:val="1"/>
                <w:szCs w:val="1"/>
                <w:color w:val="auto"/>
              </w:rPr>
            </w:pPr>
          </w:p>
        </w:tc>
        <w:tc>
          <w:tcPr>
            <w:tcW w:w="90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54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121212"/>
              <w:bottom w:val="single" w:sz="8" w:color="121212"/>
            </w:tcBorders>
          </w:tcPr>
          <w:p>
            <w:pPr>
              <w:spacing w:after="0" w:line="20" w:lineRule="exact"/>
              <w:rPr>
                <w:sz w:val="1"/>
                <w:szCs w:val="1"/>
                <w:color w:val="auto"/>
              </w:rPr>
            </w:pPr>
          </w:p>
        </w:tc>
        <w:tc>
          <w:tcPr>
            <w:tcW w:w="58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121212"/>
              <w:bottom w:val="single" w:sz="8" w:color="121212"/>
            </w:tcBorders>
          </w:tcPr>
          <w:p>
            <w:pPr>
              <w:spacing w:after="0" w:line="20" w:lineRule="exact"/>
              <w:rPr>
                <w:sz w:val="1"/>
                <w:szCs w:val="1"/>
                <w:color w:val="auto"/>
              </w:rPr>
            </w:pPr>
          </w:p>
        </w:tc>
        <w:tc>
          <w:tcPr>
            <w:tcW w:w="60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Borders>
              <w:right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121212"/>
              <w:bottom w:val="single" w:sz="8" w:color="121212"/>
            </w:tcBorders>
          </w:tcPr>
          <w:p>
            <w:pPr>
              <w:spacing w:after="0" w:line="20" w:lineRule="exact"/>
              <w:rPr>
                <w:sz w:val="1"/>
                <w:szCs w:val="1"/>
                <w:color w:val="auto"/>
              </w:rPr>
            </w:pPr>
          </w:p>
        </w:tc>
        <w:tc>
          <w:tcPr>
            <w:tcW w:w="8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121212"/>
              <w:bottom w:val="single" w:sz="8" w:color="121212"/>
            </w:tcBorders>
          </w:tcPr>
          <w:p>
            <w:pPr>
              <w:spacing w:after="0" w:line="20" w:lineRule="exact"/>
              <w:rPr>
                <w:sz w:val="1"/>
                <w:szCs w:val="1"/>
                <w:color w:val="auto"/>
              </w:rPr>
            </w:pPr>
          </w:p>
        </w:tc>
        <w:tc>
          <w:tcPr>
            <w:tcW w:w="56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121212"/>
              <w:bottom w:val="single" w:sz="8" w:color="121212"/>
            </w:tcBorders>
          </w:tcPr>
          <w:p>
            <w:pPr>
              <w:spacing w:after="0" w:line="20" w:lineRule="exact"/>
              <w:rPr>
                <w:sz w:val="1"/>
                <w:szCs w:val="1"/>
                <w:color w:val="auto"/>
              </w:rPr>
            </w:pPr>
          </w:p>
        </w:tc>
        <w:tc>
          <w:tcPr>
            <w:tcW w:w="78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121212"/>
              <w:bottom w:val="single" w:sz="8" w:color="121212"/>
            </w:tcBorders>
          </w:tcPr>
          <w:p>
            <w:pPr>
              <w:spacing w:after="0" w:line="20" w:lineRule="exact"/>
              <w:rPr>
                <w:sz w:val="1"/>
                <w:szCs w:val="1"/>
                <w:color w:val="auto"/>
              </w:rPr>
            </w:pPr>
          </w:p>
        </w:tc>
        <w:tc>
          <w:tcPr>
            <w:tcW w:w="88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121212"/>
              <w:bottom w:val="single" w:sz="8" w:color="121212"/>
            </w:tcBorders>
          </w:tcPr>
          <w:p>
            <w:pPr>
              <w:spacing w:after="0" w:line="20" w:lineRule="exact"/>
              <w:rPr>
                <w:sz w:val="1"/>
                <w:szCs w:val="1"/>
                <w:color w:val="auto"/>
              </w:rPr>
            </w:pPr>
          </w:p>
        </w:tc>
        <w:tc>
          <w:tcPr>
            <w:tcW w:w="980" w:type="dxa"/>
            <w:vAlign w:val="bottom"/>
            <w:tcBorders>
              <w:top w:val="single" w:sz="8" w:color="121212"/>
              <w:bottom w:val="single" w:sz="8" w:color="12121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2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6"/>
                <w:szCs w:val="6"/>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6"/>
                <w:szCs w:val="6"/>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tcPr>
          <w:p>
            <w:pPr>
              <w:spacing w:after="0"/>
              <w:rPr>
                <w:sz w:val="6"/>
                <w:szCs w:val="6"/>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53,224</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121212"/>
              </w:rPr>
              <w:t>219</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219</w:t>
            </w:r>
          </w:p>
        </w:tc>
        <w:tc>
          <w:tcPr>
            <w:tcW w:w="0" w:type="dxa"/>
            <w:vAlign w:val="bottom"/>
          </w:tcPr>
          <w:p>
            <w:pPr>
              <w:spacing w:after="0"/>
              <w:rPr>
                <w:sz w:val="1"/>
                <w:szCs w:val="1"/>
                <w:color w:val="auto"/>
              </w:rPr>
            </w:pPr>
          </w:p>
        </w:tc>
      </w:tr>
      <w:tr>
        <w:trPr>
          <w:trHeight w:val="69"/>
        </w:trPr>
        <w:tc>
          <w:tcPr>
            <w:tcW w:w="220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121212"/>
              </w:rPr>
              <w:t>upon exercise of stock options</w:t>
            </w: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Borders>
              <w:right w:val="single" w:sz="8" w:color="121212"/>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Borders>
              <w:right w:val="single" w:sz="8" w:color="121212"/>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200" w:type="dxa"/>
            <w:vAlign w:val="bottom"/>
            <w:shd w:val="clear" w:color="auto" w:fill="DFDFDF"/>
          </w:tcPr>
          <w:p>
            <w:pPr>
              <w:spacing w:after="0" w:line="114" w:lineRule="exact"/>
              <w:rPr>
                <w:sz w:val="20"/>
                <w:szCs w:val="20"/>
                <w:color w:val="auto"/>
              </w:rPr>
            </w:pPr>
            <w:r>
              <w:rPr>
                <w:rFonts w:ascii="Times New Roman" w:cs="Times New Roman" w:eastAsia="Times New Roman" w:hAnsi="Times New Roman"/>
                <w:sz w:val="10"/>
                <w:szCs w:val="10"/>
                <w:color w:val="121212"/>
              </w:rPr>
              <w:t>Vesting of restricted common stock</w:t>
            </w:r>
          </w:p>
        </w:tc>
        <w:tc>
          <w:tcPr>
            <w:tcW w:w="140" w:type="dxa"/>
            <w:vAlign w:val="bottom"/>
            <w:shd w:val="clear" w:color="auto" w:fill="DFDFDF"/>
          </w:tcPr>
          <w:p>
            <w:pPr>
              <w:spacing w:after="0"/>
              <w:rPr>
                <w:sz w:val="9"/>
                <w:szCs w:val="9"/>
                <w:color w:val="auto"/>
              </w:rPr>
            </w:pPr>
          </w:p>
        </w:tc>
        <w:tc>
          <w:tcPr>
            <w:tcW w:w="1040" w:type="dxa"/>
            <w:vAlign w:val="bottom"/>
            <w:gridSpan w:val="2"/>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56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00" w:type="dxa"/>
            <w:vAlign w:val="bottom"/>
            <w:gridSpan w:val="2"/>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60" w:type="dxa"/>
            <w:vAlign w:val="bottom"/>
            <w:shd w:val="clear" w:color="auto" w:fill="DFDFDF"/>
          </w:tcPr>
          <w:p>
            <w:pPr>
              <w:spacing w:after="0"/>
              <w:rPr>
                <w:sz w:val="9"/>
                <w:szCs w:val="9"/>
                <w:color w:val="auto"/>
              </w:rPr>
            </w:pPr>
          </w:p>
        </w:tc>
        <w:tc>
          <w:tcPr>
            <w:tcW w:w="60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20" w:type="dxa"/>
            <w:vAlign w:val="bottom"/>
            <w:gridSpan w:val="3"/>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9"/>
                <w:szCs w:val="9"/>
                <w:color w:val="auto"/>
              </w:rPr>
            </w:pPr>
          </w:p>
        </w:tc>
        <w:tc>
          <w:tcPr>
            <w:tcW w:w="60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0" w:type="dxa"/>
            <w:vAlign w:val="bottom"/>
            <w:shd w:val="clear" w:color="auto" w:fill="DFDFDF"/>
          </w:tcPr>
          <w:p>
            <w:pPr>
              <w:spacing w:after="0"/>
              <w:rPr>
                <w:sz w:val="9"/>
                <w:szCs w:val="9"/>
                <w:color w:val="auto"/>
              </w:rPr>
            </w:pPr>
          </w:p>
        </w:tc>
        <w:tc>
          <w:tcPr>
            <w:tcW w:w="86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8,254</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40" w:type="dxa"/>
            <w:vAlign w:val="bottom"/>
            <w:shd w:val="clear" w:color="auto" w:fill="DFDFDF"/>
          </w:tcPr>
          <w:p>
            <w:pPr>
              <w:spacing w:after="0"/>
              <w:rPr>
                <w:sz w:val="9"/>
                <w:szCs w:val="9"/>
                <w:color w:val="auto"/>
              </w:rPr>
            </w:pPr>
          </w:p>
        </w:tc>
        <w:tc>
          <w:tcPr>
            <w:tcW w:w="58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780" w:type="dxa"/>
            <w:vAlign w:val="bottom"/>
            <w:shd w:val="clear" w:color="auto" w:fill="DFDFDF"/>
          </w:tcPr>
          <w:p>
            <w:pPr>
              <w:jc w:val="right"/>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88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00" w:type="dxa"/>
            <w:vAlign w:val="bottom"/>
            <w:shd w:val="clear" w:color="auto" w:fill="DFDFDF"/>
          </w:tcPr>
          <w:p>
            <w:pPr>
              <w:spacing w:after="0"/>
              <w:rPr>
                <w:sz w:val="9"/>
                <w:szCs w:val="9"/>
                <w:color w:val="auto"/>
              </w:rPr>
            </w:pPr>
          </w:p>
        </w:tc>
        <w:tc>
          <w:tcPr>
            <w:tcW w:w="98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0" w:type="dxa"/>
            <w:vAlign w:val="bottom"/>
          </w:tcPr>
          <w:p>
            <w:pPr>
              <w:spacing w:after="0"/>
              <w:rPr>
                <w:sz w:val="1"/>
                <w:szCs w:val="1"/>
                <w:color w:val="auto"/>
              </w:rPr>
            </w:pPr>
          </w:p>
        </w:tc>
      </w:tr>
      <w:tr>
        <w:trPr>
          <w:trHeight w:val="110"/>
        </w:trPr>
        <w:tc>
          <w:tcPr>
            <w:tcW w:w="2200" w:type="dxa"/>
            <w:vAlign w:val="bottom"/>
          </w:tcPr>
          <w:p>
            <w:pPr>
              <w:spacing w:after="0" w:line="110" w:lineRule="exact"/>
              <w:rPr>
                <w:sz w:val="20"/>
                <w:szCs w:val="20"/>
                <w:color w:val="auto"/>
              </w:rPr>
            </w:pPr>
            <w:r>
              <w:rPr>
                <w:rFonts w:ascii="Times New Roman" w:cs="Times New Roman" w:eastAsia="Times New Roman" w:hAnsi="Times New Roman"/>
                <w:sz w:val="10"/>
                <w:szCs w:val="10"/>
                <w:color w:val="121212"/>
              </w:rPr>
              <w:t>Stock-based compensation expense</w:t>
            </w:r>
          </w:p>
        </w:tc>
        <w:tc>
          <w:tcPr>
            <w:tcW w:w="140" w:type="dxa"/>
            <w:vAlign w:val="bottom"/>
          </w:tcPr>
          <w:p>
            <w:pPr>
              <w:spacing w:after="0"/>
              <w:rPr>
                <w:sz w:val="9"/>
                <w:szCs w:val="9"/>
                <w:color w:val="auto"/>
              </w:rPr>
            </w:pPr>
          </w:p>
        </w:tc>
        <w:tc>
          <w:tcPr>
            <w:tcW w:w="104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9"/>
                <w:szCs w:val="9"/>
                <w:color w:val="auto"/>
              </w:rPr>
            </w:pPr>
          </w:p>
        </w:tc>
        <w:tc>
          <w:tcPr>
            <w:tcW w:w="110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9"/>
                <w:szCs w:val="9"/>
                <w:color w:val="auto"/>
              </w:rPr>
            </w:pPr>
          </w:p>
        </w:tc>
        <w:tc>
          <w:tcPr>
            <w:tcW w:w="1120" w:type="dxa"/>
            <w:vAlign w:val="bottom"/>
            <w:gridSpan w:val="3"/>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80" w:type="dxa"/>
            <w:vAlign w:val="bottom"/>
          </w:tcPr>
          <w:p>
            <w:pPr>
              <w:spacing w:after="0"/>
              <w:rPr>
                <w:sz w:val="9"/>
                <w:szCs w:val="9"/>
                <w:color w:val="auto"/>
              </w:rPr>
            </w:pPr>
          </w:p>
        </w:tc>
        <w:tc>
          <w:tcPr>
            <w:tcW w:w="600" w:type="dxa"/>
            <w:vAlign w:val="bottom"/>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121212"/>
              </w:rPr>
              <w:t>2,089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2,089</w:t>
            </w:r>
          </w:p>
        </w:tc>
        <w:tc>
          <w:tcPr>
            <w:tcW w:w="0" w:type="dxa"/>
            <w:vAlign w:val="bottom"/>
          </w:tcPr>
          <w:p>
            <w:pPr>
              <w:spacing w:after="0"/>
              <w:rPr>
                <w:sz w:val="1"/>
                <w:szCs w:val="1"/>
                <w:color w:val="auto"/>
              </w:rPr>
            </w:pPr>
          </w:p>
        </w:tc>
      </w:tr>
      <w:tr>
        <w:trPr>
          <w:trHeight w:val="89"/>
        </w:trPr>
        <w:tc>
          <w:tcPr>
            <w:tcW w:w="2200" w:type="dxa"/>
            <w:vAlign w:val="bottom"/>
            <w:shd w:val="clear" w:color="auto" w:fill="DFDFDF"/>
          </w:tcPr>
          <w:p>
            <w:pPr>
              <w:spacing w:after="0" w:line="90" w:lineRule="exact"/>
              <w:rPr>
                <w:sz w:val="20"/>
                <w:szCs w:val="20"/>
                <w:color w:val="auto"/>
              </w:rPr>
            </w:pPr>
            <w:r>
              <w:rPr>
                <w:rFonts w:ascii="Times New Roman" w:cs="Times New Roman" w:eastAsia="Times New Roman" w:hAnsi="Times New Roman"/>
                <w:sz w:val="10"/>
                <w:szCs w:val="10"/>
                <w:color w:val="121212"/>
              </w:rPr>
              <w:t>Issuance of common stock</w:t>
            </w:r>
          </w:p>
        </w:tc>
        <w:tc>
          <w:tcPr>
            <w:tcW w:w="14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6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600" w:type="dxa"/>
            <w:vAlign w:val="bottom"/>
            <w:shd w:val="clear" w:color="auto" w:fill="DFDFDF"/>
          </w:tcPr>
          <w:p>
            <w:pPr>
              <w:spacing w:after="0"/>
              <w:rPr>
                <w:sz w:val="7"/>
                <w:szCs w:val="7"/>
                <w:color w:val="auto"/>
              </w:rPr>
            </w:pPr>
          </w:p>
        </w:tc>
        <w:tc>
          <w:tcPr>
            <w:tcW w:w="140" w:type="dxa"/>
            <w:vAlign w:val="bottom"/>
            <w:tcBorders>
              <w:right w:val="single" w:sz="8" w:color="121212"/>
            </w:tcBorders>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40" w:type="dxa"/>
            <w:vAlign w:val="bottom"/>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78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98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200" w:type="dxa"/>
            <w:vAlign w:val="bottom"/>
            <w:shd w:val="clear" w:color="auto" w:fill="DFDFDF"/>
          </w:tcPr>
          <w:p>
            <w:pPr>
              <w:ind w:left="80"/>
              <w:spacing w:after="0" w:line="110" w:lineRule="exact"/>
              <w:rPr>
                <w:sz w:val="20"/>
                <w:szCs w:val="20"/>
                <w:color w:val="auto"/>
              </w:rPr>
            </w:pPr>
            <w:r>
              <w:rPr>
                <w:rFonts w:ascii="Times New Roman" w:cs="Times New Roman" w:eastAsia="Times New Roman" w:hAnsi="Times New Roman"/>
                <w:sz w:val="10"/>
                <w:szCs w:val="10"/>
                <w:color w:val="121212"/>
              </w:rPr>
              <w:t>for cash in pre-closing</w:t>
            </w:r>
          </w:p>
        </w:tc>
        <w:tc>
          <w:tcPr>
            <w:tcW w:w="140" w:type="dxa"/>
            <w:vAlign w:val="bottom"/>
            <w:shd w:val="clear" w:color="auto" w:fill="DFDFDF"/>
          </w:tcPr>
          <w:p>
            <w:pPr>
              <w:spacing w:after="0"/>
              <w:rPr>
                <w:sz w:val="9"/>
                <w:szCs w:val="9"/>
                <w:color w:val="auto"/>
              </w:rPr>
            </w:pPr>
          </w:p>
        </w:tc>
        <w:tc>
          <w:tcPr>
            <w:tcW w:w="90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5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96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60" w:type="dxa"/>
            <w:vAlign w:val="bottom"/>
            <w:shd w:val="clear" w:color="auto" w:fill="DFDFDF"/>
          </w:tcPr>
          <w:p>
            <w:pPr>
              <w:spacing w:after="0"/>
              <w:rPr>
                <w:sz w:val="9"/>
                <w:szCs w:val="9"/>
                <w:color w:val="auto"/>
              </w:rPr>
            </w:pPr>
          </w:p>
        </w:tc>
        <w:tc>
          <w:tcPr>
            <w:tcW w:w="58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96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600" w:type="dxa"/>
            <w:vAlign w:val="bottom"/>
            <w:shd w:val="clear" w:color="auto" w:fill="DFDFDF"/>
          </w:tcPr>
          <w:p>
            <w:pPr>
              <w:spacing w:after="0"/>
              <w:rPr>
                <w:sz w:val="9"/>
                <w:szCs w:val="9"/>
                <w:color w:val="auto"/>
              </w:rPr>
            </w:pPr>
          </w:p>
        </w:tc>
        <w:tc>
          <w:tcPr>
            <w:tcW w:w="140" w:type="dxa"/>
            <w:vAlign w:val="bottom"/>
            <w:tcBorders>
              <w:right w:val="single" w:sz="8" w:color="121212"/>
            </w:tcBorders>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0" w:type="dxa"/>
            <w:vAlign w:val="bottom"/>
            <w:shd w:val="clear" w:color="auto" w:fill="DFDFDF"/>
          </w:tcPr>
          <w:p>
            <w:pPr>
              <w:spacing w:after="0"/>
              <w:rPr>
                <w:sz w:val="9"/>
                <w:szCs w:val="9"/>
                <w:color w:val="auto"/>
              </w:rPr>
            </w:pPr>
          </w:p>
        </w:tc>
        <w:tc>
          <w:tcPr>
            <w:tcW w:w="86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40" w:type="dxa"/>
            <w:vAlign w:val="bottom"/>
            <w:shd w:val="clear" w:color="auto" w:fill="DFDFDF"/>
          </w:tcPr>
          <w:p>
            <w:pPr>
              <w:spacing w:after="0"/>
              <w:rPr>
                <w:sz w:val="9"/>
                <w:szCs w:val="9"/>
                <w:color w:val="auto"/>
              </w:rPr>
            </w:pPr>
          </w:p>
        </w:tc>
        <w:tc>
          <w:tcPr>
            <w:tcW w:w="56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78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88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00" w:type="dxa"/>
            <w:vAlign w:val="bottom"/>
            <w:shd w:val="clear" w:color="auto" w:fill="DFDFDF"/>
          </w:tcPr>
          <w:p>
            <w:pPr>
              <w:spacing w:after="0"/>
              <w:rPr>
                <w:sz w:val="9"/>
                <w:szCs w:val="9"/>
                <w:color w:val="auto"/>
              </w:rPr>
            </w:pPr>
          </w:p>
        </w:tc>
        <w:tc>
          <w:tcPr>
            <w:tcW w:w="980" w:type="dxa"/>
            <w:vAlign w:val="bottom"/>
            <w:shd w:val="clear" w:color="auto" w:fill="DFDFD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DFDFDF"/>
          </w:tcPr>
          <w:p>
            <w:pPr>
              <w:ind w:left="80"/>
              <w:spacing w:after="0"/>
              <w:rPr>
                <w:sz w:val="20"/>
                <w:szCs w:val="20"/>
                <w:color w:val="auto"/>
              </w:rPr>
            </w:pPr>
            <w:r>
              <w:rPr>
                <w:rFonts w:ascii="Times New Roman" w:cs="Times New Roman" w:eastAsia="Times New Roman" w:hAnsi="Times New Roman"/>
                <w:sz w:val="10"/>
                <w:szCs w:val="10"/>
                <w:color w:val="121212"/>
              </w:rPr>
              <w:t>financing</w:t>
            </w:r>
          </w:p>
        </w:tc>
        <w:tc>
          <w:tcPr>
            <w:tcW w:w="140" w:type="dxa"/>
            <w:vAlign w:val="bottom"/>
            <w:shd w:val="clear" w:color="auto" w:fill="DFDFDF"/>
          </w:tcPr>
          <w:p>
            <w:pPr>
              <w:spacing w:after="0"/>
              <w:rPr>
                <w:sz w:val="11"/>
                <w:szCs w:val="11"/>
                <w:color w:val="auto"/>
              </w:rPr>
            </w:pPr>
          </w:p>
        </w:tc>
        <w:tc>
          <w:tcPr>
            <w:tcW w:w="1040" w:type="dxa"/>
            <w:vAlign w:val="bottom"/>
            <w:gridSpan w:val="2"/>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560" w:type="dxa"/>
            <w:vAlign w:val="bottom"/>
            <w:gridSpan w:val="2"/>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11"/>
                <w:szCs w:val="11"/>
                <w:color w:val="auto"/>
              </w:rPr>
            </w:pPr>
          </w:p>
        </w:tc>
        <w:tc>
          <w:tcPr>
            <w:tcW w:w="1100" w:type="dxa"/>
            <w:vAlign w:val="bottom"/>
            <w:gridSpan w:val="2"/>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11"/>
                <w:szCs w:val="11"/>
                <w:color w:val="auto"/>
              </w:rPr>
            </w:pPr>
          </w:p>
        </w:tc>
        <w:tc>
          <w:tcPr>
            <w:tcW w:w="60" w:type="dxa"/>
            <w:vAlign w:val="bottom"/>
            <w:shd w:val="clear" w:color="auto" w:fill="DFDFDF"/>
          </w:tcPr>
          <w:p>
            <w:pPr>
              <w:spacing w:after="0"/>
              <w:rPr>
                <w:sz w:val="11"/>
                <w:szCs w:val="11"/>
                <w:color w:val="auto"/>
              </w:rPr>
            </w:pPr>
          </w:p>
        </w:tc>
        <w:tc>
          <w:tcPr>
            <w:tcW w:w="600" w:type="dxa"/>
            <w:vAlign w:val="bottom"/>
            <w:gridSpan w:val="2"/>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11"/>
                <w:szCs w:val="11"/>
                <w:color w:val="auto"/>
              </w:rPr>
            </w:pPr>
          </w:p>
        </w:tc>
        <w:tc>
          <w:tcPr>
            <w:tcW w:w="1120" w:type="dxa"/>
            <w:vAlign w:val="bottom"/>
            <w:gridSpan w:val="3"/>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11"/>
                <w:szCs w:val="11"/>
                <w:color w:val="auto"/>
              </w:rPr>
            </w:pPr>
          </w:p>
        </w:tc>
        <w:tc>
          <w:tcPr>
            <w:tcW w:w="600" w:type="dxa"/>
            <w:vAlign w:val="bottom"/>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0" w:type="dxa"/>
            <w:vAlign w:val="bottom"/>
            <w:shd w:val="clear" w:color="auto" w:fill="DFDFDF"/>
          </w:tcPr>
          <w:p>
            <w:pPr>
              <w:spacing w:after="0"/>
              <w:rPr>
                <w:sz w:val="11"/>
                <w:szCs w:val="11"/>
                <w:color w:val="auto"/>
              </w:rPr>
            </w:pPr>
          </w:p>
        </w:tc>
        <w:tc>
          <w:tcPr>
            <w:tcW w:w="860" w:type="dxa"/>
            <w:vAlign w:val="bottom"/>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2,336,092</w:t>
            </w: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40" w:type="dxa"/>
            <w:vAlign w:val="bottom"/>
            <w:shd w:val="clear" w:color="auto" w:fill="DFDFDF"/>
          </w:tcPr>
          <w:p>
            <w:pPr>
              <w:spacing w:after="0"/>
              <w:rPr>
                <w:sz w:val="11"/>
                <w:szCs w:val="11"/>
                <w:color w:val="auto"/>
              </w:rPr>
            </w:pPr>
          </w:p>
        </w:tc>
        <w:tc>
          <w:tcPr>
            <w:tcW w:w="580" w:type="dxa"/>
            <w:vAlign w:val="bottom"/>
            <w:gridSpan w:val="2"/>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78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10"/>
                <w:szCs w:val="10"/>
                <w:color w:val="121212"/>
              </w:rPr>
              <w:t>53,500</w:t>
            </w:r>
          </w:p>
        </w:tc>
        <w:tc>
          <w:tcPr>
            <w:tcW w:w="12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880" w:type="dxa"/>
            <w:vAlign w:val="bottom"/>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00" w:type="dxa"/>
            <w:vAlign w:val="bottom"/>
            <w:shd w:val="clear" w:color="auto" w:fill="DFDFDF"/>
          </w:tcPr>
          <w:p>
            <w:pPr>
              <w:spacing w:after="0"/>
              <w:rPr>
                <w:sz w:val="11"/>
                <w:szCs w:val="11"/>
                <w:color w:val="auto"/>
              </w:rPr>
            </w:pPr>
          </w:p>
        </w:tc>
        <w:tc>
          <w:tcPr>
            <w:tcW w:w="980" w:type="dxa"/>
            <w:vAlign w:val="bottom"/>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53,500</w:t>
            </w:r>
          </w:p>
        </w:tc>
        <w:tc>
          <w:tcPr>
            <w:tcW w:w="0" w:type="dxa"/>
            <w:vAlign w:val="bottom"/>
          </w:tcPr>
          <w:p>
            <w:pPr>
              <w:spacing w:after="0"/>
              <w:rPr>
                <w:sz w:val="1"/>
                <w:szCs w:val="1"/>
                <w:color w:val="auto"/>
              </w:rPr>
            </w:pPr>
          </w:p>
        </w:tc>
      </w:tr>
      <w:tr>
        <w:trPr>
          <w:trHeight w:val="89"/>
        </w:trPr>
        <w:tc>
          <w:tcPr>
            <w:tcW w:w="2200" w:type="dxa"/>
            <w:vAlign w:val="bottom"/>
          </w:tcPr>
          <w:p>
            <w:pPr>
              <w:spacing w:after="0" w:line="90" w:lineRule="exact"/>
              <w:rPr>
                <w:sz w:val="20"/>
                <w:szCs w:val="20"/>
                <w:color w:val="auto"/>
              </w:rPr>
            </w:pPr>
            <w:r>
              <w:rPr>
                <w:rFonts w:ascii="Times New Roman" w:cs="Times New Roman" w:eastAsia="Times New Roman" w:hAnsi="Times New Roman"/>
                <w:sz w:val="10"/>
                <w:szCs w:val="10"/>
                <w:color w:val="121212"/>
              </w:rPr>
              <w:t>Conversion of preferred</w:t>
            </w:r>
          </w:p>
        </w:tc>
        <w:tc>
          <w:tcPr>
            <w:tcW w:w="10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0"/>
                <w:szCs w:val="10"/>
                <w:color w:val="121212"/>
              </w:rPr>
              <w:t>(5,000,000)</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121212"/>
              </w:rPr>
              <w:t>(2,350)</w:t>
            </w:r>
          </w:p>
        </w:tc>
        <w:tc>
          <w:tcPr>
            <w:tcW w:w="20" w:type="dxa"/>
            <w:vAlign w:val="bottom"/>
          </w:tcPr>
          <w:p>
            <w:pPr>
              <w:spacing w:after="0"/>
              <w:rPr>
                <w:sz w:val="7"/>
                <w:szCs w:val="7"/>
                <w:color w:val="auto"/>
              </w:rPr>
            </w:pPr>
          </w:p>
        </w:tc>
        <w:tc>
          <w:tcPr>
            <w:tcW w:w="10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0"/>
                <w:szCs w:val="10"/>
                <w:color w:val="121212"/>
              </w:rPr>
              <w:t>(41,666,666)</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121212"/>
              </w:rPr>
              <w:t>(49,762)</w:t>
            </w:r>
          </w:p>
        </w:tc>
        <w:tc>
          <w:tcPr>
            <w:tcW w:w="20" w:type="dxa"/>
            <w:vAlign w:val="bottom"/>
          </w:tcPr>
          <w:p>
            <w:pPr>
              <w:spacing w:after="0"/>
              <w:rPr>
                <w:sz w:val="7"/>
                <w:szCs w:val="7"/>
                <w:color w:val="auto"/>
              </w:rPr>
            </w:pPr>
          </w:p>
        </w:tc>
        <w:tc>
          <w:tcPr>
            <w:tcW w:w="108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0"/>
                <w:szCs w:val="10"/>
                <w:color w:val="121212"/>
              </w:rPr>
              <w:t>(37,499,999)</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121212"/>
              </w:rPr>
              <w:t>(89,744)</w:t>
            </w:r>
          </w:p>
        </w:tc>
        <w:tc>
          <w:tcPr>
            <w:tcW w:w="140" w:type="dxa"/>
            <w:vAlign w:val="bottom"/>
            <w:tcBorders>
              <w:right w:val="single" w:sz="8" w:color="121212"/>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9,224,653</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1</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121212"/>
              </w:rPr>
              <w:t>141,855</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141,856</w:t>
            </w:r>
          </w:p>
        </w:tc>
        <w:tc>
          <w:tcPr>
            <w:tcW w:w="0" w:type="dxa"/>
            <w:vAlign w:val="bottom"/>
          </w:tcPr>
          <w:p>
            <w:pPr>
              <w:spacing w:after="0"/>
              <w:rPr>
                <w:sz w:val="1"/>
                <w:szCs w:val="1"/>
                <w:color w:val="auto"/>
              </w:rPr>
            </w:pPr>
          </w:p>
        </w:tc>
      </w:tr>
      <w:tr>
        <w:trPr>
          <w:trHeight w:val="129"/>
        </w:trPr>
        <w:tc>
          <w:tcPr>
            <w:tcW w:w="2200" w:type="dxa"/>
            <w:vAlign w:val="bottom"/>
          </w:tcPr>
          <w:p>
            <w:pPr>
              <w:ind w:left="80"/>
              <w:spacing w:after="0"/>
              <w:rPr>
                <w:sz w:val="20"/>
                <w:szCs w:val="20"/>
                <w:color w:val="auto"/>
              </w:rPr>
            </w:pPr>
            <w:r>
              <w:rPr>
                <w:rFonts w:ascii="Times New Roman" w:cs="Times New Roman" w:eastAsia="Times New Roman" w:hAnsi="Times New Roman"/>
                <w:sz w:val="10"/>
                <w:szCs w:val="10"/>
                <w:color w:val="121212"/>
              </w:rPr>
              <w:t>stock to common stock</w:t>
            </w: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Borders>
              <w:right w:val="single" w:sz="8" w:color="121212"/>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200" w:type="dxa"/>
            <w:vAlign w:val="bottom"/>
            <w:shd w:val="clear" w:color="auto" w:fill="DFDFDF"/>
          </w:tcPr>
          <w:p>
            <w:pPr>
              <w:spacing w:after="0" w:line="91" w:lineRule="exact"/>
              <w:rPr>
                <w:sz w:val="20"/>
                <w:szCs w:val="20"/>
                <w:color w:val="auto"/>
              </w:rPr>
            </w:pPr>
            <w:r>
              <w:rPr>
                <w:rFonts w:ascii="Times New Roman" w:cs="Times New Roman" w:eastAsia="Times New Roman" w:hAnsi="Times New Roman"/>
                <w:sz w:val="10"/>
                <w:szCs w:val="10"/>
                <w:color w:val="121212"/>
              </w:rPr>
              <w:t>Issuance of common stock</w:t>
            </w:r>
          </w:p>
        </w:tc>
        <w:tc>
          <w:tcPr>
            <w:tcW w:w="14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6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600" w:type="dxa"/>
            <w:vAlign w:val="bottom"/>
            <w:shd w:val="clear" w:color="auto" w:fill="DFDFDF"/>
          </w:tcPr>
          <w:p>
            <w:pPr>
              <w:spacing w:after="0"/>
              <w:rPr>
                <w:sz w:val="7"/>
                <w:szCs w:val="7"/>
                <w:color w:val="auto"/>
              </w:rPr>
            </w:pPr>
          </w:p>
        </w:tc>
        <w:tc>
          <w:tcPr>
            <w:tcW w:w="140" w:type="dxa"/>
            <w:vAlign w:val="bottom"/>
            <w:tcBorders>
              <w:right w:val="single" w:sz="8" w:color="121212"/>
            </w:tcBorders>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40" w:type="dxa"/>
            <w:vAlign w:val="bottom"/>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78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98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200" w:type="dxa"/>
            <w:vAlign w:val="bottom"/>
            <w:shd w:val="clear" w:color="auto" w:fill="DFDFDF"/>
          </w:tcPr>
          <w:p>
            <w:pPr>
              <w:ind w:left="80"/>
              <w:spacing w:after="0" w:line="110" w:lineRule="exact"/>
              <w:rPr>
                <w:sz w:val="20"/>
                <w:szCs w:val="20"/>
                <w:color w:val="auto"/>
              </w:rPr>
            </w:pPr>
            <w:r>
              <w:rPr>
                <w:rFonts w:ascii="Times New Roman" w:cs="Times New Roman" w:eastAsia="Times New Roman" w:hAnsi="Times New Roman"/>
                <w:sz w:val="10"/>
                <w:szCs w:val="10"/>
                <w:color w:val="121212"/>
              </w:rPr>
              <w:t>to Gemini shareholders</w:t>
            </w:r>
          </w:p>
        </w:tc>
        <w:tc>
          <w:tcPr>
            <w:tcW w:w="140" w:type="dxa"/>
            <w:vAlign w:val="bottom"/>
            <w:shd w:val="clear" w:color="auto" w:fill="DFDFDF"/>
          </w:tcPr>
          <w:p>
            <w:pPr>
              <w:spacing w:after="0"/>
              <w:rPr>
                <w:sz w:val="9"/>
                <w:szCs w:val="9"/>
                <w:color w:val="auto"/>
              </w:rPr>
            </w:pPr>
          </w:p>
        </w:tc>
        <w:tc>
          <w:tcPr>
            <w:tcW w:w="104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56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0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60" w:type="dxa"/>
            <w:vAlign w:val="bottom"/>
            <w:shd w:val="clear" w:color="auto" w:fill="DFDFDF"/>
          </w:tcPr>
          <w:p>
            <w:pPr>
              <w:spacing w:after="0"/>
              <w:rPr>
                <w:sz w:val="9"/>
                <w:szCs w:val="9"/>
                <w:color w:val="auto"/>
              </w:rPr>
            </w:pPr>
          </w:p>
        </w:tc>
        <w:tc>
          <w:tcPr>
            <w:tcW w:w="60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20" w:type="dxa"/>
            <w:vAlign w:val="bottom"/>
            <w:gridSpan w:val="3"/>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9"/>
                <w:szCs w:val="9"/>
                <w:color w:val="auto"/>
              </w:rPr>
            </w:pPr>
          </w:p>
        </w:tc>
        <w:tc>
          <w:tcPr>
            <w:tcW w:w="60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0" w:type="dxa"/>
            <w:vAlign w:val="bottom"/>
            <w:shd w:val="clear" w:color="auto" w:fill="DFDFDF"/>
          </w:tcPr>
          <w:p>
            <w:pPr>
              <w:spacing w:after="0"/>
              <w:rPr>
                <w:sz w:val="9"/>
                <w:szCs w:val="9"/>
                <w:color w:val="auto"/>
              </w:rPr>
            </w:pPr>
          </w:p>
        </w:tc>
        <w:tc>
          <w:tcPr>
            <w:tcW w:w="86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4,389,361</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40" w:type="dxa"/>
            <w:vAlign w:val="bottom"/>
            <w:shd w:val="clear" w:color="auto" w:fill="DFDFDF"/>
          </w:tcPr>
          <w:p>
            <w:pPr>
              <w:spacing w:after="0"/>
              <w:rPr>
                <w:sz w:val="9"/>
                <w:szCs w:val="9"/>
                <w:color w:val="auto"/>
              </w:rPr>
            </w:pPr>
          </w:p>
        </w:tc>
        <w:tc>
          <w:tcPr>
            <w:tcW w:w="56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1</w:t>
            </w: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780" w:type="dxa"/>
            <w:vAlign w:val="bottom"/>
            <w:vMerge w:val="restart"/>
            <w:shd w:val="clear" w:color="auto" w:fill="DFDFDF"/>
          </w:tcPr>
          <w:p>
            <w:pPr>
              <w:jc w:val="right"/>
              <w:spacing w:after="0"/>
              <w:rPr>
                <w:sz w:val="20"/>
                <w:szCs w:val="20"/>
                <w:color w:val="auto"/>
              </w:rPr>
            </w:pPr>
            <w:r>
              <w:rPr>
                <w:rFonts w:ascii="Times New Roman" w:cs="Times New Roman" w:eastAsia="Times New Roman" w:hAnsi="Times New Roman"/>
                <w:sz w:val="10"/>
                <w:szCs w:val="10"/>
                <w:color w:val="121212"/>
              </w:rPr>
              <w:t>91,390</w:t>
            </w:r>
          </w:p>
        </w:tc>
        <w:tc>
          <w:tcPr>
            <w:tcW w:w="12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88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00" w:type="dxa"/>
            <w:vAlign w:val="bottom"/>
            <w:shd w:val="clear" w:color="auto" w:fill="DFDFDF"/>
          </w:tcPr>
          <w:p>
            <w:pPr>
              <w:spacing w:after="0"/>
              <w:rPr>
                <w:sz w:val="9"/>
                <w:szCs w:val="9"/>
                <w:color w:val="auto"/>
              </w:rPr>
            </w:pPr>
          </w:p>
        </w:tc>
        <w:tc>
          <w:tcPr>
            <w:tcW w:w="98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91,391</w:t>
            </w:r>
          </w:p>
        </w:tc>
        <w:tc>
          <w:tcPr>
            <w:tcW w:w="0" w:type="dxa"/>
            <w:vAlign w:val="bottom"/>
          </w:tcPr>
          <w:p>
            <w:pPr>
              <w:spacing w:after="0"/>
              <w:rPr>
                <w:sz w:val="1"/>
                <w:szCs w:val="1"/>
                <w:color w:val="auto"/>
              </w:rPr>
            </w:pPr>
          </w:p>
        </w:tc>
      </w:tr>
      <w:tr>
        <w:trPr>
          <w:trHeight w:val="130"/>
        </w:trPr>
        <w:tc>
          <w:tcPr>
            <w:tcW w:w="2200" w:type="dxa"/>
            <w:vAlign w:val="bottom"/>
            <w:shd w:val="clear" w:color="auto" w:fill="DFDFDF"/>
          </w:tcPr>
          <w:p>
            <w:pPr>
              <w:ind w:left="80"/>
              <w:spacing w:after="0"/>
              <w:rPr>
                <w:sz w:val="20"/>
                <w:szCs w:val="20"/>
                <w:color w:val="auto"/>
              </w:rPr>
            </w:pPr>
            <w:r>
              <w:rPr>
                <w:rFonts w:ascii="Times New Roman" w:cs="Times New Roman" w:eastAsia="Times New Roman" w:hAnsi="Times New Roman"/>
                <w:sz w:val="10"/>
                <w:szCs w:val="10"/>
                <w:color w:val="121212"/>
              </w:rPr>
              <w:t>in reverse recapitalization</w:t>
            </w:r>
          </w:p>
        </w:tc>
        <w:tc>
          <w:tcPr>
            <w:tcW w:w="140" w:type="dxa"/>
            <w:vAlign w:val="bottom"/>
            <w:shd w:val="clear" w:color="auto" w:fill="DFDFDF"/>
          </w:tcPr>
          <w:p>
            <w:pPr>
              <w:spacing w:after="0"/>
              <w:rPr>
                <w:sz w:val="11"/>
                <w:szCs w:val="11"/>
                <w:color w:val="auto"/>
              </w:rPr>
            </w:pPr>
          </w:p>
        </w:tc>
        <w:tc>
          <w:tcPr>
            <w:tcW w:w="1040" w:type="dxa"/>
            <w:vAlign w:val="bottom"/>
            <w:gridSpan w:val="2"/>
            <w:vMerge w:val="continue"/>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560" w:type="dxa"/>
            <w:vAlign w:val="bottom"/>
            <w:gridSpan w:val="2"/>
            <w:vMerge w:val="continue"/>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100" w:type="dxa"/>
            <w:vAlign w:val="bottom"/>
            <w:gridSpan w:val="2"/>
            <w:vMerge w:val="continue"/>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60" w:type="dxa"/>
            <w:vAlign w:val="bottom"/>
            <w:shd w:val="clear" w:color="auto" w:fill="DFDFDF"/>
          </w:tcPr>
          <w:p>
            <w:pPr>
              <w:spacing w:after="0"/>
              <w:rPr>
                <w:sz w:val="11"/>
                <w:szCs w:val="11"/>
                <w:color w:val="auto"/>
              </w:rPr>
            </w:pPr>
          </w:p>
        </w:tc>
        <w:tc>
          <w:tcPr>
            <w:tcW w:w="600" w:type="dxa"/>
            <w:vAlign w:val="bottom"/>
            <w:gridSpan w:val="2"/>
            <w:vMerge w:val="continue"/>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120" w:type="dxa"/>
            <w:vAlign w:val="bottom"/>
            <w:gridSpan w:val="3"/>
            <w:vMerge w:val="continue"/>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600" w:type="dxa"/>
            <w:vAlign w:val="bottom"/>
            <w:vMerge w:val="continue"/>
            <w:shd w:val="clear" w:color="auto" w:fill="DFDFDF"/>
          </w:tcPr>
          <w:p>
            <w:pPr>
              <w:spacing w:after="0"/>
              <w:rPr>
                <w:sz w:val="11"/>
                <w:szCs w:val="11"/>
                <w:color w:val="auto"/>
              </w:rPr>
            </w:pPr>
          </w:p>
        </w:tc>
        <w:tc>
          <w:tcPr>
            <w:tcW w:w="140" w:type="dxa"/>
            <w:vAlign w:val="bottom"/>
            <w:tcBorders>
              <w:right w:val="single" w:sz="8" w:color="121212"/>
            </w:tcBorders>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0" w:type="dxa"/>
            <w:vAlign w:val="bottom"/>
            <w:shd w:val="clear" w:color="auto" w:fill="DFDFDF"/>
          </w:tcPr>
          <w:p>
            <w:pPr>
              <w:spacing w:after="0"/>
              <w:rPr>
                <w:sz w:val="11"/>
                <w:szCs w:val="11"/>
                <w:color w:val="auto"/>
              </w:rPr>
            </w:pPr>
          </w:p>
        </w:tc>
        <w:tc>
          <w:tcPr>
            <w:tcW w:w="860" w:type="dxa"/>
            <w:vAlign w:val="bottom"/>
            <w:vMerge w:val="continue"/>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40" w:type="dxa"/>
            <w:vAlign w:val="bottom"/>
            <w:shd w:val="clear" w:color="auto" w:fill="DFDFDF"/>
          </w:tcPr>
          <w:p>
            <w:pPr>
              <w:spacing w:after="0"/>
              <w:rPr>
                <w:sz w:val="11"/>
                <w:szCs w:val="11"/>
                <w:color w:val="auto"/>
              </w:rPr>
            </w:pPr>
          </w:p>
        </w:tc>
        <w:tc>
          <w:tcPr>
            <w:tcW w:w="560" w:type="dxa"/>
            <w:vAlign w:val="bottom"/>
            <w:vMerge w:val="continue"/>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780" w:type="dxa"/>
            <w:vAlign w:val="bottom"/>
            <w:vMerge w:val="continue"/>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880" w:type="dxa"/>
            <w:vAlign w:val="bottom"/>
            <w:vMerge w:val="continue"/>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00" w:type="dxa"/>
            <w:vAlign w:val="bottom"/>
            <w:shd w:val="clear" w:color="auto" w:fill="DFDFDF"/>
          </w:tcPr>
          <w:p>
            <w:pPr>
              <w:spacing w:after="0"/>
              <w:rPr>
                <w:sz w:val="11"/>
                <w:szCs w:val="11"/>
                <w:color w:val="auto"/>
              </w:rPr>
            </w:pPr>
          </w:p>
        </w:tc>
        <w:tc>
          <w:tcPr>
            <w:tcW w:w="980" w:type="dxa"/>
            <w:vAlign w:val="bottom"/>
            <w:vMerge w:val="continue"/>
            <w:shd w:val="clear" w:color="auto" w:fill="DFDFDF"/>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00" w:type="dxa"/>
            <w:vAlign w:val="bottom"/>
          </w:tcPr>
          <w:p>
            <w:pPr>
              <w:spacing w:after="0" w:line="90" w:lineRule="exact"/>
              <w:rPr>
                <w:sz w:val="20"/>
                <w:szCs w:val="20"/>
                <w:color w:val="auto"/>
              </w:rPr>
            </w:pPr>
            <w:r>
              <w:rPr>
                <w:rFonts w:ascii="Times New Roman" w:cs="Times New Roman" w:eastAsia="Times New Roman" w:hAnsi="Times New Roman"/>
                <w:sz w:val="10"/>
                <w:szCs w:val="10"/>
                <w:color w:val="121212"/>
              </w:rPr>
              <w:t>Reverse recapitalization</w:t>
            </w:r>
          </w:p>
        </w:tc>
        <w:tc>
          <w:tcPr>
            <w:tcW w:w="140" w:type="dxa"/>
            <w:vAlign w:val="bottom"/>
          </w:tcPr>
          <w:p>
            <w:pPr>
              <w:spacing w:after="0"/>
              <w:rPr>
                <w:sz w:val="7"/>
                <w:szCs w:val="7"/>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tcPr>
          <w:p>
            <w:pPr>
              <w:spacing w:after="0"/>
              <w:rPr>
                <w:sz w:val="7"/>
                <w:szCs w:val="7"/>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121212"/>
              </w:rPr>
              <w:t>(7,936)</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121212"/>
              </w:rPr>
              <w:t>(7,936)</w:t>
            </w:r>
          </w:p>
        </w:tc>
        <w:tc>
          <w:tcPr>
            <w:tcW w:w="0" w:type="dxa"/>
            <w:vAlign w:val="bottom"/>
          </w:tcPr>
          <w:p>
            <w:pPr>
              <w:spacing w:after="0"/>
              <w:rPr>
                <w:sz w:val="1"/>
                <w:szCs w:val="1"/>
                <w:color w:val="auto"/>
              </w:rPr>
            </w:pPr>
          </w:p>
        </w:tc>
      </w:tr>
      <w:tr>
        <w:trPr>
          <w:trHeight w:val="129"/>
        </w:trPr>
        <w:tc>
          <w:tcPr>
            <w:tcW w:w="2200" w:type="dxa"/>
            <w:vAlign w:val="bottom"/>
          </w:tcPr>
          <w:p>
            <w:pPr>
              <w:ind w:left="80"/>
              <w:spacing w:after="0"/>
              <w:rPr>
                <w:sz w:val="20"/>
                <w:szCs w:val="20"/>
                <w:color w:val="auto"/>
              </w:rPr>
            </w:pPr>
            <w:r>
              <w:rPr>
                <w:rFonts w:ascii="Times New Roman" w:cs="Times New Roman" w:eastAsia="Times New Roman" w:hAnsi="Times New Roman"/>
                <w:sz w:val="10"/>
                <w:szCs w:val="10"/>
                <w:color w:val="121212"/>
              </w:rPr>
              <w:t>transaction costs</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Borders>
              <w:right w:val="single" w:sz="8" w:color="121212"/>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200" w:type="dxa"/>
            <w:vAlign w:val="bottom"/>
            <w:shd w:val="clear" w:color="auto" w:fill="DFDFDF"/>
          </w:tcPr>
          <w:p>
            <w:pPr>
              <w:spacing w:after="0" w:line="91" w:lineRule="exact"/>
              <w:rPr>
                <w:sz w:val="20"/>
                <w:szCs w:val="20"/>
                <w:color w:val="auto"/>
              </w:rPr>
            </w:pPr>
            <w:r>
              <w:rPr>
                <w:rFonts w:ascii="Times New Roman" w:cs="Times New Roman" w:eastAsia="Times New Roman" w:hAnsi="Times New Roman"/>
                <w:sz w:val="10"/>
                <w:szCs w:val="10"/>
                <w:color w:val="121212"/>
              </w:rPr>
              <w:t>Issuance of common stock</w:t>
            </w:r>
          </w:p>
        </w:tc>
        <w:tc>
          <w:tcPr>
            <w:tcW w:w="140" w:type="dxa"/>
            <w:vAlign w:val="bottom"/>
            <w:shd w:val="clear" w:color="auto" w:fill="DFDFDF"/>
          </w:tcPr>
          <w:p>
            <w:pPr>
              <w:spacing w:after="0"/>
              <w:rPr>
                <w:sz w:val="7"/>
                <w:szCs w:val="7"/>
                <w:color w:val="auto"/>
              </w:rPr>
            </w:pPr>
          </w:p>
        </w:tc>
        <w:tc>
          <w:tcPr>
            <w:tcW w:w="104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56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110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7"/>
                <w:szCs w:val="7"/>
                <w:color w:val="auto"/>
              </w:rPr>
            </w:pPr>
          </w:p>
        </w:tc>
        <w:tc>
          <w:tcPr>
            <w:tcW w:w="60" w:type="dxa"/>
            <w:vAlign w:val="bottom"/>
            <w:shd w:val="clear" w:color="auto" w:fill="DFDFDF"/>
          </w:tcPr>
          <w:p>
            <w:pPr>
              <w:spacing w:after="0"/>
              <w:rPr>
                <w:sz w:val="7"/>
                <w:szCs w:val="7"/>
                <w:color w:val="auto"/>
              </w:rPr>
            </w:pPr>
          </w:p>
        </w:tc>
        <w:tc>
          <w:tcPr>
            <w:tcW w:w="60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1120" w:type="dxa"/>
            <w:vAlign w:val="bottom"/>
            <w:gridSpan w:val="3"/>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7"/>
                <w:szCs w:val="7"/>
                <w:color w:val="auto"/>
              </w:rPr>
            </w:pPr>
          </w:p>
        </w:tc>
        <w:tc>
          <w:tcPr>
            <w:tcW w:w="60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6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482,313</w:t>
            </w: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40" w:type="dxa"/>
            <w:vAlign w:val="bottom"/>
            <w:shd w:val="clear" w:color="auto" w:fill="DFDFDF"/>
          </w:tcPr>
          <w:p>
            <w:pPr>
              <w:spacing w:after="0"/>
              <w:rPr>
                <w:sz w:val="7"/>
                <w:szCs w:val="7"/>
                <w:color w:val="auto"/>
              </w:rPr>
            </w:pPr>
          </w:p>
        </w:tc>
        <w:tc>
          <w:tcPr>
            <w:tcW w:w="58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780" w:type="dxa"/>
            <w:vAlign w:val="bottom"/>
            <w:vMerge w:val="restart"/>
            <w:shd w:val="clear" w:color="auto" w:fill="DFDFDF"/>
          </w:tcPr>
          <w:p>
            <w:pPr>
              <w:jc w:val="right"/>
              <w:spacing w:after="0"/>
              <w:rPr>
                <w:sz w:val="20"/>
                <w:szCs w:val="20"/>
                <w:color w:val="auto"/>
              </w:rPr>
            </w:pPr>
            <w:r>
              <w:rPr>
                <w:rFonts w:ascii="Times New Roman" w:cs="Times New Roman" w:eastAsia="Times New Roman" w:hAnsi="Times New Roman"/>
                <w:sz w:val="10"/>
                <w:szCs w:val="10"/>
                <w:color w:val="121212"/>
              </w:rPr>
              <w:t>6,511</w:t>
            </w:r>
          </w:p>
        </w:tc>
        <w:tc>
          <w:tcPr>
            <w:tcW w:w="12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88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98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6,511</w:t>
            </w:r>
          </w:p>
        </w:tc>
        <w:tc>
          <w:tcPr>
            <w:tcW w:w="0" w:type="dxa"/>
            <w:vAlign w:val="bottom"/>
          </w:tcPr>
          <w:p>
            <w:pPr>
              <w:spacing w:after="0"/>
              <w:rPr>
                <w:sz w:val="1"/>
                <w:szCs w:val="1"/>
                <w:color w:val="auto"/>
              </w:rPr>
            </w:pPr>
          </w:p>
        </w:tc>
      </w:tr>
      <w:tr>
        <w:trPr>
          <w:trHeight w:val="130"/>
        </w:trPr>
        <w:tc>
          <w:tcPr>
            <w:tcW w:w="2200" w:type="dxa"/>
            <w:vAlign w:val="bottom"/>
            <w:shd w:val="clear" w:color="auto" w:fill="DFDFDF"/>
          </w:tcPr>
          <w:p>
            <w:pPr>
              <w:ind w:left="100"/>
              <w:spacing w:after="0"/>
              <w:rPr>
                <w:sz w:val="20"/>
                <w:szCs w:val="20"/>
                <w:color w:val="auto"/>
              </w:rPr>
            </w:pPr>
            <w:r>
              <w:rPr>
                <w:rFonts w:ascii="Times New Roman" w:cs="Times New Roman" w:eastAsia="Times New Roman" w:hAnsi="Times New Roman"/>
                <w:sz w:val="10"/>
                <w:szCs w:val="10"/>
                <w:color w:val="121212"/>
              </w:rPr>
              <w:t>to Roche</w:t>
            </w:r>
          </w:p>
        </w:tc>
        <w:tc>
          <w:tcPr>
            <w:tcW w:w="140" w:type="dxa"/>
            <w:vAlign w:val="bottom"/>
            <w:shd w:val="clear" w:color="auto" w:fill="DFDFDF"/>
          </w:tcPr>
          <w:p>
            <w:pPr>
              <w:spacing w:after="0"/>
              <w:rPr>
                <w:sz w:val="11"/>
                <w:szCs w:val="11"/>
                <w:color w:val="auto"/>
              </w:rPr>
            </w:pPr>
          </w:p>
        </w:tc>
        <w:tc>
          <w:tcPr>
            <w:tcW w:w="1040" w:type="dxa"/>
            <w:vAlign w:val="bottom"/>
            <w:gridSpan w:val="2"/>
            <w:vMerge w:val="continue"/>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560" w:type="dxa"/>
            <w:vAlign w:val="bottom"/>
            <w:gridSpan w:val="2"/>
            <w:vMerge w:val="continue"/>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100" w:type="dxa"/>
            <w:vAlign w:val="bottom"/>
            <w:gridSpan w:val="2"/>
            <w:vMerge w:val="continue"/>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60" w:type="dxa"/>
            <w:vAlign w:val="bottom"/>
            <w:shd w:val="clear" w:color="auto" w:fill="DFDFDF"/>
          </w:tcPr>
          <w:p>
            <w:pPr>
              <w:spacing w:after="0"/>
              <w:rPr>
                <w:sz w:val="11"/>
                <w:szCs w:val="11"/>
                <w:color w:val="auto"/>
              </w:rPr>
            </w:pPr>
          </w:p>
        </w:tc>
        <w:tc>
          <w:tcPr>
            <w:tcW w:w="600" w:type="dxa"/>
            <w:vAlign w:val="bottom"/>
            <w:gridSpan w:val="2"/>
            <w:vMerge w:val="continue"/>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120" w:type="dxa"/>
            <w:vAlign w:val="bottom"/>
            <w:gridSpan w:val="3"/>
            <w:vMerge w:val="continue"/>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600" w:type="dxa"/>
            <w:vAlign w:val="bottom"/>
            <w:vMerge w:val="continue"/>
            <w:shd w:val="clear" w:color="auto" w:fill="DFDFDF"/>
          </w:tcPr>
          <w:p>
            <w:pPr>
              <w:spacing w:after="0"/>
              <w:rPr>
                <w:sz w:val="11"/>
                <w:szCs w:val="11"/>
                <w:color w:val="auto"/>
              </w:rPr>
            </w:pPr>
          </w:p>
        </w:tc>
        <w:tc>
          <w:tcPr>
            <w:tcW w:w="140" w:type="dxa"/>
            <w:vAlign w:val="bottom"/>
            <w:tcBorders>
              <w:right w:val="single" w:sz="8" w:color="121212"/>
            </w:tcBorders>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0" w:type="dxa"/>
            <w:vAlign w:val="bottom"/>
            <w:shd w:val="clear" w:color="auto" w:fill="DFDFDF"/>
          </w:tcPr>
          <w:p>
            <w:pPr>
              <w:spacing w:after="0"/>
              <w:rPr>
                <w:sz w:val="11"/>
                <w:szCs w:val="11"/>
                <w:color w:val="auto"/>
              </w:rPr>
            </w:pPr>
          </w:p>
        </w:tc>
        <w:tc>
          <w:tcPr>
            <w:tcW w:w="860" w:type="dxa"/>
            <w:vAlign w:val="bottom"/>
            <w:vMerge w:val="continue"/>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40" w:type="dxa"/>
            <w:vAlign w:val="bottom"/>
            <w:shd w:val="clear" w:color="auto" w:fill="DFDFDF"/>
          </w:tcPr>
          <w:p>
            <w:pPr>
              <w:spacing w:after="0"/>
              <w:rPr>
                <w:sz w:val="11"/>
                <w:szCs w:val="11"/>
                <w:color w:val="auto"/>
              </w:rPr>
            </w:pPr>
          </w:p>
        </w:tc>
        <w:tc>
          <w:tcPr>
            <w:tcW w:w="580" w:type="dxa"/>
            <w:vAlign w:val="bottom"/>
            <w:gridSpan w:val="2"/>
            <w:vMerge w:val="continue"/>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780" w:type="dxa"/>
            <w:vAlign w:val="bottom"/>
            <w:vMerge w:val="continue"/>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880" w:type="dxa"/>
            <w:vAlign w:val="bottom"/>
            <w:vMerge w:val="continue"/>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00" w:type="dxa"/>
            <w:vAlign w:val="bottom"/>
            <w:shd w:val="clear" w:color="auto" w:fill="DFDFDF"/>
          </w:tcPr>
          <w:p>
            <w:pPr>
              <w:spacing w:after="0"/>
              <w:rPr>
                <w:sz w:val="11"/>
                <w:szCs w:val="11"/>
                <w:color w:val="auto"/>
              </w:rPr>
            </w:pPr>
          </w:p>
        </w:tc>
        <w:tc>
          <w:tcPr>
            <w:tcW w:w="980" w:type="dxa"/>
            <w:vAlign w:val="bottom"/>
            <w:vMerge w:val="continue"/>
            <w:shd w:val="clear" w:color="auto" w:fill="DFDFD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200" w:type="dxa"/>
            <w:vAlign w:val="bottom"/>
            <w:tcBorders>
              <w:bottom w:val="single" w:sz="8" w:color="DFDFDF"/>
            </w:tcBorders>
          </w:tcPr>
          <w:p>
            <w:pPr>
              <w:spacing w:after="0" w:line="110" w:lineRule="exact"/>
              <w:rPr>
                <w:sz w:val="20"/>
                <w:szCs w:val="20"/>
                <w:color w:val="auto"/>
              </w:rPr>
            </w:pPr>
            <w:r>
              <w:rPr>
                <w:rFonts w:ascii="Times New Roman" w:cs="Times New Roman" w:eastAsia="Times New Roman" w:hAnsi="Times New Roman"/>
                <w:sz w:val="10"/>
                <w:szCs w:val="10"/>
                <w:color w:val="121212"/>
              </w:rPr>
              <w:t>Net loss</w:t>
            </w:r>
          </w:p>
        </w:tc>
        <w:tc>
          <w:tcPr>
            <w:tcW w:w="140" w:type="dxa"/>
            <w:vAlign w:val="bottom"/>
            <w:tcBorders>
              <w:bottom w:val="single" w:sz="8" w:color="DFDFDF"/>
            </w:tcBorders>
          </w:tcPr>
          <w:p>
            <w:pPr>
              <w:spacing w:after="0"/>
              <w:rPr>
                <w:sz w:val="9"/>
                <w:szCs w:val="9"/>
                <w:color w:val="auto"/>
              </w:rPr>
            </w:pPr>
          </w:p>
        </w:tc>
        <w:tc>
          <w:tcPr>
            <w:tcW w:w="900" w:type="dxa"/>
            <w:vAlign w:val="bottom"/>
            <w:tcBorders>
              <w:bottom w:val="single" w:sz="8" w:color="121212"/>
            </w:tcBorders>
          </w:tcPr>
          <w:p>
            <w:pPr>
              <w:jc w:val="right"/>
              <w:ind w:right="93"/>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bottom w:val="single" w:sz="8" w:color="DFDFDF"/>
            </w:tcBorders>
          </w:tcPr>
          <w:p>
            <w:pPr>
              <w:spacing w:after="0"/>
              <w:rPr>
                <w:sz w:val="9"/>
                <w:szCs w:val="9"/>
                <w:color w:val="auto"/>
              </w:rPr>
            </w:pPr>
          </w:p>
        </w:tc>
        <w:tc>
          <w:tcPr>
            <w:tcW w:w="20" w:type="dxa"/>
            <w:vAlign w:val="bottom"/>
            <w:tcBorders>
              <w:bottom w:val="single" w:sz="8" w:color="DFDFDF"/>
            </w:tcBorders>
          </w:tcPr>
          <w:p>
            <w:pPr>
              <w:spacing w:after="0"/>
              <w:rPr>
                <w:sz w:val="9"/>
                <w:szCs w:val="9"/>
                <w:color w:val="auto"/>
              </w:rPr>
            </w:pPr>
          </w:p>
        </w:tc>
        <w:tc>
          <w:tcPr>
            <w:tcW w:w="20" w:type="dxa"/>
            <w:vAlign w:val="bottom"/>
            <w:tcBorders>
              <w:bottom w:val="single" w:sz="8" w:color="121212"/>
            </w:tcBorders>
          </w:tcPr>
          <w:p>
            <w:pPr>
              <w:spacing w:after="0"/>
              <w:rPr>
                <w:sz w:val="9"/>
                <w:szCs w:val="9"/>
                <w:color w:val="auto"/>
              </w:rPr>
            </w:pPr>
          </w:p>
        </w:tc>
        <w:tc>
          <w:tcPr>
            <w:tcW w:w="560" w:type="dxa"/>
            <w:vAlign w:val="bottom"/>
            <w:tcBorders>
              <w:bottom w:val="single" w:sz="8" w:color="121212"/>
            </w:tcBorders>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Borders>
              <w:bottom w:val="single" w:sz="8" w:color="DFDFDF"/>
            </w:tcBorders>
          </w:tcPr>
          <w:p>
            <w:pPr>
              <w:spacing w:after="0"/>
              <w:rPr>
                <w:sz w:val="9"/>
                <w:szCs w:val="9"/>
                <w:color w:val="auto"/>
              </w:rPr>
            </w:pPr>
          </w:p>
        </w:tc>
        <w:tc>
          <w:tcPr>
            <w:tcW w:w="960" w:type="dxa"/>
            <w:vAlign w:val="bottom"/>
            <w:tcBorders>
              <w:bottom w:val="single" w:sz="8" w:color="121212"/>
            </w:tcBorders>
          </w:tcPr>
          <w:p>
            <w:pPr>
              <w:jc w:val="right"/>
              <w:ind w:right="93"/>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bottom w:val="single" w:sz="8" w:color="DFDFDF"/>
            </w:tcBorders>
          </w:tcPr>
          <w:p>
            <w:pPr>
              <w:spacing w:after="0"/>
              <w:rPr>
                <w:sz w:val="9"/>
                <w:szCs w:val="9"/>
                <w:color w:val="auto"/>
              </w:rPr>
            </w:pPr>
          </w:p>
        </w:tc>
        <w:tc>
          <w:tcPr>
            <w:tcW w:w="20" w:type="dxa"/>
            <w:vAlign w:val="bottom"/>
            <w:tcBorders>
              <w:bottom w:val="single" w:sz="8" w:color="DFDFDF"/>
            </w:tcBorders>
          </w:tcPr>
          <w:p>
            <w:pPr>
              <w:spacing w:after="0"/>
              <w:rPr>
                <w:sz w:val="9"/>
                <w:szCs w:val="9"/>
                <w:color w:val="auto"/>
              </w:rPr>
            </w:pPr>
          </w:p>
        </w:tc>
        <w:tc>
          <w:tcPr>
            <w:tcW w:w="60" w:type="dxa"/>
            <w:vAlign w:val="bottom"/>
            <w:tcBorders>
              <w:bottom w:val="single" w:sz="8" w:color="121212"/>
            </w:tcBorders>
          </w:tcPr>
          <w:p>
            <w:pPr>
              <w:spacing w:after="0"/>
              <w:rPr>
                <w:sz w:val="9"/>
                <w:szCs w:val="9"/>
                <w:color w:val="auto"/>
              </w:rPr>
            </w:pPr>
          </w:p>
        </w:tc>
        <w:tc>
          <w:tcPr>
            <w:tcW w:w="600" w:type="dxa"/>
            <w:vAlign w:val="bottom"/>
            <w:tcBorders>
              <w:bottom w:val="single" w:sz="8" w:color="121212"/>
            </w:tcBorders>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Borders>
              <w:bottom w:val="single" w:sz="8" w:color="DFDFDF"/>
            </w:tcBorders>
          </w:tcPr>
          <w:p>
            <w:pPr>
              <w:spacing w:after="0"/>
              <w:rPr>
                <w:sz w:val="9"/>
                <w:szCs w:val="9"/>
                <w:color w:val="auto"/>
              </w:rPr>
            </w:pPr>
          </w:p>
        </w:tc>
        <w:tc>
          <w:tcPr>
            <w:tcW w:w="960" w:type="dxa"/>
            <w:vAlign w:val="bottom"/>
            <w:tcBorders>
              <w:bottom w:val="single" w:sz="8" w:color="121212"/>
            </w:tcBorders>
          </w:tcPr>
          <w:p>
            <w:pPr>
              <w:jc w:val="right"/>
              <w:ind w:right="73"/>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60" w:type="dxa"/>
            <w:vAlign w:val="bottom"/>
            <w:tcBorders>
              <w:bottom w:val="single" w:sz="8" w:color="DFDFDF"/>
            </w:tcBorders>
            <w:gridSpan w:val="2"/>
          </w:tcPr>
          <w:p>
            <w:pPr>
              <w:spacing w:after="0"/>
              <w:rPr>
                <w:sz w:val="9"/>
                <w:szCs w:val="9"/>
                <w:color w:val="auto"/>
              </w:rPr>
            </w:pPr>
          </w:p>
        </w:tc>
        <w:tc>
          <w:tcPr>
            <w:tcW w:w="80" w:type="dxa"/>
            <w:vAlign w:val="bottom"/>
            <w:tcBorders>
              <w:bottom w:val="single" w:sz="8" w:color="121212"/>
            </w:tcBorders>
          </w:tcPr>
          <w:p>
            <w:pPr>
              <w:spacing w:after="0"/>
              <w:rPr>
                <w:sz w:val="9"/>
                <w:szCs w:val="9"/>
                <w:color w:val="auto"/>
              </w:rPr>
            </w:pPr>
          </w:p>
        </w:tc>
        <w:tc>
          <w:tcPr>
            <w:tcW w:w="600" w:type="dxa"/>
            <w:vAlign w:val="bottom"/>
            <w:tcBorders>
              <w:bottom w:val="single" w:sz="8" w:color="121212"/>
            </w:tcBorders>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bottom w:val="single" w:sz="8" w:color="DFDFDF"/>
              <w:right w:val="single" w:sz="8" w:color="121212"/>
            </w:tcBorders>
          </w:tcPr>
          <w:p>
            <w:pPr>
              <w:spacing w:after="0"/>
              <w:rPr>
                <w:sz w:val="9"/>
                <w:szCs w:val="9"/>
                <w:color w:val="auto"/>
              </w:rPr>
            </w:pPr>
          </w:p>
        </w:tc>
        <w:tc>
          <w:tcPr>
            <w:tcW w:w="120" w:type="dxa"/>
            <w:vAlign w:val="bottom"/>
            <w:tcBorders>
              <w:bottom w:val="single" w:sz="8" w:color="DFDFDF"/>
            </w:tcBorders>
          </w:tcPr>
          <w:p>
            <w:pPr>
              <w:spacing w:after="0"/>
              <w:rPr>
                <w:sz w:val="9"/>
                <w:szCs w:val="9"/>
                <w:color w:val="auto"/>
              </w:rPr>
            </w:pPr>
          </w:p>
        </w:tc>
        <w:tc>
          <w:tcPr>
            <w:tcW w:w="200" w:type="dxa"/>
            <w:vAlign w:val="bottom"/>
            <w:tcBorders>
              <w:bottom w:val="single" w:sz="8" w:color="121212"/>
            </w:tcBorders>
          </w:tcPr>
          <w:p>
            <w:pPr>
              <w:spacing w:after="0"/>
              <w:rPr>
                <w:sz w:val="9"/>
                <w:szCs w:val="9"/>
                <w:color w:val="auto"/>
              </w:rPr>
            </w:pPr>
          </w:p>
        </w:tc>
        <w:tc>
          <w:tcPr>
            <w:tcW w:w="860" w:type="dxa"/>
            <w:vAlign w:val="bottom"/>
            <w:tcBorders>
              <w:bottom w:val="single" w:sz="8" w:color="121212"/>
            </w:tcBorders>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bottom w:val="single" w:sz="8" w:color="DFDFDF"/>
            </w:tcBorders>
          </w:tcPr>
          <w:p>
            <w:pPr>
              <w:spacing w:after="0"/>
              <w:rPr>
                <w:sz w:val="9"/>
                <w:szCs w:val="9"/>
                <w:color w:val="auto"/>
              </w:rPr>
            </w:pPr>
          </w:p>
        </w:tc>
        <w:tc>
          <w:tcPr>
            <w:tcW w:w="20" w:type="dxa"/>
            <w:vAlign w:val="bottom"/>
            <w:tcBorders>
              <w:bottom w:val="single" w:sz="8" w:color="DFDFDF"/>
            </w:tcBorders>
          </w:tcPr>
          <w:p>
            <w:pPr>
              <w:spacing w:after="0"/>
              <w:rPr>
                <w:sz w:val="9"/>
                <w:szCs w:val="9"/>
                <w:color w:val="auto"/>
              </w:rPr>
            </w:pPr>
          </w:p>
        </w:tc>
        <w:tc>
          <w:tcPr>
            <w:tcW w:w="40" w:type="dxa"/>
            <w:vAlign w:val="bottom"/>
            <w:tcBorders>
              <w:bottom w:val="single" w:sz="8" w:color="121212"/>
            </w:tcBorders>
          </w:tcPr>
          <w:p>
            <w:pPr>
              <w:spacing w:after="0"/>
              <w:rPr>
                <w:sz w:val="9"/>
                <w:szCs w:val="9"/>
                <w:color w:val="auto"/>
              </w:rPr>
            </w:pPr>
          </w:p>
        </w:tc>
        <w:tc>
          <w:tcPr>
            <w:tcW w:w="580" w:type="dxa"/>
            <w:vAlign w:val="bottom"/>
            <w:tcBorders>
              <w:bottom w:val="single" w:sz="8" w:color="121212"/>
            </w:tcBorders>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Borders>
              <w:bottom w:val="single" w:sz="8" w:color="DFDFDF"/>
            </w:tcBorders>
          </w:tcPr>
          <w:p>
            <w:pPr>
              <w:spacing w:after="0"/>
              <w:rPr>
                <w:sz w:val="9"/>
                <w:szCs w:val="9"/>
                <w:color w:val="auto"/>
              </w:rPr>
            </w:pPr>
          </w:p>
        </w:tc>
        <w:tc>
          <w:tcPr>
            <w:tcW w:w="20" w:type="dxa"/>
            <w:vAlign w:val="bottom"/>
            <w:tcBorders>
              <w:bottom w:val="single" w:sz="8" w:color="DFDFDF"/>
            </w:tcBorders>
          </w:tcPr>
          <w:p>
            <w:pPr>
              <w:spacing w:after="0"/>
              <w:rPr>
                <w:sz w:val="9"/>
                <w:szCs w:val="9"/>
                <w:color w:val="auto"/>
              </w:rPr>
            </w:pPr>
          </w:p>
        </w:tc>
        <w:tc>
          <w:tcPr>
            <w:tcW w:w="120" w:type="dxa"/>
            <w:vAlign w:val="bottom"/>
            <w:tcBorders>
              <w:bottom w:val="single" w:sz="8" w:color="121212"/>
            </w:tcBorders>
          </w:tcPr>
          <w:p>
            <w:pPr>
              <w:spacing w:after="0"/>
              <w:rPr>
                <w:sz w:val="9"/>
                <w:szCs w:val="9"/>
                <w:color w:val="auto"/>
              </w:rPr>
            </w:pPr>
          </w:p>
        </w:tc>
        <w:tc>
          <w:tcPr>
            <w:tcW w:w="780" w:type="dxa"/>
            <w:vAlign w:val="bottom"/>
            <w:tcBorders>
              <w:bottom w:val="single" w:sz="8" w:color="121212"/>
            </w:tcBorders>
          </w:tcPr>
          <w:p>
            <w:pPr>
              <w:jc w:val="right"/>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Borders>
              <w:bottom w:val="single" w:sz="8" w:color="121212"/>
            </w:tcBorders>
          </w:tcPr>
          <w:p>
            <w:pPr>
              <w:spacing w:after="0"/>
              <w:rPr>
                <w:sz w:val="9"/>
                <w:szCs w:val="9"/>
                <w:color w:val="auto"/>
              </w:rPr>
            </w:pPr>
          </w:p>
        </w:tc>
        <w:tc>
          <w:tcPr>
            <w:tcW w:w="140" w:type="dxa"/>
            <w:vAlign w:val="bottom"/>
            <w:tcBorders>
              <w:bottom w:val="single" w:sz="8" w:color="DFDFDF"/>
            </w:tcBorders>
          </w:tcPr>
          <w:p>
            <w:pPr>
              <w:spacing w:after="0"/>
              <w:rPr>
                <w:sz w:val="9"/>
                <w:szCs w:val="9"/>
                <w:color w:val="auto"/>
              </w:rPr>
            </w:pPr>
          </w:p>
        </w:tc>
        <w:tc>
          <w:tcPr>
            <w:tcW w:w="20" w:type="dxa"/>
            <w:vAlign w:val="bottom"/>
            <w:tcBorders>
              <w:bottom w:val="single" w:sz="8" w:color="DFDFDF"/>
            </w:tcBorders>
          </w:tcPr>
          <w:p>
            <w:pPr>
              <w:spacing w:after="0"/>
              <w:rPr>
                <w:sz w:val="9"/>
                <w:szCs w:val="9"/>
                <w:color w:val="auto"/>
              </w:rPr>
            </w:pPr>
          </w:p>
        </w:tc>
        <w:tc>
          <w:tcPr>
            <w:tcW w:w="80" w:type="dxa"/>
            <w:vAlign w:val="bottom"/>
            <w:tcBorders>
              <w:bottom w:val="single" w:sz="8" w:color="121212"/>
            </w:tcBorders>
          </w:tcPr>
          <w:p>
            <w:pPr>
              <w:spacing w:after="0"/>
              <w:rPr>
                <w:sz w:val="9"/>
                <w:szCs w:val="9"/>
                <w:color w:val="auto"/>
              </w:rPr>
            </w:pPr>
          </w:p>
        </w:tc>
        <w:tc>
          <w:tcPr>
            <w:tcW w:w="880" w:type="dxa"/>
            <w:vAlign w:val="bottom"/>
            <w:tcBorders>
              <w:bottom w:val="single" w:sz="8" w:color="121212"/>
            </w:tcBorders>
          </w:tcPr>
          <w:p>
            <w:pPr>
              <w:jc w:val="right"/>
              <w:ind w:right="52"/>
              <w:spacing w:after="0" w:line="110" w:lineRule="exact"/>
              <w:rPr>
                <w:sz w:val="20"/>
                <w:szCs w:val="20"/>
                <w:color w:val="auto"/>
              </w:rPr>
            </w:pPr>
            <w:r>
              <w:rPr>
                <w:rFonts w:ascii="Times New Roman" w:cs="Times New Roman" w:eastAsia="Times New Roman" w:hAnsi="Times New Roman"/>
                <w:sz w:val="10"/>
                <w:szCs w:val="10"/>
                <w:color w:val="121212"/>
              </w:rPr>
              <w:t>(46,827)</w:t>
            </w:r>
          </w:p>
        </w:tc>
        <w:tc>
          <w:tcPr>
            <w:tcW w:w="140" w:type="dxa"/>
            <w:vAlign w:val="bottom"/>
            <w:tcBorders>
              <w:bottom w:val="single" w:sz="8" w:color="DFDFDF"/>
            </w:tcBorders>
          </w:tcPr>
          <w:p>
            <w:pPr>
              <w:spacing w:after="0"/>
              <w:rPr>
                <w:sz w:val="9"/>
                <w:szCs w:val="9"/>
                <w:color w:val="auto"/>
              </w:rPr>
            </w:pPr>
          </w:p>
        </w:tc>
        <w:tc>
          <w:tcPr>
            <w:tcW w:w="20" w:type="dxa"/>
            <w:vAlign w:val="bottom"/>
            <w:tcBorders>
              <w:bottom w:val="single" w:sz="8" w:color="DFDFDF"/>
            </w:tcBorders>
          </w:tcPr>
          <w:p>
            <w:pPr>
              <w:spacing w:after="0"/>
              <w:rPr>
                <w:sz w:val="9"/>
                <w:szCs w:val="9"/>
                <w:color w:val="auto"/>
              </w:rPr>
            </w:pPr>
          </w:p>
        </w:tc>
        <w:tc>
          <w:tcPr>
            <w:tcW w:w="100" w:type="dxa"/>
            <w:vAlign w:val="bottom"/>
            <w:tcBorders>
              <w:bottom w:val="single" w:sz="8" w:color="121212"/>
            </w:tcBorders>
          </w:tcPr>
          <w:p>
            <w:pPr>
              <w:spacing w:after="0"/>
              <w:rPr>
                <w:sz w:val="9"/>
                <w:szCs w:val="9"/>
                <w:color w:val="auto"/>
              </w:rPr>
            </w:pPr>
          </w:p>
        </w:tc>
        <w:tc>
          <w:tcPr>
            <w:tcW w:w="980" w:type="dxa"/>
            <w:vAlign w:val="bottom"/>
            <w:tcBorders>
              <w:bottom w:val="single" w:sz="8" w:color="121212"/>
            </w:tcBorders>
          </w:tcPr>
          <w:p>
            <w:pPr>
              <w:jc w:val="right"/>
              <w:ind w:right="52"/>
              <w:spacing w:after="0" w:line="110" w:lineRule="exact"/>
              <w:rPr>
                <w:sz w:val="20"/>
                <w:szCs w:val="20"/>
                <w:color w:val="auto"/>
              </w:rPr>
            </w:pPr>
            <w:r>
              <w:rPr>
                <w:rFonts w:ascii="Times New Roman" w:cs="Times New Roman" w:eastAsia="Times New Roman" w:hAnsi="Times New Roman"/>
                <w:sz w:val="10"/>
                <w:szCs w:val="10"/>
                <w:color w:val="121212"/>
              </w:rPr>
              <w:t>(46,827)</w:t>
            </w:r>
          </w:p>
        </w:tc>
        <w:tc>
          <w:tcPr>
            <w:tcW w:w="0" w:type="dxa"/>
            <w:vAlign w:val="bottom"/>
          </w:tcPr>
          <w:p>
            <w:pPr>
              <w:spacing w:after="0"/>
              <w:rPr>
                <w:sz w:val="1"/>
                <w:szCs w:val="1"/>
                <w:color w:val="auto"/>
              </w:rPr>
            </w:pPr>
          </w:p>
        </w:tc>
      </w:tr>
      <w:tr>
        <w:trPr>
          <w:trHeight w:val="99"/>
        </w:trPr>
        <w:tc>
          <w:tcPr>
            <w:tcW w:w="2200" w:type="dxa"/>
            <w:vAlign w:val="bottom"/>
            <w:shd w:val="clear" w:color="auto" w:fill="DFDFDF"/>
          </w:tcPr>
          <w:p>
            <w:pPr>
              <w:spacing w:after="0" w:line="100" w:lineRule="exact"/>
              <w:rPr>
                <w:sz w:val="20"/>
                <w:szCs w:val="20"/>
                <w:color w:val="auto"/>
              </w:rPr>
            </w:pPr>
            <w:r>
              <w:rPr>
                <w:rFonts w:ascii="Times New Roman" w:cs="Times New Roman" w:eastAsia="Times New Roman" w:hAnsi="Times New Roman"/>
                <w:sz w:val="10"/>
                <w:szCs w:val="10"/>
                <w:b w:val="1"/>
                <w:bCs w:val="1"/>
                <w:color w:val="121212"/>
              </w:rPr>
              <w:t>Balance at December 31, 2022</w:t>
            </w:r>
          </w:p>
        </w:tc>
        <w:tc>
          <w:tcPr>
            <w:tcW w:w="140" w:type="dxa"/>
            <w:vAlign w:val="bottom"/>
            <w:shd w:val="clear" w:color="auto" w:fill="DFDFDF"/>
          </w:tcPr>
          <w:p>
            <w:pPr>
              <w:spacing w:after="0"/>
              <w:rPr>
                <w:sz w:val="8"/>
                <w:szCs w:val="8"/>
                <w:color w:val="auto"/>
              </w:rPr>
            </w:pPr>
          </w:p>
        </w:tc>
        <w:tc>
          <w:tcPr>
            <w:tcW w:w="900" w:type="dxa"/>
            <w:vAlign w:val="bottom"/>
            <w:shd w:val="clear" w:color="auto" w:fill="DFDFDF"/>
          </w:tcPr>
          <w:p>
            <w:pPr>
              <w:jc w:val="right"/>
              <w:ind w:right="9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2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1"/>
                <w:szCs w:val="1"/>
                <w:color w:val="121212"/>
                <w:w w:val="4294967286"/>
              </w:rPr>
              <w:t>$</w:t>
            </w:r>
          </w:p>
        </w:tc>
        <w:tc>
          <w:tcPr>
            <w:tcW w:w="560" w:type="dxa"/>
            <w:vAlign w:val="bottom"/>
            <w:gridSpan w:val="2"/>
            <w:shd w:val="clear" w:color="auto" w:fill="DFDFDF"/>
          </w:tcPr>
          <w:p>
            <w:pPr>
              <w:jc w:val="right"/>
              <w:ind w:right="160"/>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8"/>
                <w:szCs w:val="8"/>
                <w:color w:val="auto"/>
              </w:rPr>
            </w:pPr>
          </w:p>
        </w:tc>
        <w:tc>
          <w:tcPr>
            <w:tcW w:w="960" w:type="dxa"/>
            <w:vAlign w:val="bottom"/>
            <w:shd w:val="clear" w:color="auto" w:fill="DFDFDF"/>
          </w:tcPr>
          <w:p>
            <w:pPr>
              <w:jc w:val="right"/>
              <w:ind w:right="9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8"/>
                <w:szCs w:val="8"/>
                <w:color w:val="auto"/>
              </w:rPr>
            </w:pPr>
          </w:p>
        </w:tc>
        <w:tc>
          <w:tcPr>
            <w:tcW w:w="80" w:type="dxa"/>
            <w:vAlign w:val="bottom"/>
            <w:gridSpan w:val="2"/>
            <w:shd w:val="clear" w:color="auto" w:fill="DFDFDF"/>
          </w:tcPr>
          <w:p>
            <w:pPr>
              <w:jc w:val="right"/>
              <w:ind w:right="34"/>
              <w:spacing w:after="0"/>
              <w:rPr>
                <w:sz w:val="20"/>
                <w:szCs w:val="20"/>
                <w:color w:val="auto"/>
              </w:rPr>
            </w:pPr>
            <w:r>
              <w:rPr>
                <w:rFonts w:ascii="Times New Roman" w:cs="Times New Roman" w:eastAsia="Times New Roman" w:hAnsi="Times New Roman"/>
                <w:sz w:val="5"/>
                <w:szCs w:val="5"/>
                <w:color w:val="121212"/>
                <w:w w:val="78"/>
              </w:rPr>
              <w:t>$</w:t>
            </w:r>
          </w:p>
        </w:tc>
        <w:tc>
          <w:tcPr>
            <w:tcW w:w="600" w:type="dxa"/>
            <w:vAlign w:val="bottom"/>
            <w:gridSpan w:val="2"/>
            <w:shd w:val="clear" w:color="auto" w:fill="DFDFDF"/>
          </w:tcPr>
          <w:p>
            <w:pPr>
              <w:jc w:val="right"/>
              <w:ind w:right="160"/>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8"/>
                <w:szCs w:val="8"/>
                <w:color w:val="auto"/>
              </w:rPr>
            </w:pPr>
          </w:p>
        </w:tc>
        <w:tc>
          <w:tcPr>
            <w:tcW w:w="960" w:type="dxa"/>
            <w:vAlign w:val="bottom"/>
            <w:shd w:val="clear" w:color="auto" w:fill="DFDFDF"/>
          </w:tcPr>
          <w:p>
            <w:pPr>
              <w:jc w:val="right"/>
              <w:ind w:right="7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80" w:type="dxa"/>
            <w:vAlign w:val="bottom"/>
            <w:shd w:val="clear" w:color="auto" w:fill="DFDFDF"/>
          </w:tcPr>
          <w:p>
            <w:pPr>
              <w:jc w:val="right"/>
              <w:ind w:right="54"/>
              <w:spacing w:after="0"/>
              <w:rPr>
                <w:sz w:val="20"/>
                <w:szCs w:val="20"/>
                <w:color w:val="auto"/>
              </w:rPr>
            </w:pPr>
            <w:r>
              <w:rPr>
                <w:rFonts w:ascii="Times New Roman" w:cs="Times New Roman" w:eastAsia="Times New Roman" w:hAnsi="Times New Roman"/>
                <w:sz w:val="1"/>
                <w:szCs w:val="1"/>
                <w:color w:val="121212"/>
                <w:w w:val="4294967286"/>
              </w:rPr>
              <w:t>$</w:t>
            </w:r>
          </w:p>
        </w:tc>
        <w:tc>
          <w:tcPr>
            <w:tcW w:w="60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8"/>
                <w:szCs w:val="8"/>
                <w:color w:val="auto"/>
              </w:rPr>
            </w:pPr>
          </w:p>
        </w:tc>
        <w:tc>
          <w:tcPr>
            <w:tcW w:w="120" w:type="dxa"/>
            <w:vAlign w:val="bottom"/>
            <w:shd w:val="clear" w:color="auto" w:fill="DFDFDF"/>
          </w:tcPr>
          <w:p>
            <w:pPr>
              <w:spacing w:after="0"/>
              <w:rPr>
                <w:sz w:val="8"/>
                <w:szCs w:val="8"/>
                <w:color w:val="auto"/>
              </w:rPr>
            </w:pPr>
          </w:p>
        </w:tc>
        <w:tc>
          <w:tcPr>
            <w:tcW w:w="20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w w:val="79"/>
              </w:rPr>
              <w:t>$</w:t>
            </w:r>
          </w:p>
        </w:tc>
        <w:tc>
          <w:tcPr>
            <w:tcW w:w="86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17,403,315</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40" w:type="dxa"/>
            <w:vAlign w:val="bottom"/>
            <w:shd w:val="clear" w:color="auto" w:fill="DFDFDF"/>
          </w:tcPr>
          <w:p>
            <w:pPr>
              <w:jc w:val="right"/>
              <w:ind w:right="14"/>
              <w:spacing w:after="0"/>
              <w:rPr>
                <w:sz w:val="20"/>
                <w:szCs w:val="20"/>
                <w:color w:val="auto"/>
              </w:rPr>
            </w:pPr>
            <w:r>
              <w:rPr>
                <w:rFonts w:ascii="Times New Roman" w:cs="Times New Roman" w:eastAsia="Times New Roman" w:hAnsi="Times New Roman"/>
                <w:sz w:val="1"/>
                <w:szCs w:val="1"/>
                <w:color w:val="121212"/>
                <w:w w:val="4294967286"/>
              </w:rPr>
              <w:t>$</w:t>
            </w:r>
          </w:p>
        </w:tc>
        <w:tc>
          <w:tcPr>
            <w:tcW w:w="56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2</w:t>
            </w:r>
          </w:p>
        </w:tc>
        <w:tc>
          <w:tcPr>
            <w:tcW w:w="20" w:type="dxa"/>
            <w:vAlign w:val="bottom"/>
            <w:shd w:val="clear" w:color="auto" w:fill="DFDFDF"/>
          </w:tcPr>
          <w:p>
            <w:pPr>
              <w:spacing w:after="0"/>
              <w:rPr>
                <w:sz w:val="8"/>
                <w:szCs w:val="8"/>
                <w:color w:val="auto"/>
              </w:rPr>
            </w:pPr>
          </w:p>
        </w:tc>
        <w:tc>
          <w:tcPr>
            <w:tcW w:w="12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120" w:type="dxa"/>
            <w:vAlign w:val="bottom"/>
            <w:shd w:val="clear" w:color="auto" w:fill="DFDFDF"/>
          </w:tcPr>
          <w:p>
            <w:pPr>
              <w:jc w:val="right"/>
              <w:ind w:right="94"/>
              <w:spacing w:after="0"/>
              <w:rPr>
                <w:sz w:val="20"/>
                <w:szCs w:val="20"/>
                <w:color w:val="auto"/>
              </w:rPr>
            </w:pPr>
            <w:r>
              <w:rPr>
                <w:rFonts w:ascii="Times New Roman" w:cs="Times New Roman" w:eastAsia="Times New Roman" w:hAnsi="Times New Roman"/>
                <w:sz w:val="1"/>
                <w:szCs w:val="1"/>
                <w:color w:val="121212"/>
                <w:w w:val="4294967286"/>
              </w:rPr>
              <w:t>$</w:t>
            </w:r>
          </w:p>
        </w:tc>
        <w:tc>
          <w:tcPr>
            <w:tcW w:w="900" w:type="dxa"/>
            <w:vAlign w:val="bottom"/>
            <w:gridSpan w:val="2"/>
            <w:shd w:val="clear" w:color="auto" w:fill="DFDFDF"/>
          </w:tcPr>
          <w:p>
            <w:pPr>
              <w:jc w:val="right"/>
              <w:ind w:right="120"/>
              <w:spacing w:after="0" w:line="100" w:lineRule="exact"/>
              <w:rPr>
                <w:sz w:val="20"/>
                <w:szCs w:val="20"/>
                <w:color w:val="auto"/>
              </w:rPr>
            </w:pPr>
            <w:r>
              <w:rPr>
                <w:rFonts w:ascii="Times New Roman" w:cs="Times New Roman" w:eastAsia="Times New Roman" w:hAnsi="Times New Roman"/>
                <w:sz w:val="10"/>
                <w:szCs w:val="10"/>
                <w:color w:val="121212"/>
              </w:rPr>
              <w:t>288,814</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80" w:type="dxa"/>
            <w:vAlign w:val="bottom"/>
            <w:shd w:val="clear" w:color="auto" w:fill="DFDFDF"/>
          </w:tcPr>
          <w:p>
            <w:pPr>
              <w:jc w:val="right"/>
              <w:ind w:right="16"/>
              <w:spacing w:after="0"/>
              <w:rPr>
                <w:sz w:val="20"/>
                <w:szCs w:val="20"/>
                <w:color w:val="auto"/>
              </w:rPr>
            </w:pPr>
            <w:r>
              <w:rPr>
                <w:rFonts w:ascii="Times New Roman" w:cs="Times New Roman" w:eastAsia="Times New Roman" w:hAnsi="Times New Roman"/>
                <w:sz w:val="5"/>
                <w:szCs w:val="5"/>
                <w:color w:val="121212"/>
                <w:w w:val="78"/>
              </w:rPr>
              <w:t>$</w:t>
            </w:r>
          </w:p>
        </w:tc>
        <w:tc>
          <w:tcPr>
            <w:tcW w:w="880" w:type="dxa"/>
            <w:vAlign w:val="bottom"/>
            <w:shd w:val="clear" w:color="auto" w:fill="DFDFDF"/>
          </w:tcPr>
          <w:p>
            <w:pPr>
              <w:jc w:val="right"/>
              <w:ind w:right="52"/>
              <w:spacing w:after="0" w:line="100" w:lineRule="exact"/>
              <w:rPr>
                <w:sz w:val="20"/>
                <w:szCs w:val="20"/>
                <w:color w:val="auto"/>
              </w:rPr>
            </w:pPr>
            <w:r>
              <w:rPr>
                <w:rFonts w:ascii="Times New Roman" w:cs="Times New Roman" w:eastAsia="Times New Roman" w:hAnsi="Times New Roman"/>
                <w:sz w:val="10"/>
                <w:szCs w:val="10"/>
                <w:color w:val="121212"/>
              </w:rPr>
              <w:t>(112,216)</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100" w:type="dxa"/>
            <w:vAlign w:val="bottom"/>
            <w:shd w:val="clear" w:color="auto" w:fill="DFDFDF"/>
          </w:tcPr>
          <w:p>
            <w:pPr>
              <w:jc w:val="right"/>
              <w:ind w:right="74"/>
              <w:spacing w:after="0"/>
              <w:rPr>
                <w:sz w:val="20"/>
                <w:szCs w:val="20"/>
                <w:color w:val="auto"/>
              </w:rPr>
            </w:pPr>
            <w:r>
              <w:rPr>
                <w:rFonts w:ascii="Times New Roman" w:cs="Times New Roman" w:eastAsia="Times New Roman" w:hAnsi="Times New Roman"/>
                <w:sz w:val="1"/>
                <w:szCs w:val="1"/>
                <w:color w:val="121212"/>
                <w:w w:val="4294967286"/>
              </w:rPr>
              <w:t>$</w:t>
            </w:r>
          </w:p>
        </w:tc>
        <w:tc>
          <w:tcPr>
            <w:tcW w:w="98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176,600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54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121212"/>
              <w:bottom w:val="single" w:sz="8" w:color="121212"/>
            </w:tcBorders>
          </w:tcPr>
          <w:p>
            <w:pPr>
              <w:spacing w:after="0" w:line="20" w:lineRule="exact"/>
              <w:rPr>
                <w:sz w:val="1"/>
                <w:szCs w:val="1"/>
                <w:color w:val="auto"/>
              </w:rPr>
            </w:pPr>
          </w:p>
        </w:tc>
        <w:tc>
          <w:tcPr>
            <w:tcW w:w="58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121212"/>
              <w:bottom w:val="single" w:sz="8" w:color="121212"/>
            </w:tcBorders>
          </w:tcPr>
          <w:p>
            <w:pPr>
              <w:spacing w:after="0" w:line="20" w:lineRule="exact"/>
              <w:rPr>
                <w:sz w:val="1"/>
                <w:szCs w:val="1"/>
                <w:color w:val="auto"/>
              </w:rPr>
            </w:pPr>
          </w:p>
        </w:tc>
        <w:tc>
          <w:tcPr>
            <w:tcW w:w="60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121212"/>
              <w:bottom w:val="single" w:sz="8" w:color="121212"/>
            </w:tcBorders>
          </w:tcPr>
          <w:p>
            <w:pPr>
              <w:spacing w:after="0" w:line="20" w:lineRule="exact"/>
              <w:rPr>
                <w:sz w:val="1"/>
                <w:szCs w:val="1"/>
                <w:color w:val="auto"/>
              </w:rPr>
            </w:pPr>
          </w:p>
        </w:tc>
        <w:tc>
          <w:tcPr>
            <w:tcW w:w="8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121212"/>
              <w:bottom w:val="single" w:sz="8" w:color="121212"/>
            </w:tcBorders>
          </w:tcPr>
          <w:p>
            <w:pPr>
              <w:spacing w:after="0" w:line="20" w:lineRule="exact"/>
              <w:rPr>
                <w:sz w:val="1"/>
                <w:szCs w:val="1"/>
                <w:color w:val="auto"/>
              </w:rPr>
            </w:pPr>
          </w:p>
        </w:tc>
        <w:tc>
          <w:tcPr>
            <w:tcW w:w="56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121212"/>
              <w:bottom w:val="single" w:sz="8" w:color="121212"/>
            </w:tcBorders>
          </w:tcPr>
          <w:p>
            <w:pPr>
              <w:spacing w:after="0" w:line="20" w:lineRule="exact"/>
              <w:rPr>
                <w:sz w:val="1"/>
                <w:szCs w:val="1"/>
                <w:color w:val="auto"/>
              </w:rPr>
            </w:pPr>
          </w:p>
        </w:tc>
        <w:tc>
          <w:tcPr>
            <w:tcW w:w="78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121212"/>
              <w:bottom w:val="single" w:sz="8" w:color="121212"/>
            </w:tcBorders>
          </w:tcPr>
          <w:p>
            <w:pPr>
              <w:spacing w:after="0" w:line="20" w:lineRule="exact"/>
              <w:rPr>
                <w:sz w:val="1"/>
                <w:szCs w:val="1"/>
                <w:color w:val="auto"/>
              </w:rPr>
            </w:pPr>
          </w:p>
        </w:tc>
        <w:tc>
          <w:tcPr>
            <w:tcW w:w="88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121212"/>
              <w:bottom w:val="single" w:sz="8" w:color="121212"/>
            </w:tcBorders>
          </w:tcPr>
          <w:p>
            <w:pPr>
              <w:spacing w:after="0" w:line="20" w:lineRule="exact"/>
              <w:rPr>
                <w:sz w:val="1"/>
                <w:szCs w:val="1"/>
                <w:color w:val="auto"/>
              </w:rPr>
            </w:pPr>
          </w:p>
        </w:tc>
        <w:tc>
          <w:tcPr>
            <w:tcW w:w="980" w:type="dxa"/>
            <w:vAlign w:val="bottom"/>
            <w:tcBorders>
              <w:top w:val="single" w:sz="8" w:color="121212"/>
              <w:bottom w:val="single" w:sz="8" w:color="12121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80" w:type="dxa"/>
            <w:vAlign w:val="bottom"/>
            <w:gridSpan w:val="6"/>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121212"/>
              </w:rPr>
              <w:t>Convertible Preferred Stock</w:t>
            </w: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vMerge w:val="restart"/>
          </w:tcPr>
          <w:p>
            <w:pPr>
              <w:jc w:val="center"/>
              <w:ind w:left="252"/>
              <w:spacing w:after="0"/>
              <w:rPr>
                <w:sz w:val="20"/>
                <w:szCs w:val="20"/>
                <w:color w:val="auto"/>
              </w:rPr>
            </w:pPr>
            <w:r>
              <w:rPr>
                <w:rFonts w:ascii="Times New Roman" w:cs="Times New Roman" w:eastAsia="Times New Roman" w:hAnsi="Times New Roman"/>
                <w:sz w:val="10"/>
                <w:szCs w:val="10"/>
                <w:b w:val="1"/>
                <w:bCs w:val="1"/>
                <w:color w:val="121212"/>
                <w:w w:val="94"/>
              </w:rPr>
              <w:t>Common Stock</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121212"/>
                <w:w w:val="96"/>
              </w:rPr>
              <w:t>Additional</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center"/>
              <w:ind w:right="232"/>
              <w:spacing w:after="0"/>
              <w:rPr>
                <w:sz w:val="20"/>
                <w:szCs w:val="20"/>
                <w:color w:val="auto"/>
              </w:rPr>
            </w:pPr>
            <w:r>
              <w:rPr>
                <w:rFonts w:ascii="Times New Roman" w:cs="Times New Roman" w:eastAsia="Times New Roman" w:hAnsi="Times New Roman"/>
                <w:sz w:val="10"/>
                <w:szCs w:val="10"/>
                <w:b w:val="1"/>
                <w:bCs w:val="1"/>
                <w:color w:val="121212"/>
                <w:w w:val="96"/>
              </w:rPr>
              <w:t>Total</w:t>
            </w:r>
          </w:p>
        </w:tc>
        <w:tc>
          <w:tcPr>
            <w:tcW w:w="0" w:type="dxa"/>
            <w:vAlign w:val="bottom"/>
          </w:tcPr>
          <w:p>
            <w:pPr>
              <w:spacing w:after="0"/>
              <w:rPr>
                <w:sz w:val="1"/>
                <w:szCs w:val="1"/>
                <w:color w:val="auto"/>
              </w:rPr>
            </w:pPr>
          </w:p>
        </w:tc>
      </w:tr>
      <w:tr>
        <w:trPr>
          <w:trHeight w:val="106"/>
        </w:trPr>
        <w:tc>
          <w:tcPr>
            <w:tcW w:w="2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121212"/>
            </w:tcBorders>
          </w:tcPr>
          <w:p>
            <w:pPr>
              <w:spacing w:after="0"/>
              <w:rPr>
                <w:sz w:val="9"/>
                <w:szCs w:val="9"/>
                <w:color w:val="auto"/>
              </w:rPr>
            </w:pPr>
          </w:p>
        </w:tc>
        <w:tc>
          <w:tcPr>
            <w:tcW w:w="140" w:type="dxa"/>
            <w:vAlign w:val="bottom"/>
            <w:tcBorders>
              <w:bottom w:val="single" w:sz="8" w:color="121212"/>
            </w:tcBorders>
          </w:tcPr>
          <w:p>
            <w:pPr>
              <w:spacing w:after="0"/>
              <w:rPr>
                <w:sz w:val="9"/>
                <w:szCs w:val="9"/>
                <w:color w:val="auto"/>
              </w:rPr>
            </w:pPr>
          </w:p>
        </w:tc>
        <w:tc>
          <w:tcPr>
            <w:tcW w:w="20" w:type="dxa"/>
            <w:vAlign w:val="bottom"/>
            <w:tcBorders>
              <w:bottom w:val="single" w:sz="8" w:color="121212"/>
            </w:tcBorders>
          </w:tcPr>
          <w:p>
            <w:pPr>
              <w:spacing w:after="0"/>
              <w:rPr>
                <w:sz w:val="9"/>
                <w:szCs w:val="9"/>
                <w:color w:val="auto"/>
              </w:rPr>
            </w:pPr>
          </w:p>
        </w:tc>
        <w:tc>
          <w:tcPr>
            <w:tcW w:w="20" w:type="dxa"/>
            <w:vAlign w:val="bottom"/>
            <w:tcBorders>
              <w:bottom w:val="single" w:sz="8" w:color="121212"/>
            </w:tcBorders>
          </w:tcPr>
          <w:p>
            <w:pPr>
              <w:spacing w:after="0"/>
              <w:rPr>
                <w:sz w:val="9"/>
                <w:szCs w:val="9"/>
                <w:color w:val="auto"/>
              </w:rPr>
            </w:pPr>
          </w:p>
        </w:tc>
        <w:tc>
          <w:tcPr>
            <w:tcW w:w="540" w:type="dxa"/>
            <w:vAlign w:val="bottom"/>
            <w:tcBorders>
              <w:bottom w:val="single" w:sz="8" w:color="121212"/>
            </w:tcBorders>
          </w:tcPr>
          <w:p>
            <w:pPr>
              <w:spacing w:after="0"/>
              <w:rPr>
                <w:sz w:val="9"/>
                <w:szCs w:val="9"/>
                <w:color w:val="auto"/>
              </w:rPr>
            </w:pPr>
          </w:p>
        </w:tc>
        <w:tc>
          <w:tcPr>
            <w:tcW w:w="20" w:type="dxa"/>
            <w:vAlign w:val="bottom"/>
            <w:tcBorders>
              <w:bottom w:val="single" w:sz="8" w:color="121212"/>
            </w:tcBorders>
          </w:tcPr>
          <w:p>
            <w:pPr>
              <w:spacing w:after="0"/>
              <w:rPr>
                <w:sz w:val="9"/>
                <w:szCs w:val="9"/>
                <w:color w:val="auto"/>
              </w:rPr>
            </w:pPr>
          </w:p>
        </w:tc>
        <w:tc>
          <w:tcPr>
            <w:tcW w:w="120" w:type="dxa"/>
            <w:vAlign w:val="bottom"/>
            <w:tcBorders>
              <w:bottom w:val="single" w:sz="8" w:color="121212"/>
            </w:tcBorders>
          </w:tcPr>
          <w:p>
            <w:pPr>
              <w:spacing w:after="0"/>
              <w:rPr>
                <w:sz w:val="9"/>
                <w:szCs w:val="9"/>
                <w:color w:val="auto"/>
              </w:rPr>
            </w:pPr>
          </w:p>
        </w:tc>
        <w:tc>
          <w:tcPr>
            <w:tcW w:w="1780" w:type="dxa"/>
            <w:vAlign w:val="bottom"/>
            <w:tcBorders>
              <w:bottom w:val="single" w:sz="8" w:color="121212"/>
            </w:tcBorders>
            <w:gridSpan w:val="6"/>
            <w:vMerge w:val="continue"/>
          </w:tcPr>
          <w:p>
            <w:pPr>
              <w:spacing w:after="0"/>
              <w:rPr>
                <w:sz w:val="9"/>
                <w:szCs w:val="9"/>
                <w:color w:val="auto"/>
              </w:rPr>
            </w:pPr>
          </w:p>
        </w:tc>
        <w:tc>
          <w:tcPr>
            <w:tcW w:w="120" w:type="dxa"/>
            <w:vAlign w:val="bottom"/>
            <w:tcBorders>
              <w:bottom w:val="single" w:sz="8" w:color="121212"/>
            </w:tcBorders>
          </w:tcPr>
          <w:p>
            <w:pPr>
              <w:spacing w:after="0"/>
              <w:rPr>
                <w:sz w:val="9"/>
                <w:szCs w:val="9"/>
                <w:color w:val="auto"/>
              </w:rPr>
            </w:pPr>
          </w:p>
        </w:tc>
        <w:tc>
          <w:tcPr>
            <w:tcW w:w="960" w:type="dxa"/>
            <w:vAlign w:val="bottom"/>
            <w:tcBorders>
              <w:bottom w:val="single" w:sz="8" w:color="121212"/>
            </w:tcBorders>
          </w:tcPr>
          <w:p>
            <w:pPr>
              <w:spacing w:after="0"/>
              <w:rPr>
                <w:sz w:val="9"/>
                <w:szCs w:val="9"/>
                <w:color w:val="auto"/>
              </w:rPr>
            </w:pPr>
          </w:p>
        </w:tc>
        <w:tc>
          <w:tcPr>
            <w:tcW w:w="140" w:type="dxa"/>
            <w:vAlign w:val="bottom"/>
            <w:tcBorders>
              <w:bottom w:val="single" w:sz="8" w:color="121212"/>
            </w:tcBorders>
          </w:tcPr>
          <w:p>
            <w:pPr>
              <w:spacing w:after="0"/>
              <w:rPr>
                <w:sz w:val="9"/>
                <w:szCs w:val="9"/>
                <w:color w:val="auto"/>
              </w:rPr>
            </w:pPr>
          </w:p>
        </w:tc>
        <w:tc>
          <w:tcPr>
            <w:tcW w:w="20" w:type="dxa"/>
            <w:vAlign w:val="bottom"/>
            <w:tcBorders>
              <w:bottom w:val="single" w:sz="8" w:color="121212"/>
            </w:tcBorders>
          </w:tcPr>
          <w:p>
            <w:pPr>
              <w:spacing w:after="0"/>
              <w:rPr>
                <w:sz w:val="9"/>
                <w:szCs w:val="9"/>
                <w:color w:val="auto"/>
              </w:rPr>
            </w:pPr>
          </w:p>
        </w:tc>
        <w:tc>
          <w:tcPr>
            <w:tcW w:w="80" w:type="dxa"/>
            <w:vAlign w:val="bottom"/>
            <w:tcBorders>
              <w:bottom w:val="single" w:sz="8" w:color="121212"/>
            </w:tcBorders>
          </w:tcPr>
          <w:p>
            <w:pPr>
              <w:spacing w:after="0"/>
              <w:rPr>
                <w:sz w:val="9"/>
                <w:szCs w:val="9"/>
                <w:color w:val="auto"/>
              </w:rPr>
            </w:pPr>
          </w:p>
        </w:tc>
        <w:tc>
          <w:tcPr>
            <w:tcW w:w="600" w:type="dxa"/>
            <w:vAlign w:val="bottom"/>
            <w:tcBorders>
              <w:bottom w:val="single" w:sz="8" w:color="121212"/>
            </w:tcBorders>
          </w:tcPr>
          <w:p>
            <w:pPr>
              <w:spacing w:after="0"/>
              <w:rPr>
                <w:sz w:val="9"/>
                <w:szCs w:val="9"/>
                <w:color w:val="auto"/>
              </w:rPr>
            </w:pPr>
          </w:p>
        </w:tc>
        <w:tc>
          <w:tcPr>
            <w:tcW w:w="140" w:type="dxa"/>
            <w:vAlign w:val="bottom"/>
            <w:tcBorders>
              <w:right w:val="single" w:sz="8" w:color="121212"/>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tcPr>
          <w:p>
            <w:pPr>
              <w:jc w:val="center"/>
              <w:ind w:left="413"/>
              <w:spacing w:after="0" w:line="82" w:lineRule="exact"/>
              <w:rPr>
                <w:sz w:val="20"/>
                <w:szCs w:val="20"/>
                <w:color w:val="auto"/>
              </w:rPr>
            </w:pPr>
            <w:r>
              <w:rPr>
                <w:rFonts w:ascii="Times New Roman" w:cs="Times New Roman" w:eastAsia="Times New Roman" w:hAnsi="Times New Roman"/>
                <w:sz w:val="8"/>
                <w:szCs w:val="8"/>
                <w:b w:val="1"/>
                <w:bCs w:val="1"/>
                <w:color w:val="121212"/>
              </w:rPr>
              <w:t>Series Seed</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tcPr>
          <w:p>
            <w:pPr>
              <w:jc w:val="center"/>
              <w:ind w:left="473"/>
              <w:spacing w:after="0" w:line="82" w:lineRule="exact"/>
              <w:rPr>
                <w:sz w:val="20"/>
                <w:szCs w:val="20"/>
                <w:color w:val="auto"/>
              </w:rPr>
            </w:pPr>
            <w:r>
              <w:rPr>
                <w:rFonts w:ascii="Times New Roman" w:cs="Times New Roman" w:eastAsia="Times New Roman" w:hAnsi="Times New Roman"/>
                <w:sz w:val="8"/>
                <w:szCs w:val="8"/>
                <w:b w:val="1"/>
                <w:bCs w:val="1"/>
                <w:color w:val="121212"/>
              </w:rPr>
              <w:t>Series A</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tcPr>
          <w:p>
            <w:pPr>
              <w:jc w:val="center"/>
              <w:ind w:left="493"/>
              <w:spacing w:after="0" w:line="82" w:lineRule="exact"/>
              <w:rPr>
                <w:sz w:val="20"/>
                <w:szCs w:val="20"/>
                <w:color w:val="auto"/>
              </w:rPr>
            </w:pPr>
            <w:r>
              <w:rPr>
                <w:rFonts w:ascii="Times New Roman" w:cs="Times New Roman" w:eastAsia="Times New Roman" w:hAnsi="Times New Roman"/>
                <w:sz w:val="8"/>
                <w:szCs w:val="8"/>
                <w:b w:val="1"/>
                <w:bCs w:val="1"/>
                <w:color w:val="121212"/>
              </w:rPr>
              <w:t>Series B</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right w:val="single" w:sz="8" w:color="121212"/>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Borders>
              <w:bottom w:val="single" w:sz="8" w:color="121212"/>
            </w:tcBorders>
            <w:gridSpan w:val="6"/>
          </w:tcPr>
          <w:p>
            <w:pPr>
              <w:jc w:val="center"/>
              <w:ind w:right="140"/>
              <w:spacing w:after="0"/>
              <w:rPr>
                <w:sz w:val="20"/>
                <w:szCs w:val="20"/>
                <w:color w:val="auto"/>
              </w:rPr>
            </w:pPr>
            <w:r>
              <w:rPr>
                <w:rFonts w:ascii="Times New Roman" w:cs="Times New Roman" w:eastAsia="Times New Roman" w:hAnsi="Times New Roman"/>
                <w:sz w:val="10"/>
                <w:szCs w:val="10"/>
                <w:b w:val="1"/>
                <w:bCs w:val="1"/>
                <w:color w:val="121212"/>
                <w:w w:val="94"/>
              </w:rPr>
              <w:t>$0.0001 Par Value</w:t>
            </w:r>
          </w:p>
        </w:tc>
        <w:tc>
          <w:tcPr>
            <w:tcW w:w="120" w:type="dxa"/>
            <w:vAlign w:val="bottom"/>
          </w:tcPr>
          <w:p>
            <w:pPr>
              <w:spacing w:after="0"/>
              <w:rPr>
                <w:sz w:val="11"/>
                <w:szCs w:val="11"/>
                <w:color w:val="auto"/>
              </w:rPr>
            </w:pPr>
          </w:p>
        </w:tc>
        <w:tc>
          <w:tcPr>
            <w:tcW w:w="1180" w:type="dxa"/>
            <w:vAlign w:val="bottom"/>
            <w:tcBorders>
              <w:bottom w:val="single" w:sz="8" w:color="121212"/>
            </w:tcBorders>
            <w:gridSpan w:val="4"/>
          </w:tcPr>
          <w:p>
            <w:pPr>
              <w:jc w:val="center"/>
              <w:ind w:left="393"/>
              <w:spacing w:after="0"/>
              <w:rPr>
                <w:sz w:val="20"/>
                <w:szCs w:val="20"/>
                <w:color w:val="auto"/>
              </w:rPr>
            </w:pPr>
            <w:r>
              <w:rPr>
                <w:rFonts w:ascii="Times New Roman" w:cs="Times New Roman" w:eastAsia="Times New Roman" w:hAnsi="Times New Roman"/>
                <w:sz w:val="10"/>
                <w:szCs w:val="10"/>
                <w:b w:val="1"/>
                <w:bCs w:val="1"/>
                <w:color w:val="121212"/>
                <w:w w:val="94"/>
              </w:rPr>
              <w:t>$0.0001 Par Value</w:t>
            </w:r>
          </w:p>
        </w:tc>
        <w:tc>
          <w:tcPr>
            <w:tcW w:w="580" w:type="dxa"/>
            <w:vAlign w:val="bottom"/>
            <w:tcBorders>
              <w:bottom w:val="single" w:sz="8" w:color="121212"/>
            </w:tcBorders>
          </w:tcPr>
          <w:p>
            <w:pPr>
              <w:spacing w:after="0"/>
              <w:rPr>
                <w:sz w:val="11"/>
                <w:szCs w:val="11"/>
                <w:color w:val="auto"/>
              </w:rPr>
            </w:pPr>
          </w:p>
        </w:tc>
        <w:tc>
          <w:tcPr>
            <w:tcW w:w="20" w:type="dxa"/>
            <w:vAlign w:val="bottom"/>
            <w:tcBorders>
              <w:bottom w:val="single" w:sz="8" w:color="121212"/>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bottom w:val="single" w:sz="8" w:color="121212"/>
            </w:tcBorders>
            <w:gridSpan w:val="4"/>
          </w:tcPr>
          <w:p>
            <w:pPr>
              <w:jc w:val="center"/>
              <w:ind w:left="413"/>
              <w:spacing w:after="0"/>
              <w:rPr>
                <w:sz w:val="20"/>
                <w:szCs w:val="20"/>
                <w:color w:val="auto"/>
              </w:rPr>
            </w:pPr>
            <w:r>
              <w:rPr>
                <w:rFonts w:ascii="Times New Roman" w:cs="Times New Roman" w:eastAsia="Times New Roman" w:hAnsi="Times New Roman"/>
                <w:sz w:val="10"/>
                <w:szCs w:val="10"/>
                <w:b w:val="1"/>
                <w:bCs w:val="1"/>
                <w:color w:val="121212"/>
                <w:w w:val="94"/>
              </w:rPr>
              <w:t>$0.0001 Par Value</w:t>
            </w:r>
          </w:p>
        </w:tc>
        <w:tc>
          <w:tcPr>
            <w:tcW w:w="600" w:type="dxa"/>
            <w:vAlign w:val="bottom"/>
            <w:tcBorders>
              <w:bottom w:val="single" w:sz="8" w:color="121212"/>
            </w:tcBorders>
          </w:tcPr>
          <w:p>
            <w:pPr>
              <w:spacing w:after="0"/>
              <w:rPr>
                <w:sz w:val="11"/>
                <w:szCs w:val="11"/>
                <w:color w:val="auto"/>
              </w:rPr>
            </w:pPr>
          </w:p>
        </w:tc>
        <w:tc>
          <w:tcPr>
            <w:tcW w:w="140" w:type="dxa"/>
            <w:vAlign w:val="bottom"/>
            <w:tcBorders>
              <w:right w:val="single" w:sz="8" w:color="121212"/>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121212"/>
            </w:tcBorders>
          </w:tcPr>
          <w:p>
            <w:pPr>
              <w:spacing w:after="0"/>
              <w:rPr>
                <w:sz w:val="11"/>
                <w:szCs w:val="11"/>
                <w:color w:val="auto"/>
              </w:rPr>
            </w:pPr>
          </w:p>
        </w:tc>
        <w:tc>
          <w:tcPr>
            <w:tcW w:w="1060" w:type="dxa"/>
            <w:vAlign w:val="bottom"/>
            <w:tcBorders>
              <w:bottom w:val="single" w:sz="8" w:color="121212"/>
            </w:tcBorders>
            <w:gridSpan w:val="4"/>
          </w:tcPr>
          <w:p>
            <w:pPr>
              <w:jc w:val="center"/>
              <w:ind w:left="192"/>
              <w:spacing w:after="0"/>
              <w:rPr>
                <w:sz w:val="20"/>
                <w:szCs w:val="20"/>
                <w:color w:val="auto"/>
              </w:rPr>
            </w:pPr>
            <w:r>
              <w:rPr>
                <w:rFonts w:ascii="Times New Roman" w:cs="Times New Roman" w:eastAsia="Times New Roman" w:hAnsi="Times New Roman"/>
                <w:sz w:val="10"/>
                <w:szCs w:val="10"/>
                <w:b w:val="1"/>
                <w:bCs w:val="1"/>
                <w:color w:val="121212"/>
                <w:w w:val="94"/>
              </w:rPr>
              <w:t>$0.0001 Par Value</w:t>
            </w:r>
          </w:p>
        </w:tc>
        <w:tc>
          <w:tcPr>
            <w:tcW w:w="560" w:type="dxa"/>
            <w:vAlign w:val="bottom"/>
            <w:tcBorders>
              <w:bottom w:val="single" w:sz="8" w:color="121212"/>
            </w:tcBorders>
          </w:tcPr>
          <w:p>
            <w:pPr>
              <w:spacing w:after="0"/>
              <w:rPr>
                <w:sz w:val="11"/>
                <w:szCs w:val="11"/>
                <w:color w:val="auto"/>
              </w:rPr>
            </w:pPr>
          </w:p>
        </w:tc>
        <w:tc>
          <w:tcPr>
            <w:tcW w:w="20" w:type="dxa"/>
            <w:vAlign w:val="bottom"/>
            <w:tcBorders>
              <w:bottom w:val="single" w:sz="8" w:color="121212"/>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121212"/>
                <w:w w:val="92"/>
              </w:rPr>
              <w:t>Paid-In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121212"/>
                <w:w w:val="95"/>
              </w:rPr>
              <w:t>Accumulated</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121212"/>
                <w:w w:val="95"/>
              </w:rPr>
              <w:t>Stockholders’</w:t>
            </w:r>
          </w:p>
        </w:tc>
        <w:tc>
          <w:tcPr>
            <w:tcW w:w="0" w:type="dxa"/>
            <w:vAlign w:val="bottom"/>
          </w:tcPr>
          <w:p>
            <w:pPr>
              <w:spacing w:after="0"/>
              <w:rPr>
                <w:sz w:val="1"/>
                <w:szCs w:val="1"/>
                <w:color w:val="auto"/>
              </w:rPr>
            </w:pPr>
          </w:p>
        </w:tc>
      </w:tr>
      <w:tr>
        <w:trPr>
          <w:trHeight w:val="101"/>
        </w:trPr>
        <w:tc>
          <w:tcPr>
            <w:tcW w:w="2200" w:type="dxa"/>
            <w:vAlign w:val="bottom"/>
            <w:tcBorders>
              <w:bottom w:val="single" w:sz="8" w:color="DFDFDF"/>
            </w:tcBorders>
          </w:tcPr>
          <w:p>
            <w:pPr>
              <w:spacing w:after="0"/>
              <w:rPr>
                <w:sz w:val="8"/>
                <w:szCs w:val="8"/>
                <w:color w:val="auto"/>
              </w:rPr>
            </w:pPr>
          </w:p>
        </w:tc>
        <w:tc>
          <w:tcPr>
            <w:tcW w:w="140" w:type="dxa"/>
            <w:vAlign w:val="bottom"/>
            <w:tcBorders>
              <w:bottom w:val="single" w:sz="8" w:color="DFDFDF"/>
            </w:tcBorders>
          </w:tcPr>
          <w:p>
            <w:pPr>
              <w:spacing w:after="0"/>
              <w:rPr>
                <w:sz w:val="8"/>
                <w:szCs w:val="8"/>
                <w:color w:val="auto"/>
              </w:rPr>
            </w:pPr>
          </w:p>
        </w:tc>
        <w:tc>
          <w:tcPr>
            <w:tcW w:w="900" w:type="dxa"/>
            <w:vAlign w:val="bottom"/>
            <w:tcBorders>
              <w:bottom w:val="single" w:sz="8" w:color="121212"/>
            </w:tcBorders>
          </w:tcPr>
          <w:p>
            <w:pPr>
              <w:jc w:val="right"/>
              <w:ind w:right="333"/>
              <w:spacing w:after="0" w:line="101" w:lineRule="exact"/>
              <w:rPr>
                <w:sz w:val="20"/>
                <w:szCs w:val="20"/>
                <w:color w:val="auto"/>
              </w:rPr>
            </w:pPr>
            <w:r>
              <w:rPr>
                <w:rFonts w:ascii="Times New Roman" w:cs="Times New Roman" w:eastAsia="Times New Roman" w:hAnsi="Times New Roman"/>
                <w:sz w:val="10"/>
                <w:szCs w:val="10"/>
                <w:b w:val="1"/>
                <w:bCs w:val="1"/>
                <w:color w:val="121212"/>
              </w:rPr>
              <w:t>Shares</w:t>
            </w:r>
          </w:p>
        </w:tc>
        <w:tc>
          <w:tcPr>
            <w:tcW w:w="14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540" w:type="dxa"/>
            <w:vAlign w:val="bottom"/>
            <w:tcBorders>
              <w:bottom w:val="single" w:sz="8" w:color="121212"/>
            </w:tcBorders>
          </w:tcPr>
          <w:p>
            <w:pPr>
              <w:jc w:val="right"/>
              <w:ind w:right="152"/>
              <w:spacing w:after="0" w:line="101" w:lineRule="exact"/>
              <w:rPr>
                <w:sz w:val="20"/>
                <w:szCs w:val="20"/>
                <w:color w:val="auto"/>
              </w:rPr>
            </w:pPr>
            <w:r>
              <w:rPr>
                <w:rFonts w:ascii="Times New Roman" w:cs="Times New Roman" w:eastAsia="Times New Roman" w:hAnsi="Times New Roman"/>
                <w:sz w:val="10"/>
                <w:szCs w:val="10"/>
                <w:b w:val="1"/>
                <w:bCs w:val="1"/>
                <w:color w:val="121212"/>
                <w:w w:val="91"/>
              </w:rPr>
              <w:t>Amount</w:t>
            </w:r>
          </w:p>
        </w:tc>
        <w:tc>
          <w:tcPr>
            <w:tcW w:w="20" w:type="dxa"/>
            <w:vAlign w:val="bottom"/>
          </w:tcPr>
          <w:p>
            <w:pPr>
              <w:spacing w:after="0"/>
              <w:rPr>
                <w:sz w:val="8"/>
                <w:szCs w:val="8"/>
                <w:color w:val="auto"/>
              </w:rPr>
            </w:pPr>
          </w:p>
        </w:tc>
        <w:tc>
          <w:tcPr>
            <w:tcW w:w="120" w:type="dxa"/>
            <w:vAlign w:val="bottom"/>
            <w:tcBorders>
              <w:bottom w:val="single" w:sz="8" w:color="DFDFDF"/>
            </w:tcBorders>
          </w:tcPr>
          <w:p>
            <w:pPr>
              <w:spacing w:after="0"/>
              <w:rPr>
                <w:sz w:val="8"/>
                <w:szCs w:val="8"/>
                <w:color w:val="auto"/>
              </w:rPr>
            </w:pPr>
          </w:p>
        </w:tc>
        <w:tc>
          <w:tcPr>
            <w:tcW w:w="960" w:type="dxa"/>
            <w:vAlign w:val="bottom"/>
            <w:tcBorders>
              <w:bottom w:val="single" w:sz="8" w:color="121212"/>
            </w:tcBorders>
          </w:tcPr>
          <w:p>
            <w:pPr>
              <w:jc w:val="right"/>
              <w:ind w:right="373"/>
              <w:spacing w:after="0" w:line="101" w:lineRule="exact"/>
              <w:rPr>
                <w:sz w:val="20"/>
                <w:szCs w:val="20"/>
                <w:color w:val="auto"/>
              </w:rPr>
            </w:pPr>
            <w:r>
              <w:rPr>
                <w:rFonts w:ascii="Times New Roman" w:cs="Times New Roman" w:eastAsia="Times New Roman" w:hAnsi="Times New Roman"/>
                <w:sz w:val="10"/>
                <w:szCs w:val="10"/>
                <w:b w:val="1"/>
                <w:bCs w:val="1"/>
                <w:color w:val="121212"/>
              </w:rPr>
              <w:t>Shares</w:t>
            </w:r>
          </w:p>
        </w:tc>
        <w:tc>
          <w:tcPr>
            <w:tcW w:w="14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60" w:type="dxa"/>
            <w:vAlign w:val="bottom"/>
            <w:tcBorders>
              <w:bottom w:val="single" w:sz="8" w:color="121212"/>
            </w:tcBorders>
          </w:tcPr>
          <w:p>
            <w:pPr>
              <w:spacing w:after="0"/>
              <w:rPr>
                <w:sz w:val="8"/>
                <w:szCs w:val="8"/>
                <w:color w:val="auto"/>
              </w:rPr>
            </w:pPr>
          </w:p>
        </w:tc>
        <w:tc>
          <w:tcPr>
            <w:tcW w:w="580" w:type="dxa"/>
            <w:vAlign w:val="bottom"/>
            <w:tcBorders>
              <w:bottom w:val="single" w:sz="8" w:color="121212"/>
            </w:tcBorders>
          </w:tcPr>
          <w:p>
            <w:pPr>
              <w:jc w:val="right"/>
              <w:ind w:right="192"/>
              <w:spacing w:after="0" w:line="101" w:lineRule="exact"/>
              <w:rPr>
                <w:sz w:val="20"/>
                <w:szCs w:val="20"/>
                <w:color w:val="auto"/>
              </w:rPr>
            </w:pPr>
            <w:r>
              <w:rPr>
                <w:rFonts w:ascii="Times New Roman" w:cs="Times New Roman" w:eastAsia="Times New Roman" w:hAnsi="Times New Roman"/>
                <w:sz w:val="10"/>
                <w:szCs w:val="10"/>
                <w:b w:val="1"/>
                <w:bCs w:val="1"/>
                <w:color w:val="121212"/>
                <w:w w:val="91"/>
              </w:rPr>
              <w:t>Amount</w:t>
            </w:r>
          </w:p>
        </w:tc>
        <w:tc>
          <w:tcPr>
            <w:tcW w:w="20" w:type="dxa"/>
            <w:vAlign w:val="bottom"/>
          </w:tcPr>
          <w:p>
            <w:pPr>
              <w:spacing w:after="0"/>
              <w:rPr>
                <w:sz w:val="8"/>
                <w:szCs w:val="8"/>
                <w:color w:val="auto"/>
              </w:rPr>
            </w:pPr>
          </w:p>
        </w:tc>
        <w:tc>
          <w:tcPr>
            <w:tcW w:w="120" w:type="dxa"/>
            <w:vAlign w:val="bottom"/>
            <w:tcBorders>
              <w:bottom w:val="single" w:sz="8" w:color="DFDFDF"/>
            </w:tcBorders>
          </w:tcPr>
          <w:p>
            <w:pPr>
              <w:spacing w:after="0"/>
              <w:rPr>
                <w:sz w:val="8"/>
                <w:szCs w:val="8"/>
                <w:color w:val="auto"/>
              </w:rPr>
            </w:pPr>
          </w:p>
        </w:tc>
        <w:tc>
          <w:tcPr>
            <w:tcW w:w="960" w:type="dxa"/>
            <w:vAlign w:val="bottom"/>
            <w:tcBorders>
              <w:bottom w:val="single" w:sz="8" w:color="121212"/>
            </w:tcBorders>
          </w:tcPr>
          <w:p>
            <w:pPr>
              <w:jc w:val="right"/>
              <w:ind w:right="353"/>
              <w:spacing w:after="0" w:line="101" w:lineRule="exact"/>
              <w:rPr>
                <w:sz w:val="20"/>
                <w:szCs w:val="20"/>
                <w:color w:val="auto"/>
              </w:rPr>
            </w:pPr>
            <w:r>
              <w:rPr>
                <w:rFonts w:ascii="Times New Roman" w:cs="Times New Roman" w:eastAsia="Times New Roman" w:hAnsi="Times New Roman"/>
                <w:sz w:val="10"/>
                <w:szCs w:val="10"/>
                <w:b w:val="1"/>
                <w:bCs w:val="1"/>
                <w:color w:val="121212"/>
              </w:rPr>
              <w:t>Shares</w:t>
            </w:r>
          </w:p>
        </w:tc>
        <w:tc>
          <w:tcPr>
            <w:tcW w:w="14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80" w:type="dxa"/>
            <w:vAlign w:val="bottom"/>
            <w:tcBorders>
              <w:bottom w:val="single" w:sz="8" w:color="121212"/>
            </w:tcBorders>
          </w:tcPr>
          <w:p>
            <w:pPr>
              <w:spacing w:after="0"/>
              <w:rPr>
                <w:sz w:val="8"/>
                <w:szCs w:val="8"/>
                <w:color w:val="auto"/>
              </w:rPr>
            </w:pPr>
          </w:p>
        </w:tc>
        <w:tc>
          <w:tcPr>
            <w:tcW w:w="600" w:type="dxa"/>
            <w:vAlign w:val="bottom"/>
            <w:tcBorders>
              <w:bottom w:val="single" w:sz="8" w:color="121212"/>
            </w:tcBorders>
          </w:tcPr>
          <w:p>
            <w:pPr>
              <w:jc w:val="right"/>
              <w:ind w:right="212"/>
              <w:spacing w:after="0" w:line="101" w:lineRule="exact"/>
              <w:rPr>
                <w:sz w:val="20"/>
                <w:szCs w:val="20"/>
                <w:color w:val="auto"/>
              </w:rPr>
            </w:pPr>
            <w:r>
              <w:rPr>
                <w:rFonts w:ascii="Times New Roman" w:cs="Times New Roman" w:eastAsia="Times New Roman" w:hAnsi="Times New Roman"/>
                <w:sz w:val="10"/>
                <w:szCs w:val="10"/>
                <w:b w:val="1"/>
                <w:bCs w:val="1"/>
                <w:color w:val="121212"/>
                <w:w w:val="91"/>
              </w:rPr>
              <w:t>Amount</w:t>
            </w:r>
          </w:p>
        </w:tc>
        <w:tc>
          <w:tcPr>
            <w:tcW w:w="140" w:type="dxa"/>
            <w:vAlign w:val="bottom"/>
            <w:tcBorders>
              <w:bottom w:val="single" w:sz="8" w:color="DFDFDF"/>
              <w:right w:val="single" w:sz="8" w:color="121212"/>
            </w:tcBorders>
          </w:tcPr>
          <w:p>
            <w:pPr>
              <w:spacing w:after="0"/>
              <w:rPr>
                <w:sz w:val="8"/>
                <w:szCs w:val="8"/>
                <w:color w:val="auto"/>
              </w:rPr>
            </w:pPr>
          </w:p>
        </w:tc>
        <w:tc>
          <w:tcPr>
            <w:tcW w:w="120" w:type="dxa"/>
            <w:vAlign w:val="bottom"/>
            <w:tcBorders>
              <w:bottom w:val="single" w:sz="8" w:color="DFDFDF"/>
            </w:tcBorders>
          </w:tcPr>
          <w:p>
            <w:pPr>
              <w:spacing w:after="0"/>
              <w:rPr>
                <w:sz w:val="8"/>
                <w:szCs w:val="8"/>
                <w:color w:val="auto"/>
              </w:rPr>
            </w:pPr>
          </w:p>
        </w:tc>
        <w:tc>
          <w:tcPr>
            <w:tcW w:w="200" w:type="dxa"/>
            <w:vAlign w:val="bottom"/>
            <w:tcBorders>
              <w:bottom w:val="single" w:sz="8" w:color="121212"/>
            </w:tcBorders>
          </w:tcPr>
          <w:p>
            <w:pPr>
              <w:spacing w:after="0"/>
              <w:rPr>
                <w:sz w:val="8"/>
                <w:szCs w:val="8"/>
                <w:color w:val="auto"/>
              </w:rPr>
            </w:pPr>
          </w:p>
        </w:tc>
        <w:tc>
          <w:tcPr>
            <w:tcW w:w="860" w:type="dxa"/>
            <w:vAlign w:val="bottom"/>
            <w:tcBorders>
              <w:bottom w:val="single" w:sz="8" w:color="121212"/>
            </w:tcBorders>
          </w:tcPr>
          <w:p>
            <w:pPr>
              <w:jc w:val="right"/>
              <w:ind w:right="412"/>
              <w:spacing w:after="0" w:line="101" w:lineRule="exact"/>
              <w:rPr>
                <w:sz w:val="20"/>
                <w:szCs w:val="20"/>
                <w:color w:val="auto"/>
              </w:rPr>
            </w:pPr>
            <w:r>
              <w:rPr>
                <w:rFonts w:ascii="Times New Roman" w:cs="Times New Roman" w:eastAsia="Times New Roman" w:hAnsi="Times New Roman"/>
                <w:sz w:val="10"/>
                <w:szCs w:val="10"/>
                <w:b w:val="1"/>
                <w:bCs w:val="1"/>
                <w:color w:val="121212"/>
              </w:rPr>
              <w:t>Shares</w:t>
            </w:r>
          </w:p>
        </w:tc>
        <w:tc>
          <w:tcPr>
            <w:tcW w:w="14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40" w:type="dxa"/>
            <w:vAlign w:val="bottom"/>
            <w:tcBorders>
              <w:bottom w:val="single" w:sz="8" w:color="121212"/>
            </w:tcBorders>
          </w:tcPr>
          <w:p>
            <w:pPr>
              <w:spacing w:after="0"/>
              <w:rPr>
                <w:sz w:val="8"/>
                <w:szCs w:val="8"/>
                <w:color w:val="auto"/>
              </w:rPr>
            </w:pPr>
          </w:p>
        </w:tc>
        <w:tc>
          <w:tcPr>
            <w:tcW w:w="560" w:type="dxa"/>
            <w:vAlign w:val="bottom"/>
            <w:tcBorders>
              <w:bottom w:val="single" w:sz="8" w:color="121212"/>
            </w:tcBorders>
          </w:tcPr>
          <w:p>
            <w:pPr>
              <w:jc w:val="right"/>
              <w:ind w:right="172"/>
              <w:spacing w:after="0" w:line="101" w:lineRule="exact"/>
              <w:rPr>
                <w:sz w:val="20"/>
                <w:szCs w:val="20"/>
                <w:color w:val="auto"/>
              </w:rPr>
            </w:pPr>
            <w:r>
              <w:rPr>
                <w:rFonts w:ascii="Times New Roman" w:cs="Times New Roman" w:eastAsia="Times New Roman" w:hAnsi="Times New Roman"/>
                <w:sz w:val="10"/>
                <w:szCs w:val="10"/>
                <w:b w:val="1"/>
                <w:bCs w:val="1"/>
                <w:color w:val="121212"/>
                <w:w w:val="91"/>
              </w:rPr>
              <w:t>Amount</w:t>
            </w:r>
          </w:p>
        </w:tc>
        <w:tc>
          <w:tcPr>
            <w:tcW w:w="20" w:type="dxa"/>
            <w:vAlign w:val="bottom"/>
          </w:tcPr>
          <w:p>
            <w:pPr>
              <w:spacing w:after="0"/>
              <w:rPr>
                <w:sz w:val="8"/>
                <w:szCs w:val="8"/>
                <w:color w:val="auto"/>
              </w:rPr>
            </w:pPr>
          </w:p>
        </w:tc>
        <w:tc>
          <w:tcPr>
            <w:tcW w:w="12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120" w:type="dxa"/>
            <w:vAlign w:val="bottom"/>
            <w:tcBorders>
              <w:bottom w:val="single" w:sz="8" w:color="121212"/>
            </w:tcBorders>
          </w:tcPr>
          <w:p>
            <w:pPr>
              <w:spacing w:after="0"/>
              <w:rPr>
                <w:sz w:val="8"/>
                <w:szCs w:val="8"/>
                <w:color w:val="auto"/>
              </w:rPr>
            </w:pPr>
          </w:p>
        </w:tc>
        <w:tc>
          <w:tcPr>
            <w:tcW w:w="900" w:type="dxa"/>
            <w:vAlign w:val="bottom"/>
            <w:tcBorders>
              <w:bottom w:val="single" w:sz="8" w:color="121212"/>
            </w:tcBorders>
            <w:gridSpan w:val="2"/>
          </w:tcPr>
          <w:p>
            <w:pPr>
              <w:jc w:val="center"/>
              <w:ind w:right="280"/>
              <w:spacing w:after="0" w:line="101" w:lineRule="exact"/>
              <w:rPr>
                <w:sz w:val="20"/>
                <w:szCs w:val="20"/>
                <w:color w:val="auto"/>
              </w:rPr>
            </w:pPr>
            <w:r>
              <w:rPr>
                <w:rFonts w:ascii="Times New Roman" w:cs="Times New Roman" w:eastAsia="Times New Roman" w:hAnsi="Times New Roman"/>
                <w:sz w:val="10"/>
                <w:szCs w:val="10"/>
                <w:b w:val="1"/>
                <w:bCs w:val="1"/>
                <w:color w:val="121212"/>
                <w:w w:val="94"/>
              </w:rPr>
              <w:t>Capital</w:t>
            </w:r>
          </w:p>
        </w:tc>
        <w:tc>
          <w:tcPr>
            <w:tcW w:w="14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80" w:type="dxa"/>
            <w:vAlign w:val="bottom"/>
            <w:tcBorders>
              <w:bottom w:val="single" w:sz="8" w:color="121212"/>
            </w:tcBorders>
          </w:tcPr>
          <w:p>
            <w:pPr>
              <w:spacing w:after="0"/>
              <w:rPr>
                <w:sz w:val="8"/>
                <w:szCs w:val="8"/>
                <w:color w:val="auto"/>
              </w:rPr>
            </w:pPr>
          </w:p>
        </w:tc>
        <w:tc>
          <w:tcPr>
            <w:tcW w:w="880" w:type="dxa"/>
            <w:vAlign w:val="bottom"/>
            <w:tcBorders>
              <w:bottom w:val="single" w:sz="8" w:color="121212"/>
            </w:tcBorders>
          </w:tcPr>
          <w:p>
            <w:pPr>
              <w:jc w:val="center"/>
              <w:ind w:right="192"/>
              <w:spacing w:after="0" w:line="101" w:lineRule="exact"/>
              <w:rPr>
                <w:sz w:val="20"/>
                <w:szCs w:val="20"/>
                <w:color w:val="auto"/>
              </w:rPr>
            </w:pPr>
            <w:r>
              <w:rPr>
                <w:rFonts w:ascii="Times New Roman" w:cs="Times New Roman" w:eastAsia="Times New Roman" w:hAnsi="Times New Roman"/>
                <w:sz w:val="10"/>
                <w:szCs w:val="10"/>
                <w:b w:val="1"/>
                <w:bCs w:val="1"/>
                <w:color w:val="121212"/>
                <w:w w:val="98"/>
              </w:rPr>
              <w:t>Deficit</w:t>
            </w:r>
          </w:p>
        </w:tc>
        <w:tc>
          <w:tcPr>
            <w:tcW w:w="140" w:type="dxa"/>
            <w:vAlign w:val="bottom"/>
            <w:tcBorders>
              <w:bottom w:val="single" w:sz="8" w:color="DFDFDF"/>
            </w:tcBorders>
          </w:tcPr>
          <w:p>
            <w:pPr>
              <w:spacing w:after="0"/>
              <w:rPr>
                <w:sz w:val="8"/>
                <w:szCs w:val="8"/>
                <w:color w:val="auto"/>
              </w:rPr>
            </w:pPr>
          </w:p>
        </w:tc>
        <w:tc>
          <w:tcPr>
            <w:tcW w:w="20" w:type="dxa"/>
            <w:vAlign w:val="bottom"/>
            <w:tcBorders>
              <w:bottom w:val="single" w:sz="8" w:color="121212"/>
            </w:tcBorders>
          </w:tcPr>
          <w:p>
            <w:pPr>
              <w:spacing w:after="0"/>
              <w:rPr>
                <w:sz w:val="8"/>
                <w:szCs w:val="8"/>
                <w:color w:val="auto"/>
              </w:rPr>
            </w:pPr>
          </w:p>
        </w:tc>
        <w:tc>
          <w:tcPr>
            <w:tcW w:w="100" w:type="dxa"/>
            <w:vAlign w:val="bottom"/>
            <w:tcBorders>
              <w:bottom w:val="single" w:sz="8" w:color="121212"/>
            </w:tcBorders>
          </w:tcPr>
          <w:p>
            <w:pPr>
              <w:spacing w:after="0"/>
              <w:rPr>
                <w:sz w:val="8"/>
                <w:szCs w:val="8"/>
                <w:color w:val="auto"/>
              </w:rPr>
            </w:pPr>
          </w:p>
        </w:tc>
        <w:tc>
          <w:tcPr>
            <w:tcW w:w="980" w:type="dxa"/>
            <w:vAlign w:val="bottom"/>
            <w:tcBorders>
              <w:bottom w:val="single" w:sz="8" w:color="121212"/>
            </w:tcBorders>
          </w:tcPr>
          <w:p>
            <w:pPr>
              <w:jc w:val="center"/>
              <w:ind w:right="212"/>
              <w:spacing w:after="0" w:line="101" w:lineRule="exact"/>
              <w:rPr>
                <w:sz w:val="20"/>
                <w:szCs w:val="20"/>
                <w:color w:val="auto"/>
              </w:rPr>
            </w:pPr>
            <w:r>
              <w:rPr>
                <w:rFonts w:ascii="Times New Roman" w:cs="Times New Roman" w:eastAsia="Times New Roman" w:hAnsi="Times New Roman"/>
                <w:sz w:val="10"/>
                <w:szCs w:val="10"/>
                <w:b w:val="1"/>
                <w:bCs w:val="1"/>
                <w:color w:val="121212"/>
                <w:w w:val="96"/>
              </w:rPr>
              <w:t>Equity</w:t>
            </w:r>
          </w:p>
        </w:tc>
        <w:tc>
          <w:tcPr>
            <w:tcW w:w="0" w:type="dxa"/>
            <w:vAlign w:val="bottom"/>
          </w:tcPr>
          <w:p>
            <w:pPr>
              <w:spacing w:after="0"/>
              <w:rPr>
                <w:sz w:val="1"/>
                <w:szCs w:val="1"/>
                <w:color w:val="auto"/>
              </w:rPr>
            </w:pPr>
          </w:p>
        </w:tc>
      </w:tr>
      <w:tr>
        <w:trPr>
          <w:trHeight w:val="99"/>
        </w:trPr>
        <w:tc>
          <w:tcPr>
            <w:tcW w:w="2200" w:type="dxa"/>
            <w:vAlign w:val="bottom"/>
            <w:shd w:val="clear" w:color="auto" w:fill="DFDFDF"/>
          </w:tcPr>
          <w:p>
            <w:pPr>
              <w:spacing w:after="0" w:line="100" w:lineRule="exact"/>
              <w:rPr>
                <w:sz w:val="20"/>
                <w:szCs w:val="20"/>
                <w:color w:val="auto"/>
              </w:rPr>
            </w:pPr>
            <w:r>
              <w:rPr>
                <w:rFonts w:ascii="Times New Roman" w:cs="Times New Roman" w:eastAsia="Times New Roman" w:hAnsi="Times New Roman"/>
                <w:sz w:val="10"/>
                <w:szCs w:val="10"/>
                <w:b w:val="1"/>
                <w:bCs w:val="1"/>
                <w:color w:val="121212"/>
              </w:rPr>
              <w:t>Balance at December 31, 2022</w:t>
            </w:r>
          </w:p>
        </w:tc>
        <w:tc>
          <w:tcPr>
            <w:tcW w:w="140" w:type="dxa"/>
            <w:vAlign w:val="bottom"/>
            <w:shd w:val="clear" w:color="auto" w:fill="DFDFDF"/>
          </w:tcPr>
          <w:p>
            <w:pPr>
              <w:spacing w:after="0"/>
              <w:rPr>
                <w:sz w:val="8"/>
                <w:szCs w:val="8"/>
                <w:color w:val="auto"/>
              </w:rPr>
            </w:pPr>
          </w:p>
        </w:tc>
        <w:tc>
          <w:tcPr>
            <w:tcW w:w="900" w:type="dxa"/>
            <w:vAlign w:val="bottom"/>
            <w:shd w:val="clear" w:color="auto" w:fill="DFDFDF"/>
          </w:tcPr>
          <w:p>
            <w:pPr>
              <w:jc w:val="right"/>
              <w:ind w:right="9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2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1"/>
                <w:szCs w:val="1"/>
                <w:color w:val="121212"/>
                <w:w w:val="4294967286"/>
              </w:rPr>
              <w:t>$</w:t>
            </w:r>
          </w:p>
        </w:tc>
        <w:tc>
          <w:tcPr>
            <w:tcW w:w="560" w:type="dxa"/>
            <w:vAlign w:val="bottom"/>
            <w:gridSpan w:val="2"/>
            <w:shd w:val="clear" w:color="auto" w:fill="DFDFDF"/>
          </w:tcPr>
          <w:p>
            <w:pPr>
              <w:jc w:val="right"/>
              <w:ind w:right="160"/>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8"/>
                <w:szCs w:val="8"/>
                <w:color w:val="auto"/>
              </w:rPr>
            </w:pPr>
          </w:p>
        </w:tc>
        <w:tc>
          <w:tcPr>
            <w:tcW w:w="960" w:type="dxa"/>
            <w:vAlign w:val="bottom"/>
            <w:shd w:val="clear" w:color="auto" w:fill="DFDFDF"/>
          </w:tcPr>
          <w:p>
            <w:pPr>
              <w:jc w:val="right"/>
              <w:ind w:right="9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8"/>
                <w:szCs w:val="8"/>
                <w:color w:val="auto"/>
              </w:rPr>
            </w:pPr>
          </w:p>
        </w:tc>
        <w:tc>
          <w:tcPr>
            <w:tcW w:w="80" w:type="dxa"/>
            <w:vAlign w:val="bottom"/>
            <w:gridSpan w:val="2"/>
            <w:shd w:val="clear" w:color="auto" w:fill="DFDFDF"/>
          </w:tcPr>
          <w:p>
            <w:pPr>
              <w:jc w:val="right"/>
              <w:ind w:right="34"/>
              <w:spacing w:after="0"/>
              <w:rPr>
                <w:sz w:val="20"/>
                <w:szCs w:val="20"/>
                <w:color w:val="auto"/>
              </w:rPr>
            </w:pPr>
            <w:r>
              <w:rPr>
                <w:rFonts w:ascii="Times New Roman" w:cs="Times New Roman" w:eastAsia="Times New Roman" w:hAnsi="Times New Roman"/>
                <w:sz w:val="5"/>
                <w:szCs w:val="5"/>
                <w:color w:val="121212"/>
                <w:w w:val="78"/>
              </w:rPr>
              <w:t>$</w:t>
            </w:r>
          </w:p>
        </w:tc>
        <w:tc>
          <w:tcPr>
            <w:tcW w:w="600" w:type="dxa"/>
            <w:vAlign w:val="bottom"/>
            <w:gridSpan w:val="2"/>
            <w:shd w:val="clear" w:color="auto" w:fill="DFDFDF"/>
          </w:tcPr>
          <w:p>
            <w:pPr>
              <w:jc w:val="right"/>
              <w:ind w:right="160"/>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8"/>
                <w:szCs w:val="8"/>
                <w:color w:val="auto"/>
              </w:rPr>
            </w:pPr>
          </w:p>
        </w:tc>
        <w:tc>
          <w:tcPr>
            <w:tcW w:w="960" w:type="dxa"/>
            <w:vAlign w:val="bottom"/>
            <w:shd w:val="clear" w:color="auto" w:fill="DFDFDF"/>
          </w:tcPr>
          <w:p>
            <w:pPr>
              <w:jc w:val="right"/>
              <w:ind w:right="7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80" w:type="dxa"/>
            <w:vAlign w:val="bottom"/>
            <w:shd w:val="clear" w:color="auto" w:fill="DFDFDF"/>
          </w:tcPr>
          <w:p>
            <w:pPr>
              <w:jc w:val="right"/>
              <w:ind w:right="54"/>
              <w:spacing w:after="0"/>
              <w:rPr>
                <w:sz w:val="20"/>
                <w:szCs w:val="20"/>
                <w:color w:val="auto"/>
              </w:rPr>
            </w:pPr>
            <w:r>
              <w:rPr>
                <w:rFonts w:ascii="Times New Roman" w:cs="Times New Roman" w:eastAsia="Times New Roman" w:hAnsi="Times New Roman"/>
                <w:sz w:val="1"/>
                <w:szCs w:val="1"/>
                <w:color w:val="121212"/>
                <w:w w:val="4294967286"/>
              </w:rPr>
              <w:t>$</w:t>
            </w:r>
          </w:p>
        </w:tc>
        <w:tc>
          <w:tcPr>
            <w:tcW w:w="60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8"/>
                <w:szCs w:val="8"/>
                <w:color w:val="auto"/>
              </w:rPr>
            </w:pPr>
          </w:p>
        </w:tc>
        <w:tc>
          <w:tcPr>
            <w:tcW w:w="120" w:type="dxa"/>
            <w:vAlign w:val="bottom"/>
            <w:shd w:val="clear" w:color="auto" w:fill="DFDFDF"/>
          </w:tcPr>
          <w:p>
            <w:pPr>
              <w:spacing w:after="0"/>
              <w:rPr>
                <w:sz w:val="8"/>
                <w:szCs w:val="8"/>
                <w:color w:val="auto"/>
              </w:rPr>
            </w:pPr>
          </w:p>
        </w:tc>
        <w:tc>
          <w:tcPr>
            <w:tcW w:w="200" w:type="dxa"/>
            <w:vAlign w:val="bottom"/>
            <w:shd w:val="clear" w:color="auto" w:fill="DFDFDF"/>
          </w:tcPr>
          <w:p>
            <w:pPr>
              <w:spacing w:after="0"/>
              <w:rPr>
                <w:sz w:val="8"/>
                <w:szCs w:val="8"/>
                <w:color w:val="auto"/>
              </w:rPr>
            </w:pPr>
          </w:p>
        </w:tc>
        <w:tc>
          <w:tcPr>
            <w:tcW w:w="86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17,403,315</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40" w:type="dxa"/>
            <w:vAlign w:val="bottom"/>
            <w:shd w:val="clear" w:color="auto" w:fill="DFDFDF"/>
          </w:tcPr>
          <w:p>
            <w:pPr>
              <w:jc w:val="right"/>
              <w:ind w:right="14"/>
              <w:spacing w:after="0"/>
              <w:rPr>
                <w:sz w:val="20"/>
                <w:szCs w:val="20"/>
                <w:color w:val="auto"/>
              </w:rPr>
            </w:pPr>
            <w:r>
              <w:rPr>
                <w:rFonts w:ascii="Times New Roman" w:cs="Times New Roman" w:eastAsia="Times New Roman" w:hAnsi="Times New Roman"/>
                <w:sz w:val="1"/>
                <w:szCs w:val="1"/>
                <w:color w:val="121212"/>
                <w:w w:val="4294967286"/>
              </w:rPr>
              <w:t>$</w:t>
            </w:r>
          </w:p>
        </w:tc>
        <w:tc>
          <w:tcPr>
            <w:tcW w:w="56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2</w:t>
            </w:r>
          </w:p>
        </w:tc>
        <w:tc>
          <w:tcPr>
            <w:tcW w:w="20" w:type="dxa"/>
            <w:vAlign w:val="bottom"/>
            <w:shd w:val="clear" w:color="auto" w:fill="DFDFDF"/>
          </w:tcPr>
          <w:p>
            <w:pPr>
              <w:spacing w:after="0"/>
              <w:rPr>
                <w:sz w:val="8"/>
                <w:szCs w:val="8"/>
                <w:color w:val="auto"/>
              </w:rPr>
            </w:pPr>
          </w:p>
        </w:tc>
        <w:tc>
          <w:tcPr>
            <w:tcW w:w="12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120" w:type="dxa"/>
            <w:vAlign w:val="bottom"/>
            <w:shd w:val="clear" w:color="auto" w:fill="DFDFDF"/>
          </w:tcPr>
          <w:p>
            <w:pPr>
              <w:jc w:val="right"/>
              <w:ind w:right="94"/>
              <w:spacing w:after="0"/>
              <w:rPr>
                <w:sz w:val="20"/>
                <w:szCs w:val="20"/>
                <w:color w:val="auto"/>
              </w:rPr>
            </w:pPr>
            <w:r>
              <w:rPr>
                <w:rFonts w:ascii="Times New Roman" w:cs="Times New Roman" w:eastAsia="Times New Roman" w:hAnsi="Times New Roman"/>
                <w:sz w:val="1"/>
                <w:szCs w:val="1"/>
                <w:color w:val="121212"/>
                <w:w w:val="4294967286"/>
              </w:rPr>
              <w:t>$</w:t>
            </w:r>
          </w:p>
        </w:tc>
        <w:tc>
          <w:tcPr>
            <w:tcW w:w="900" w:type="dxa"/>
            <w:vAlign w:val="bottom"/>
            <w:gridSpan w:val="2"/>
            <w:shd w:val="clear" w:color="auto" w:fill="DFDFDF"/>
          </w:tcPr>
          <w:p>
            <w:pPr>
              <w:jc w:val="right"/>
              <w:ind w:right="120"/>
              <w:spacing w:after="0" w:line="100" w:lineRule="exact"/>
              <w:rPr>
                <w:sz w:val="20"/>
                <w:szCs w:val="20"/>
                <w:color w:val="auto"/>
              </w:rPr>
            </w:pPr>
            <w:r>
              <w:rPr>
                <w:rFonts w:ascii="Times New Roman" w:cs="Times New Roman" w:eastAsia="Times New Roman" w:hAnsi="Times New Roman"/>
                <w:sz w:val="10"/>
                <w:szCs w:val="10"/>
                <w:color w:val="121212"/>
              </w:rPr>
              <w:t>288,814</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80" w:type="dxa"/>
            <w:vAlign w:val="bottom"/>
            <w:shd w:val="clear" w:color="auto" w:fill="DFDFDF"/>
          </w:tcPr>
          <w:p>
            <w:pPr>
              <w:jc w:val="right"/>
              <w:ind w:right="16"/>
              <w:spacing w:after="0"/>
              <w:rPr>
                <w:sz w:val="20"/>
                <w:szCs w:val="20"/>
                <w:color w:val="auto"/>
              </w:rPr>
            </w:pPr>
            <w:r>
              <w:rPr>
                <w:rFonts w:ascii="Times New Roman" w:cs="Times New Roman" w:eastAsia="Times New Roman" w:hAnsi="Times New Roman"/>
                <w:sz w:val="5"/>
                <w:szCs w:val="5"/>
                <w:color w:val="121212"/>
                <w:w w:val="78"/>
              </w:rPr>
              <w:t>$</w:t>
            </w:r>
          </w:p>
        </w:tc>
        <w:tc>
          <w:tcPr>
            <w:tcW w:w="880" w:type="dxa"/>
            <w:vAlign w:val="bottom"/>
            <w:shd w:val="clear" w:color="auto" w:fill="DFDFDF"/>
          </w:tcPr>
          <w:p>
            <w:pPr>
              <w:jc w:val="right"/>
              <w:ind w:right="52"/>
              <w:spacing w:after="0" w:line="100" w:lineRule="exact"/>
              <w:rPr>
                <w:sz w:val="20"/>
                <w:szCs w:val="20"/>
                <w:color w:val="auto"/>
              </w:rPr>
            </w:pPr>
            <w:r>
              <w:rPr>
                <w:rFonts w:ascii="Times New Roman" w:cs="Times New Roman" w:eastAsia="Times New Roman" w:hAnsi="Times New Roman"/>
                <w:sz w:val="10"/>
                <w:szCs w:val="10"/>
                <w:color w:val="121212"/>
              </w:rPr>
              <w:t>(112,216)</w:t>
            </w:r>
          </w:p>
        </w:tc>
        <w:tc>
          <w:tcPr>
            <w:tcW w:w="140" w:type="dxa"/>
            <w:vAlign w:val="bottom"/>
            <w:shd w:val="clear" w:color="auto" w:fill="DFDFDF"/>
          </w:tcPr>
          <w:p>
            <w:pPr>
              <w:spacing w:after="0"/>
              <w:rPr>
                <w:sz w:val="8"/>
                <w:szCs w:val="8"/>
                <w:color w:val="auto"/>
              </w:rPr>
            </w:pPr>
          </w:p>
        </w:tc>
        <w:tc>
          <w:tcPr>
            <w:tcW w:w="20" w:type="dxa"/>
            <w:vAlign w:val="bottom"/>
            <w:shd w:val="clear" w:color="auto" w:fill="DFDFDF"/>
          </w:tcPr>
          <w:p>
            <w:pPr>
              <w:spacing w:after="0"/>
              <w:rPr>
                <w:sz w:val="8"/>
                <w:szCs w:val="8"/>
                <w:color w:val="auto"/>
              </w:rPr>
            </w:pPr>
          </w:p>
        </w:tc>
        <w:tc>
          <w:tcPr>
            <w:tcW w:w="100" w:type="dxa"/>
            <w:vAlign w:val="bottom"/>
            <w:shd w:val="clear" w:color="auto" w:fill="DFDFDF"/>
          </w:tcPr>
          <w:p>
            <w:pPr>
              <w:jc w:val="right"/>
              <w:ind w:right="74"/>
              <w:spacing w:after="0"/>
              <w:rPr>
                <w:sz w:val="20"/>
                <w:szCs w:val="20"/>
                <w:color w:val="auto"/>
              </w:rPr>
            </w:pPr>
            <w:r>
              <w:rPr>
                <w:rFonts w:ascii="Times New Roman" w:cs="Times New Roman" w:eastAsia="Times New Roman" w:hAnsi="Times New Roman"/>
                <w:sz w:val="1"/>
                <w:szCs w:val="1"/>
                <w:color w:val="121212"/>
                <w:w w:val="4294967286"/>
              </w:rPr>
              <w:t>$</w:t>
            </w:r>
          </w:p>
        </w:tc>
        <w:tc>
          <w:tcPr>
            <w:tcW w:w="980" w:type="dxa"/>
            <w:vAlign w:val="bottom"/>
            <w:shd w:val="clear" w:color="auto" w:fill="DFDFDF"/>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176,600</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line="112" w:lineRule="exact"/>
              <w:rPr>
                <w:sz w:val="20"/>
                <w:szCs w:val="20"/>
                <w:color w:val="auto"/>
              </w:rPr>
            </w:pPr>
            <w:r>
              <w:rPr>
                <w:rFonts w:ascii="Times New Roman" w:cs="Times New Roman" w:eastAsia="Times New Roman" w:hAnsi="Times New Roman"/>
                <w:sz w:val="10"/>
                <w:szCs w:val="10"/>
                <w:color w:val="121212"/>
              </w:rPr>
              <w:t>Issuance of common stock upon</w:t>
            </w:r>
          </w:p>
        </w:tc>
        <w:tc>
          <w:tcPr>
            <w:tcW w:w="140" w:type="dxa"/>
            <w:vAlign w:val="bottom"/>
          </w:tcPr>
          <w:p>
            <w:pPr>
              <w:spacing w:after="0" w:line="20" w:lineRule="exact"/>
              <w:rPr>
                <w:sz w:val="1"/>
                <w:szCs w:val="1"/>
                <w:color w:val="auto"/>
              </w:rPr>
            </w:pPr>
          </w:p>
        </w:tc>
        <w:tc>
          <w:tcPr>
            <w:tcW w:w="90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54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121212"/>
              <w:bottom w:val="single" w:sz="8" w:color="121212"/>
            </w:tcBorders>
          </w:tcPr>
          <w:p>
            <w:pPr>
              <w:spacing w:after="0" w:line="20" w:lineRule="exact"/>
              <w:rPr>
                <w:sz w:val="1"/>
                <w:szCs w:val="1"/>
                <w:color w:val="auto"/>
              </w:rPr>
            </w:pPr>
          </w:p>
        </w:tc>
        <w:tc>
          <w:tcPr>
            <w:tcW w:w="58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121212"/>
              <w:bottom w:val="single" w:sz="8" w:color="121212"/>
            </w:tcBorders>
          </w:tcPr>
          <w:p>
            <w:pPr>
              <w:spacing w:after="0" w:line="20" w:lineRule="exact"/>
              <w:rPr>
                <w:sz w:val="1"/>
                <w:szCs w:val="1"/>
                <w:color w:val="auto"/>
              </w:rPr>
            </w:pPr>
          </w:p>
        </w:tc>
        <w:tc>
          <w:tcPr>
            <w:tcW w:w="60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Borders>
              <w:right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121212"/>
              <w:bottom w:val="single" w:sz="8" w:color="121212"/>
            </w:tcBorders>
          </w:tcPr>
          <w:p>
            <w:pPr>
              <w:spacing w:after="0" w:line="20" w:lineRule="exact"/>
              <w:rPr>
                <w:sz w:val="1"/>
                <w:szCs w:val="1"/>
                <w:color w:val="auto"/>
              </w:rPr>
            </w:pPr>
          </w:p>
        </w:tc>
        <w:tc>
          <w:tcPr>
            <w:tcW w:w="86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121212"/>
              <w:bottom w:val="single" w:sz="8" w:color="121212"/>
            </w:tcBorders>
          </w:tcPr>
          <w:p>
            <w:pPr>
              <w:spacing w:after="0" w:line="20" w:lineRule="exact"/>
              <w:rPr>
                <w:sz w:val="1"/>
                <w:szCs w:val="1"/>
                <w:color w:val="auto"/>
              </w:rPr>
            </w:pPr>
          </w:p>
        </w:tc>
        <w:tc>
          <w:tcPr>
            <w:tcW w:w="560" w:type="dxa"/>
            <w:vAlign w:val="bottom"/>
            <w:tcBorders>
              <w:top w:val="single" w:sz="8" w:color="121212"/>
              <w:bottom w:val="single" w:sz="8" w:color="121212"/>
            </w:tcBorders>
          </w:tcPr>
          <w:p>
            <w:pPr>
              <w:spacing w:after="0" w:line="20" w:lineRule="exact"/>
              <w:rPr>
                <w:sz w:val="1"/>
                <w:szCs w:val="1"/>
                <w:color w:val="auto"/>
              </w:rPr>
            </w:pPr>
          </w:p>
        </w:tc>
        <w:tc>
          <w:tcPr>
            <w:tcW w:w="2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121212"/>
              <w:bottom w:val="single" w:sz="8" w:color="121212"/>
            </w:tcBorders>
          </w:tcPr>
          <w:p>
            <w:pPr>
              <w:spacing w:after="0" w:line="20" w:lineRule="exact"/>
              <w:rPr>
                <w:sz w:val="1"/>
                <w:szCs w:val="1"/>
                <w:color w:val="auto"/>
              </w:rPr>
            </w:pPr>
          </w:p>
        </w:tc>
        <w:tc>
          <w:tcPr>
            <w:tcW w:w="780" w:type="dxa"/>
            <w:vAlign w:val="bottom"/>
            <w:tcBorders>
              <w:top w:val="single" w:sz="8" w:color="121212"/>
              <w:bottom w:val="single" w:sz="8" w:color="121212"/>
            </w:tcBorders>
          </w:tcPr>
          <w:p>
            <w:pPr>
              <w:spacing w:after="0" w:line="20" w:lineRule="exact"/>
              <w:rPr>
                <w:sz w:val="1"/>
                <w:szCs w:val="1"/>
                <w:color w:val="auto"/>
              </w:rPr>
            </w:pPr>
          </w:p>
        </w:tc>
        <w:tc>
          <w:tcPr>
            <w:tcW w:w="12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121212"/>
              <w:bottom w:val="single" w:sz="8" w:color="121212"/>
            </w:tcBorders>
          </w:tcPr>
          <w:p>
            <w:pPr>
              <w:spacing w:after="0" w:line="20" w:lineRule="exact"/>
              <w:rPr>
                <w:sz w:val="1"/>
                <w:szCs w:val="1"/>
                <w:color w:val="auto"/>
              </w:rPr>
            </w:pPr>
          </w:p>
        </w:tc>
        <w:tc>
          <w:tcPr>
            <w:tcW w:w="880" w:type="dxa"/>
            <w:vAlign w:val="bottom"/>
            <w:tcBorders>
              <w:top w:val="single" w:sz="8" w:color="121212"/>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121212"/>
              <w:bottom w:val="single" w:sz="8" w:color="121212"/>
            </w:tcBorders>
          </w:tcPr>
          <w:p>
            <w:pPr>
              <w:spacing w:after="0" w:line="20" w:lineRule="exact"/>
              <w:rPr>
                <w:sz w:val="1"/>
                <w:szCs w:val="1"/>
                <w:color w:val="auto"/>
              </w:rPr>
            </w:pPr>
          </w:p>
        </w:tc>
        <w:tc>
          <w:tcPr>
            <w:tcW w:w="980" w:type="dxa"/>
            <w:vAlign w:val="bottom"/>
            <w:tcBorders>
              <w:top w:val="single" w:sz="8" w:color="121212"/>
              <w:bottom w:val="single" w:sz="8" w:color="12121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2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6"/>
                <w:szCs w:val="6"/>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6"/>
                <w:szCs w:val="6"/>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tcPr>
          <w:p>
            <w:pPr>
              <w:spacing w:after="0"/>
              <w:rPr>
                <w:sz w:val="6"/>
                <w:szCs w:val="6"/>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254,432</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121212"/>
              </w:rPr>
              <w:t>2,763</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2,763</w:t>
            </w:r>
          </w:p>
        </w:tc>
        <w:tc>
          <w:tcPr>
            <w:tcW w:w="0" w:type="dxa"/>
            <w:vAlign w:val="bottom"/>
          </w:tcPr>
          <w:p>
            <w:pPr>
              <w:spacing w:after="0"/>
              <w:rPr>
                <w:sz w:val="1"/>
                <w:szCs w:val="1"/>
                <w:color w:val="auto"/>
              </w:rPr>
            </w:pPr>
          </w:p>
        </w:tc>
      </w:tr>
      <w:tr>
        <w:trPr>
          <w:trHeight w:val="69"/>
        </w:trPr>
        <w:tc>
          <w:tcPr>
            <w:tcW w:w="220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121212"/>
              </w:rPr>
              <w:t>exercise of stock options</w:t>
            </w: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Borders>
              <w:right w:val="single" w:sz="8" w:color="121212"/>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Borders>
              <w:right w:val="single" w:sz="8" w:color="121212"/>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200" w:type="dxa"/>
            <w:vAlign w:val="bottom"/>
            <w:shd w:val="clear" w:color="auto" w:fill="DFDFDF"/>
          </w:tcPr>
          <w:p>
            <w:pPr>
              <w:spacing w:after="0" w:line="114" w:lineRule="exact"/>
              <w:rPr>
                <w:sz w:val="20"/>
                <w:szCs w:val="20"/>
                <w:color w:val="auto"/>
              </w:rPr>
            </w:pPr>
            <w:r>
              <w:rPr>
                <w:rFonts w:ascii="Times New Roman" w:cs="Times New Roman" w:eastAsia="Times New Roman" w:hAnsi="Times New Roman"/>
                <w:sz w:val="10"/>
                <w:szCs w:val="10"/>
                <w:color w:val="121212"/>
              </w:rPr>
              <w:t>Vesting of restricted common stock</w:t>
            </w:r>
          </w:p>
        </w:tc>
        <w:tc>
          <w:tcPr>
            <w:tcW w:w="140" w:type="dxa"/>
            <w:vAlign w:val="bottom"/>
            <w:shd w:val="clear" w:color="auto" w:fill="DFDFDF"/>
          </w:tcPr>
          <w:p>
            <w:pPr>
              <w:spacing w:after="0"/>
              <w:rPr>
                <w:sz w:val="9"/>
                <w:szCs w:val="9"/>
                <w:color w:val="auto"/>
              </w:rPr>
            </w:pPr>
          </w:p>
        </w:tc>
        <w:tc>
          <w:tcPr>
            <w:tcW w:w="1040" w:type="dxa"/>
            <w:vAlign w:val="bottom"/>
            <w:gridSpan w:val="2"/>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56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00" w:type="dxa"/>
            <w:vAlign w:val="bottom"/>
            <w:gridSpan w:val="2"/>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60" w:type="dxa"/>
            <w:vAlign w:val="bottom"/>
            <w:shd w:val="clear" w:color="auto" w:fill="DFDFDF"/>
          </w:tcPr>
          <w:p>
            <w:pPr>
              <w:spacing w:after="0"/>
              <w:rPr>
                <w:sz w:val="9"/>
                <w:szCs w:val="9"/>
                <w:color w:val="auto"/>
              </w:rPr>
            </w:pPr>
          </w:p>
        </w:tc>
        <w:tc>
          <w:tcPr>
            <w:tcW w:w="60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20" w:type="dxa"/>
            <w:vAlign w:val="bottom"/>
            <w:gridSpan w:val="3"/>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9"/>
                <w:szCs w:val="9"/>
                <w:color w:val="auto"/>
              </w:rPr>
            </w:pPr>
          </w:p>
        </w:tc>
        <w:tc>
          <w:tcPr>
            <w:tcW w:w="60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0" w:type="dxa"/>
            <w:vAlign w:val="bottom"/>
            <w:shd w:val="clear" w:color="auto" w:fill="DFDFDF"/>
          </w:tcPr>
          <w:p>
            <w:pPr>
              <w:spacing w:after="0"/>
              <w:rPr>
                <w:sz w:val="9"/>
                <w:szCs w:val="9"/>
                <w:color w:val="auto"/>
              </w:rPr>
            </w:pPr>
          </w:p>
        </w:tc>
        <w:tc>
          <w:tcPr>
            <w:tcW w:w="86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1,916</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40" w:type="dxa"/>
            <w:vAlign w:val="bottom"/>
            <w:shd w:val="clear" w:color="auto" w:fill="DFDFDF"/>
          </w:tcPr>
          <w:p>
            <w:pPr>
              <w:spacing w:after="0"/>
              <w:rPr>
                <w:sz w:val="9"/>
                <w:szCs w:val="9"/>
                <w:color w:val="auto"/>
              </w:rPr>
            </w:pPr>
          </w:p>
        </w:tc>
        <w:tc>
          <w:tcPr>
            <w:tcW w:w="58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780" w:type="dxa"/>
            <w:vAlign w:val="bottom"/>
            <w:shd w:val="clear" w:color="auto" w:fill="DFDFDF"/>
          </w:tcPr>
          <w:p>
            <w:pPr>
              <w:jc w:val="right"/>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88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00" w:type="dxa"/>
            <w:vAlign w:val="bottom"/>
            <w:shd w:val="clear" w:color="auto" w:fill="DFDFDF"/>
          </w:tcPr>
          <w:p>
            <w:pPr>
              <w:spacing w:after="0"/>
              <w:rPr>
                <w:sz w:val="9"/>
                <w:szCs w:val="9"/>
                <w:color w:val="auto"/>
              </w:rPr>
            </w:pPr>
          </w:p>
        </w:tc>
        <w:tc>
          <w:tcPr>
            <w:tcW w:w="98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0" w:type="dxa"/>
            <w:vAlign w:val="bottom"/>
          </w:tcPr>
          <w:p>
            <w:pPr>
              <w:spacing w:after="0"/>
              <w:rPr>
                <w:sz w:val="1"/>
                <w:szCs w:val="1"/>
                <w:color w:val="auto"/>
              </w:rPr>
            </w:pPr>
          </w:p>
        </w:tc>
      </w:tr>
      <w:tr>
        <w:trPr>
          <w:trHeight w:val="110"/>
        </w:trPr>
        <w:tc>
          <w:tcPr>
            <w:tcW w:w="2200" w:type="dxa"/>
            <w:vAlign w:val="bottom"/>
          </w:tcPr>
          <w:p>
            <w:pPr>
              <w:spacing w:after="0" w:line="110" w:lineRule="exact"/>
              <w:rPr>
                <w:sz w:val="20"/>
                <w:szCs w:val="20"/>
                <w:color w:val="auto"/>
              </w:rPr>
            </w:pPr>
            <w:r>
              <w:rPr>
                <w:rFonts w:ascii="Times New Roman" w:cs="Times New Roman" w:eastAsia="Times New Roman" w:hAnsi="Times New Roman"/>
                <w:sz w:val="10"/>
                <w:szCs w:val="10"/>
                <w:color w:val="121212"/>
              </w:rPr>
              <w:t>Stock-based compensation expense</w:t>
            </w:r>
          </w:p>
        </w:tc>
        <w:tc>
          <w:tcPr>
            <w:tcW w:w="140" w:type="dxa"/>
            <w:vAlign w:val="bottom"/>
          </w:tcPr>
          <w:p>
            <w:pPr>
              <w:spacing w:after="0"/>
              <w:rPr>
                <w:sz w:val="9"/>
                <w:szCs w:val="9"/>
                <w:color w:val="auto"/>
              </w:rPr>
            </w:pPr>
          </w:p>
        </w:tc>
        <w:tc>
          <w:tcPr>
            <w:tcW w:w="104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9"/>
                <w:szCs w:val="9"/>
                <w:color w:val="auto"/>
              </w:rPr>
            </w:pPr>
          </w:p>
        </w:tc>
        <w:tc>
          <w:tcPr>
            <w:tcW w:w="110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9"/>
                <w:szCs w:val="9"/>
                <w:color w:val="auto"/>
              </w:rPr>
            </w:pPr>
          </w:p>
        </w:tc>
        <w:tc>
          <w:tcPr>
            <w:tcW w:w="1120" w:type="dxa"/>
            <w:vAlign w:val="bottom"/>
            <w:gridSpan w:val="3"/>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80" w:type="dxa"/>
            <w:vAlign w:val="bottom"/>
          </w:tcPr>
          <w:p>
            <w:pPr>
              <w:spacing w:after="0"/>
              <w:rPr>
                <w:sz w:val="9"/>
                <w:szCs w:val="9"/>
                <w:color w:val="auto"/>
              </w:rPr>
            </w:pPr>
          </w:p>
        </w:tc>
        <w:tc>
          <w:tcPr>
            <w:tcW w:w="600" w:type="dxa"/>
            <w:vAlign w:val="bottom"/>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Times New Roman" w:cs="Times New Roman" w:eastAsia="Times New Roman" w:hAnsi="Times New Roman"/>
                <w:sz w:val="10"/>
                <w:szCs w:val="10"/>
                <w:color w:val="121212"/>
              </w:rPr>
              <w:t>5,530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5,530</w:t>
            </w:r>
          </w:p>
        </w:tc>
        <w:tc>
          <w:tcPr>
            <w:tcW w:w="0" w:type="dxa"/>
            <w:vAlign w:val="bottom"/>
          </w:tcPr>
          <w:p>
            <w:pPr>
              <w:spacing w:after="0"/>
              <w:rPr>
                <w:sz w:val="1"/>
                <w:szCs w:val="1"/>
                <w:color w:val="auto"/>
              </w:rPr>
            </w:pPr>
          </w:p>
        </w:tc>
      </w:tr>
      <w:tr>
        <w:trPr>
          <w:trHeight w:val="89"/>
        </w:trPr>
        <w:tc>
          <w:tcPr>
            <w:tcW w:w="2200" w:type="dxa"/>
            <w:vAlign w:val="bottom"/>
            <w:shd w:val="clear" w:color="auto" w:fill="DFDFDF"/>
          </w:tcPr>
          <w:p>
            <w:pPr>
              <w:spacing w:after="0" w:line="90" w:lineRule="exact"/>
              <w:rPr>
                <w:sz w:val="20"/>
                <w:szCs w:val="20"/>
                <w:color w:val="auto"/>
              </w:rPr>
            </w:pPr>
            <w:r>
              <w:rPr>
                <w:rFonts w:ascii="Times New Roman" w:cs="Times New Roman" w:eastAsia="Times New Roman" w:hAnsi="Times New Roman"/>
                <w:sz w:val="10"/>
                <w:szCs w:val="10"/>
                <w:color w:val="121212"/>
              </w:rPr>
              <w:t>Sale of common stock in</w:t>
            </w:r>
          </w:p>
        </w:tc>
        <w:tc>
          <w:tcPr>
            <w:tcW w:w="140" w:type="dxa"/>
            <w:vAlign w:val="bottom"/>
            <w:shd w:val="clear" w:color="auto" w:fill="DFDFDF"/>
          </w:tcPr>
          <w:p>
            <w:pPr>
              <w:spacing w:after="0"/>
              <w:rPr>
                <w:sz w:val="7"/>
                <w:szCs w:val="7"/>
                <w:color w:val="auto"/>
              </w:rPr>
            </w:pPr>
          </w:p>
        </w:tc>
        <w:tc>
          <w:tcPr>
            <w:tcW w:w="104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56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110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7"/>
                <w:szCs w:val="7"/>
                <w:color w:val="auto"/>
              </w:rPr>
            </w:pPr>
          </w:p>
        </w:tc>
        <w:tc>
          <w:tcPr>
            <w:tcW w:w="60" w:type="dxa"/>
            <w:vAlign w:val="bottom"/>
            <w:shd w:val="clear" w:color="auto" w:fill="DFDFDF"/>
          </w:tcPr>
          <w:p>
            <w:pPr>
              <w:spacing w:after="0"/>
              <w:rPr>
                <w:sz w:val="7"/>
                <w:szCs w:val="7"/>
                <w:color w:val="auto"/>
              </w:rPr>
            </w:pPr>
          </w:p>
        </w:tc>
        <w:tc>
          <w:tcPr>
            <w:tcW w:w="60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1120" w:type="dxa"/>
            <w:vAlign w:val="bottom"/>
            <w:gridSpan w:val="3"/>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7"/>
                <w:szCs w:val="7"/>
                <w:color w:val="auto"/>
              </w:rPr>
            </w:pPr>
          </w:p>
        </w:tc>
        <w:tc>
          <w:tcPr>
            <w:tcW w:w="60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6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1,488,166</w:t>
            </w: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40" w:type="dxa"/>
            <w:vAlign w:val="bottom"/>
            <w:shd w:val="clear" w:color="auto" w:fill="DFDFDF"/>
          </w:tcPr>
          <w:p>
            <w:pPr>
              <w:spacing w:after="0"/>
              <w:rPr>
                <w:sz w:val="7"/>
                <w:szCs w:val="7"/>
                <w:color w:val="auto"/>
              </w:rPr>
            </w:pPr>
          </w:p>
        </w:tc>
        <w:tc>
          <w:tcPr>
            <w:tcW w:w="58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780" w:type="dxa"/>
            <w:vAlign w:val="bottom"/>
            <w:vMerge w:val="restart"/>
            <w:shd w:val="clear" w:color="auto" w:fill="DFDFDF"/>
          </w:tcPr>
          <w:p>
            <w:pPr>
              <w:jc w:val="right"/>
              <w:spacing w:after="0"/>
              <w:rPr>
                <w:sz w:val="20"/>
                <w:szCs w:val="20"/>
                <w:color w:val="auto"/>
              </w:rPr>
            </w:pPr>
            <w:r>
              <w:rPr>
                <w:rFonts w:ascii="Times New Roman" w:cs="Times New Roman" w:eastAsia="Times New Roman" w:hAnsi="Times New Roman"/>
                <w:sz w:val="10"/>
                <w:szCs w:val="10"/>
                <w:color w:val="121212"/>
              </w:rPr>
              <w:t>34,148</w:t>
            </w:r>
          </w:p>
        </w:tc>
        <w:tc>
          <w:tcPr>
            <w:tcW w:w="12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88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98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34,148</w:t>
            </w:r>
          </w:p>
        </w:tc>
        <w:tc>
          <w:tcPr>
            <w:tcW w:w="0" w:type="dxa"/>
            <w:vAlign w:val="bottom"/>
          </w:tcPr>
          <w:p>
            <w:pPr>
              <w:spacing w:after="0"/>
              <w:rPr>
                <w:sz w:val="1"/>
                <w:szCs w:val="1"/>
                <w:color w:val="auto"/>
              </w:rPr>
            </w:pPr>
          </w:p>
        </w:tc>
      </w:tr>
      <w:tr>
        <w:trPr>
          <w:trHeight w:val="110"/>
        </w:trPr>
        <w:tc>
          <w:tcPr>
            <w:tcW w:w="2200" w:type="dxa"/>
            <w:vAlign w:val="bottom"/>
            <w:shd w:val="clear" w:color="auto" w:fill="DFDFDF"/>
          </w:tcPr>
          <w:p>
            <w:pPr>
              <w:ind w:left="80"/>
              <w:spacing w:after="0" w:line="110" w:lineRule="exact"/>
              <w:rPr>
                <w:sz w:val="20"/>
                <w:szCs w:val="20"/>
                <w:color w:val="auto"/>
              </w:rPr>
            </w:pPr>
            <w:r>
              <w:rPr>
                <w:rFonts w:ascii="Times New Roman" w:cs="Times New Roman" w:eastAsia="Times New Roman" w:hAnsi="Times New Roman"/>
                <w:sz w:val="10"/>
                <w:szCs w:val="10"/>
                <w:color w:val="121212"/>
              </w:rPr>
              <w:t>registered direct offering,</w:t>
            </w:r>
          </w:p>
        </w:tc>
        <w:tc>
          <w:tcPr>
            <w:tcW w:w="140" w:type="dxa"/>
            <w:vAlign w:val="bottom"/>
            <w:shd w:val="clear" w:color="auto" w:fill="DFDFDF"/>
          </w:tcPr>
          <w:p>
            <w:pPr>
              <w:spacing w:after="0"/>
              <w:rPr>
                <w:sz w:val="9"/>
                <w:szCs w:val="9"/>
                <w:color w:val="auto"/>
              </w:rPr>
            </w:pPr>
          </w:p>
        </w:tc>
        <w:tc>
          <w:tcPr>
            <w:tcW w:w="1040" w:type="dxa"/>
            <w:vAlign w:val="bottom"/>
            <w:gridSpan w:val="2"/>
            <w:vMerge w:val="continue"/>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560" w:type="dxa"/>
            <w:vAlign w:val="bottom"/>
            <w:gridSpan w:val="2"/>
            <w:vMerge w:val="continue"/>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1100" w:type="dxa"/>
            <w:vAlign w:val="bottom"/>
            <w:gridSpan w:val="2"/>
            <w:vMerge w:val="continue"/>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60" w:type="dxa"/>
            <w:vAlign w:val="bottom"/>
            <w:shd w:val="clear" w:color="auto" w:fill="DFDFDF"/>
          </w:tcPr>
          <w:p>
            <w:pPr>
              <w:spacing w:after="0"/>
              <w:rPr>
                <w:sz w:val="9"/>
                <w:szCs w:val="9"/>
                <w:color w:val="auto"/>
              </w:rPr>
            </w:pPr>
          </w:p>
        </w:tc>
        <w:tc>
          <w:tcPr>
            <w:tcW w:w="600" w:type="dxa"/>
            <w:vAlign w:val="bottom"/>
            <w:gridSpan w:val="2"/>
            <w:vMerge w:val="continue"/>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1120" w:type="dxa"/>
            <w:vAlign w:val="bottom"/>
            <w:gridSpan w:val="3"/>
            <w:vMerge w:val="continue"/>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600" w:type="dxa"/>
            <w:vAlign w:val="bottom"/>
            <w:vMerge w:val="continue"/>
            <w:shd w:val="clear" w:color="auto" w:fill="DFDFDF"/>
          </w:tcPr>
          <w:p>
            <w:pPr>
              <w:spacing w:after="0"/>
              <w:rPr>
                <w:sz w:val="9"/>
                <w:szCs w:val="9"/>
                <w:color w:val="auto"/>
              </w:rPr>
            </w:pPr>
          </w:p>
        </w:tc>
        <w:tc>
          <w:tcPr>
            <w:tcW w:w="140" w:type="dxa"/>
            <w:vAlign w:val="bottom"/>
            <w:tcBorders>
              <w:right w:val="single" w:sz="8" w:color="121212"/>
            </w:tcBorders>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0" w:type="dxa"/>
            <w:vAlign w:val="bottom"/>
            <w:shd w:val="clear" w:color="auto" w:fill="DFDFDF"/>
          </w:tcPr>
          <w:p>
            <w:pPr>
              <w:spacing w:after="0"/>
              <w:rPr>
                <w:sz w:val="9"/>
                <w:szCs w:val="9"/>
                <w:color w:val="auto"/>
              </w:rPr>
            </w:pPr>
          </w:p>
        </w:tc>
        <w:tc>
          <w:tcPr>
            <w:tcW w:w="860" w:type="dxa"/>
            <w:vAlign w:val="bottom"/>
            <w:vMerge w:val="continue"/>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40" w:type="dxa"/>
            <w:vAlign w:val="bottom"/>
            <w:shd w:val="clear" w:color="auto" w:fill="DFDFDF"/>
          </w:tcPr>
          <w:p>
            <w:pPr>
              <w:spacing w:after="0"/>
              <w:rPr>
                <w:sz w:val="9"/>
                <w:szCs w:val="9"/>
                <w:color w:val="auto"/>
              </w:rPr>
            </w:pPr>
          </w:p>
        </w:tc>
        <w:tc>
          <w:tcPr>
            <w:tcW w:w="580" w:type="dxa"/>
            <w:vAlign w:val="bottom"/>
            <w:gridSpan w:val="2"/>
            <w:vMerge w:val="continue"/>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780" w:type="dxa"/>
            <w:vAlign w:val="bottom"/>
            <w:vMerge w:val="continue"/>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880" w:type="dxa"/>
            <w:vAlign w:val="bottom"/>
            <w:vMerge w:val="continue"/>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00" w:type="dxa"/>
            <w:vAlign w:val="bottom"/>
            <w:shd w:val="clear" w:color="auto" w:fill="DFDFDF"/>
          </w:tcPr>
          <w:p>
            <w:pPr>
              <w:spacing w:after="0"/>
              <w:rPr>
                <w:sz w:val="9"/>
                <w:szCs w:val="9"/>
                <w:color w:val="auto"/>
              </w:rPr>
            </w:pPr>
          </w:p>
        </w:tc>
        <w:tc>
          <w:tcPr>
            <w:tcW w:w="980" w:type="dxa"/>
            <w:vAlign w:val="bottom"/>
            <w:vMerge w:val="continue"/>
            <w:shd w:val="clear" w:color="auto" w:fill="DFDFD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DFDFDF"/>
          </w:tcPr>
          <w:p>
            <w:pPr>
              <w:ind w:left="80"/>
              <w:spacing w:after="0"/>
              <w:rPr>
                <w:sz w:val="20"/>
                <w:szCs w:val="20"/>
                <w:color w:val="auto"/>
              </w:rPr>
            </w:pPr>
            <w:r>
              <w:rPr>
                <w:rFonts w:ascii="Times New Roman" w:cs="Times New Roman" w:eastAsia="Times New Roman" w:hAnsi="Times New Roman"/>
                <w:sz w:val="10"/>
                <w:szCs w:val="10"/>
                <w:color w:val="121212"/>
              </w:rPr>
              <w:t>net of issuance costs of $80</w:t>
            </w:r>
          </w:p>
        </w:tc>
        <w:tc>
          <w:tcPr>
            <w:tcW w:w="140" w:type="dxa"/>
            <w:vAlign w:val="bottom"/>
            <w:shd w:val="clear" w:color="auto" w:fill="DFDFDF"/>
          </w:tcPr>
          <w:p>
            <w:pPr>
              <w:spacing w:after="0"/>
              <w:rPr>
                <w:sz w:val="11"/>
                <w:szCs w:val="11"/>
                <w:color w:val="auto"/>
              </w:rPr>
            </w:pPr>
          </w:p>
        </w:tc>
        <w:tc>
          <w:tcPr>
            <w:tcW w:w="90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5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9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60" w:type="dxa"/>
            <w:vAlign w:val="bottom"/>
            <w:shd w:val="clear" w:color="auto" w:fill="DFDFDF"/>
          </w:tcPr>
          <w:p>
            <w:pPr>
              <w:spacing w:after="0"/>
              <w:rPr>
                <w:sz w:val="11"/>
                <w:szCs w:val="11"/>
                <w:color w:val="auto"/>
              </w:rPr>
            </w:pPr>
          </w:p>
        </w:tc>
        <w:tc>
          <w:tcPr>
            <w:tcW w:w="58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9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600" w:type="dxa"/>
            <w:vAlign w:val="bottom"/>
            <w:shd w:val="clear" w:color="auto" w:fill="DFDFDF"/>
          </w:tcPr>
          <w:p>
            <w:pPr>
              <w:spacing w:after="0"/>
              <w:rPr>
                <w:sz w:val="11"/>
                <w:szCs w:val="11"/>
                <w:color w:val="auto"/>
              </w:rPr>
            </w:pPr>
          </w:p>
        </w:tc>
        <w:tc>
          <w:tcPr>
            <w:tcW w:w="140" w:type="dxa"/>
            <w:vAlign w:val="bottom"/>
            <w:tcBorders>
              <w:right w:val="single" w:sz="8" w:color="121212"/>
            </w:tcBorders>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0" w:type="dxa"/>
            <w:vAlign w:val="bottom"/>
            <w:shd w:val="clear" w:color="auto" w:fill="DFDFDF"/>
          </w:tcPr>
          <w:p>
            <w:pPr>
              <w:spacing w:after="0"/>
              <w:rPr>
                <w:sz w:val="11"/>
                <w:szCs w:val="11"/>
                <w:color w:val="auto"/>
              </w:rPr>
            </w:pPr>
          </w:p>
        </w:tc>
        <w:tc>
          <w:tcPr>
            <w:tcW w:w="8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40" w:type="dxa"/>
            <w:vAlign w:val="bottom"/>
            <w:shd w:val="clear" w:color="auto" w:fill="DFDFDF"/>
          </w:tcPr>
          <w:p>
            <w:pPr>
              <w:spacing w:after="0"/>
              <w:rPr>
                <w:sz w:val="11"/>
                <w:szCs w:val="11"/>
                <w:color w:val="auto"/>
              </w:rPr>
            </w:pPr>
          </w:p>
        </w:tc>
        <w:tc>
          <w:tcPr>
            <w:tcW w:w="56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78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88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00" w:type="dxa"/>
            <w:vAlign w:val="bottom"/>
            <w:shd w:val="clear" w:color="auto" w:fill="DFDFDF"/>
          </w:tcPr>
          <w:p>
            <w:pPr>
              <w:spacing w:after="0"/>
              <w:rPr>
                <w:sz w:val="11"/>
                <w:szCs w:val="11"/>
                <w:color w:val="auto"/>
              </w:rPr>
            </w:pPr>
          </w:p>
        </w:tc>
        <w:tc>
          <w:tcPr>
            <w:tcW w:w="980" w:type="dxa"/>
            <w:vAlign w:val="bottom"/>
            <w:shd w:val="clear" w:color="auto" w:fill="DFDFDF"/>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00" w:type="dxa"/>
            <w:vAlign w:val="bottom"/>
          </w:tcPr>
          <w:p>
            <w:pPr>
              <w:spacing w:after="0" w:line="89" w:lineRule="exact"/>
              <w:rPr>
                <w:sz w:val="20"/>
                <w:szCs w:val="20"/>
                <w:color w:val="auto"/>
              </w:rPr>
            </w:pPr>
            <w:r>
              <w:rPr>
                <w:rFonts w:ascii="Times New Roman" w:cs="Times New Roman" w:eastAsia="Times New Roman" w:hAnsi="Times New Roman"/>
                <w:sz w:val="10"/>
                <w:szCs w:val="10"/>
                <w:color w:val="121212"/>
              </w:rPr>
              <w:t>Sale of pre-funded warrants</w:t>
            </w:r>
          </w:p>
        </w:tc>
        <w:tc>
          <w:tcPr>
            <w:tcW w:w="140" w:type="dxa"/>
            <w:vAlign w:val="bottom"/>
          </w:tcPr>
          <w:p>
            <w:pPr>
              <w:spacing w:after="0"/>
              <w:rPr>
                <w:sz w:val="7"/>
                <w:szCs w:val="7"/>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tcPr>
          <w:p>
            <w:pPr>
              <w:spacing w:after="0"/>
              <w:rPr>
                <w:sz w:val="7"/>
                <w:szCs w:val="7"/>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121212"/>
              </w:rPr>
              <w:t>28,206</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28,206</w:t>
            </w:r>
          </w:p>
        </w:tc>
        <w:tc>
          <w:tcPr>
            <w:tcW w:w="0" w:type="dxa"/>
            <w:vAlign w:val="bottom"/>
          </w:tcPr>
          <w:p>
            <w:pPr>
              <w:spacing w:after="0"/>
              <w:rPr>
                <w:sz w:val="1"/>
                <w:szCs w:val="1"/>
                <w:color w:val="auto"/>
              </w:rPr>
            </w:pPr>
          </w:p>
        </w:tc>
      </w:tr>
      <w:tr>
        <w:trPr>
          <w:trHeight w:val="110"/>
        </w:trPr>
        <w:tc>
          <w:tcPr>
            <w:tcW w:w="220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121212"/>
              </w:rPr>
              <w:t>in registered direct offering,</w:t>
            </w: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Borders>
              <w:right w:val="single" w:sz="8" w:color="121212"/>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00" w:type="dxa"/>
            <w:vAlign w:val="bottom"/>
          </w:tcPr>
          <w:p>
            <w:pPr>
              <w:ind w:left="80"/>
              <w:spacing w:after="0"/>
              <w:rPr>
                <w:sz w:val="20"/>
                <w:szCs w:val="20"/>
                <w:color w:val="auto"/>
              </w:rPr>
            </w:pPr>
            <w:r>
              <w:rPr>
                <w:rFonts w:ascii="Times New Roman" w:cs="Times New Roman" w:eastAsia="Times New Roman" w:hAnsi="Times New Roman"/>
                <w:sz w:val="10"/>
                <w:szCs w:val="10"/>
                <w:color w:val="121212"/>
              </w:rPr>
              <w:t>net of issuance costs of $66</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right w:val="single" w:sz="8" w:color="121212"/>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200" w:type="dxa"/>
            <w:vAlign w:val="bottom"/>
            <w:shd w:val="clear" w:color="auto" w:fill="DFDFDF"/>
          </w:tcPr>
          <w:p>
            <w:pPr>
              <w:spacing w:after="0" w:line="91" w:lineRule="exact"/>
              <w:rPr>
                <w:sz w:val="20"/>
                <w:szCs w:val="20"/>
                <w:color w:val="auto"/>
              </w:rPr>
            </w:pPr>
            <w:r>
              <w:rPr>
                <w:rFonts w:ascii="Times New Roman" w:cs="Times New Roman" w:eastAsia="Times New Roman" w:hAnsi="Times New Roman"/>
                <w:sz w:val="10"/>
                <w:szCs w:val="10"/>
                <w:color w:val="121212"/>
              </w:rPr>
              <w:t>Sale of common stock in</w:t>
            </w:r>
          </w:p>
        </w:tc>
        <w:tc>
          <w:tcPr>
            <w:tcW w:w="14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6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600" w:type="dxa"/>
            <w:vAlign w:val="bottom"/>
            <w:shd w:val="clear" w:color="auto" w:fill="DFDFDF"/>
          </w:tcPr>
          <w:p>
            <w:pPr>
              <w:spacing w:after="0"/>
              <w:rPr>
                <w:sz w:val="7"/>
                <w:szCs w:val="7"/>
                <w:color w:val="auto"/>
              </w:rPr>
            </w:pPr>
          </w:p>
        </w:tc>
        <w:tc>
          <w:tcPr>
            <w:tcW w:w="140" w:type="dxa"/>
            <w:vAlign w:val="bottom"/>
            <w:tcBorders>
              <w:right w:val="single" w:sz="8" w:color="121212"/>
            </w:tcBorders>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40" w:type="dxa"/>
            <w:vAlign w:val="bottom"/>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78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98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200" w:type="dxa"/>
            <w:vAlign w:val="bottom"/>
            <w:shd w:val="clear" w:color="auto" w:fill="DFDFDF"/>
          </w:tcPr>
          <w:p>
            <w:pPr>
              <w:ind w:left="80"/>
              <w:spacing w:after="0" w:line="110" w:lineRule="exact"/>
              <w:rPr>
                <w:sz w:val="20"/>
                <w:szCs w:val="20"/>
                <w:color w:val="auto"/>
              </w:rPr>
            </w:pPr>
            <w:r>
              <w:rPr>
                <w:rFonts w:ascii="Times New Roman" w:cs="Times New Roman" w:eastAsia="Times New Roman" w:hAnsi="Times New Roman"/>
                <w:sz w:val="10"/>
                <w:szCs w:val="10"/>
                <w:color w:val="121212"/>
              </w:rPr>
              <w:t>at-the-market offerings, net</w:t>
            </w:r>
          </w:p>
        </w:tc>
        <w:tc>
          <w:tcPr>
            <w:tcW w:w="140" w:type="dxa"/>
            <w:vAlign w:val="bottom"/>
            <w:shd w:val="clear" w:color="auto" w:fill="DFDFDF"/>
          </w:tcPr>
          <w:p>
            <w:pPr>
              <w:spacing w:after="0"/>
              <w:rPr>
                <w:sz w:val="9"/>
                <w:szCs w:val="9"/>
                <w:color w:val="auto"/>
              </w:rPr>
            </w:pPr>
          </w:p>
        </w:tc>
        <w:tc>
          <w:tcPr>
            <w:tcW w:w="1040" w:type="dxa"/>
            <w:vAlign w:val="bottom"/>
            <w:gridSpan w:val="2"/>
            <w:shd w:val="clear" w:color="auto" w:fill="DFDFDF"/>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560" w:type="dxa"/>
            <w:vAlign w:val="bottom"/>
            <w:gridSpan w:val="2"/>
            <w:shd w:val="clear" w:color="auto" w:fill="DFDFD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00" w:type="dxa"/>
            <w:vAlign w:val="bottom"/>
            <w:gridSpan w:val="2"/>
            <w:shd w:val="clear" w:color="auto" w:fill="DFDFDF"/>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60" w:type="dxa"/>
            <w:vAlign w:val="bottom"/>
            <w:shd w:val="clear" w:color="auto" w:fill="DFDFDF"/>
          </w:tcPr>
          <w:p>
            <w:pPr>
              <w:spacing w:after="0"/>
              <w:rPr>
                <w:sz w:val="9"/>
                <w:szCs w:val="9"/>
                <w:color w:val="auto"/>
              </w:rPr>
            </w:pPr>
          </w:p>
        </w:tc>
        <w:tc>
          <w:tcPr>
            <w:tcW w:w="600" w:type="dxa"/>
            <w:vAlign w:val="bottom"/>
            <w:gridSpan w:val="2"/>
            <w:shd w:val="clear" w:color="auto" w:fill="DFDFD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20" w:type="dxa"/>
            <w:vAlign w:val="bottom"/>
            <w:gridSpan w:val="3"/>
            <w:shd w:val="clear" w:color="auto" w:fill="DFDFDF"/>
          </w:tcPr>
          <w:p>
            <w:pPr>
              <w:jc w:val="right"/>
              <w:ind w:right="28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9"/>
                <w:szCs w:val="9"/>
                <w:color w:val="auto"/>
              </w:rPr>
            </w:pPr>
          </w:p>
        </w:tc>
        <w:tc>
          <w:tcPr>
            <w:tcW w:w="600" w:type="dxa"/>
            <w:vAlign w:val="bottom"/>
            <w:shd w:val="clear" w:color="auto" w:fill="DFDFDF"/>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0" w:type="dxa"/>
            <w:vAlign w:val="bottom"/>
            <w:shd w:val="clear" w:color="auto" w:fill="DFDFDF"/>
          </w:tcPr>
          <w:p>
            <w:pPr>
              <w:spacing w:after="0"/>
              <w:rPr>
                <w:sz w:val="9"/>
                <w:szCs w:val="9"/>
                <w:color w:val="auto"/>
              </w:rPr>
            </w:pPr>
          </w:p>
        </w:tc>
        <w:tc>
          <w:tcPr>
            <w:tcW w:w="860" w:type="dxa"/>
            <w:vAlign w:val="bottom"/>
            <w:shd w:val="clear" w:color="auto" w:fill="DFDFDF"/>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967,264</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40" w:type="dxa"/>
            <w:vAlign w:val="bottom"/>
            <w:shd w:val="clear" w:color="auto" w:fill="DFDFDF"/>
          </w:tcPr>
          <w:p>
            <w:pPr>
              <w:spacing w:after="0"/>
              <w:rPr>
                <w:sz w:val="9"/>
                <w:szCs w:val="9"/>
                <w:color w:val="auto"/>
              </w:rPr>
            </w:pPr>
          </w:p>
        </w:tc>
        <w:tc>
          <w:tcPr>
            <w:tcW w:w="580" w:type="dxa"/>
            <w:vAlign w:val="bottom"/>
            <w:gridSpan w:val="2"/>
            <w:shd w:val="clear" w:color="auto" w:fill="DFDFDF"/>
          </w:tcPr>
          <w:p>
            <w:pPr>
              <w:jc w:val="right"/>
              <w:ind w:right="160"/>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780" w:type="dxa"/>
            <w:vAlign w:val="bottom"/>
            <w:shd w:val="clear" w:color="auto" w:fill="DFDFDF"/>
          </w:tcPr>
          <w:p>
            <w:pPr>
              <w:jc w:val="right"/>
              <w:spacing w:after="0" w:line="110" w:lineRule="exact"/>
              <w:rPr>
                <w:sz w:val="20"/>
                <w:szCs w:val="20"/>
                <w:color w:val="auto"/>
              </w:rPr>
            </w:pPr>
            <w:r>
              <w:rPr>
                <w:rFonts w:ascii="Times New Roman" w:cs="Times New Roman" w:eastAsia="Times New Roman" w:hAnsi="Times New Roman"/>
                <w:sz w:val="10"/>
                <w:szCs w:val="10"/>
                <w:color w:val="121212"/>
              </w:rPr>
              <w:t>26,422</w:t>
            </w:r>
          </w:p>
        </w:tc>
        <w:tc>
          <w:tcPr>
            <w:tcW w:w="12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880" w:type="dxa"/>
            <w:vAlign w:val="bottom"/>
            <w:shd w:val="clear" w:color="auto" w:fill="DFDFDF"/>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00" w:type="dxa"/>
            <w:vAlign w:val="bottom"/>
            <w:shd w:val="clear" w:color="auto" w:fill="DFDFDF"/>
          </w:tcPr>
          <w:p>
            <w:pPr>
              <w:spacing w:after="0"/>
              <w:rPr>
                <w:sz w:val="9"/>
                <w:szCs w:val="9"/>
                <w:color w:val="auto"/>
              </w:rPr>
            </w:pPr>
          </w:p>
        </w:tc>
        <w:tc>
          <w:tcPr>
            <w:tcW w:w="980" w:type="dxa"/>
            <w:vAlign w:val="bottom"/>
            <w:shd w:val="clear" w:color="auto" w:fill="DFDFDF"/>
          </w:tcPr>
          <w:p>
            <w:pPr>
              <w:jc w:val="right"/>
              <w:ind w:right="92"/>
              <w:spacing w:after="0" w:line="110" w:lineRule="exact"/>
              <w:rPr>
                <w:sz w:val="20"/>
                <w:szCs w:val="20"/>
                <w:color w:val="auto"/>
              </w:rPr>
            </w:pPr>
            <w:r>
              <w:rPr>
                <w:rFonts w:ascii="Times New Roman" w:cs="Times New Roman" w:eastAsia="Times New Roman" w:hAnsi="Times New Roman"/>
                <w:sz w:val="10"/>
                <w:szCs w:val="10"/>
                <w:color w:val="121212"/>
              </w:rPr>
              <w:t>26,422</w:t>
            </w:r>
          </w:p>
        </w:tc>
        <w:tc>
          <w:tcPr>
            <w:tcW w:w="0" w:type="dxa"/>
            <w:vAlign w:val="bottom"/>
          </w:tcPr>
          <w:p>
            <w:pPr>
              <w:spacing w:after="0"/>
              <w:rPr>
                <w:sz w:val="1"/>
                <w:szCs w:val="1"/>
                <w:color w:val="auto"/>
              </w:rPr>
            </w:pPr>
          </w:p>
        </w:tc>
      </w:tr>
      <w:tr>
        <w:trPr>
          <w:trHeight w:val="130"/>
        </w:trPr>
        <w:tc>
          <w:tcPr>
            <w:tcW w:w="2200" w:type="dxa"/>
            <w:vAlign w:val="bottom"/>
            <w:shd w:val="clear" w:color="auto" w:fill="DFDFDF"/>
          </w:tcPr>
          <w:p>
            <w:pPr>
              <w:ind w:left="80"/>
              <w:spacing w:after="0"/>
              <w:rPr>
                <w:sz w:val="20"/>
                <w:szCs w:val="20"/>
                <w:color w:val="auto"/>
              </w:rPr>
            </w:pPr>
            <w:r>
              <w:rPr>
                <w:rFonts w:ascii="Times New Roman" w:cs="Times New Roman" w:eastAsia="Times New Roman" w:hAnsi="Times New Roman"/>
                <w:sz w:val="10"/>
                <w:szCs w:val="10"/>
                <w:color w:val="121212"/>
              </w:rPr>
              <w:t>of issuance costs of $742</w:t>
            </w:r>
          </w:p>
        </w:tc>
        <w:tc>
          <w:tcPr>
            <w:tcW w:w="140" w:type="dxa"/>
            <w:vAlign w:val="bottom"/>
            <w:shd w:val="clear" w:color="auto" w:fill="DFDFDF"/>
          </w:tcPr>
          <w:p>
            <w:pPr>
              <w:spacing w:after="0"/>
              <w:rPr>
                <w:sz w:val="11"/>
                <w:szCs w:val="11"/>
                <w:color w:val="auto"/>
              </w:rPr>
            </w:pPr>
          </w:p>
        </w:tc>
        <w:tc>
          <w:tcPr>
            <w:tcW w:w="90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5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9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60" w:type="dxa"/>
            <w:vAlign w:val="bottom"/>
            <w:shd w:val="clear" w:color="auto" w:fill="DFDFDF"/>
          </w:tcPr>
          <w:p>
            <w:pPr>
              <w:spacing w:after="0"/>
              <w:rPr>
                <w:sz w:val="11"/>
                <w:szCs w:val="11"/>
                <w:color w:val="auto"/>
              </w:rPr>
            </w:pPr>
          </w:p>
        </w:tc>
        <w:tc>
          <w:tcPr>
            <w:tcW w:w="58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9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600" w:type="dxa"/>
            <w:vAlign w:val="bottom"/>
            <w:shd w:val="clear" w:color="auto" w:fill="DFDFDF"/>
          </w:tcPr>
          <w:p>
            <w:pPr>
              <w:spacing w:after="0"/>
              <w:rPr>
                <w:sz w:val="11"/>
                <w:szCs w:val="11"/>
                <w:color w:val="auto"/>
              </w:rPr>
            </w:pPr>
          </w:p>
        </w:tc>
        <w:tc>
          <w:tcPr>
            <w:tcW w:w="140" w:type="dxa"/>
            <w:vAlign w:val="bottom"/>
            <w:tcBorders>
              <w:right w:val="single" w:sz="8" w:color="121212"/>
            </w:tcBorders>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0" w:type="dxa"/>
            <w:vAlign w:val="bottom"/>
            <w:shd w:val="clear" w:color="auto" w:fill="DFDFDF"/>
          </w:tcPr>
          <w:p>
            <w:pPr>
              <w:spacing w:after="0"/>
              <w:rPr>
                <w:sz w:val="11"/>
                <w:szCs w:val="11"/>
                <w:color w:val="auto"/>
              </w:rPr>
            </w:pPr>
          </w:p>
        </w:tc>
        <w:tc>
          <w:tcPr>
            <w:tcW w:w="8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40" w:type="dxa"/>
            <w:vAlign w:val="bottom"/>
            <w:shd w:val="clear" w:color="auto" w:fill="DFDFDF"/>
          </w:tcPr>
          <w:p>
            <w:pPr>
              <w:spacing w:after="0"/>
              <w:rPr>
                <w:sz w:val="11"/>
                <w:szCs w:val="11"/>
                <w:color w:val="auto"/>
              </w:rPr>
            </w:pPr>
          </w:p>
        </w:tc>
        <w:tc>
          <w:tcPr>
            <w:tcW w:w="56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78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88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00" w:type="dxa"/>
            <w:vAlign w:val="bottom"/>
            <w:shd w:val="clear" w:color="auto" w:fill="DFDFDF"/>
          </w:tcPr>
          <w:p>
            <w:pPr>
              <w:spacing w:after="0"/>
              <w:rPr>
                <w:sz w:val="11"/>
                <w:szCs w:val="11"/>
                <w:color w:val="auto"/>
              </w:rPr>
            </w:pPr>
          </w:p>
        </w:tc>
        <w:tc>
          <w:tcPr>
            <w:tcW w:w="980" w:type="dxa"/>
            <w:vAlign w:val="bottom"/>
            <w:shd w:val="clear" w:color="auto" w:fill="DFDFDF"/>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00" w:type="dxa"/>
            <w:vAlign w:val="bottom"/>
          </w:tcPr>
          <w:p>
            <w:pPr>
              <w:spacing w:after="0" w:line="90" w:lineRule="exact"/>
              <w:rPr>
                <w:sz w:val="20"/>
                <w:szCs w:val="20"/>
                <w:color w:val="auto"/>
              </w:rPr>
            </w:pPr>
            <w:r>
              <w:rPr>
                <w:rFonts w:ascii="Times New Roman" w:cs="Times New Roman" w:eastAsia="Times New Roman" w:hAnsi="Times New Roman"/>
                <w:sz w:val="10"/>
                <w:szCs w:val="10"/>
                <w:color w:val="121212"/>
              </w:rPr>
              <w:t>Sale of common stock in</w:t>
            </w:r>
          </w:p>
        </w:tc>
        <w:tc>
          <w:tcPr>
            <w:tcW w:w="140" w:type="dxa"/>
            <w:vAlign w:val="bottom"/>
          </w:tcPr>
          <w:p>
            <w:pPr>
              <w:spacing w:after="0"/>
              <w:rPr>
                <w:sz w:val="7"/>
                <w:szCs w:val="7"/>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tcPr>
          <w:p>
            <w:pPr>
              <w:spacing w:after="0"/>
              <w:rPr>
                <w:sz w:val="7"/>
                <w:szCs w:val="7"/>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3,015,919</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121212"/>
              </w:rPr>
              <w:t>138,508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138,508</w:t>
            </w:r>
          </w:p>
        </w:tc>
        <w:tc>
          <w:tcPr>
            <w:tcW w:w="0" w:type="dxa"/>
            <w:vAlign w:val="bottom"/>
          </w:tcPr>
          <w:p>
            <w:pPr>
              <w:spacing w:after="0"/>
              <w:rPr>
                <w:sz w:val="1"/>
                <w:szCs w:val="1"/>
                <w:color w:val="auto"/>
              </w:rPr>
            </w:pPr>
          </w:p>
        </w:tc>
      </w:tr>
      <w:tr>
        <w:trPr>
          <w:trHeight w:val="110"/>
        </w:trPr>
        <w:tc>
          <w:tcPr>
            <w:tcW w:w="2200" w:type="dxa"/>
            <w:vAlign w:val="bottom"/>
          </w:tcPr>
          <w:p>
            <w:pPr>
              <w:ind w:left="80"/>
              <w:spacing w:after="0" w:line="110" w:lineRule="exact"/>
              <w:rPr>
                <w:sz w:val="20"/>
                <w:szCs w:val="20"/>
                <w:color w:val="auto"/>
              </w:rPr>
            </w:pPr>
            <w:r>
              <w:rPr>
                <w:rFonts w:ascii="Times New Roman" w:cs="Times New Roman" w:eastAsia="Times New Roman" w:hAnsi="Times New Roman"/>
                <w:sz w:val="10"/>
                <w:szCs w:val="10"/>
                <w:color w:val="121212"/>
              </w:rPr>
              <w:t>follow-on public offering, net</w:t>
            </w: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Borders>
              <w:right w:val="single" w:sz="8" w:color="121212"/>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00" w:type="dxa"/>
            <w:vAlign w:val="bottom"/>
          </w:tcPr>
          <w:p>
            <w:pPr>
              <w:ind w:left="80"/>
              <w:spacing w:after="0"/>
              <w:rPr>
                <w:sz w:val="20"/>
                <w:szCs w:val="20"/>
                <w:color w:val="auto"/>
              </w:rPr>
            </w:pPr>
            <w:r>
              <w:rPr>
                <w:rFonts w:ascii="Times New Roman" w:cs="Times New Roman" w:eastAsia="Times New Roman" w:hAnsi="Times New Roman"/>
                <w:sz w:val="10"/>
                <w:szCs w:val="10"/>
                <w:color w:val="121212"/>
              </w:rPr>
              <w:t>of issuance costs of $9,272</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right w:val="single" w:sz="8" w:color="121212"/>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200" w:type="dxa"/>
            <w:vAlign w:val="bottom"/>
            <w:shd w:val="clear" w:color="auto" w:fill="DFDFDF"/>
          </w:tcPr>
          <w:p>
            <w:pPr>
              <w:spacing w:after="0" w:line="91" w:lineRule="exact"/>
              <w:rPr>
                <w:sz w:val="20"/>
                <w:szCs w:val="20"/>
                <w:color w:val="auto"/>
              </w:rPr>
            </w:pPr>
            <w:r>
              <w:rPr>
                <w:rFonts w:ascii="Times New Roman" w:cs="Times New Roman" w:eastAsia="Times New Roman" w:hAnsi="Times New Roman"/>
                <w:sz w:val="10"/>
                <w:szCs w:val="10"/>
                <w:color w:val="121212"/>
              </w:rPr>
              <w:t>Sale of pre-funded warrants</w:t>
            </w:r>
          </w:p>
        </w:tc>
        <w:tc>
          <w:tcPr>
            <w:tcW w:w="140" w:type="dxa"/>
            <w:vAlign w:val="bottom"/>
            <w:shd w:val="clear" w:color="auto" w:fill="DFDFDF"/>
          </w:tcPr>
          <w:p>
            <w:pPr>
              <w:spacing w:after="0"/>
              <w:rPr>
                <w:sz w:val="7"/>
                <w:szCs w:val="7"/>
                <w:color w:val="auto"/>
              </w:rPr>
            </w:pPr>
          </w:p>
        </w:tc>
        <w:tc>
          <w:tcPr>
            <w:tcW w:w="104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56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110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7"/>
                <w:szCs w:val="7"/>
                <w:color w:val="auto"/>
              </w:rPr>
            </w:pPr>
          </w:p>
        </w:tc>
        <w:tc>
          <w:tcPr>
            <w:tcW w:w="60" w:type="dxa"/>
            <w:vAlign w:val="bottom"/>
            <w:shd w:val="clear" w:color="auto" w:fill="DFDFDF"/>
          </w:tcPr>
          <w:p>
            <w:pPr>
              <w:spacing w:after="0"/>
              <w:rPr>
                <w:sz w:val="7"/>
                <w:szCs w:val="7"/>
                <w:color w:val="auto"/>
              </w:rPr>
            </w:pPr>
          </w:p>
        </w:tc>
        <w:tc>
          <w:tcPr>
            <w:tcW w:w="60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1120" w:type="dxa"/>
            <w:vAlign w:val="bottom"/>
            <w:gridSpan w:val="3"/>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7"/>
                <w:szCs w:val="7"/>
                <w:color w:val="auto"/>
              </w:rPr>
            </w:pPr>
          </w:p>
        </w:tc>
        <w:tc>
          <w:tcPr>
            <w:tcW w:w="60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100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7"/>
                <w:szCs w:val="7"/>
                <w:color w:val="auto"/>
              </w:rPr>
            </w:pPr>
          </w:p>
        </w:tc>
        <w:tc>
          <w:tcPr>
            <w:tcW w:w="40" w:type="dxa"/>
            <w:vAlign w:val="bottom"/>
            <w:shd w:val="clear" w:color="auto" w:fill="DFDFDF"/>
          </w:tcPr>
          <w:p>
            <w:pPr>
              <w:spacing w:after="0"/>
              <w:rPr>
                <w:sz w:val="7"/>
                <w:szCs w:val="7"/>
                <w:color w:val="auto"/>
              </w:rPr>
            </w:pPr>
          </w:p>
        </w:tc>
        <w:tc>
          <w:tcPr>
            <w:tcW w:w="580" w:type="dxa"/>
            <w:vAlign w:val="bottom"/>
            <w:gridSpan w:val="2"/>
            <w:vMerge w:val="restart"/>
            <w:shd w:val="clear" w:color="auto" w:fill="DFDFDF"/>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20" w:type="dxa"/>
            <w:vAlign w:val="bottom"/>
            <w:shd w:val="clear" w:color="auto" w:fill="DFDFDF"/>
          </w:tcPr>
          <w:p>
            <w:pPr>
              <w:spacing w:after="0"/>
              <w:rPr>
                <w:sz w:val="7"/>
                <w:szCs w:val="7"/>
                <w:color w:val="auto"/>
              </w:rPr>
            </w:pPr>
          </w:p>
        </w:tc>
        <w:tc>
          <w:tcPr>
            <w:tcW w:w="780" w:type="dxa"/>
            <w:vAlign w:val="bottom"/>
            <w:vMerge w:val="restart"/>
            <w:shd w:val="clear" w:color="auto" w:fill="DFDFDF"/>
          </w:tcPr>
          <w:p>
            <w:pPr>
              <w:jc w:val="right"/>
              <w:spacing w:after="0"/>
              <w:rPr>
                <w:sz w:val="20"/>
                <w:szCs w:val="20"/>
                <w:color w:val="auto"/>
              </w:rPr>
            </w:pPr>
            <w:r>
              <w:rPr>
                <w:rFonts w:ascii="Times New Roman" w:cs="Times New Roman" w:eastAsia="Times New Roman" w:hAnsi="Times New Roman"/>
                <w:sz w:val="10"/>
                <w:szCs w:val="10"/>
                <w:color w:val="121212"/>
              </w:rPr>
              <w:t>9,373</w:t>
            </w:r>
          </w:p>
        </w:tc>
        <w:tc>
          <w:tcPr>
            <w:tcW w:w="12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80" w:type="dxa"/>
            <w:vAlign w:val="bottom"/>
            <w:shd w:val="clear" w:color="auto" w:fill="DFDFDF"/>
          </w:tcPr>
          <w:p>
            <w:pPr>
              <w:spacing w:after="0"/>
              <w:rPr>
                <w:sz w:val="7"/>
                <w:szCs w:val="7"/>
                <w:color w:val="auto"/>
              </w:rPr>
            </w:pPr>
          </w:p>
        </w:tc>
        <w:tc>
          <w:tcPr>
            <w:tcW w:w="88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shd w:val="clear" w:color="auto" w:fill="DFDFDF"/>
          </w:tcPr>
          <w:p>
            <w:pPr>
              <w:spacing w:after="0"/>
              <w:rPr>
                <w:sz w:val="7"/>
                <w:szCs w:val="7"/>
                <w:color w:val="auto"/>
              </w:rPr>
            </w:pPr>
          </w:p>
        </w:tc>
        <w:tc>
          <w:tcPr>
            <w:tcW w:w="20" w:type="dxa"/>
            <w:vAlign w:val="bottom"/>
            <w:shd w:val="clear" w:color="auto" w:fill="DFDFDF"/>
          </w:tcPr>
          <w:p>
            <w:pPr>
              <w:spacing w:after="0"/>
              <w:rPr>
                <w:sz w:val="7"/>
                <w:szCs w:val="7"/>
                <w:color w:val="auto"/>
              </w:rPr>
            </w:pPr>
          </w:p>
        </w:tc>
        <w:tc>
          <w:tcPr>
            <w:tcW w:w="100" w:type="dxa"/>
            <w:vAlign w:val="bottom"/>
            <w:shd w:val="clear" w:color="auto" w:fill="DFDFDF"/>
          </w:tcPr>
          <w:p>
            <w:pPr>
              <w:spacing w:after="0"/>
              <w:rPr>
                <w:sz w:val="7"/>
                <w:szCs w:val="7"/>
                <w:color w:val="auto"/>
              </w:rPr>
            </w:pPr>
          </w:p>
        </w:tc>
        <w:tc>
          <w:tcPr>
            <w:tcW w:w="980" w:type="dxa"/>
            <w:vAlign w:val="bottom"/>
            <w:vMerge w:val="restart"/>
            <w:shd w:val="clear" w:color="auto" w:fill="DFDFDF"/>
          </w:tcPr>
          <w:p>
            <w:pPr>
              <w:jc w:val="right"/>
              <w:ind w:right="92"/>
              <w:spacing w:after="0"/>
              <w:rPr>
                <w:sz w:val="20"/>
                <w:szCs w:val="20"/>
                <w:color w:val="auto"/>
              </w:rPr>
            </w:pPr>
            <w:r>
              <w:rPr>
                <w:rFonts w:ascii="Times New Roman" w:cs="Times New Roman" w:eastAsia="Times New Roman" w:hAnsi="Times New Roman"/>
                <w:sz w:val="10"/>
                <w:szCs w:val="10"/>
                <w:color w:val="121212"/>
              </w:rPr>
              <w:t>9,373</w:t>
            </w:r>
          </w:p>
        </w:tc>
        <w:tc>
          <w:tcPr>
            <w:tcW w:w="0" w:type="dxa"/>
            <w:vAlign w:val="bottom"/>
          </w:tcPr>
          <w:p>
            <w:pPr>
              <w:spacing w:after="0"/>
              <w:rPr>
                <w:sz w:val="1"/>
                <w:szCs w:val="1"/>
                <w:color w:val="auto"/>
              </w:rPr>
            </w:pPr>
          </w:p>
        </w:tc>
      </w:tr>
      <w:tr>
        <w:trPr>
          <w:trHeight w:val="110"/>
        </w:trPr>
        <w:tc>
          <w:tcPr>
            <w:tcW w:w="2200" w:type="dxa"/>
            <w:vAlign w:val="bottom"/>
            <w:shd w:val="clear" w:color="auto" w:fill="DFDFDF"/>
          </w:tcPr>
          <w:p>
            <w:pPr>
              <w:ind w:left="80"/>
              <w:spacing w:after="0" w:line="110" w:lineRule="exact"/>
              <w:rPr>
                <w:sz w:val="20"/>
                <w:szCs w:val="20"/>
                <w:color w:val="auto"/>
              </w:rPr>
            </w:pPr>
            <w:r>
              <w:rPr>
                <w:rFonts w:ascii="Times New Roman" w:cs="Times New Roman" w:eastAsia="Times New Roman" w:hAnsi="Times New Roman"/>
                <w:sz w:val="10"/>
                <w:szCs w:val="10"/>
                <w:color w:val="121212"/>
              </w:rPr>
              <w:t>in follow-on public offering,</w:t>
            </w:r>
          </w:p>
        </w:tc>
        <w:tc>
          <w:tcPr>
            <w:tcW w:w="140" w:type="dxa"/>
            <w:vAlign w:val="bottom"/>
            <w:shd w:val="clear" w:color="auto" w:fill="DFDFDF"/>
          </w:tcPr>
          <w:p>
            <w:pPr>
              <w:spacing w:after="0"/>
              <w:rPr>
                <w:sz w:val="9"/>
                <w:szCs w:val="9"/>
                <w:color w:val="auto"/>
              </w:rPr>
            </w:pPr>
          </w:p>
        </w:tc>
        <w:tc>
          <w:tcPr>
            <w:tcW w:w="1040" w:type="dxa"/>
            <w:vAlign w:val="bottom"/>
            <w:gridSpan w:val="2"/>
            <w:vMerge w:val="continue"/>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560" w:type="dxa"/>
            <w:vAlign w:val="bottom"/>
            <w:gridSpan w:val="2"/>
            <w:vMerge w:val="continue"/>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1100" w:type="dxa"/>
            <w:vAlign w:val="bottom"/>
            <w:gridSpan w:val="2"/>
            <w:vMerge w:val="continue"/>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60" w:type="dxa"/>
            <w:vAlign w:val="bottom"/>
            <w:shd w:val="clear" w:color="auto" w:fill="DFDFDF"/>
          </w:tcPr>
          <w:p>
            <w:pPr>
              <w:spacing w:after="0"/>
              <w:rPr>
                <w:sz w:val="9"/>
                <w:szCs w:val="9"/>
                <w:color w:val="auto"/>
              </w:rPr>
            </w:pPr>
          </w:p>
        </w:tc>
        <w:tc>
          <w:tcPr>
            <w:tcW w:w="600" w:type="dxa"/>
            <w:vAlign w:val="bottom"/>
            <w:gridSpan w:val="2"/>
            <w:vMerge w:val="continue"/>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1120" w:type="dxa"/>
            <w:vAlign w:val="bottom"/>
            <w:gridSpan w:val="3"/>
            <w:vMerge w:val="continue"/>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600" w:type="dxa"/>
            <w:vAlign w:val="bottom"/>
            <w:vMerge w:val="continue"/>
            <w:shd w:val="clear" w:color="auto" w:fill="DFDFDF"/>
          </w:tcPr>
          <w:p>
            <w:pPr>
              <w:spacing w:after="0"/>
              <w:rPr>
                <w:sz w:val="9"/>
                <w:szCs w:val="9"/>
                <w:color w:val="auto"/>
              </w:rPr>
            </w:pPr>
          </w:p>
        </w:tc>
        <w:tc>
          <w:tcPr>
            <w:tcW w:w="140" w:type="dxa"/>
            <w:vAlign w:val="bottom"/>
            <w:tcBorders>
              <w:right w:val="single" w:sz="8" w:color="121212"/>
            </w:tcBorders>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0" w:type="dxa"/>
            <w:vAlign w:val="bottom"/>
            <w:shd w:val="clear" w:color="auto" w:fill="DFDFDF"/>
          </w:tcPr>
          <w:p>
            <w:pPr>
              <w:spacing w:after="0"/>
              <w:rPr>
                <w:sz w:val="9"/>
                <w:szCs w:val="9"/>
                <w:color w:val="auto"/>
              </w:rPr>
            </w:pPr>
          </w:p>
        </w:tc>
        <w:tc>
          <w:tcPr>
            <w:tcW w:w="1000" w:type="dxa"/>
            <w:vAlign w:val="bottom"/>
            <w:gridSpan w:val="2"/>
            <w:vMerge w:val="continue"/>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40" w:type="dxa"/>
            <w:vAlign w:val="bottom"/>
            <w:shd w:val="clear" w:color="auto" w:fill="DFDFDF"/>
          </w:tcPr>
          <w:p>
            <w:pPr>
              <w:spacing w:after="0"/>
              <w:rPr>
                <w:sz w:val="9"/>
                <w:szCs w:val="9"/>
                <w:color w:val="auto"/>
              </w:rPr>
            </w:pPr>
          </w:p>
        </w:tc>
        <w:tc>
          <w:tcPr>
            <w:tcW w:w="580" w:type="dxa"/>
            <w:vAlign w:val="bottom"/>
            <w:gridSpan w:val="2"/>
            <w:vMerge w:val="continue"/>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780" w:type="dxa"/>
            <w:vAlign w:val="bottom"/>
            <w:vMerge w:val="continue"/>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880" w:type="dxa"/>
            <w:vAlign w:val="bottom"/>
            <w:vMerge w:val="continue"/>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00" w:type="dxa"/>
            <w:vAlign w:val="bottom"/>
            <w:shd w:val="clear" w:color="auto" w:fill="DFDFDF"/>
          </w:tcPr>
          <w:p>
            <w:pPr>
              <w:spacing w:after="0"/>
              <w:rPr>
                <w:sz w:val="9"/>
                <w:szCs w:val="9"/>
                <w:color w:val="auto"/>
              </w:rPr>
            </w:pPr>
          </w:p>
        </w:tc>
        <w:tc>
          <w:tcPr>
            <w:tcW w:w="980" w:type="dxa"/>
            <w:vAlign w:val="bottom"/>
            <w:vMerge w:val="continue"/>
            <w:shd w:val="clear" w:color="auto" w:fill="DFDFD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DFDFDF"/>
          </w:tcPr>
          <w:p>
            <w:pPr>
              <w:ind w:left="80"/>
              <w:spacing w:after="0"/>
              <w:rPr>
                <w:sz w:val="20"/>
                <w:szCs w:val="20"/>
                <w:color w:val="auto"/>
              </w:rPr>
            </w:pPr>
            <w:r>
              <w:rPr>
                <w:rFonts w:ascii="Times New Roman" w:cs="Times New Roman" w:eastAsia="Times New Roman" w:hAnsi="Times New Roman"/>
                <w:sz w:val="10"/>
                <w:szCs w:val="10"/>
                <w:color w:val="121212"/>
              </w:rPr>
              <w:t>net of issuance costs of $627</w:t>
            </w:r>
          </w:p>
        </w:tc>
        <w:tc>
          <w:tcPr>
            <w:tcW w:w="140" w:type="dxa"/>
            <w:vAlign w:val="bottom"/>
            <w:shd w:val="clear" w:color="auto" w:fill="DFDFDF"/>
          </w:tcPr>
          <w:p>
            <w:pPr>
              <w:spacing w:after="0"/>
              <w:rPr>
                <w:sz w:val="11"/>
                <w:szCs w:val="11"/>
                <w:color w:val="auto"/>
              </w:rPr>
            </w:pPr>
          </w:p>
        </w:tc>
        <w:tc>
          <w:tcPr>
            <w:tcW w:w="90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5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9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60" w:type="dxa"/>
            <w:vAlign w:val="bottom"/>
            <w:shd w:val="clear" w:color="auto" w:fill="DFDFDF"/>
          </w:tcPr>
          <w:p>
            <w:pPr>
              <w:spacing w:after="0"/>
              <w:rPr>
                <w:sz w:val="11"/>
                <w:szCs w:val="11"/>
                <w:color w:val="auto"/>
              </w:rPr>
            </w:pPr>
          </w:p>
        </w:tc>
        <w:tc>
          <w:tcPr>
            <w:tcW w:w="58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9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600" w:type="dxa"/>
            <w:vAlign w:val="bottom"/>
            <w:shd w:val="clear" w:color="auto" w:fill="DFDFDF"/>
          </w:tcPr>
          <w:p>
            <w:pPr>
              <w:spacing w:after="0"/>
              <w:rPr>
                <w:sz w:val="11"/>
                <w:szCs w:val="11"/>
                <w:color w:val="auto"/>
              </w:rPr>
            </w:pPr>
          </w:p>
        </w:tc>
        <w:tc>
          <w:tcPr>
            <w:tcW w:w="140" w:type="dxa"/>
            <w:vAlign w:val="bottom"/>
            <w:tcBorders>
              <w:right w:val="single" w:sz="8" w:color="121212"/>
            </w:tcBorders>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0" w:type="dxa"/>
            <w:vAlign w:val="bottom"/>
            <w:shd w:val="clear" w:color="auto" w:fill="DFDFDF"/>
          </w:tcPr>
          <w:p>
            <w:pPr>
              <w:spacing w:after="0"/>
              <w:rPr>
                <w:sz w:val="11"/>
                <w:szCs w:val="11"/>
                <w:color w:val="auto"/>
              </w:rPr>
            </w:pPr>
          </w:p>
        </w:tc>
        <w:tc>
          <w:tcPr>
            <w:tcW w:w="86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40" w:type="dxa"/>
            <w:vAlign w:val="bottom"/>
            <w:shd w:val="clear" w:color="auto" w:fill="DFDFDF"/>
          </w:tcPr>
          <w:p>
            <w:pPr>
              <w:spacing w:after="0"/>
              <w:rPr>
                <w:sz w:val="11"/>
                <w:szCs w:val="11"/>
                <w:color w:val="auto"/>
              </w:rPr>
            </w:pPr>
          </w:p>
        </w:tc>
        <w:tc>
          <w:tcPr>
            <w:tcW w:w="56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780" w:type="dxa"/>
            <w:vAlign w:val="bottom"/>
            <w:shd w:val="clear" w:color="auto" w:fill="DFDFDF"/>
          </w:tcPr>
          <w:p>
            <w:pPr>
              <w:spacing w:after="0"/>
              <w:rPr>
                <w:sz w:val="11"/>
                <w:szCs w:val="11"/>
                <w:color w:val="auto"/>
              </w:rPr>
            </w:pPr>
          </w:p>
        </w:tc>
        <w:tc>
          <w:tcPr>
            <w:tcW w:w="12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80" w:type="dxa"/>
            <w:vAlign w:val="bottom"/>
            <w:shd w:val="clear" w:color="auto" w:fill="DFDFDF"/>
          </w:tcPr>
          <w:p>
            <w:pPr>
              <w:spacing w:after="0"/>
              <w:rPr>
                <w:sz w:val="11"/>
                <w:szCs w:val="11"/>
                <w:color w:val="auto"/>
              </w:rPr>
            </w:pPr>
          </w:p>
        </w:tc>
        <w:tc>
          <w:tcPr>
            <w:tcW w:w="880" w:type="dxa"/>
            <w:vAlign w:val="bottom"/>
            <w:shd w:val="clear" w:color="auto" w:fill="DFDFDF"/>
          </w:tcPr>
          <w:p>
            <w:pPr>
              <w:spacing w:after="0"/>
              <w:rPr>
                <w:sz w:val="11"/>
                <w:szCs w:val="11"/>
                <w:color w:val="auto"/>
              </w:rPr>
            </w:pPr>
          </w:p>
        </w:tc>
        <w:tc>
          <w:tcPr>
            <w:tcW w:w="140" w:type="dxa"/>
            <w:vAlign w:val="bottom"/>
            <w:shd w:val="clear" w:color="auto" w:fill="DFDFDF"/>
          </w:tcPr>
          <w:p>
            <w:pPr>
              <w:spacing w:after="0"/>
              <w:rPr>
                <w:sz w:val="11"/>
                <w:szCs w:val="11"/>
                <w:color w:val="auto"/>
              </w:rPr>
            </w:pPr>
          </w:p>
        </w:tc>
        <w:tc>
          <w:tcPr>
            <w:tcW w:w="20" w:type="dxa"/>
            <w:vAlign w:val="bottom"/>
            <w:shd w:val="clear" w:color="auto" w:fill="DFDFDF"/>
          </w:tcPr>
          <w:p>
            <w:pPr>
              <w:spacing w:after="0"/>
              <w:rPr>
                <w:sz w:val="11"/>
                <w:szCs w:val="11"/>
                <w:color w:val="auto"/>
              </w:rPr>
            </w:pPr>
          </w:p>
        </w:tc>
        <w:tc>
          <w:tcPr>
            <w:tcW w:w="100" w:type="dxa"/>
            <w:vAlign w:val="bottom"/>
            <w:shd w:val="clear" w:color="auto" w:fill="DFDFDF"/>
          </w:tcPr>
          <w:p>
            <w:pPr>
              <w:spacing w:after="0"/>
              <w:rPr>
                <w:sz w:val="11"/>
                <w:szCs w:val="11"/>
                <w:color w:val="auto"/>
              </w:rPr>
            </w:pPr>
          </w:p>
        </w:tc>
        <w:tc>
          <w:tcPr>
            <w:tcW w:w="980" w:type="dxa"/>
            <w:vAlign w:val="bottom"/>
            <w:shd w:val="clear" w:color="auto" w:fill="DFDFDF"/>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00" w:type="dxa"/>
            <w:vAlign w:val="bottom"/>
          </w:tcPr>
          <w:p>
            <w:pPr>
              <w:spacing w:after="0" w:line="89" w:lineRule="exact"/>
              <w:rPr>
                <w:sz w:val="20"/>
                <w:szCs w:val="20"/>
                <w:color w:val="auto"/>
              </w:rPr>
            </w:pPr>
            <w:r>
              <w:rPr>
                <w:rFonts w:ascii="Times New Roman" w:cs="Times New Roman" w:eastAsia="Times New Roman" w:hAnsi="Times New Roman"/>
                <w:sz w:val="10"/>
                <w:szCs w:val="10"/>
                <w:color w:val="121212"/>
              </w:rPr>
              <w:t>Issuance of common stock</w:t>
            </w:r>
          </w:p>
        </w:tc>
        <w:tc>
          <w:tcPr>
            <w:tcW w:w="140" w:type="dxa"/>
            <w:vAlign w:val="bottom"/>
          </w:tcPr>
          <w:p>
            <w:pPr>
              <w:spacing w:after="0"/>
              <w:rPr>
                <w:sz w:val="7"/>
                <w:szCs w:val="7"/>
                <w:color w:val="auto"/>
              </w:rPr>
            </w:pPr>
          </w:p>
        </w:tc>
        <w:tc>
          <w:tcPr>
            <w:tcW w:w="10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11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121212"/>
              </w:rPr>
              <w:t>—</w:t>
            </w:r>
          </w:p>
        </w:tc>
        <w:tc>
          <w:tcPr>
            <w:tcW w:w="80" w:type="dxa"/>
            <w:vAlign w:val="bottom"/>
          </w:tcPr>
          <w:p>
            <w:pPr>
              <w:spacing w:after="0"/>
              <w:rPr>
                <w:sz w:val="7"/>
                <w:szCs w:val="7"/>
                <w:color w:val="auto"/>
              </w:rPr>
            </w:pPr>
          </w:p>
        </w:tc>
        <w:tc>
          <w:tcPr>
            <w:tcW w:w="6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1,229,221</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121212"/>
              </w:rPr>
              <w:t>—</w:t>
            </w:r>
          </w:p>
        </w:tc>
        <w:tc>
          <w:tcPr>
            <w:tcW w:w="0" w:type="dxa"/>
            <w:vAlign w:val="bottom"/>
          </w:tcPr>
          <w:p>
            <w:pPr>
              <w:spacing w:after="0"/>
              <w:rPr>
                <w:sz w:val="1"/>
                <w:szCs w:val="1"/>
                <w:color w:val="auto"/>
              </w:rPr>
            </w:pPr>
          </w:p>
        </w:tc>
      </w:tr>
      <w:tr>
        <w:trPr>
          <w:trHeight w:val="69"/>
        </w:trPr>
        <w:tc>
          <w:tcPr>
            <w:tcW w:w="220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121212"/>
              </w:rPr>
              <w:t>upon exercise of warrants</w:t>
            </w: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Borders>
              <w:right w:val="single" w:sz="8" w:color="121212"/>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22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Borders>
              <w:right w:val="single" w:sz="8" w:color="121212"/>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200" w:type="dxa"/>
            <w:vAlign w:val="bottom"/>
            <w:shd w:val="clear" w:color="auto" w:fill="DFDFDF"/>
          </w:tcPr>
          <w:p>
            <w:pPr>
              <w:spacing w:after="0" w:line="114" w:lineRule="exact"/>
              <w:rPr>
                <w:sz w:val="20"/>
                <w:szCs w:val="20"/>
                <w:color w:val="auto"/>
              </w:rPr>
            </w:pPr>
            <w:r>
              <w:rPr>
                <w:rFonts w:ascii="Times New Roman" w:cs="Times New Roman" w:eastAsia="Times New Roman" w:hAnsi="Times New Roman"/>
                <w:sz w:val="10"/>
                <w:szCs w:val="10"/>
                <w:color w:val="121212"/>
              </w:rPr>
              <w:t>Net loss</w:t>
            </w:r>
          </w:p>
        </w:tc>
        <w:tc>
          <w:tcPr>
            <w:tcW w:w="140" w:type="dxa"/>
            <w:vAlign w:val="bottom"/>
            <w:shd w:val="clear" w:color="auto" w:fill="DFDFDF"/>
          </w:tcPr>
          <w:p>
            <w:pPr>
              <w:spacing w:after="0"/>
              <w:rPr>
                <w:sz w:val="9"/>
                <w:szCs w:val="9"/>
                <w:color w:val="auto"/>
              </w:rPr>
            </w:pPr>
          </w:p>
        </w:tc>
        <w:tc>
          <w:tcPr>
            <w:tcW w:w="1040" w:type="dxa"/>
            <w:vAlign w:val="bottom"/>
            <w:gridSpan w:val="2"/>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56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00" w:type="dxa"/>
            <w:vAlign w:val="bottom"/>
            <w:gridSpan w:val="2"/>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60" w:type="dxa"/>
            <w:vAlign w:val="bottom"/>
            <w:shd w:val="clear" w:color="auto" w:fill="DFDFDF"/>
          </w:tcPr>
          <w:p>
            <w:pPr>
              <w:spacing w:after="0"/>
              <w:rPr>
                <w:sz w:val="9"/>
                <w:szCs w:val="9"/>
                <w:color w:val="auto"/>
              </w:rPr>
            </w:pPr>
          </w:p>
        </w:tc>
        <w:tc>
          <w:tcPr>
            <w:tcW w:w="60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120" w:type="dxa"/>
            <w:vAlign w:val="bottom"/>
            <w:gridSpan w:val="3"/>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80" w:type="dxa"/>
            <w:vAlign w:val="bottom"/>
            <w:shd w:val="clear" w:color="auto" w:fill="DFDFDF"/>
          </w:tcPr>
          <w:p>
            <w:pPr>
              <w:spacing w:after="0"/>
              <w:rPr>
                <w:sz w:val="9"/>
                <w:szCs w:val="9"/>
                <w:color w:val="auto"/>
              </w:rPr>
            </w:pPr>
          </w:p>
        </w:tc>
        <w:tc>
          <w:tcPr>
            <w:tcW w:w="600" w:type="dxa"/>
            <w:vAlign w:val="bottom"/>
            <w:shd w:val="clear" w:color="auto" w:fill="DFDFDF"/>
          </w:tcPr>
          <w:p>
            <w:pPr>
              <w:jc w:val="right"/>
              <w:ind w:right="92"/>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200" w:type="dxa"/>
            <w:vAlign w:val="bottom"/>
            <w:shd w:val="clear" w:color="auto" w:fill="DFDFDF"/>
          </w:tcPr>
          <w:p>
            <w:pPr>
              <w:spacing w:after="0"/>
              <w:rPr>
                <w:sz w:val="9"/>
                <w:szCs w:val="9"/>
                <w:color w:val="auto"/>
              </w:rPr>
            </w:pPr>
          </w:p>
        </w:tc>
        <w:tc>
          <w:tcPr>
            <w:tcW w:w="1000" w:type="dxa"/>
            <w:vAlign w:val="bottom"/>
            <w:gridSpan w:val="2"/>
            <w:shd w:val="clear" w:color="auto" w:fill="DFDFDF"/>
          </w:tcPr>
          <w:p>
            <w:pPr>
              <w:jc w:val="right"/>
              <w:ind w:right="28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20" w:type="dxa"/>
            <w:vAlign w:val="bottom"/>
            <w:shd w:val="clear" w:color="auto" w:fill="DFDFDF"/>
          </w:tcPr>
          <w:p>
            <w:pPr>
              <w:spacing w:after="0"/>
              <w:rPr>
                <w:sz w:val="9"/>
                <w:szCs w:val="9"/>
                <w:color w:val="auto"/>
              </w:rPr>
            </w:pPr>
          </w:p>
        </w:tc>
        <w:tc>
          <w:tcPr>
            <w:tcW w:w="40" w:type="dxa"/>
            <w:vAlign w:val="bottom"/>
            <w:shd w:val="clear" w:color="auto" w:fill="DFDFDF"/>
          </w:tcPr>
          <w:p>
            <w:pPr>
              <w:spacing w:after="0"/>
              <w:rPr>
                <w:sz w:val="9"/>
                <w:szCs w:val="9"/>
                <w:color w:val="auto"/>
              </w:rPr>
            </w:pPr>
          </w:p>
        </w:tc>
        <w:tc>
          <w:tcPr>
            <w:tcW w:w="580" w:type="dxa"/>
            <w:vAlign w:val="bottom"/>
            <w:gridSpan w:val="2"/>
            <w:shd w:val="clear" w:color="auto" w:fill="DFDFD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20" w:type="dxa"/>
            <w:vAlign w:val="bottom"/>
            <w:shd w:val="clear" w:color="auto" w:fill="DFDFDF"/>
          </w:tcPr>
          <w:p>
            <w:pPr>
              <w:spacing w:after="0"/>
              <w:rPr>
                <w:sz w:val="9"/>
                <w:szCs w:val="9"/>
                <w:color w:val="auto"/>
              </w:rPr>
            </w:pPr>
          </w:p>
        </w:tc>
        <w:tc>
          <w:tcPr>
            <w:tcW w:w="780" w:type="dxa"/>
            <w:vAlign w:val="bottom"/>
            <w:shd w:val="clear" w:color="auto" w:fill="DFDFDF"/>
          </w:tcPr>
          <w:p>
            <w:pPr>
              <w:jc w:val="right"/>
              <w:spacing w:after="0" w:line="114"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shd w:val="clear" w:color="auto" w:fill="DFDFDF"/>
          </w:tcPr>
          <w:p>
            <w:pPr>
              <w:spacing w:after="0"/>
              <w:rPr>
                <w:sz w:val="9"/>
                <w:szCs w:val="9"/>
                <w:color w:val="auto"/>
              </w:rPr>
            </w:pP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80" w:type="dxa"/>
            <w:vAlign w:val="bottom"/>
            <w:shd w:val="clear" w:color="auto" w:fill="DFDFDF"/>
          </w:tcPr>
          <w:p>
            <w:pPr>
              <w:spacing w:after="0"/>
              <w:rPr>
                <w:sz w:val="9"/>
                <w:szCs w:val="9"/>
                <w:color w:val="auto"/>
              </w:rPr>
            </w:pPr>
          </w:p>
        </w:tc>
        <w:tc>
          <w:tcPr>
            <w:tcW w:w="880" w:type="dxa"/>
            <w:vAlign w:val="bottom"/>
            <w:shd w:val="clear" w:color="auto" w:fill="DFDFDF"/>
          </w:tcPr>
          <w:p>
            <w:pPr>
              <w:jc w:val="right"/>
              <w:ind w:right="52"/>
              <w:spacing w:after="0" w:line="114" w:lineRule="exact"/>
              <w:rPr>
                <w:sz w:val="20"/>
                <w:szCs w:val="20"/>
                <w:color w:val="auto"/>
              </w:rPr>
            </w:pPr>
            <w:r>
              <w:rPr>
                <w:rFonts w:ascii="Times New Roman" w:cs="Times New Roman" w:eastAsia="Times New Roman" w:hAnsi="Times New Roman"/>
                <w:sz w:val="10"/>
                <w:szCs w:val="10"/>
                <w:color w:val="121212"/>
              </w:rPr>
              <w:t>(76,429)</w:t>
            </w:r>
          </w:p>
        </w:tc>
        <w:tc>
          <w:tcPr>
            <w:tcW w:w="140" w:type="dxa"/>
            <w:vAlign w:val="bottom"/>
            <w:shd w:val="clear" w:color="auto" w:fill="DFDFDF"/>
          </w:tcPr>
          <w:p>
            <w:pPr>
              <w:spacing w:after="0"/>
              <w:rPr>
                <w:sz w:val="9"/>
                <w:szCs w:val="9"/>
                <w:color w:val="auto"/>
              </w:rPr>
            </w:pPr>
          </w:p>
        </w:tc>
        <w:tc>
          <w:tcPr>
            <w:tcW w:w="20" w:type="dxa"/>
            <w:vAlign w:val="bottom"/>
            <w:shd w:val="clear" w:color="auto" w:fill="DFDFDF"/>
          </w:tcPr>
          <w:p>
            <w:pPr>
              <w:spacing w:after="0"/>
              <w:rPr>
                <w:sz w:val="9"/>
                <w:szCs w:val="9"/>
                <w:color w:val="auto"/>
              </w:rPr>
            </w:pPr>
          </w:p>
        </w:tc>
        <w:tc>
          <w:tcPr>
            <w:tcW w:w="100" w:type="dxa"/>
            <w:vAlign w:val="bottom"/>
            <w:shd w:val="clear" w:color="auto" w:fill="DFDFDF"/>
          </w:tcPr>
          <w:p>
            <w:pPr>
              <w:spacing w:after="0"/>
              <w:rPr>
                <w:sz w:val="9"/>
                <w:szCs w:val="9"/>
                <w:color w:val="auto"/>
              </w:rPr>
            </w:pPr>
          </w:p>
        </w:tc>
        <w:tc>
          <w:tcPr>
            <w:tcW w:w="980" w:type="dxa"/>
            <w:vAlign w:val="bottom"/>
            <w:shd w:val="clear" w:color="auto" w:fill="DFDFDF"/>
          </w:tcPr>
          <w:p>
            <w:pPr>
              <w:jc w:val="right"/>
              <w:ind w:right="52"/>
              <w:spacing w:after="0" w:line="114" w:lineRule="exact"/>
              <w:rPr>
                <w:sz w:val="20"/>
                <w:szCs w:val="20"/>
                <w:color w:val="auto"/>
              </w:rPr>
            </w:pPr>
            <w:r>
              <w:rPr>
                <w:rFonts w:ascii="Times New Roman" w:cs="Times New Roman" w:eastAsia="Times New Roman" w:hAnsi="Times New Roman"/>
                <w:sz w:val="10"/>
                <w:szCs w:val="10"/>
                <w:color w:val="121212"/>
              </w:rPr>
              <w:t>(76,429)</w:t>
            </w:r>
          </w:p>
        </w:tc>
        <w:tc>
          <w:tcPr>
            <w:tcW w:w="0" w:type="dxa"/>
            <w:vAlign w:val="bottom"/>
          </w:tcPr>
          <w:p>
            <w:pPr>
              <w:spacing w:after="0"/>
              <w:rPr>
                <w:sz w:val="1"/>
                <w:szCs w:val="1"/>
                <w:color w:val="auto"/>
              </w:rPr>
            </w:pPr>
          </w:p>
        </w:tc>
      </w:tr>
      <w:tr>
        <w:trPr>
          <w:trHeight w:val="99"/>
        </w:trPr>
        <w:tc>
          <w:tcPr>
            <w:tcW w:w="220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121212"/>
              </w:rPr>
              <w:t>Balance at December 31, 2023</w:t>
            </w:r>
          </w:p>
        </w:tc>
        <w:tc>
          <w:tcPr>
            <w:tcW w:w="140" w:type="dxa"/>
            <w:vAlign w:val="bottom"/>
          </w:tcPr>
          <w:p>
            <w:pPr>
              <w:spacing w:after="0"/>
              <w:rPr>
                <w:sz w:val="8"/>
                <w:szCs w:val="8"/>
                <w:color w:val="auto"/>
              </w:rPr>
            </w:pPr>
          </w:p>
        </w:tc>
        <w:tc>
          <w:tcPr>
            <w:tcW w:w="900" w:type="dxa"/>
            <w:vAlign w:val="bottom"/>
            <w:tcBorders>
              <w:top w:val="single" w:sz="8" w:color="121212"/>
              <w:bottom w:val="single" w:sz="8" w:color="121212"/>
            </w:tcBorders>
          </w:tcPr>
          <w:p>
            <w:pPr>
              <w:jc w:val="right"/>
              <w:ind w:right="9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121212"/>
              <w:bottom w:val="single" w:sz="8" w:color="121212"/>
            </w:tcBorders>
          </w:tcPr>
          <w:p>
            <w:pPr>
              <w:jc w:val="right"/>
              <w:spacing w:after="0"/>
              <w:rPr>
                <w:sz w:val="20"/>
                <w:szCs w:val="20"/>
                <w:color w:val="auto"/>
              </w:rPr>
            </w:pPr>
            <w:r>
              <w:rPr>
                <w:rFonts w:ascii="Times New Roman" w:cs="Times New Roman" w:eastAsia="Times New Roman" w:hAnsi="Times New Roman"/>
                <w:sz w:val="1"/>
                <w:szCs w:val="1"/>
                <w:color w:val="121212"/>
                <w:w w:val="4294967286"/>
              </w:rPr>
              <w:t>$</w:t>
            </w:r>
          </w:p>
        </w:tc>
        <w:tc>
          <w:tcPr>
            <w:tcW w:w="560" w:type="dxa"/>
            <w:vAlign w:val="bottom"/>
            <w:tcBorders>
              <w:top w:val="single" w:sz="8" w:color="121212"/>
              <w:bottom w:val="single" w:sz="8" w:color="121212"/>
            </w:tcBorders>
            <w:gridSpan w:val="2"/>
          </w:tcPr>
          <w:p>
            <w:pPr>
              <w:jc w:val="right"/>
              <w:ind w:right="160"/>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8"/>
                <w:szCs w:val="8"/>
                <w:color w:val="auto"/>
              </w:rPr>
            </w:pPr>
          </w:p>
        </w:tc>
        <w:tc>
          <w:tcPr>
            <w:tcW w:w="960" w:type="dxa"/>
            <w:vAlign w:val="bottom"/>
            <w:tcBorders>
              <w:top w:val="single" w:sz="8" w:color="121212"/>
              <w:bottom w:val="single" w:sz="8" w:color="121212"/>
            </w:tcBorders>
          </w:tcPr>
          <w:p>
            <w:pPr>
              <w:jc w:val="right"/>
              <w:ind w:right="9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121212"/>
              <w:bottom w:val="single" w:sz="8" w:color="121212"/>
            </w:tcBorders>
          </w:tcPr>
          <w:p>
            <w:pPr>
              <w:jc w:val="right"/>
              <w:ind w:right="34"/>
              <w:spacing w:after="0"/>
              <w:rPr>
                <w:sz w:val="20"/>
                <w:szCs w:val="20"/>
                <w:color w:val="auto"/>
              </w:rPr>
            </w:pPr>
            <w:r>
              <w:rPr>
                <w:rFonts w:ascii="Times New Roman" w:cs="Times New Roman" w:eastAsia="Times New Roman" w:hAnsi="Times New Roman"/>
                <w:sz w:val="1"/>
                <w:szCs w:val="1"/>
                <w:color w:val="121212"/>
                <w:w w:val="4294967286"/>
              </w:rPr>
              <w:t>$</w:t>
            </w:r>
          </w:p>
        </w:tc>
        <w:tc>
          <w:tcPr>
            <w:tcW w:w="600" w:type="dxa"/>
            <w:vAlign w:val="bottom"/>
            <w:tcBorders>
              <w:top w:val="single" w:sz="8" w:color="121212"/>
              <w:bottom w:val="single" w:sz="8" w:color="121212"/>
            </w:tcBorders>
            <w:gridSpan w:val="2"/>
          </w:tcPr>
          <w:p>
            <w:pPr>
              <w:jc w:val="right"/>
              <w:ind w:right="160"/>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20" w:type="dxa"/>
            <w:vAlign w:val="bottom"/>
          </w:tcPr>
          <w:p>
            <w:pPr>
              <w:spacing w:after="0"/>
              <w:rPr>
                <w:sz w:val="8"/>
                <w:szCs w:val="8"/>
                <w:color w:val="auto"/>
              </w:rPr>
            </w:pPr>
          </w:p>
        </w:tc>
        <w:tc>
          <w:tcPr>
            <w:tcW w:w="960" w:type="dxa"/>
            <w:vAlign w:val="bottom"/>
            <w:tcBorders>
              <w:top w:val="single" w:sz="8" w:color="121212"/>
              <w:bottom w:val="single" w:sz="8" w:color="121212"/>
            </w:tcBorders>
          </w:tcPr>
          <w:p>
            <w:pPr>
              <w:jc w:val="right"/>
              <w:ind w:right="73"/>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60" w:type="dxa"/>
            <w:vAlign w:val="bottom"/>
            <w:gridSpan w:val="2"/>
          </w:tcPr>
          <w:p>
            <w:pPr>
              <w:spacing w:after="0"/>
              <w:rPr>
                <w:sz w:val="8"/>
                <w:szCs w:val="8"/>
                <w:color w:val="auto"/>
              </w:rPr>
            </w:pPr>
          </w:p>
        </w:tc>
        <w:tc>
          <w:tcPr>
            <w:tcW w:w="80" w:type="dxa"/>
            <w:vAlign w:val="bottom"/>
            <w:tcBorders>
              <w:top w:val="single" w:sz="8" w:color="121212"/>
              <w:bottom w:val="single" w:sz="8" w:color="121212"/>
            </w:tcBorders>
          </w:tcPr>
          <w:p>
            <w:pPr>
              <w:jc w:val="right"/>
              <w:ind w:right="54"/>
              <w:spacing w:after="0"/>
              <w:rPr>
                <w:sz w:val="20"/>
                <w:szCs w:val="20"/>
                <w:color w:val="auto"/>
              </w:rPr>
            </w:pPr>
            <w:r>
              <w:rPr>
                <w:rFonts w:ascii="Times New Roman" w:cs="Times New Roman" w:eastAsia="Times New Roman" w:hAnsi="Times New Roman"/>
                <w:sz w:val="1"/>
                <w:szCs w:val="1"/>
                <w:color w:val="121212"/>
                <w:w w:val="4294967286"/>
              </w:rPr>
              <w:t>$</w:t>
            </w:r>
          </w:p>
        </w:tc>
        <w:tc>
          <w:tcPr>
            <w:tcW w:w="600" w:type="dxa"/>
            <w:vAlign w:val="bottom"/>
            <w:tcBorders>
              <w:top w:val="single" w:sz="8" w:color="121212"/>
              <w:bottom w:val="single" w:sz="8" w:color="121212"/>
            </w:tcBorders>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w:t>
            </w:r>
          </w:p>
        </w:tc>
        <w:tc>
          <w:tcPr>
            <w:tcW w:w="140" w:type="dxa"/>
            <w:vAlign w:val="bottom"/>
            <w:tcBorders>
              <w:right w:val="single" w:sz="8" w:color="121212"/>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top w:val="single" w:sz="8" w:color="121212"/>
              <w:bottom w:val="single" w:sz="8" w:color="121212"/>
            </w:tcBorders>
          </w:tcPr>
          <w:p>
            <w:pPr>
              <w:spacing w:after="0"/>
              <w:rPr>
                <w:sz w:val="8"/>
                <w:szCs w:val="8"/>
                <w:color w:val="auto"/>
              </w:rPr>
            </w:pPr>
          </w:p>
        </w:tc>
        <w:tc>
          <w:tcPr>
            <w:tcW w:w="860" w:type="dxa"/>
            <w:vAlign w:val="bottom"/>
            <w:tcBorders>
              <w:top w:val="single" w:sz="8" w:color="121212"/>
              <w:bottom w:val="single" w:sz="8" w:color="121212"/>
            </w:tcBorders>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24,360,233</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top w:val="single" w:sz="8" w:color="121212"/>
              <w:bottom w:val="single" w:sz="8" w:color="121212"/>
            </w:tcBorders>
          </w:tcPr>
          <w:p>
            <w:pPr>
              <w:jc w:val="right"/>
              <w:ind w:right="14"/>
              <w:spacing w:after="0"/>
              <w:rPr>
                <w:sz w:val="20"/>
                <w:szCs w:val="20"/>
                <w:color w:val="auto"/>
              </w:rPr>
            </w:pPr>
            <w:r>
              <w:rPr>
                <w:rFonts w:ascii="Times New Roman" w:cs="Times New Roman" w:eastAsia="Times New Roman" w:hAnsi="Times New Roman"/>
                <w:sz w:val="1"/>
                <w:szCs w:val="1"/>
                <w:color w:val="121212"/>
                <w:w w:val="4294967286"/>
              </w:rPr>
              <w:t>$</w:t>
            </w:r>
          </w:p>
        </w:tc>
        <w:tc>
          <w:tcPr>
            <w:tcW w:w="560" w:type="dxa"/>
            <w:vAlign w:val="bottom"/>
            <w:tcBorders>
              <w:top w:val="single" w:sz="8" w:color="121212"/>
              <w:bottom w:val="single" w:sz="8" w:color="121212"/>
            </w:tcBorders>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2</w:t>
            </w:r>
          </w:p>
        </w:tc>
        <w:tc>
          <w:tcPr>
            <w:tcW w:w="20" w:type="dxa"/>
            <w:vAlign w:val="bottom"/>
            <w:tcBorders>
              <w:top w:val="single" w:sz="8" w:color="121212"/>
              <w:bottom w:val="single" w:sz="8" w:color="121212"/>
            </w:tcBorders>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tcBorders>
              <w:top w:val="single" w:sz="8" w:color="121212"/>
              <w:bottom w:val="single" w:sz="8" w:color="121212"/>
            </w:tcBorders>
          </w:tcPr>
          <w:p>
            <w:pPr>
              <w:jc w:val="right"/>
              <w:ind w:right="94"/>
              <w:spacing w:after="0"/>
              <w:rPr>
                <w:sz w:val="20"/>
                <w:szCs w:val="20"/>
                <w:color w:val="auto"/>
              </w:rPr>
            </w:pPr>
            <w:r>
              <w:rPr>
                <w:rFonts w:ascii="Times New Roman" w:cs="Times New Roman" w:eastAsia="Times New Roman" w:hAnsi="Times New Roman"/>
                <w:sz w:val="1"/>
                <w:szCs w:val="1"/>
                <w:color w:val="121212"/>
                <w:w w:val="4294967286"/>
              </w:rPr>
              <w:t>$</w:t>
            </w:r>
          </w:p>
        </w:tc>
        <w:tc>
          <w:tcPr>
            <w:tcW w:w="780" w:type="dxa"/>
            <w:vAlign w:val="bottom"/>
            <w:tcBorders>
              <w:top w:val="single" w:sz="8" w:color="121212"/>
              <w:bottom w:val="single" w:sz="8" w:color="121212"/>
            </w:tcBorders>
          </w:tcPr>
          <w:p>
            <w:pPr>
              <w:jc w:val="right"/>
              <w:spacing w:after="0" w:line="100" w:lineRule="exact"/>
              <w:rPr>
                <w:sz w:val="20"/>
                <w:szCs w:val="20"/>
                <w:color w:val="auto"/>
              </w:rPr>
            </w:pPr>
            <w:r>
              <w:rPr>
                <w:rFonts w:ascii="Times New Roman" w:cs="Times New Roman" w:eastAsia="Times New Roman" w:hAnsi="Times New Roman"/>
                <w:sz w:val="10"/>
                <w:szCs w:val="10"/>
                <w:color w:val="121212"/>
              </w:rPr>
              <w:t>533,764</w:t>
            </w:r>
          </w:p>
        </w:tc>
        <w:tc>
          <w:tcPr>
            <w:tcW w:w="120" w:type="dxa"/>
            <w:vAlign w:val="bottom"/>
            <w:tcBorders>
              <w:top w:val="single" w:sz="8" w:color="121212"/>
              <w:bottom w:val="single" w:sz="8" w:color="121212"/>
            </w:tcBorders>
          </w:tcPr>
          <w:p>
            <w:pPr>
              <w:spacing w:after="0"/>
              <w:rPr>
                <w:sz w:val="8"/>
                <w:szCs w:val="8"/>
                <w:color w:val="auto"/>
              </w:rPr>
            </w:pPr>
          </w:p>
        </w:tc>
        <w:tc>
          <w:tcPr>
            <w:tcW w:w="160" w:type="dxa"/>
            <w:vAlign w:val="bottom"/>
            <w:gridSpan w:val="2"/>
          </w:tcPr>
          <w:p>
            <w:pPr>
              <w:spacing w:after="0"/>
              <w:rPr>
                <w:sz w:val="8"/>
                <w:szCs w:val="8"/>
                <w:color w:val="auto"/>
              </w:rPr>
            </w:pPr>
          </w:p>
        </w:tc>
        <w:tc>
          <w:tcPr>
            <w:tcW w:w="80" w:type="dxa"/>
            <w:vAlign w:val="bottom"/>
            <w:tcBorders>
              <w:top w:val="single" w:sz="8" w:color="121212"/>
              <w:bottom w:val="single" w:sz="8" w:color="121212"/>
            </w:tcBorders>
          </w:tcPr>
          <w:p>
            <w:pPr>
              <w:jc w:val="right"/>
              <w:ind w:right="16"/>
              <w:spacing w:after="0"/>
              <w:rPr>
                <w:sz w:val="20"/>
                <w:szCs w:val="20"/>
                <w:color w:val="auto"/>
              </w:rPr>
            </w:pPr>
            <w:r>
              <w:rPr>
                <w:rFonts w:ascii="Times New Roman" w:cs="Times New Roman" w:eastAsia="Times New Roman" w:hAnsi="Times New Roman"/>
                <w:sz w:val="5"/>
                <w:szCs w:val="5"/>
                <w:color w:val="121212"/>
                <w:w w:val="78"/>
              </w:rPr>
              <w:t>$</w:t>
            </w:r>
          </w:p>
        </w:tc>
        <w:tc>
          <w:tcPr>
            <w:tcW w:w="880" w:type="dxa"/>
            <w:vAlign w:val="bottom"/>
            <w:tcBorders>
              <w:top w:val="single" w:sz="8" w:color="121212"/>
              <w:bottom w:val="single" w:sz="8" w:color="121212"/>
            </w:tcBorders>
          </w:tcPr>
          <w:p>
            <w:pPr>
              <w:jc w:val="right"/>
              <w:ind w:right="52"/>
              <w:spacing w:after="0" w:line="100" w:lineRule="exact"/>
              <w:rPr>
                <w:sz w:val="20"/>
                <w:szCs w:val="20"/>
                <w:color w:val="auto"/>
              </w:rPr>
            </w:pPr>
            <w:r>
              <w:rPr>
                <w:rFonts w:ascii="Times New Roman" w:cs="Times New Roman" w:eastAsia="Times New Roman" w:hAnsi="Times New Roman"/>
                <w:sz w:val="10"/>
                <w:szCs w:val="10"/>
                <w:color w:val="121212"/>
              </w:rPr>
              <w:t>(188,645)</w:t>
            </w:r>
          </w:p>
        </w:tc>
        <w:tc>
          <w:tcPr>
            <w:tcW w:w="160" w:type="dxa"/>
            <w:vAlign w:val="bottom"/>
            <w:gridSpan w:val="2"/>
          </w:tcPr>
          <w:p>
            <w:pPr>
              <w:spacing w:after="0"/>
              <w:rPr>
                <w:sz w:val="8"/>
                <w:szCs w:val="8"/>
                <w:color w:val="auto"/>
              </w:rPr>
            </w:pPr>
          </w:p>
        </w:tc>
        <w:tc>
          <w:tcPr>
            <w:tcW w:w="100" w:type="dxa"/>
            <w:vAlign w:val="bottom"/>
            <w:tcBorders>
              <w:top w:val="single" w:sz="8" w:color="121212"/>
              <w:bottom w:val="single" w:sz="8" w:color="121212"/>
            </w:tcBorders>
          </w:tcPr>
          <w:p>
            <w:pPr>
              <w:jc w:val="right"/>
              <w:ind w:right="74"/>
              <w:spacing w:after="0"/>
              <w:rPr>
                <w:sz w:val="20"/>
                <w:szCs w:val="20"/>
                <w:color w:val="auto"/>
              </w:rPr>
            </w:pPr>
            <w:r>
              <w:rPr>
                <w:rFonts w:ascii="Times New Roman" w:cs="Times New Roman" w:eastAsia="Times New Roman" w:hAnsi="Times New Roman"/>
                <w:sz w:val="1"/>
                <w:szCs w:val="1"/>
                <w:color w:val="121212"/>
                <w:w w:val="4294967286"/>
              </w:rPr>
              <w:t>$</w:t>
            </w:r>
          </w:p>
        </w:tc>
        <w:tc>
          <w:tcPr>
            <w:tcW w:w="980" w:type="dxa"/>
            <w:vAlign w:val="bottom"/>
            <w:tcBorders>
              <w:top w:val="single" w:sz="8" w:color="121212"/>
              <w:bottom w:val="single" w:sz="8" w:color="121212"/>
            </w:tcBorders>
          </w:tcPr>
          <w:p>
            <w:pPr>
              <w:jc w:val="right"/>
              <w:ind w:right="92"/>
              <w:spacing w:after="0" w:line="100" w:lineRule="exact"/>
              <w:rPr>
                <w:sz w:val="20"/>
                <w:szCs w:val="20"/>
                <w:color w:val="auto"/>
              </w:rPr>
            </w:pPr>
            <w:r>
              <w:rPr>
                <w:rFonts w:ascii="Times New Roman" w:cs="Times New Roman" w:eastAsia="Times New Roman" w:hAnsi="Times New Roman"/>
                <w:sz w:val="10"/>
                <w:szCs w:val="10"/>
                <w:color w:val="121212"/>
              </w:rPr>
              <w:t>345,121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540" w:type="dxa"/>
            <w:vAlign w:val="bottom"/>
            <w:tcBorders>
              <w:bottom w:val="single" w:sz="8" w:color="121212"/>
            </w:tcBorders>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121212"/>
            </w:tcBorders>
          </w:tcPr>
          <w:p>
            <w:pPr>
              <w:spacing w:after="0" w:line="20" w:lineRule="exact"/>
              <w:rPr>
                <w:sz w:val="1"/>
                <w:szCs w:val="1"/>
                <w:color w:val="auto"/>
              </w:rPr>
            </w:pPr>
          </w:p>
        </w:tc>
        <w:tc>
          <w:tcPr>
            <w:tcW w:w="580" w:type="dxa"/>
            <w:vAlign w:val="bottom"/>
            <w:tcBorders>
              <w:bottom w:val="single" w:sz="8" w:color="121212"/>
            </w:tcBorders>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121212"/>
            </w:tcBorders>
          </w:tcPr>
          <w:p>
            <w:pPr>
              <w:spacing w:after="0" w:line="20" w:lineRule="exact"/>
              <w:rPr>
                <w:sz w:val="1"/>
                <w:szCs w:val="1"/>
                <w:color w:val="auto"/>
              </w:rPr>
            </w:pPr>
          </w:p>
        </w:tc>
        <w:tc>
          <w:tcPr>
            <w:tcW w:w="600" w:type="dxa"/>
            <w:vAlign w:val="bottom"/>
            <w:tcBorders>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121212"/>
            </w:tcBorders>
          </w:tcPr>
          <w:p>
            <w:pPr>
              <w:spacing w:after="0" w:line="20" w:lineRule="exact"/>
              <w:rPr>
                <w:sz w:val="1"/>
                <w:szCs w:val="1"/>
                <w:color w:val="auto"/>
              </w:rPr>
            </w:pPr>
          </w:p>
        </w:tc>
        <w:tc>
          <w:tcPr>
            <w:tcW w:w="860" w:type="dxa"/>
            <w:vAlign w:val="bottom"/>
            <w:tcBorders>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121212"/>
            </w:tcBorders>
          </w:tcPr>
          <w:p>
            <w:pPr>
              <w:spacing w:after="0" w:line="20" w:lineRule="exact"/>
              <w:rPr>
                <w:sz w:val="1"/>
                <w:szCs w:val="1"/>
                <w:color w:val="auto"/>
              </w:rPr>
            </w:pPr>
          </w:p>
        </w:tc>
        <w:tc>
          <w:tcPr>
            <w:tcW w:w="560" w:type="dxa"/>
            <w:vAlign w:val="bottom"/>
            <w:tcBorders>
              <w:bottom w:val="single" w:sz="8" w:color="121212"/>
            </w:tcBorders>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121212"/>
            </w:tcBorders>
          </w:tcPr>
          <w:p>
            <w:pPr>
              <w:spacing w:after="0" w:line="20" w:lineRule="exact"/>
              <w:rPr>
                <w:sz w:val="1"/>
                <w:szCs w:val="1"/>
                <w:color w:val="auto"/>
              </w:rPr>
            </w:pPr>
          </w:p>
        </w:tc>
        <w:tc>
          <w:tcPr>
            <w:tcW w:w="780" w:type="dxa"/>
            <w:vAlign w:val="bottom"/>
            <w:tcBorders>
              <w:bottom w:val="single" w:sz="8" w:color="121212"/>
            </w:tcBorders>
          </w:tcPr>
          <w:p>
            <w:pPr>
              <w:spacing w:after="0" w:line="20" w:lineRule="exact"/>
              <w:rPr>
                <w:sz w:val="1"/>
                <w:szCs w:val="1"/>
                <w:color w:val="auto"/>
              </w:rPr>
            </w:pPr>
          </w:p>
        </w:tc>
        <w:tc>
          <w:tcPr>
            <w:tcW w:w="120" w:type="dxa"/>
            <w:vAlign w:val="bottom"/>
            <w:tcBorders>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121212"/>
            </w:tcBorders>
          </w:tcPr>
          <w:p>
            <w:pPr>
              <w:spacing w:after="0" w:line="20" w:lineRule="exact"/>
              <w:rPr>
                <w:sz w:val="1"/>
                <w:szCs w:val="1"/>
                <w:color w:val="auto"/>
              </w:rPr>
            </w:pPr>
          </w:p>
        </w:tc>
        <w:tc>
          <w:tcPr>
            <w:tcW w:w="880" w:type="dxa"/>
            <w:vAlign w:val="bottom"/>
            <w:tcBorders>
              <w:bottom w:val="single" w:sz="8" w:color="12121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121212"/>
            </w:tcBorders>
          </w:tcPr>
          <w:p>
            <w:pPr>
              <w:spacing w:after="0" w:line="20" w:lineRule="exact"/>
              <w:rPr>
                <w:sz w:val="1"/>
                <w:szCs w:val="1"/>
                <w:color w:val="auto"/>
              </w:rPr>
            </w:pPr>
          </w:p>
        </w:tc>
        <w:tc>
          <w:tcPr>
            <w:tcW w:w="980" w:type="dxa"/>
            <w:vAlign w:val="bottom"/>
            <w:tcBorders>
              <w:bottom w:val="single" w:sz="8" w:color="12121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121212"/>
        </w:rPr>
        <w:t>The accompanying notes are an integral part of these consolidated financial statements.</w:t>
      </w:r>
    </w:p>
    <w:p>
      <w:pPr>
        <w:sectPr>
          <w:pgSz w:w="15840" w:h="12240" w:orient="landscape"/>
          <w:cols w:equalWidth="0" w:num="2">
            <w:col w:w="243" w:space="311"/>
            <w:col w:w="13420"/>
          </w:cols>
          <w:pgMar w:left="726" w:top="1286" w:right="11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121212"/>
        </w:rPr>
        <w:t>DISC MEDICINE,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21212"/>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121212"/>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121212"/>
              </w:rPr>
              <w:t>Year Ended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121212"/>
            </w:tcBorders>
          </w:tcPr>
          <w:p>
            <w:pPr>
              <w:spacing w:after="0"/>
              <w:rPr>
                <w:sz w:val="17"/>
                <w:szCs w:val="17"/>
                <w:color w:val="auto"/>
              </w:rPr>
            </w:pPr>
          </w:p>
        </w:tc>
        <w:tc>
          <w:tcPr>
            <w:tcW w:w="2000" w:type="dxa"/>
            <w:vAlign w:val="bottom"/>
            <w:tcBorders>
              <w:bottom w:val="single" w:sz="8" w:color="121212"/>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220" w:type="dxa"/>
            <w:vAlign w:val="bottom"/>
            <w:tcBorders>
              <w:bottom w:val="single" w:sz="8" w:color="121212"/>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700" w:type="dxa"/>
            <w:vAlign w:val="bottom"/>
            <w:tcBorders>
              <w:bottom w:val="single" w:sz="8" w:color="DFDFDF"/>
            </w:tcBorders>
          </w:tcPr>
          <w:p>
            <w:pPr>
              <w:spacing w:after="0"/>
              <w:rPr>
                <w:sz w:val="15"/>
                <w:szCs w:val="15"/>
                <w:color w:val="auto"/>
              </w:rPr>
            </w:pPr>
          </w:p>
        </w:tc>
        <w:tc>
          <w:tcPr>
            <w:tcW w:w="140" w:type="dxa"/>
            <w:vAlign w:val="bottom"/>
            <w:tcBorders>
              <w:bottom w:val="single" w:sz="8" w:color="DFDFDF"/>
            </w:tcBorders>
          </w:tcPr>
          <w:p>
            <w:pPr>
              <w:spacing w:after="0"/>
              <w:rPr>
                <w:sz w:val="15"/>
                <w:szCs w:val="15"/>
                <w:color w:val="auto"/>
              </w:rPr>
            </w:pPr>
          </w:p>
        </w:tc>
        <w:tc>
          <w:tcPr>
            <w:tcW w:w="380" w:type="dxa"/>
            <w:vAlign w:val="bottom"/>
            <w:tcBorders>
              <w:bottom w:val="single" w:sz="8" w:color="121212"/>
            </w:tcBorders>
          </w:tcPr>
          <w:p>
            <w:pPr>
              <w:spacing w:after="0"/>
              <w:rPr>
                <w:sz w:val="15"/>
                <w:szCs w:val="15"/>
                <w:color w:val="auto"/>
              </w:rPr>
            </w:pPr>
          </w:p>
        </w:tc>
        <w:tc>
          <w:tcPr>
            <w:tcW w:w="1340" w:type="dxa"/>
            <w:vAlign w:val="bottom"/>
            <w:tcBorders>
              <w:bottom w:val="single" w:sz="8" w:color="121212"/>
            </w:tcBorders>
          </w:tcPr>
          <w:p>
            <w:pPr>
              <w:jc w:val="right"/>
              <w:ind w:right="662"/>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80" w:type="dxa"/>
            <w:vAlign w:val="bottom"/>
            <w:tcBorders>
              <w:bottom w:val="single" w:sz="8" w:color="DFDFDF"/>
            </w:tcBorders>
          </w:tcPr>
          <w:p>
            <w:pPr>
              <w:spacing w:after="0"/>
              <w:rPr>
                <w:sz w:val="15"/>
                <w:szCs w:val="15"/>
                <w:color w:val="auto"/>
              </w:rPr>
            </w:pPr>
          </w:p>
        </w:tc>
        <w:tc>
          <w:tcPr>
            <w:tcW w:w="480" w:type="dxa"/>
            <w:vAlign w:val="bottom"/>
            <w:tcBorders>
              <w:bottom w:val="single" w:sz="8" w:color="121212"/>
            </w:tcBorders>
          </w:tcPr>
          <w:p>
            <w:pPr>
              <w:spacing w:after="0"/>
              <w:rPr>
                <w:sz w:val="15"/>
                <w:szCs w:val="15"/>
                <w:color w:val="auto"/>
              </w:rPr>
            </w:pPr>
          </w:p>
        </w:tc>
        <w:tc>
          <w:tcPr>
            <w:tcW w:w="1220" w:type="dxa"/>
            <w:vAlign w:val="bottom"/>
            <w:tcBorders>
              <w:bottom w:val="single" w:sz="8" w:color="121212"/>
            </w:tcBorders>
          </w:tcPr>
          <w:p>
            <w:pPr>
              <w:jc w:val="right"/>
              <w:ind w:right="641"/>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c>
          <w:tcPr>
            <w:tcW w:w="0" w:type="dxa"/>
            <w:vAlign w:val="bottom"/>
          </w:tcPr>
          <w:p>
            <w:pPr>
              <w:spacing w:after="0"/>
              <w:rPr>
                <w:sz w:val="1"/>
                <w:szCs w:val="1"/>
                <w:color w:val="auto"/>
              </w:rPr>
            </w:pPr>
          </w:p>
        </w:tc>
      </w:tr>
      <w:tr>
        <w:trPr>
          <w:trHeight w:val="220"/>
        </w:trPr>
        <w:tc>
          <w:tcPr>
            <w:tcW w:w="6700" w:type="dxa"/>
            <w:vAlign w:val="bottom"/>
            <w:shd w:val="clear" w:color="auto" w:fill="DFDFDF"/>
          </w:tcPr>
          <w:p>
            <w:pPr>
              <w:spacing w:after="0" w:line="220" w:lineRule="exact"/>
              <w:rPr>
                <w:sz w:val="20"/>
                <w:szCs w:val="20"/>
                <w:color w:val="auto"/>
              </w:rPr>
            </w:pPr>
            <w:r>
              <w:rPr>
                <w:rFonts w:ascii="Times New Roman" w:cs="Times New Roman" w:eastAsia="Times New Roman" w:hAnsi="Times New Roman"/>
                <w:sz w:val="20"/>
                <w:szCs w:val="20"/>
                <w:color w:val="121212"/>
              </w:rPr>
              <w:t>Cash flows from operating activities</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Net loss</w:t>
            </w:r>
          </w:p>
        </w:tc>
        <w:tc>
          <w:tcPr>
            <w:tcW w:w="140" w:type="dxa"/>
            <w:vAlign w:val="bottom"/>
          </w:tcPr>
          <w:p>
            <w:pPr>
              <w:spacing w:after="0"/>
              <w:rPr>
                <w:sz w:val="19"/>
                <w:szCs w:val="19"/>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121212"/>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(76,429)</w:t>
            </w:r>
          </w:p>
        </w:tc>
        <w:tc>
          <w:tcPr>
            <w:tcW w:w="180" w:type="dxa"/>
            <w:vAlign w:val="bottom"/>
          </w:tcPr>
          <w:p>
            <w:pPr>
              <w:spacing w:after="0"/>
              <w:rPr>
                <w:sz w:val="19"/>
                <w:szCs w:val="19"/>
                <w:color w:val="auto"/>
              </w:rPr>
            </w:pP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(46,827)</w:t>
            </w: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Adjustments to reconcile net loss to net cash used in operations:</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400"/>
              <w:spacing w:after="0"/>
              <w:rPr>
                <w:sz w:val="20"/>
                <w:szCs w:val="20"/>
                <w:color w:val="auto"/>
              </w:rPr>
            </w:pPr>
            <w:r>
              <w:rPr>
                <w:rFonts w:ascii="Times New Roman" w:cs="Times New Roman" w:eastAsia="Times New Roman" w:hAnsi="Times New Roman"/>
                <w:sz w:val="20"/>
                <w:szCs w:val="20"/>
                <w:color w:val="121212"/>
              </w:rPr>
              <w:t>Depreciation and amortization</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21212"/>
              </w:rPr>
              <w:t>100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89</w:t>
            </w: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400"/>
              <w:spacing w:after="0"/>
              <w:rPr>
                <w:sz w:val="20"/>
                <w:szCs w:val="20"/>
                <w:color w:val="auto"/>
              </w:rPr>
            </w:pPr>
            <w:r>
              <w:rPr>
                <w:rFonts w:ascii="Times New Roman" w:cs="Times New Roman" w:eastAsia="Times New Roman" w:hAnsi="Times New Roman"/>
                <w:sz w:val="20"/>
                <w:szCs w:val="20"/>
                <w:color w:val="121212"/>
              </w:rPr>
              <w:t>Stock-based compensation</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5,530</w:t>
            </w: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2,089</w:t>
            </w:r>
          </w:p>
        </w:tc>
        <w:tc>
          <w:tcPr>
            <w:tcW w:w="0" w:type="dxa"/>
            <w:vAlign w:val="bottom"/>
          </w:tcPr>
          <w:p>
            <w:pPr>
              <w:spacing w:after="0"/>
              <w:rPr>
                <w:sz w:val="1"/>
                <w:szCs w:val="1"/>
                <w:color w:val="auto"/>
              </w:rPr>
            </w:pPr>
          </w:p>
        </w:tc>
      </w:tr>
      <w:tr>
        <w:trPr>
          <w:trHeight w:val="230"/>
        </w:trPr>
        <w:tc>
          <w:tcPr>
            <w:tcW w:w="6700" w:type="dxa"/>
            <w:vAlign w:val="bottom"/>
          </w:tcPr>
          <w:p>
            <w:pPr>
              <w:ind w:left="400"/>
              <w:spacing w:after="0"/>
              <w:rPr>
                <w:sz w:val="20"/>
                <w:szCs w:val="20"/>
                <w:color w:val="auto"/>
              </w:rPr>
            </w:pPr>
            <w:r>
              <w:rPr>
                <w:rFonts w:ascii="Times New Roman" w:cs="Times New Roman" w:eastAsia="Times New Roman" w:hAnsi="Times New Roman"/>
                <w:sz w:val="20"/>
                <w:szCs w:val="20"/>
                <w:color w:val="121212"/>
              </w:rPr>
              <w:t>Change in fair value of derivative liability</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21212"/>
              </w:rPr>
              <w:t>—</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61</w:t>
            </w: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400"/>
              <w:spacing w:after="0"/>
              <w:rPr>
                <w:sz w:val="20"/>
                <w:szCs w:val="20"/>
                <w:color w:val="auto"/>
              </w:rPr>
            </w:pPr>
            <w:r>
              <w:rPr>
                <w:rFonts w:ascii="Times New Roman" w:cs="Times New Roman" w:eastAsia="Times New Roman" w:hAnsi="Times New Roman"/>
                <w:sz w:val="20"/>
                <w:szCs w:val="20"/>
                <w:color w:val="121212"/>
              </w:rPr>
              <w:t>Noncash lease expense</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290</w:t>
            </w: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211</w:t>
            </w:r>
          </w:p>
        </w:tc>
        <w:tc>
          <w:tcPr>
            <w:tcW w:w="0" w:type="dxa"/>
            <w:vAlign w:val="bottom"/>
          </w:tcPr>
          <w:p>
            <w:pPr>
              <w:spacing w:after="0"/>
              <w:rPr>
                <w:sz w:val="1"/>
                <w:szCs w:val="1"/>
                <w:color w:val="auto"/>
              </w:rPr>
            </w:pPr>
          </w:p>
        </w:tc>
      </w:tr>
      <w:tr>
        <w:trPr>
          <w:trHeight w:val="230"/>
        </w:trPr>
        <w:tc>
          <w:tcPr>
            <w:tcW w:w="6700" w:type="dxa"/>
            <w:vAlign w:val="bottom"/>
          </w:tcPr>
          <w:p>
            <w:pPr>
              <w:ind w:left="400"/>
              <w:spacing w:after="0"/>
              <w:rPr>
                <w:sz w:val="20"/>
                <w:szCs w:val="20"/>
                <w:color w:val="auto"/>
              </w:rPr>
            </w:pPr>
            <w:r>
              <w:rPr>
                <w:rFonts w:ascii="Times New Roman" w:cs="Times New Roman" w:eastAsia="Times New Roman" w:hAnsi="Times New Roman"/>
                <w:sz w:val="20"/>
                <w:szCs w:val="20"/>
                <w:color w:val="121212"/>
              </w:rPr>
              <w:t>Changes in operating assets and liabilities: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600"/>
              <w:spacing w:after="0"/>
              <w:rPr>
                <w:sz w:val="20"/>
                <w:szCs w:val="20"/>
                <w:color w:val="auto"/>
              </w:rPr>
            </w:pPr>
            <w:r>
              <w:rPr>
                <w:rFonts w:ascii="Times New Roman" w:cs="Times New Roman" w:eastAsia="Times New Roman" w:hAnsi="Times New Roman"/>
                <w:sz w:val="20"/>
                <w:szCs w:val="20"/>
                <w:color w:val="121212"/>
              </w:rPr>
              <w:t>Prepaid expenses and other current assets</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(1,166)</w:t>
            </w: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352</w:t>
            </w:r>
          </w:p>
        </w:tc>
        <w:tc>
          <w:tcPr>
            <w:tcW w:w="0" w:type="dxa"/>
            <w:vAlign w:val="bottom"/>
          </w:tcPr>
          <w:p>
            <w:pPr>
              <w:spacing w:after="0"/>
              <w:rPr>
                <w:sz w:val="1"/>
                <w:szCs w:val="1"/>
                <w:color w:val="auto"/>
              </w:rPr>
            </w:pPr>
          </w:p>
        </w:tc>
      </w:tr>
      <w:tr>
        <w:trPr>
          <w:trHeight w:val="230"/>
        </w:trPr>
        <w:tc>
          <w:tcPr>
            <w:tcW w:w="6700" w:type="dxa"/>
            <w:vAlign w:val="bottom"/>
          </w:tcPr>
          <w:p>
            <w:pPr>
              <w:ind w:left="600"/>
              <w:spacing w:after="0"/>
              <w:rPr>
                <w:sz w:val="20"/>
                <w:szCs w:val="20"/>
                <w:color w:val="auto"/>
              </w:rPr>
            </w:pPr>
            <w:r>
              <w:rPr>
                <w:rFonts w:ascii="Times New Roman" w:cs="Times New Roman" w:eastAsia="Times New Roman" w:hAnsi="Times New Roman"/>
                <w:sz w:val="20"/>
                <w:szCs w:val="20"/>
                <w:color w:val="121212"/>
              </w:rPr>
              <w:t>Other assets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21212"/>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64</w:t>
            </w: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600"/>
              <w:spacing w:after="0"/>
              <w:rPr>
                <w:sz w:val="20"/>
                <w:szCs w:val="20"/>
                <w:color w:val="auto"/>
              </w:rPr>
            </w:pPr>
            <w:r>
              <w:rPr>
                <w:rFonts w:ascii="Times New Roman" w:cs="Times New Roman" w:eastAsia="Times New Roman" w:hAnsi="Times New Roman"/>
                <w:sz w:val="20"/>
                <w:szCs w:val="20"/>
                <w:color w:val="121212"/>
              </w:rPr>
              <w:t>Accounts payable</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(3,741)</w:t>
            </w: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526</w:t>
            </w:r>
          </w:p>
        </w:tc>
        <w:tc>
          <w:tcPr>
            <w:tcW w:w="0" w:type="dxa"/>
            <w:vAlign w:val="bottom"/>
          </w:tcPr>
          <w:p>
            <w:pPr>
              <w:spacing w:after="0"/>
              <w:rPr>
                <w:sz w:val="1"/>
                <w:szCs w:val="1"/>
                <w:color w:val="auto"/>
              </w:rPr>
            </w:pPr>
          </w:p>
        </w:tc>
      </w:tr>
      <w:tr>
        <w:trPr>
          <w:trHeight w:val="230"/>
        </w:trPr>
        <w:tc>
          <w:tcPr>
            <w:tcW w:w="6700" w:type="dxa"/>
            <w:vAlign w:val="bottom"/>
          </w:tcPr>
          <w:p>
            <w:pPr>
              <w:ind w:left="600"/>
              <w:spacing w:after="0"/>
              <w:rPr>
                <w:sz w:val="20"/>
                <w:szCs w:val="20"/>
                <w:color w:val="auto"/>
              </w:rPr>
            </w:pPr>
            <w:r>
              <w:rPr>
                <w:rFonts w:ascii="Times New Roman" w:cs="Times New Roman" w:eastAsia="Times New Roman" w:hAnsi="Times New Roman"/>
                <w:sz w:val="20"/>
                <w:szCs w:val="20"/>
                <w:color w:val="121212"/>
              </w:rPr>
              <w:t>Accrued expenses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21212"/>
              </w:rPr>
              <w:t>2,008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1,502</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DFDFDF"/>
            </w:tcBorders>
            <w:shd w:val="clear" w:color="auto" w:fill="DFDFDF"/>
          </w:tcPr>
          <w:p>
            <w:pPr>
              <w:ind w:left="600"/>
              <w:spacing w:after="0"/>
              <w:rPr>
                <w:sz w:val="20"/>
                <w:szCs w:val="20"/>
                <w:color w:val="auto"/>
              </w:rPr>
            </w:pPr>
            <w:r>
              <w:rPr>
                <w:rFonts w:ascii="Times New Roman" w:cs="Times New Roman" w:eastAsia="Times New Roman" w:hAnsi="Times New Roman"/>
                <w:sz w:val="20"/>
                <w:szCs w:val="20"/>
                <w:color w:val="121212"/>
              </w:rPr>
              <w:t>Operating lease liabilities</w:t>
            </w:r>
          </w:p>
        </w:tc>
        <w:tc>
          <w:tcPr>
            <w:tcW w:w="140" w:type="dxa"/>
            <w:vAlign w:val="bottom"/>
            <w:tcBorders>
              <w:bottom w:val="single" w:sz="8" w:color="DFDFDF"/>
            </w:tcBorders>
            <w:shd w:val="clear" w:color="auto" w:fill="DFDFDF"/>
          </w:tcPr>
          <w:p>
            <w:pPr>
              <w:spacing w:after="0"/>
              <w:rPr>
                <w:sz w:val="21"/>
                <w:szCs w:val="21"/>
                <w:color w:val="auto"/>
              </w:rPr>
            </w:pPr>
          </w:p>
        </w:tc>
        <w:tc>
          <w:tcPr>
            <w:tcW w:w="380" w:type="dxa"/>
            <w:vAlign w:val="bottom"/>
            <w:tcBorders>
              <w:bottom w:val="single" w:sz="8" w:color="121212"/>
            </w:tcBorders>
            <w:shd w:val="clear" w:color="auto" w:fill="DFDFDF"/>
          </w:tcPr>
          <w:p>
            <w:pPr>
              <w:spacing w:after="0"/>
              <w:rPr>
                <w:sz w:val="21"/>
                <w:szCs w:val="21"/>
                <w:color w:val="auto"/>
              </w:rPr>
            </w:pPr>
          </w:p>
        </w:tc>
        <w:tc>
          <w:tcPr>
            <w:tcW w:w="1340" w:type="dxa"/>
            <w:vAlign w:val="bottom"/>
            <w:tcBorders>
              <w:bottom w:val="single" w:sz="8" w:color="121212"/>
            </w:tcBorders>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(54)</w:t>
            </w:r>
          </w:p>
        </w:tc>
        <w:tc>
          <w:tcPr>
            <w:tcW w:w="180" w:type="dxa"/>
            <w:vAlign w:val="bottom"/>
            <w:tcBorders>
              <w:bottom w:val="single" w:sz="8" w:color="DFDFDF"/>
            </w:tcBorders>
            <w:shd w:val="clear" w:color="auto" w:fill="DFDFDF"/>
          </w:tcPr>
          <w:p>
            <w:pPr>
              <w:spacing w:after="0"/>
              <w:rPr>
                <w:sz w:val="21"/>
                <w:szCs w:val="21"/>
                <w:color w:val="auto"/>
              </w:rPr>
            </w:pPr>
          </w:p>
        </w:tc>
        <w:tc>
          <w:tcPr>
            <w:tcW w:w="480" w:type="dxa"/>
            <w:vAlign w:val="bottom"/>
            <w:tcBorders>
              <w:bottom w:val="single" w:sz="8" w:color="121212"/>
            </w:tcBorders>
            <w:shd w:val="clear" w:color="auto" w:fill="DFDFDF"/>
          </w:tcPr>
          <w:p>
            <w:pPr>
              <w:spacing w:after="0"/>
              <w:rPr>
                <w:sz w:val="21"/>
                <w:szCs w:val="21"/>
                <w:color w:val="auto"/>
              </w:rPr>
            </w:pPr>
          </w:p>
        </w:tc>
        <w:tc>
          <w:tcPr>
            <w:tcW w:w="1220" w:type="dxa"/>
            <w:vAlign w:val="bottom"/>
            <w:tcBorders>
              <w:bottom w:val="single" w:sz="8" w:color="121212"/>
            </w:tcBorders>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(319)</w:t>
            </w:r>
          </w:p>
        </w:tc>
        <w:tc>
          <w:tcPr>
            <w:tcW w:w="0" w:type="dxa"/>
            <w:vAlign w:val="bottom"/>
          </w:tcPr>
          <w:p>
            <w:pPr>
              <w:spacing w:after="0"/>
              <w:rPr>
                <w:sz w:val="1"/>
                <w:szCs w:val="1"/>
                <w:color w:val="auto"/>
              </w:rPr>
            </w:pPr>
          </w:p>
        </w:tc>
      </w:tr>
      <w:tr>
        <w:trPr>
          <w:trHeight w:val="200"/>
        </w:trPr>
        <w:tc>
          <w:tcPr>
            <w:tcW w:w="6700" w:type="dxa"/>
            <w:vAlign w:val="bottom"/>
            <w:tcBorders>
              <w:bottom w:val="single" w:sz="8" w:color="DFDFDF"/>
            </w:tcBorders>
          </w:tcPr>
          <w:p>
            <w:pPr>
              <w:ind w:left="800"/>
              <w:spacing w:after="0" w:line="200" w:lineRule="exact"/>
              <w:rPr>
                <w:sz w:val="20"/>
                <w:szCs w:val="20"/>
                <w:color w:val="auto"/>
              </w:rPr>
            </w:pPr>
            <w:r>
              <w:rPr>
                <w:rFonts w:ascii="Times New Roman" w:cs="Times New Roman" w:eastAsia="Times New Roman" w:hAnsi="Times New Roman"/>
                <w:sz w:val="20"/>
                <w:szCs w:val="20"/>
                <w:color w:val="121212"/>
              </w:rPr>
              <w:t>Net cash used in operating activities</w:t>
            </w:r>
          </w:p>
        </w:tc>
        <w:tc>
          <w:tcPr>
            <w:tcW w:w="140" w:type="dxa"/>
            <w:vAlign w:val="bottom"/>
            <w:tcBorders>
              <w:bottom w:val="single" w:sz="8" w:color="DFDFDF"/>
            </w:tcBorders>
          </w:tcPr>
          <w:p>
            <w:pPr>
              <w:spacing w:after="0"/>
              <w:rPr>
                <w:sz w:val="17"/>
                <w:szCs w:val="17"/>
                <w:color w:val="auto"/>
              </w:rPr>
            </w:pPr>
          </w:p>
        </w:tc>
        <w:tc>
          <w:tcPr>
            <w:tcW w:w="380" w:type="dxa"/>
            <w:vAlign w:val="bottom"/>
            <w:tcBorders>
              <w:bottom w:val="single" w:sz="8" w:color="121212"/>
            </w:tcBorders>
          </w:tcPr>
          <w:p>
            <w:pPr>
              <w:spacing w:after="0"/>
              <w:rPr>
                <w:sz w:val="17"/>
                <w:szCs w:val="17"/>
                <w:color w:val="auto"/>
              </w:rPr>
            </w:pPr>
          </w:p>
        </w:tc>
        <w:tc>
          <w:tcPr>
            <w:tcW w:w="1340" w:type="dxa"/>
            <w:vAlign w:val="bottom"/>
            <w:tcBorders>
              <w:bottom w:val="single" w:sz="8" w:color="121212"/>
            </w:tcBorders>
          </w:tcPr>
          <w:p>
            <w:pPr>
              <w:jc w:val="right"/>
              <w:spacing w:after="0" w:line="200" w:lineRule="exact"/>
              <w:rPr>
                <w:sz w:val="20"/>
                <w:szCs w:val="20"/>
                <w:color w:val="auto"/>
              </w:rPr>
            </w:pPr>
            <w:r>
              <w:rPr>
                <w:rFonts w:ascii="Times New Roman" w:cs="Times New Roman" w:eastAsia="Times New Roman" w:hAnsi="Times New Roman"/>
                <w:sz w:val="20"/>
                <w:szCs w:val="20"/>
                <w:color w:val="121212"/>
              </w:rPr>
              <w:t>(73,462)</w:t>
            </w:r>
          </w:p>
        </w:tc>
        <w:tc>
          <w:tcPr>
            <w:tcW w:w="180" w:type="dxa"/>
            <w:vAlign w:val="bottom"/>
            <w:tcBorders>
              <w:bottom w:val="single" w:sz="8" w:color="DFDFDF"/>
            </w:tcBorders>
          </w:tcPr>
          <w:p>
            <w:pPr>
              <w:spacing w:after="0"/>
              <w:rPr>
                <w:sz w:val="17"/>
                <w:szCs w:val="17"/>
                <w:color w:val="auto"/>
              </w:rPr>
            </w:pPr>
          </w:p>
        </w:tc>
        <w:tc>
          <w:tcPr>
            <w:tcW w:w="480" w:type="dxa"/>
            <w:vAlign w:val="bottom"/>
            <w:tcBorders>
              <w:bottom w:val="single" w:sz="8" w:color="121212"/>
            </w:tcBorders>
          </w:tcPr>
          <w:p>
            <w:pPr>
              <w:spacing w:after="0"/>
              <w:rPr>
                <w:sz w:val="17"/>
                <w:szCs w:val="17"/>
                <w:color w:val="auto"/>
              </w:rPr>
            </w:pPr>
          </w:p>
        </w:tc>
        <w:tc>
          <w:tcPr>
            <w:tcW w:w="1220" w:type="dxa"/>
            <w:vAlign w:val="bottom"/>
            <w:tcBorders>
              <w:bottom w:val="single" w:sz="8" w:color="121212"/>
            </w:tcBorders>
          </w:tcPr>
          <w:p>
            <w:pPr>
              <w:jc w:val="right"/>
              <w:spacing w:after="0" w:line="200" w:lineRule="exact"/>
              <w:rPr>
                <w:sz w:val="20"/>
                <w:szCs w:val="20"/>
                <w:color w:val="auto"/>
              </w:rPr>
            </w:pPr>
            <w:r>
              <w:rPr>
                <w:rFonts w:ascii="Times New Roman" w:cs="Times New Roman" w:eastAsia="Times New Roman" w:hAnsi="Times New Roman"/>
                <w:sz w:val="20"/>
                <w:szCs w:val="20"/>
                <w:color w:val="121212"/>
              </w:rPr>
              <w:t>(42,252)</w:t>
            </w:r>
          </w:p>
        </w:tc>
        <w:tc>
          <w:tcPr>
            <w:tcW w:w="0" w:type="dxa"/>
            <w:vAlign w:val="bottom"/>
          </w:tcPr>
          <w:p>
            <w:pPr>
              <w:spacing w:after="0"/>
              <w:rPr>
                <w:sz w:val="1"/>
                <w:szCs w:val="1"/>
                <w:color w:val="auto"/>
              </w:rPr>
            </w:pPr>
          </w:p>
        </w:tc>
      </w:tr>
      <w:tr>
        <w:trPr>
          <w:trHeight w:val="220"/>
        </w:trPr>
        <w:tc>
          <w:tcPr>
            <w:tcW w:w="6700" w:type="dxa"/>
            <w:vAlign w:val="bottom"/>
            <w:shd w:val="clear" w:color="auto" w:fill="DFDFDF"/>
          </w:tcPr>
          <w:p>
            <w:pPr>
              <w:spacing w:after="0" w:line="220" w:lineRule="exact"/>
              <w:rPr>
                <w:sz w:val="20"/>
                <w:szCs w:val="20"/>
                <w:color w:val="auto"/>
              </w:rPr>
            </w:pPr>
            <w:r>
              <w:rPr>
                <w:rFonts w:ascii="Times New Roman" w:cs="Times New Roman" w:eastAsia="Times New Roman" w:hAnsi="Times New Roman"/>
                <w:sz w:val="20"/>
                <w:szCs w:val="20"/>
                <w:color w:val="121212"/>
              </w:rPr>
              <w:t>Cash flow from investing activities</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DFDFDF"/>
            </w:tcBorders>
          </w:tcPr>
          <w:p>
            <w:pPr>
              <w:ind w:left="200"/>
              <w:spacing w:after="0"/>
              <w:rPr>
                <w:sz w:val="20"/>
                <w:szCs w:val="20"/>
                <w:color w:val="auto"/>
              </w:rPr>
            </w:pPr>
            <w:r>
              <w:rPr>
                <w:rFonts w:ascii="Times New Roman" w:cs="Times New Roman" w:eastAsia="Times New Roman" w:hAnsi="Times New Roman"/>
                <w:sz w:val="20"/>
                <w:szCs w:val="20"/>
                <w:color w:val="121212"/>
              </w:rPr>
              <w:t>Purchases of property and equipment</w:t>
            </w:r>
          </w:p>
        </w:tc>
        <w:tc>
          <w:tcPr>
            <w:tcW w:w="140" w:type="dxa"/>
            <w:vAlign w:val="bottom"/>
            <w:tcBorders>
              <w:bottom w:val="single" w:sz="8" w:color="DFDFDF"/>
            </w:tcBorders>
          </w:tcPr>
          <w:p>
            <w:pPr>
              <w:spacing w:after="0"/>
              <w:rPr>
                <w:sz w:val="19"/>
                <w:szCs w:val="19"/>
                <w:color w:val="auto"/>
              </w:rPr>
            </w:pPr>
          </w:p>
        </w:tc>
        <w:tc>
          <w:tcPr>
            <w:tcW w:w="380" w:type="dxa"/>
            <w:vAlign w:val="bottom"/>
            <w:tcBorders>
              <w:bottom w:val="single" w:sz="8" w:color="121212"/>
            </w:tcBorders>
          </w:tcPr>
          <w:p>
            <w:pPr>
              <w:spacing w:after="0"/>
              <w:rPr>
                <w:sz w:val="19"/>
                <w:szCs w:val="19"/>
                <w:color w:val="auto"/>
              </w:rPr>
            </w:pPr>
          </w:p>
        </w:tc>
        <w:tc>
          <w:tcPr>
            <w:tcW w:w="134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(89)</w:t>
            </w:r>
          </w:p>
        </w:tc>
        <w:tc>
          <w:tcPr>
            <w:tcW w:w="180" w:type="dxa"/>
            <w:vAlign w:val="bottom"/>
            <w:tcBorders>
              <w:bottom w:val="single" w:sz="8" w:color="DFDFDF"/>
            </w:tcBorders>
          </w:tcPr>
          <w:p>
            <w:pPr>
              <w:spacing w:after="0"/>
              <w:rPr>
                <w:sz w:val="19"/>
                <w:szCs w:val="19"/>
                <w:color w:val="auto"/>
              </w:rPr>
            </w:pPr>
          </w:p>
        </w:tc>
        <w:tc>
          <w:tcPr>
            <w:tcW w:w="480" w:type="dxa"/>
            <w:vAlign w:val="bottom"/>
            <w:tcBorders>
              <w:bottom w:val="single" w:sz="8" w:color="121212"/>
            </w:tcBorders>
          </w:tcPr>
          <w:p>
            <w:pPr>
              <w:spacing w:after="0"/>
              <w:rPr>
                <w:sz w:val="19"/>
                <w:szCs w:val="19"/>
                <w:color w:val="auto"/>
              </w:rPr>
            </w:pPr>
          </w:p>
        </w:tc>
        <w:tc>
          <w:tcPr>
            <w:tcW w:w="122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(151)</w:t>
            </w:r>
          </w:p>
        </w:tc>
        <w:tc>
          <w:tcPr>
            <w:tcW w:w="0" w:type="dxa"/>
            <w:vAlign w:val="bottom"/>
          </w:tcPr>
          <w:p>
            <w:pPr>
              <w:spacing w:after="0"/>
              <w:rPr>
                <w:sz w:val="1"/>
                <w:szCs w:val="1"/>
                <w:color w:val="auto"/>
              </w:rPr>
            </w:pPr>
          </w:p>
        </w:tc>
      </w:tr>
      <w:tr>
        <w:trPr>
          <w:trHeight w:val="240"/>
        </w:trPr>
        <w:tc>
          <w:tcPr>
            <w:tcW w:w="6700" w:type="dxa"/>
            <w:vAlign w:val="bottom"/>
            <w:tcBorders>
              <w:bottom w:val="single" w:sz="8" w:color="DFDFDF"/>
            </w:tcBorders>
            <w:shd w:val="clear" w:color="auto" w:fill="DFDFDF"/>
          </w:tcPr>
          <w:p>
            <w:pPr>
              <w:ind w:left="400"/>
              <w:spacing w:after="0" w:line="220" w:lineRule="exact"/>
              <w:rPr>
                <w:sz w:val="20"/>
                <w:szCs w:val="20"/>
                <w:color w:val="auto"/>
              </w:rPr>
            </w:pPr>
            <w:r>
              <w:rPr>
                <w:rFonts w:ascii="Times New Roman" w:cs="Times New Roman" w:eastAsia="Times New Roman" w:hAnsi="Times New Roman"/>
                <w:sz w:val="20"/>
                <w:szCs w:val="20"/>
                <w:color w:val="121212"/>
              </w:rPr>
              <w:t>Net cash used in investing activities</w:t>
            </w:r>
          </w:p>
        </w:tc>
        <w:tc>
          <w:tcPr>
            <w:tcW w:w="140" w:type="dxa"/>
            <w:vAlign w:val="bottom"/>
            <w:tcBorders>
              <w:bottom w:val="single" w:sz="8" w:color="DFDFDF"/>
            </w:tcBorders>
            <w:shd w:val="clear" w:color="auto" w:fill="DFDFDF"/>
          </w:tcPr>
          <w:p>
            <w:pPr>
              <w:spacing w:after="0"/>
              <w:rPr>
                <w:sz w:val="20"/>
                <w:szCs w:val="20"/>
                <w:color w:val="auto"/>
              </w:rPr>
            </w:pPr>
          </w:p>
        </w:tc>
        <w:tc>
          <w:tcPr>
            <w:tcW w:w="380" w:type="dxa"/>
            <w:vAlign w:val="bottom"/>
            <w:tcBorders>
              <w:bottom w:val="single" w:sz="8" w:color="121212"/>
            </w:tcBorders>
            <w:shd w:val="clear" w:color="auto" w:fill="DFDFDF"/>
          </w:tcPr>
          <w:p>
            <w:pPr>
              <w:spacing w:after="0"/>
              <w:rPr>
                <w:sz w:val="20"/>
                <w:szCs w:val="20"/>
                <w:color w:val="auto"/>
              </w:rPr>
            </w:pPr>
          </w:p>
        </w:tc>
        <w:tc>
          <w:tcPr>
            <w:tcW w:w="1340" w:type="dxa"/>
            <w:vAlign w:val="bottom"/>
            <w:tcBorders>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(89)</w:t>
            </w:r>
          </w:p>
        </w:tc>
        <w:tc>
          <w:tcPr>
            <w:tcW w:w="180" w:type="dxa"/>
            <w:vAlign w:val="bottom"/>
            <w:tcBorders>
              <w:bottom w:val="single" w:sz="8" w:color="DFDFDF"/>
            </w:tcBorders>
            <w:shd w:val="clear" w:color="auto" w:fill="DFDFDF"/>
          </w:tcPr>
          <w:p>
            <w:pPr>
              <w:spacing w:after="0"/>
              <w:rPr>
                <w:sz w:val="20"/>
                <w:szCs w:val="20"/>
                <w:color w:val="auto"/>
              </w:rPr>
            </w:pPr>
          </w:p>
        </w:tc>
        <w:tc>
          <w:tcPr>
            <w:tcW w:w="480" w:type="dxa"/>
            <w:vAlign w:val="bottom"/>
            <w:tcBorders>
              <w:bottom w:val="single" w:sz="8" w:color="121212"/>
            </w:tcBorders>
            <w:shd w:val="clear" w:color="auto" w:fill="DFDFDF"/>
          </w:tcPr>
          <w:p>
            <w:pPr>
              <w:spacing w:after="0"/>
              <w:rPr>
                <w:sz w:val="20"/>
                <w:szCs w:val="20"/>
                <w:color w:val="auto"/>
              </w:rPr>
            </w:pPr>
          </w:p>
        </w:tc>
        <w:tc>
          <w:tcPr>
            <w:tcW w:w="1220" w:type="dxa"/>
            <w:vAlign w:val="bottom"/>
            <w:tcBorders>
              <w:bottom w:val="single" w:sz="8" w:color="121212"/>
            </w:tcBorders>
            <w:shd w:val="clear" w:color="auto" w:fill="DFDFDF"/>
          </w:tcPr>
          <w:p>
            <w:pPr>
              <w:jc w:val="right"/>
              <w:spacing w:after="0" w:line="220" w:lineRule="exact"/>
              <w:rPr>
                <w:sz w:val="20"/>
                <w:szCs w:val="20"/>
                <w:color w:val="auto"/>
              </w:rPr>
            </w:pPr>
            <w:r>
              <w:rPr>
                <w:rFonts w:ascii="Times New Roman" w:cs="Times New Roman" w:eastAsia="Times New Roman" w:hAnsi="Times New Roman"/>
                <w:sz w:val="20"/>
                <w:szCs w:val="20"/>
                <w:color w:val="121212"/>
              </w:rPr>
              <w:t>(151)</w:t>
            </w:r>
          </w:p>
        </w:tc>
        <w:tc>
          <w:tcPr>
            <w:tcW w:w="0" w:type="dxa"/>
            <w:vAlign w:val="bottom"/>
          </w:tcPr>
          <w:p>
            <w:pPr>
              <w:spacing w:after="0"/>
              <w:rPr>
                <w:sz w:val="1"/>
                <w:szCs w:val="1"/>
                <w:color w:val="auto"/>
              </w:rPr>
            </w:pPr>
          </w:p>
        </w:tc>
      </w:tr>
      <w:tr>
        <w:trPr>
          <w:trHeight w:val="200"/>
        </w:trPr>
        <w:tc>
          <w:tcPr>
            <w:tcW w:w="67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121212"/>
              </w:rPr>
              <w:t>Cash flow from financing activities</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Proceeds from sale of common stock in offerings, net of issuance costs paid</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199,078</w:t>
            </w: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11"/>
        </w:trPr>
        <w:tc>
          <w:tcPr>
            <w:tcW w:w="67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121212"/>
              </w:rPr>
              <w:t>Proceeds from sale of pre-funded warrants in offerings, net of issuance costs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121212"/>
              </w:rPr>
              <w:t>37,579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49"/>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paid</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Proceeds from the issuance of common stock in pre-closing financing</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w:t>
            </w: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53,500</w:t>
            </w: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Cash acquired in connection with the reverse recapitalization</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21212"/>
              </w:rPr>
              <w:t>—</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97,403</w:t>
            </w: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Payment of reverse recapitalization transaction costs</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w:t>
            </w: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jc w:val="right"/>
              <w:spacing w:after="0"/>
              <w:rPr>
                <w:sz w:val="20"/>
                <w:szCs w:val="20"/>
                <w:color w:val="auto"/>
              </w:rPr>
            </w:pPr>
            <w:r>
              <w:rPr>
                <w:rFonts w:ascii="Times New Roman" w:cs="Times New Roman" w:eastAsia="Times New Roman" w:hAnsi="Times New Roman"/>
                <w:sz w:val="20"/>
                <w:szCs w:val="20"/>
                <w:color w:val="121212"/>
              </w:rPr>
              <w:t>(2,144)</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DFDFDF"/>
            </w:tcBorders>
          </w:tcPr>
          <w:p>
            <w:pPr>
              <w:ind w:left="200"/>
              <w:spacing w:after="0"/>
              <w:rPr>
                <w:sz w:val="20"/>
                <w:szCs w:val="20"/>
                <w:color w:val="auto"/>
              </w:rPr>
            </w:pPr>
            <w:r>
              <w:rPr>
                <w:rFonts w:ascii="Times New Roman" w:cs="Times New Roman" w:eastAsia="Times New Roman" w:hAnsi="Times New Roman"/>
                <w:sz w:val="20"/>
                <w:szCs w:val="20"/>
                <w:color w:val="121212"/>
              </w:rPr>
              <w:t>Proceeds from stock option exercises</w:t>
            </w:r>
          </w:p>
        </w:tc>
        <w:tc>
          <w:tcPr>
            <w:tcW w:w="140" w:type="dxa"/>
            <w:vAlign w:val="bottom"/>
            <w:tcBorders>
              <w:bottom w:val="single" w:sz="8" w:color="DFDFDF"/>
            </w:tcBorders>
          </w:tcPr>
          <w:p>
            <w:pPr>
              <w:spacing w:after="0"/>
              <w:rPr>
                <w:sz w:val="19"/>
                <w:szCs w:val="19"/>
                <w:color w:val="auto"/>
              </w:rPr>
            </w:pPr>
          </w:p>
        </w:tc>
        <w:tc>
          <w:tcPr>
            <w:tcW w:w="380" w:type="dxa"/>
            <w:vAlign w:val="bottom"/>
            <w:tcBorders>
              <w:bottom w:val="single" w:sz="8" w:color="121212"/>
            </w:tcBorders>
          </w:tcPr>
          <w:p>
            <w:pPr>
              <w:spacing w:after="0"/>
              <w:rPr>
                <w:sz w:val="19"/>
                <w:szCs w:val="19"/>
                <w:color w:val="auto"/>
              </w:rPr>
            </w:pPr>
          </w:p>
        </w:tc>
        <w:tc>
          <w:tcPr>
            <w:tcW w:w="1340" w:type="dxa"/>
            <w:vAlign w:val="bottom"/>
            <w:tcBorders>
              <w:bottom w:val="single" w:sz="8" w:color="121212"/>
            </w:tcBorders>
          </w:tcPr>
          <w:p>
            <w:pPr>
              <w:jc w:val="right"/>
              <w:ind w:right="22"/>
              <w:spacing w:after="0"/>
              <w:rPr>
                <w:sz w:val="20"/>
                <w:szCs w:val="20"/>
                <w:color w:val="auto"/>
              </w:rPr>
            </w:pPr>
            <w:r>
              <w:rPr>
                <w:rFonts w:ascii="Times New Roman" w:cs="Times New Roman" w:eastAsia="Times New Roman" w:hAnsi="Times New Roman"/>
                <w:sz w:val="20"/>
                <w:szCs w:val="20"/>
                <w:color w:val="121212"/>
              </w:rPr>
              <w:t>2,722</w:t>
            </w:r>
          </w:p>
        </w:tc>
        <w:tc>
          <w:tcPr>
            <w:tcW w:w="180" w:type="dxa"/>
            <w:vAlign w:val="bottom"/>
            <w:tcBorders>
              <w:bottom w:val="single" w:sz="8" w:color="DFDFDF"/>
            </w:tcBorders>
          </w:tcPr>
          <w:p>
            <w:pPr>
              <w:spacing w:after="0"/>
              <w:rPr>
                <w:sz w:val="19"/>
                <w:szCs w:val="19"/>
                <w:color w:val="auto"/>
              </w:rPr>
            </w:pPr>
          </w:p>
        </w:tc>
        <w:tc>
          <w:tcPr>
            <w:tcW w:w="480" w:type="dxa"/>
            <w:vAlign w:val="bottom"/>
            <w:tcBorders>
              <w:bottom w:val="single" w:sz="8" w:color="121212"/>
            </w:tcBorders>
          </w:tcPr>
          <w:p>
            <w:pPr>
              <w:spacing w:after="0"/>
              <w:rPr>
                <w:sz w:val="19"/>
                <w:szCs w:val="19"/>
                <w:color w:val="auto"/>
              </w:rPr>
            </w:pPr>
          </w:p>
        </w:tc>
        <w:tc>
          <w:tcPr>
            <w:tcW w:w="1220" w:type="dxa"/>
            <w:vAlign w:val="bottom"/>
            <w:tcBorders>
              <w:bottom w:val="single" w:sz="8" w:color="121212"/>
            </w:tcBorders>
          </w:tcPr>
          <w:p>
            <w:pPr>
              <w:jc w:val="right"/>
              <w:ind w:right="1"/>
              <w:spacing w:after="0"/>
              <w:rPr>
                <w:sz w:val="20"/>
                <w:szCs w:val="20"/>
                <w:color w:val="auto"/>
              </w:rPr>
            </w:pPr>
            <w:r>
              <w:rPr>
                <w:rFonts w:ascii="Times New Roman" w:cs="Times New Roman" w:eastAsia="Times New Roman" w:hAnsi="Times New Roman"/>
                <w:sz w:val="20"/>
                <w:szCs w:val="20"/>
                <w:color w:val="121212"/>
              </w:rPr>
              <w:t>219</w:t>
            </w:r>
          </w:p>
        </w:tc>
        <w:tc>
          <w:tcPr>
            <w:tcW w:w="0" w:type="dxa"/>
            <w:vAlign w:val="bottom"/>
          </w:tcPr>
          <w:p>
            <w:pPr>
              <w:spacing w:after="0"/>
              <w:rPr>
                <w:sz w:val="1"/>
                <w:szCs w:val="1"/>
                <w:color w:val="auto"/>
              </w:rPr>
            </w:pPr>
          </w:p>
        </w:tc>
      </w:tr>
      <w:tr>
        <w:trPr>
          <w:trHeight w:val="240"/>
        </w:trPr>
        <w:tc>
          <w:tcPr>
            <w:tcW w:w="6700" w:type="dxa"/>
            <w:vAlign w:val="bottom"/>
            <w:tcBorders>
              <w:bottom w:val="single" w:sz="8" w:color="DFDFDF"/>
            </w:tcBorders>
            <w:shd w:val="clear" w:color="auto" w:fill="DFDFDF"/>
          </w:tcPr>
          <w:p>
            <w:pPr>
              <w:ind w:left="400"/>
              <w:spacing w:after="0" w:line="220" w:lineRule="exact"/>
              <w:rPr>
                <w:sz w:val="20"/>
                <w:szCs w:val="20"/>
                <w:color w:val="auto"/>
              </w:rPr>
            </w:pPr>
            <w:r>
              <w:rPr>
                <w:rFonts w:ascii="Times New Roman" w:cs="Times New Roman" w:eastAsia="Times New Roman" w:hAnsi="Times New Roman"/>
                <w:sz w:val="20"/>
                <w:szCs w:val="20"/>
                <w:color w:val="121212"/>
              </w:rPr>
              <w:t>Net cash provided by financing activities</w:t>
            </w:r>
          </w:p>
        </w:tc>
        <w:tc>
          <w:tcPr>
            <w:tcW w:w="140" w:type="dxa"/>
            <w:vAlign w:val="bottom"/>
            <w:tcBorders>
              <w:bottom w:val="single" w:sz="8" w:color="DFDFDF"/>
            </w:tcBorders>
            <w:shd w:val="clear" w:color="auto" w:fill="DFDFDF"/>
          </w:tcPr>
          <w:p>
            <w:pPr>
              <w:spacing w:after="0"/>
              <w:rPr>
                <w:sz w:val="20"/>
                <w:szCs w:val="20"/>
                <w:color w:val="auto"/>
              </w:rPr>
            </w:pPr>
          </w:p>
        </w:tc>
        <w:tc>
          <w:tcPr>
            <w:tcW w:w="380" w:type="dxa"/>
            <w:vAlign w:val="bottom"/>
            <w:tcBorders>
              <w:bottom w:val="single" w:sz="8" w:color="121212"/>
            </w:tcBorders>
            <w:shd w:val="clear" w:color="auto" w:fill="DFDFDF"/>
          </w:tcPr>
          <w:p>
            <w:pPr>
              <w:spacing w:after="0"/>
              <w:rPr>
                <w:sz w:val="20"/>
                <w:szCs w:val="20"/>
                <w:color w:val="auto"/>
              </w:rPr>
            </w:pPr>
          </w:p>
        </w:tc>
        <w:tc>
          <w:tcPr>
            <w:tcW w:w="1340" w:type="dxa"/>
            <w:vAlign w:val="bottom"/>
            <w:tcBorders>
              <w:bottom w:val="single" w:sz="8" w:color="121212"/>
            </w:tcBorders>
            <w:shd w:val="clear" w:color="auto" w:fill="DFDFDF"/>
          </w:tcPr>
          <w:p>
            <w:pPr>
              <w:jc w:val="right"/>
              <w:ind w:right="22"/>
              <w:spacing w:after="0" w:line="220" w:lineRule="exact"/>
              <w:rPr>
                <w:sz w:val="20"/>
                <w:szCs w:val="20"/>
                <w:color w:val="auto"/>
              </w:rPr>
            </w:pPr>
            <w:r>
              <w:rPr>
                <w:rFonts w:ascii="Times New Roman" w:cs="Times New Roman" w:eastAsia="Times New Roman" w:hAnsi="Times New Roman"/>
                <w:sz w:val="20"/>
                <w:szCs w:val="20"/>
                <w:color w:val="121212"/>
              </w:rPr>
              <w:t>239,379</w:t>
            </w:r>
          </w:p>
        </w:tc>
        <w:tc>
          <w:tcPr>
            <w:tcW w:w="180" w:type="dxa"/>
            <w:vAlign w:val="bottom"/>
            <w:tcBorders>
              <w:bottom w:val="single" w:sz="8" w:color="DFDFDF"/>
            </w:tcBorders>
            <w:shd w:val="clear" w:color="auto" w:fill="DFDFDF"/>
          </w:tcPr>
          <w:p>
            <w:pPr>
              <w:spacing w:after="0"/>
              <w:rPr>
                <w:sz w:val="20"/>
                <w:szCs w:val="20"/>
                <w:color w:val="auto"/>
              </w:rPr>
            </w:pPr>
          </w:p>
        </w:tc>
        <w:tc>
          <w:tcPr>
            <w:tcW w:w="480" w:type="dxa"/>
            <w:vAlign w:val="bottom"/>
            <w:tcBorders>
              <w:bottom w:val="single" w:sz="8" w:color="121212"/>
            </w:tcBorders>
            <w:shd w:val="clear" w:color="auto" w:fill="DFDFDF"/>
          </w:tcPr>
          <w:p>
            <w:pPr>
              <w:spacing w:after="0"/>
              <w:rPr>
                <w:sz w:val="20"/>
                <w:szCs w:val="20"/>
                <w:color w:val="auto"/>
              </w:rPr>
            </w:pPr>
          </w:p>
        </w:tc>
        <w:tc>
          <w:tcPr>
            <w:tcW w:w="1220" w:type="dxa"/>
            <w:vAlign w:val="bottom"/>
            <w:tcBorders>
              <w:bottom w:val="single" w:sz="8" w:color="121212"/>
            </w:tcBorders>
            <w:shd w:val="clear" w:color="auto" w:fill="DFDFDF"/>
          </w:tcPr>
          <w:p>
            <w:pPr>
              <w:jc w:val="right"/>
              <w:ind w:right="1"/>
              <w:spacing w:after="0" w:line="220" w:lineRule="exact"/>
              <w:rPr>
                <w:sz w:val="20"/>
                <w:szCs w:val="20"/>
                <w:color w:val="auto"/>
              </w:rPr>
            </w:pPr>
            <w:r>
              <w:rPr>
                <w:rFonts w:ascii="Times New Roman" w:cs="Times New Roman" w:eastAsia="Times New Roman" w:hAnsi="Times New Roman"/>
                <w:sz w:val="20"/>
                <w:szCs w:val="20"/>
                <w:color w:val="121212"/>
              </w:rPr>
              <w:t>148,978</w:t>
            </w:r>
          </w:p>
        </w:tc>
        <w:tc>
          <w:tcPr>
            <w:tcW w:w="0" w:type="dxa"/>
            <w:vAlign w:val="bottom"/>
          </w:tcPr>
          <w:p>
            <w:pPr>
              <w:spacing w:after="0"/>
              <w:rPr>
                <w:sz w:val="1"/>
                <w:szCs w:val="1"/>
                <w:color w:val="auto"/>
              </w:rPr>
            </w:pPr>
          </w:p>
        </w:tc>
      </w:tr>
      <w:tr>
        <w:trPr>
          <w:trHeight w:val="200"/>
        </w:trPr>
        <w:tc>
          <w:tcPr>
            <w:tcW w:w="670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color w:val="121212"/>
              </w:rPr>
              <w:t>Net increase in cash, cash equivalents and restricted cash</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22"/>
              <w:spacing w:after="0" w:line="200" w:lineRule="exact"/>
              <w:rPr>
                <w:sz w:val="20"/>
                <w:szCs w:val="20"/>
                <w:color w:val="auto"/>
              </w:rPr>
            </w:pPr>
            <w:r>
              <w:rPr>
                <w:rFonts w:ascii="Times New Roman" w:cs="Times New Roman" w:eastAsia="Times New Roman" w:hAnsi="Times New Roman"/>
                <w:sz w:val="20"/>
                <w:szCs w:val="20"/>
                <w:color w:val="121212"/>
              </w:rPr>
              <w:t>165,828</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121212"/>
              </w:rPr>
              <w:t>106,575</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DFDFDF"/>
            </w:tcBorders>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Cash, cash equivalents and restricted cash, beginning of period</w:t>
            </w:r>
          </w:p>
        </w:tc>
        <w:tc>
          <w:tcPr>
            <w:tcW w:w="140" w:type="dxa"/>
            <w:vAlign w:val="bottom"/>
            <w:tcBorders>
              <w:bottom w:val="single" w:sz="8" w:color="DFDFDF"/>
            </w:tcBorders>
            <w:shd w:val="clear" w:color="auto" w:fill="DFDFDF"/>
          </w:tcPr>
          <w:p>
            <w:pPr>
              <w:spacing w:after="0"/>
              <w:rPr>
                <w:sz w:val="21"/>
                <w:szCs w:val="21"/>
                <w:color w:val="auto"/>
              </w:rPr>
            </w:pPr>
          </w:p>
        </w:tc>
        <w:tc>
          <w:tcPr>
            <w:tcW w:w="380" w:type="dxa"/>
            <w:vAlign w:val="bottom"/>
            <w:tcBorders>
              <w:bottom w:val="single" w:sz="8" w:color="121212"/>
            </w:tcBorders>
            <w:shd w:val="clear" w:color="auto" w:fill="DFDFDF"/>
          </w:tcPr>
          <w:p>
            <w:pPr>
              <w:spacing w:after="0"/>
              <w:rPr>
                <w:sz w:val="21"/>
                <w:szCs w:val="21"/>
                <w:color w:val="auto"/>
              </w:rPr>
            </w:pPr>
          </w:p>
        </w:tc>
        <w:tc>
          <w:tcPr>
            <w:tcW w:w="1340" w:type="dxa"/>
            <w:vAlign w:val="bottom"/>
            <w:tcBorders>
              <w:bottom w:val="single" w:sz="8" w:color="121212"/>
            </w:tcBorders>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194,788</w:t>
            </w:r>
          </w:p>
        </w:tc>
        <w:tc>
          <w:tcPr>
            <w:tcW w:w="180" w:type="dxa"/>
            <w:vAlign w:val="bottom"/>
            <w:tcBorders>
              <w:bottom w:val="single" w:sz="8" w:color="DFDFDF"/>
            </w:tcBorders>
            <w:shd w:val="clear" w:color="auto" w:fill="DFDFDF"/>
          </w:tcPr>
          <w:p>
            <w:pPr>
              <w:spacing w:after="0"/>
              <w:rPr>
                <w:sz w:val="21"/>
                <w:szCs w:val="21"/>
                <w:color w:val="auto"/>
              </w:rPr>
            </w:pPr>
          </w:p>
        </w:tc>
        <w:tc>
          <w:tcPr>
            <w:tcW w:w="480" w:type="dxa"/>
            <w:vAlign w:val="bottom"/>
            <w:tcBorders>
              <w:bottom w:val="single" w:sz="8" w:color="121212"/>
            </w:tcBorders>
            <w:shd w:val="clear" w:color="auto" w:fill="DFDFDF"/>
          </w:tcPr>
          <w:p>
            <w:pPr>
              <w:spacing w:after="0"/>
              <w:rPr>
                <w:sz w:val="21"/>
                <w:szCs w:val="21"/>
                <w:color w:val="auto"/>
              </w:rPr>
            </w:pPr>
          </w:p>
        </w:tc>
        <w:tc>
          <w:tcPr>
            <w:tcW w:w="1220" w:type="dxa"/>
            <w:vAlign w:val="bottom"/>
            <w:tcBorders>
              <w:bottom w:val="single" w:sz="8" w:color="121212"/>
            </w:tcBorders>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88,213</w:t>
            </w:r>
          </w:p>
        </w:tc>
        <w:tc>
          <w:tcPr>
            <w:tcW w:w="0" w:type="dxa"/>
            <w:vAlign w:val="bottom"/>
          </w:tcPr>
          <w:p>
            <w:pPr>
              <w:spacing w:after="0"/>
              <w:rPr>
                <w:sz w:val="1"/>
                <w:szCs w:val="1"/>
                <w:color w:val="auto"/>
              </w:rPr>
            </w:pPr>
          </w:p>
        </w:tc>
      </w:tr>
      <w:tr>
        <w:trPr>
          <w:trHeight w:val="240"/>
        </w:trPr>
        <w:tc>
          <w:tcPr>
            <w:tcW w:w="6700" w:type="dxa"/>
            <w:vAlign w:val="bottom"/>
            <w:tcBorders>
              <w:bottom w:val="single" w:sz="8" w:color="DFDFDF"/>
            </w:tcBorders>
          </w:tcPr>
          <w:p>
            <w:pPr>
              <w:ind w:left="200"/>
              <w:spacing w:after="0" w:line="200" w:lineRule="exact"/>
              <w:rPr>
                <w:sz w:val="20"/>
                <w:szCs w:val="20"/>
                <w:color w:val="auto"/>
              </w:rPr>
            </w:pPr>
            <w:r>
              <w:rPr>
                <w:rFonts w:ascii="Times New Roman" w:cs="Times New Roman" w:eastAsia="Times New Roman" w:hAnsi="Times New Roman"/>
                <w:sz w:val="20"/>
                <w:szCs w:val="20"/>
                <w:color w:val="121212"/>
              </w:rPr>
              <w:t>Cash, cash equivalents and restricted cash, end of period</w:t>
            </w:r>
          </w:p>
        </w:tc>
        <w:tc>
          <w:tcPr>
            <w:tcW w:w="140" w:type="dxa"/>
            <w:vAlign w:val="bottom"/>
            <w:tcBorders>
              <w:bottom w:val="single" w:sz="8" w:color="DFDFDF"/>
            </w:tcBorders>
          </w:tcPr>
          <w:p>
            <w:pPr>
              <w:spacing w:after="0"/>
              <w:rPr>
                <w:sz w:val="20"/>
                <w:szCs w:val="20"/>
                <w:color w:val="auto"/>
              </w:rPr>
            </w:pPr>
          </w:p>
        </w:tc>
        <w:tc>
          <w:tcPr>
            <w:tcW w:w="380" w:type="dxa"/>
            <w:vAlign w:val="bottom"/>
            <w:tcBorders>
              <w:bottom w:val="single" w:sz="8" w:color="121212"/>
            </w:tcBorders>
          </w:tcPr>
          <w:p>
            <w:pPr>
              <w:jc w:val="right"/>
              <w:ind w:right="180"/>
              <w:spacing w:after="0" w:line="200" w:lineRule="exact"/>
              <w:rPr>
                <w:sz w:val="20"/>
                <w:szCs w:val="20"/>
                <w:color w:val="auto"/>
              </w:rPr>
            </w:pPr>
            <w:r>
              <w:rPr>
                <w:rFonts w:ascii="Times New Roman" w:cs="Times New Roman" w:eastAsia="Times New Roman" w:hAnsi="Times New Roman"/>
                <w:sz w:val="20"/>
                <w:szCs w:val="20"/>
                <w:color w:val="121212"/>
                <w:w w:val="79"/>
              </w:rPr>
              <w:t>$</w:t>
            </w:r>
          </w:p>
        </w:tc>
        <w:tc>
          <w:tcPr>
            <w:tcW w:w="1340" w:type="dxa"/>
            <w:vAlign w:val="bottom"/>
            <w:tcBorders>
              <w:bottom w:val="single" w:sz="8" w:color="121212"/>
            </w:tcBorders>
          </w:tcPr>
          <w:p>
            <w:pPr>
              <w:jc w:val="right"/>
              <w:ind w:right="22"/>
              <w:spacing w:after="0" w:line="200" w:lineRule="exact"/>
              <w:rPr>
                <w:sz w:val="20"/>
                <w:szCs w:val="20"/>
                <w:color w:val="auto"/>
              </w:rPr>
            </w:pPr>
            <w:r>
              <w:rPr>
                <w:rFonts w:ascii="Times New Roman" w:cs="Times New Roman" w:eastAsia="Times New Roman" w:hAnsi="Times New Roman"/>
                <w:sz w:val="20"/>
                <w:szCs w:val="20"/>
                <w:color w:val="121212"/>
              </w:rPr>
              <w:t>360,616</w:t>
            </w:r>
          </w:p>
        </w:tc>
        <w:tc>
          <w:tcPr>
            <w:tcW w:w="180" w:type="dxa"/>
            <w:vAlign w:val="bottom"/>
            <w:tcBorders>
              <w:bottom w:val="single" w:sz="8" w:color="DFDFDF"/>
            </w:tcBorders>
          </w:tcPr>
          <w:p>
            <w:pPr>
              <w:spacing w:after="0"/>
              <w:rPr>
                <w:sz w:val="20"/>
                <w:szCs w:val="20"/>
                <w:color w:val="auto"/>
              </w:rPr>
            </w:pPr>
          </w:p>
        </w:tc>
        <w:tc>
          <w:tcPr>
            <w:tcW w:w="480" w:type="dxa"/>
            <w:vAlign w:val="bottom"/>
            <w:tcBorders>
              <w:bottom w:val="single" w:sz="8" w:color="121212"/>
            </w:tcBorders>
          </w:tcPr>
          <w:p>
            <w:pPr>
              <w:jc w:val="right"/>
              <w:ind w:right="280"/>
              <w:spacing w:after="0" w:line="200" w:lineRule="exact"/>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Borders>
              <w:bottom w:val="single" w:sz="8" w:color="121212"/>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121212"/>
              </w:rPr>
              <w:t>194,788</w:t>
            </w:r>
          </w:p>
        </w:tc>
        <w:tc>
          <w:tcPr>
            <w:tcW w:w="0" w:type="dxa"/>
            <w:vAlign w:val="bottom"/>
          </w:tcPr>
          <w:p>
            <w:pPr>
              <w:spacing w:after="0"/>
              <w:rPr>
                <w:sz w:val="1"/>
                <w:szCs w:val="1"/>
                <w:color w:val="auto"/>
              </w:rPr>
            </w:pPr>
          </w:p>
        </w:tc>
      </w:tr>
      <w:tr>
        <w:trPr>
          <w:trHeight w:val="215"/>
        </w:trPr>
        <w:tc>
          <w:tcPr>
            <w:tcW w:w="6700" w:type="dxa"/>
            <w:vAlign w:val="bottom"/>
            <w:shd w:val="clear" w:color="auto" w:fill="DFDFDF"/>
          </w:tcPr>
          <w:p>
            <w:pPr>
              <w:spacing w:after="0" w:line="215" w:lineRule="exact"/>
              <w:rPr>
                <w:sz w:val="20"/>
                <w:szCs w:val="20"/>
                <w:color w:val="auto"/>
              </w:rPr>
            </w:pPr>
            <w:r>
              <w:rPr>
                <w:rFonts w:ascii="Times New Roman" w:cs="Times New Roman" w:eastAsia="Times New Roman" w:hAnsi="Times New Roman"/>
                <w:sz w:val="20"/>
                <w:szCs w:val="20"/>
                <w:color w:val="121212"/>
              </w:rPr>
              <w:t>Supplemental cash flow information</w:t>
            </w:r>
          </w:p>
        </w:tc>
        <w:tc>
          <w:tcPr>
            <w:tcW w:w="140" w:type="dxa"/>
            <w:vAlign w:val="bottom"/>
            <w:shd w:val="clear" w:color="auto" w:fill="DFDFDF"/>
          </w:tcPr>
          <w:p>
            <w:pPr>
              <w:spacing w:after="0"/>
              <w:rPr>
                <w:sz w:val="18"/>
                <w:szCs w:val="18"/>
                <w:color w:val="auto"/>
              </w:rPr>
            </w:pPr>
          </w:p>
        </w:tc>
        <w:tc>
          <w:tcPr>
            <w:tcW w:w="380" w:type="dxa"/>
            <w:vAlign w:val="bottom"/>
            <w:shd w:val="clear" w:color="auto" w:fill="DFDFDF"/>
          </w:tcPr>
          <w:p>
            <w:pPr>
              <w:spacing w:after="0"/>
              <w:rPr>
                <w:sz w:val="18"/>
                <w:szCs w:val="18"/>
                <w:color w:val="auto"/>
              </w:rPr>
            </w:pPr>
          </w:p>
        </w:tc>
        <w:tc>
          <w:tcPr>
            <w:tcW w:w="1340" w:type="dxa"/>
            <w:vAlign w:val="bottom"/>
            <w:shd w:val="clear" w:color="auto" w:fill="DFDFDF"/>
          </w:tcPr>
          <w:p>
            <w:pPr>
              <w:spacing w:after="0"/>
              <w:rPr>
                <w:sz w:val="18"/>
                <w:szCs w:val="18"/>
                <w:color w:val="auto"/>
              </w:rPr>
            </w:pPr>
          </w:p>
        </w:tc>
        <w:tc>
          <w:tcPr>
            <w:tcW w:w="180" w:type="dxa"/>
            <w:vAlign w:val="bottom"/>
            <w:shd w:val="clear" w:color="auto" w:fill="DFDFDF"/>
          </w:tcPr>
          <w:p>
            <w:pPr>
              <w:spacing w:after="0"/>
              <w:rPr>
                <w:sz w:val="18"/>
                <w:szCs w:val="18"/>
                <w:color w:val="auto"/>
              </w:rPr>
            </w:pPr>
          </w:p>
        </w:tc>
        <w:tc>
          <w:tcPr>
            <w:tcW w:w="480" w:type="dxa"/>
            <w:vAlign w:val="bottom"/>
            <w:shd w:val="clear" w:color="auto" w:fill="DFDFDF"/>
          </w:tcPr>
          <w:p>
            <w:pPr>
              <w:spacing w:after="0"/>
              <w:rPr>
                <w:sz w:val="18"/>
                <w:szCs w:val="18"/>
                <w:color w:val="auto"/>
              </w:rPr>
            </w:pPr>
          </w:p>
        </w:tc>
        <w:tc>
          <w:tcPr>
            <w:tcW w:w="1220" w:type="dxa"/>
            <w:vAlign w:val="bottom"/>
            <w:shd w:val="clear" w:color="auto" w:fill="DFDFD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Cash paid for income taxes</w:t>
            </w:r>
          </w:p>
        </w:tc>
        <w:tc>
          <w:tcPr>
            <w:tcW w:w="140" w:type="dxa"/>
            <w:vAlign w:val="bottom"/>
          </w:tcPr>
          <w:p>
            <w:pPr>
              <w:spacing w:after="0"/>
              <w:rPr>
                <w:sz w:val="19"/>
                <w:szCs w:val="19"/>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121212"/>
                <w:w w:val="79"/>
              </w:rPr>
              <w:t>$</w:t>
            </w: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21212"/>
              </w:rPr>
              <w:t>112</w:t>
            </w:r>
          </w:p>
        </w:tc>
        <w:tc>
          <w:tcPr>
            <w:tcW w:w="180" w:type="dxa"/>
            <w:vAlign w:val="bottom"/>
          </w:tcPr>
          <w:p>
            <w:pPr>
              <w:spacing w:after="0"/>
              <w:rPr>
                <w:sz w:val="19"/>
                <w:szCs w:val="19"/>
                <w:color w:val="auto"/>
              </w:rPr>
            </w:pP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spacing w:after="0"/>
              <w:rPr>
                <w:sz w:val="20"/>
                <w:szCs w:val="20"/>
                <w:color w:val="auto"/>
              </w:rPr>
            </w:pPr>
            <w:r>
              <w:rPr>
                <w:rFonts w:ascii="Times New Roman" w:cs="Times New Roman" w:eastAsia="Times New Roman" w:hAnsi="Times New Roman"/>
                <w:sz w:val="20"/>
                <w:szCs w:val="20"/>
                <w:color w:val="121212"/>
              </w:rPr>
              <w:t>Supplemental disclosure of non-cash activities</w:t>
            </w:r>
          </w:p>
        </w:tc>
        <w:tc>
          <w:tcPr>
            <w:tcW w:w="140" w:type="dxa"/>
            <w:vAlign w:val="bottom"/>
            <w:shd w:val="clear" w:color="auto" w:fill="DFDFDF"/>
          </w:tcPr>
          <w:p>
            <w:pPr>
              <w:spacing w:after="0"/>
              <w:rPr>
                <w:sz w:val="19"/>
                <w:szCs w:val="19"/>
                <w:color w:val="auto"/>
              </w:rPr>
            </w:pPr>
          </w:p>
        </w:tc>
        <w:tc>
          <w:tcPr>
            <w:tcW w:w="380" w:type="dxa"/>
            <w:vAlign w:val="bottom"/>
            <w:shd w:val="clear" w:color="auto" w:fill="DFDFDF"/>
          </w:tcPr>
          <w:p>
            <w:pPr>
              <w:spacing w:after="0"/>
              <w:rPr>
                <w:sz w:val="19"/>
                <w:szCs w:val="19"/>
                <w:color w:val="auto"/>
              </w:rPr>
            </w:pPr>
          </w:p>
        </w:tc>
        <w:tc>
          <w:tcPr>
            <w:tcW w:w="1340" w:type="dxa"/>
            <w:vAlign w:val="bottom"/>
            <w:shd w:val="clear" w:color="auto" w:fill="DFDFDF"/>
          </w:tcPr>
          <w:p>
            <w:pPr>
              <w:spacing w:after="0"/>
              <w:rPr>
                <w:sz w:val="19"/>
                <w:szCs w:val="19"/>
                <w:color w:val="auto"/>
              </w:rPr>
            </w:pPr>
          </w:p>
        </w:tc>
        <w:tc>
          <w:tcPr>
            <w:tcW w:w="180" w:type="dxa"/>
            <w:vAlign w:val="bottom"/>
            <w:shd w:val="clear" w:color="auto" w:fill="DFDFDF"/>
          </w:tcPr>
          <w:p>
            <w:pPr>
              <w:spacing w:after="0"/>
              <w:rPr>
                <w:sz w:val="19"/>
                <w:szCs w:val="19"/>
                <w:color w:val="auto"/>
              </w:rPr>
            </w:pPr>
          </w:p>
        </w:tc>
        <w:tc>
          <w:tcPr>
            <w:tcW w:w="480" w:type="dxa"/>
            <w:vAlign w:val="bottom"/>
            <w:shd w:val="clear" w:color="auto" w:fill="DFDFDF"/>
          </w:tcPr>
          <w:p>
            <w:pPr>
              <w:spacing w:after="0"/>
              <w:rPr>
                <w:sz w:val="19"/>
                <w:szCs w:val="19"/>
                <w:color w:val="auto"/>
              </w:rPr>
            </w:pPr>
          </w:p>
        </w:tc>
        <w:tc>
          <w:tcPr>
            <w:tcW w:w="1220" w:type="dxa"/>
            <w:vAlign w:val="bottom"/>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121212"/>
              </w:rPr>
              <w:t>Purchases of property and equipment included in accounts payable and accrued</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121212"/>
              </w:rPr>
              <w:t>$</w:t>
            </w:r>
          </w:p>
        </w:tc>
        <w:tc>
          <w:tcPr>
            <w:tcW w:w="134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121212"/>
              </w:rPr>
              <w:t>13</w:t>
            </w: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121212"/>
              </w:rPr>
              <w:t>$</w:t>
            </w:r>
          </w:p>
        </w:tc>
        <w:tc>
          <w:tcPr>
            <w:tcW w:w="12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49"/>
        </w:trPr>
        <w:tc>
          <w:tcPr>
            <w:tcW w:w="6700" w:type="dxa"/>
            <w:vAlign w:val="bottom"/>
          </w:tcPr>
          <w:p>
            <w:pPr>
              <w:ind w:left="340"/>
              <w:spacing w:after="0"/>
              <w:rPr>
                <w:sz w:val="20"/>
                <w:szCs w:val="20"/>
                <w:color w:val="auto"/>
              </w:rPr>
            </w:pPr>
            <w:r>
              <w:rPr>
                <w:rFonts w:ascii="Times New Roman" w:cs="Times New Roman" w:eastAsia="Times New Roman" w:hAnsi="Times New Roman"/>
                <w:sz w:val="20"/>
                <w:szCs w:val="20"/>
                <w:color w:val="121212"/>
              </w:rPr>
              <w:t>expenses</w:t>
            </w:r>
          </w:p>
        </w:tc>
        <w:tc>
          <w:tcPr>
            <w:tcW w:w="52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Right-of-use assets obtained in exchange for new operating lease liabilities</w:t>
            </w:r>
          </w:p>
        </w:tc>
        <w:tc>
          <w:tcPr>
            <w:tcW w:w="520" w:type="dxa"/>
            <w:vAlign w:val="bottom"/>
            <w:gridSpan w:val="2"/>
            <w:shd w:val="clear" w:color="auto" w:fill="DFDFDF"/>
          </w:tcPr>
          <w:p>
            <w:pPr>
              <w:jc w:val="right"/>
              <w:ind w:right="180"/>
              <w:spacing w:after="0"/>
              <w:rPr>
                <w:sz w:val="20"/>
                <w:szCs w:val="20"/>
                <w:color w:val="auto"/>
              </w:rPr>
            </w:pPr>
            <w:r>
              <w:rPr>
                <w:rFonts w:ascii="Times New Roman" w:cs="Times New Roman" w:eastAsia="Times New Roman" w:hAnsi="Times New Roman"/>
                <w:sz w:val="20"/>
                <w:szCs w:val="20"/>
                <w:color w:val="121212"/>
              </w:rPr>
              <w:t>$</w:t>
            </w:r>
          </w:p>
        </w:tc>
        <w:tc>
          <w:tcPr>
            <w:tcW w:w="1340" w:type="dxa"/>
            <w:vAlign w:val="bottom"/>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1,106</w:t>
            </w:r>
          </w:p>
        </w:tc>
        <w:tc>
          <w:tcPr>
            <w:tcW w:w="660" w:type="dxa"/>
            <w:vAlign w:val="bottom"/>
            <w:gridSpan w:val="2"/>
            <w:shd w:val="clear" w:color="auto" w:fill="DFDFDF"/>
          </w:tcPr>
          <w:p>
            <w:pPr>
              <w:jc w:val="right"/>
              <w:ind w:right="280"/>
              <w:spacing w:after="0"/>
              <w:rPr>
                <w:sz w:val="20"/>
                <w:szCs w:val="20"/>
                <w:color w:val="auto"/>
              </w:rPr>
            </w:pPr>
            <w:r>
              <w:rPr>
                <w:rFonts w:ascii="Times New Roman" w:cs="Times New Roman" w:eastAsia="Times New Roman" w:hAnsi="Times New Roman"/>
                <w:sz w:val="20"/>
                <w:szCs w:val="20"/>
                <w:color w:val="121212"/>
              </w:rPr>
              <w:t>$</w:t>
            </w:r>
          </w:p>
        </w:tc>
        <w:tc>
          <w:tcPr>
            <w:tcW w:w="1220" w:type="dxa"/>
            <w:vAlign w:val="bottom"/>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11"/>
        </w:trPr>
        <w:tc>
          <w:tcPr>
            <w:tcW w:w="67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121212"/>
              </w:rPr>
              <w:t>Net decrease in right-of-use assets related to lease modifications and</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121212"/>
              </w:rPr>
              <w:t>$</w:t>
            </w:r>
          </w:p>
        </w:tc>
        <w:tc>
          <w:tcPr>
            <w:tcW w:w="134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121212"/>
              </w:rPr>
              <w:t>317</w:t>
            </w: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121212"/>
              </w:rPr>
              <w:t>$</w:t>
            </w:r>
          </w:p>
        </w:tc>
        <w:tc>
          <w:tcPr>
            <w:tcW w:w="12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49"/>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reassessment events</w:t>
            </w:r>
          </w:p>
        </w:tc>
        <w:tc>
          <w:tcPr>
            <w:tcW w:w="52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700" w:type="dxa"/>
            <w:vAlign w:val="bottom"/>
            <w:shd w:val="clear" w:color="auto" w:fill="DFDFDF"/>
          </w:tcPr>
          <w:p>
            <w:pPr>
              <w:ind w:left="200"/>
              <w:spacing w:after="0" w:line="210" w:lineRule="exact"/>
              <w:rPr>
                <w:sz w:val="20"/>
                <w:szCs w:val="20"/>
                <w:color w:val="auto"/>
              </w:rPr>
            </w:pPr>
            <w:r>
              <w:rPr>
                <w:rFonts w:ascii="Times New Roman" w:cs="Times New Roman" w:eastAsia="Times New Roman" w:hAnsi="Times New Roman"/>
                <w:sz w:val="20"/>
                <w:szCs w:val="20"/>
                <w:color w:val="121212"/>
              </w:rPr>
              <w:t>Net decrease in operating lease liabilities due to lease modifications and</w:t>
            </w:r>
          </w:p>
        </w:tc>
        <w:tc>
          <w:tcPr>
            <w:tcW w:w="520" w:type="dxa"/>
            <w:vAlign w:val="bottom"/>
            <w:gridSpan w:val="2"/>
            <w:vMerge w:val="restart"/>
            <w:shd w:val="clear" w:color="auto" w:fill="DFDFDF"/>
          </w:tcPr>
          <w:p>
            <w:pPr>
              <w:jc w:val="right"/>
              <w:ind w:right="180"/>
              <w:spacing w:after="0"/>
              <w:rPr>
                <w:sz w:val="20"/>
                <w:szCs w:val="20"/>
                <w:color w:val="auto"/>
              </w:rPr>
            </w:pPr>
            <w:r>
              <w:rPr>
                <w:rFonts w:ascii="Times New Roman" w:cs="Times New Roman" w:eastAsia="Times New Roman" w:hAnsi="Times New Roman"/>
                <w:sz w:val="20"/>
                <w:szCs w:val="20"/>
                <w:color w:val="121212"/>
              </w:rPr>
              <w:t>$</w:t>
            </w:r>
          </w:p>
        </w:tc>
        <w:tc>
          <w:tcPr>
            <w:tcW w:w="1340" w:type="dxa"/>
            <w:vAlign w:val="bottom"/>
            <w:vMerge w:val="restart"/>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287</w:t>
            </w:r>
          </w:p>
        </w:tc>
        <w:tc>
          <w:tcPr>
            <w:tcW w:w="66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20"/>
                <w:szCs w:val="20"/>
                <w:color w:val="121212"/>
              </w:rPr>
              <w:t>$</w:t>
            </w:r>
          </w:p>
        </w:tc>
        <w:tc>
          <w:tcPr>
            <w:tcW w:w="1220" w:type="dxa"/>
            <w:vAlign w:val="bottom"/>
            <w:vMerge w:val="restart"/>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49"/>
        </w:trPr>
        <w:tc>
          <w:tcPr>
            <w:tcW w:w="6700" w:type="dxa"/>
            <w:vAlign w:val="bottom"/>
            <w:shd w:val="clear" w:color="auto" w:fill="DFDFDF"/>
          </w:tcPr>
          <w:p>
            <w:pPr>
              <w:ind w:left="200"/>
              <w:spacing w:after="0"/>
              <w:rPr>
                <w:sz w:val="20"/>
                <w:szCs w:val="20"/>
                <w:color w:val="auto"/>
              </w:rPr>
            </w:pPr>
            <w:r>
              <w:rPr>
                <w:rFonts w:ascii="Times New Roman" w:cs="Times New Roman" w:eastAsia="Times New Roman" w:hAnsi="Times New Roman"/>
                <w:sz w:val="20"/>
                <w:szCs w:val="20"/>
                <w:color w:val="121212"/>
              </w:rPr>
              <w:t>reassessment events</w:t>
            </w:r>
          </w:p>
        </w:tc>
        <w:tc>
          <w:tcPr>
            <w:tcW w:w="520" w:type="dxa"/>
            <w:vAlign w:val="bottom"/>
            <w:gridSpan w:val="2"/>
            <w:vMerge w:val="continue"/>
            <w:shd w:val="clear" w:color="auto" w:fill="DFDFDF"/>
          </w:tcPr>
          <w:p>
            <w:pPr>
              <w:spacing w:after="0"/>
              <w:rPr>
                <w:sz w:val="21"/>
                <w:szCs w:val="21"/>
                <w:color w:val="auto"/>
              </w:rPr>
            </w:pPr>
          </w:p>
        </w:tc>
        <w:tc>
          <w:tcPr>
            <w:tcW w:w="1340" w:type="dxa"/>
            <w:vAlign w:val="bottom"/>
            <w:vMerge w:val="continue"/>
            <w:shd w:val="clear" w:color="auto" w:fill="DFDFDF"/>
          </w:tcPr>
          <w:p>
            <w:pPr>
              <w:spacing w:after="0"/>
              <w:rPr>
                <w:sz w:val="21"/>
                <w:szCs w:val="21"/>
                <w:color w:val="auto"/>
              </w:rPr>
            </w:pPr>
          </w:p>
        </w:tc>
        <w:tc>
          <w:tcPr>
            <w:tcW w:w="660" w:type="dxa"/>
            <w:vAlign w:val="bottom"/>
            <w:gridSpan w:val="2"/>
            <w:vMerge w:val="continue"/>
            <w:shd w:val="clear" w:color="auto" w:fill="DFDFDF"/>
          </w:tcPr>
          <w:p>
            <w:pPr>
              <w:spacing w:after="0"/>
              <w:rPr>
                <w:sz w:val="21"/>
                <w:szCs w:val="21"/>
                <w:color w:val="auto"/>
              </w:rPr>
            </w:pPr>
          </w:p>
        </w:tc>
        <w:tc>
          <w:tcPr>
            <w:tcW w:w="1220" w:type="dxa"/>
            <w:vAlign w:val="bottom"/>
            <w:vMerge w:val="continue"/>
            <w:shd w:val="clear" w:color="auto" w:fill="DFDFD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121212"/>
              </w:rPr>
              <w:t>Receivable for proceeds from stock option exercises included in other current</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121212"/>
              </w:rPr>
              <w:t>$</w:t>
            </w:r>
          </w:p>
        </w:tc>
        <w:tc>
          <w:tcPr>
            <w:tcW w:w="1340" w:type="dxa"/>
            <w:vAlign w:val="bottom"/>
            <w:vMerge w:val="restart"/>
          </w:tcPr>
          <w:p>
            <w:pPr>
              <w:jc w:val="right"/>
              <w:ind w:right="22"/>
              <w:spacing w:after="0"/>
              <w:rPr>
                <w:sz w:val="20"/>
                <w:szCs w:val="20"/>
                <w:color w:val="auto"/>
              </w:rPr>
            </w:pPr>
            <w:r>
              <w:rPr>
                <w:rFonts w:ascii="Times New Roman" w:cs="Times New Roman" w:eastAsia="Times New Roman" w:hAnsi="Times New Roman"/>
                <w:sz w:val="20"/>
                <w:szCs w:val="20"/>
                <w:color w:val="121212"/>
              </w:rPr>
              <w:t>41</w:t>
            </w: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121212"/>
              </w:rPr>
              <w:t>$</w:t>
            </w:r>
          </w:p>
        </w:tc>
        <w:tc>
          <w:tcPr>
            <w:tcW w:w="12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49"/>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assets</w:t>
            </w:r>
          </w:p>
        </w:tc>
        <w:tc>
          <w:tcPr>
            <w:tcW w:w="52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700" w:type="dxa"/>
            <w:vAlign w:val="bottom"/>
            <w:shd w:val="clear" w:color="auto" w:fill="DFDFDF"/>
          </w:tcPr>
          <w:p>
            <w:pPr>
              <w:ind w:left="200"/>
              <w:spacing w:after="0" w:line="210" w:lineRule="exact"/>
              <w:rPr>
                <w:sz w:val="20"/>
                <w:szCs w:val="20"/>
                <w:color w:val="auto"/>
              </w:rPr>
            </w:pPr>
            <w:r>
              <w:rPr>
                <w:rFonts w:ascii="Times New Roman" w:cs="Times New Roman" w:eastAsia="Times New Roman" w:hAnsi="Times New Roman"/>
                <w:sz w:val="20"/>
                <w:szCs w:val="20"/>
                <w:color w:val="121212"/>
              </w:rPr>
              <w:t>Deferred issuance costs on sale of common stock and pre-funded warrants in</w:t>
            </w:r>
          </w:p>
        </w:tc>
        <w:tc>
          <w:tcPr>
            <w:tcW w:w="520" w:type="dxa"/>
            <w:vAlign w:val="bottom"/>
            <w:gridSpan w:val="2"/>
            <w:vMerge w:val="restart"/>
            <w:shd w:val="clear" w:color="auto" w:fill="DFDFDF"/>
          </w:tcPr>
          <w:p>
            <w:pPr>
              <w:jc w:val="right"/>
              <w:ind w:right="180"/>
              <w:spacing w:after="0"/>
              <w:rPr>
                <w:sz w:val="20"/>
                <w:szCs w:val="20"/>
                <w:color w:val="auto"/>
              </w:rPr>
            </w:pPr>
            <w:r>
              <w:rPr>
                <w:rFonts w:ascii="Times New Roman" w:cs="Times New Roman" w:eastAsia="Times New Roman" w:hAnsi="Times New Roman"/>
                <w:sz w:val="20"/>
                <w:szCs w:val="20"/>
                <w:color w:val="121212"/>
              </w:rPr>
              <w:t>$</w:t>
            </w:r>
          </w:p>
        </w:tc>
        <w:tc>
          <w:tcPr>
            <w:tcW w:w="1340" w:type="dxa"/>
            <w:vAlign w:val="bottom"/>
            <w:vMerge w:val="restart"/>
            <w:shd w:val="clear" w:color="auto" w:fill="DFDFDF"/>
          </w:tcPr>
          <w:p>
            <w:pPr>
              <w:jc w:val="right"/>
              <w:ind w:right="22"/>
              <w:spacing w:after="0"/>
              <w:rPr>
                <w:sz w:val="20"/>
                <w:szCs w:val="20"/>
                <w:color w:val="auto"/>
              </w:rPr>
            </w:pPr>
            <w:r>
              <w:rPr>
                <w:rFonts w:ascii="Times New Roman" w:cs="Times New Roman" w:eastAsia="Times New Roman" w:hAnsi="Times New Roman"/>
                <w:sz w:val="20"/>
                <w:szCs w:val="20"/>
                <w:color w:val="121212"/>
              </w:rPr>
              <w:t>225</w:t>
            </w:r>
          </w:p>
        </w:tc>
        <w:tc>
          <w:tcPr>
            <w:tcW w:w="660" w:type="dxa"/>
            <w:vAlign w:val="bottom"/>
            <w:gridSpan w:val="2"/>
            <w:vMerge w:val="restart"/>
            <w:shd w:val="clear" w:color="auto" w:fill="DFDFDF"/>
          </w:tcPr>
          <w:p>
            <w:pPr>
              <w:jc w:val="right"/>
              <w:ind w:right="280"/>
              <w:spacing w:after="0"/>
              <w:rPr>
                <w:sz w:val="20"/>
                <w:szCs w:val="20"/>
                <w:color w:val="auto"/>
              </w:rPr>
            </w:pPr>
            <w:r>
              <w:rPr>
                <w:rFonts w:ascii="Times New Roman" w:cs="Times New Roman" w:eastAsia="Times New Roman" w:hAnsi="Times New Roman"/>
                <w:sz w:val="20"/>
                <w:szCs w:val="20"/>
                <w:color w:val="121212"/>
              </w:rPr>
              <w:t>$</w:t>
            </w:r>
          </w:p>
        </w:tc>
        <w:tc>
          <w:tcPr>
            <w:tcW w:w="1220" w:type="dxa"/>
            <w:vAlign w:val="bottom"/>
            <w:vMerge w:val="restart"/>
            <w:shd w:val="clear" w:color="auto" w:fill="DFDFDF"/>
          </w:tcPr>
          <w:p>
            <w:pPr>
              <w:jc w:val="right"/>
              <w:ind w:right="1"/>
              <w:spacing w:after="0"/>
              <w:rPr>
                <w:sz w:val="20"/>
                <w:szCs w:val="20"/>
                <w:color w:val="auto"/>
              </w:rPr>
            </w:pPr>
            <w:r>
              <w:rPr>
                <w:rFonts w:ascii="Times New Roman" w:cs="Times New Roman" w:eastAsia="Times New Roman" w:hAnsi="Times New Roman"/>
                <w:sz w:val="20"/>
                <w:szCs w:val="20"/>
                <w:color w:val="121212"/>
              </w:rPr>
              <w:t>5,792</w:t>
            </w:r>
          </w:p>
        </w:tc>
        <w:tc>
          <w:tcPr>
            <w:tcW w:w="0" w:type="dxa"/>
            <w:vAlign w:val="bottom"/>
          </w:tcPr>
          <w:p>
            <w:pPr>
              <w:spacing w:after="0"/>
              <w:rPr>
                <w:sz w:val="1"/>
                <w:szCs w:val="1"/>
                <w:color w:val="auto"/>
              </w:rPr>
            </w:pPr>
          </w:p>
        </w:tc>
      </w:tr>
      <w:tr>
        <w:trPr>
          <w:trHeight w:val="249"/>
        </w:trPr>
        <w:tc>
          <w:tcPr>
            <w:tcW w:w="6700" w:type="dxa"/>
            <w:vAlign w:val="bottom"/>
            <w:shd w:val="clear" w:color="auto" w:fill="DFDFDF"/>
          </w:tcPr>
          <w:p>
            <w:pPr>
              <w:ind w:left="340"/>
              <w:spacing w:after="0"/>
              <w:rPr>
                <w:sz w:val="20"/>
                <w:szCs w:val="20"/>
                <w:color w:val="auto"/>
              </w:rPr>
            </w:pPr>
            <w:r>
              <w:rPr>
                <w:rFonts w:ascii="Times New Roman" w:cs="Times New Roman" w:eastAsia="Times New Roman" w:hAnsi="Times New Roman"/>
                <w:sz w:val="20"/>
                <w:szCs w:val="20"/>
                <w:color w:val="121212"/>
              </w:rPr>
              <w:t>offerings included in accounts payable and accrued expenses</w:t>
            </w:r>
          </w:p>
        </w:tc>
        <w:tc>
          <w:tcPr>
            <w:tcW w:w="520" w:type="dxa"/>
            <w:vAlign w:val="bottom"/>
            <w:gridSpan w:val="2"/>
            <w:vMerge w:val="continue"/>
            <w:shd w:val="clear" w:color="auto" w:fill="DFDFDF"/>
          </w:tcPr>
          <w:p>
            <w:pPr>
              <w:spacing w:after="0"/>
              <w:rPr>
                <w:sz w:val="21"/>
                <w:szCs w:val="21"/>
                <w:color w:val="auto"/>
              </w:rPr>
            </w:pPr>
          </w:p>
        </w:tc>
        <w:tc>
          <w:tcPr>
            <w:tcW w:w="1340" w:type="dxa"/>
            <w:vAlign w:val="bottom"/>
            <w:vMerge w:val="continue"/>
            <w:shd w:val="clear" w:color="auto" w:fill="DFDFDF"/>
          </w:tcPr>
          <w:p>
            <w:pPr>
              <w:spacing w:after="0"/>
              <w:rPr>
                <w:sz w:val="21"/>
                <w:szCs w:val="21"/>
                <w:color w:val="auto"/>
              </w:rPr>
            </w:pPr>
          </w:p>
        </w:tc>
        <w:tc>
          <w:tcPr>
            <w:tcW w:w="660" w:type="dxa"/>
            <w:vAlign w:val="bottom"/>
            <w:gridSpan w:val="2"/>
            <w:vMerge w:val="continue"/>
            <w:shd w:val="clear" w:color="auto" w:fill="DFDFDF"/>
          </w:tcPr>
          <w:p>
            <w:pPr>
              <w:spacing w:after="0"/>
              <w:rPr>
                <w:sz w:val="21"/>
                <w:szCs w:val="21"/>
                <w:color w:val="auto"/>
              </w:rPr>
            </w:pPr>
          </w:p>
        </w:tc>
        <w:tc>
          <w:tcPr>
            <w:tcW w:w="1220" w:type="dxa"/>
            <w:vAlign w:val="bottom"/>
            <w:vMerge w:val="continue"/>
            <w:shd w:val="clear" w:color="auto" w:fill="DFDFD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70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Settlement of derivative liability upon issuance of common stock to Roche</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121212"/>
              </w:rPr>
              <w:t>$</w:t>
            </w: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121212"/>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121212"/>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6,511</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121212"/>
        </w:rPr>
        <w:t>The accompanying notes are an integral part of these consolidated financial statements.</w:t>
      </w:r>
    </w:p>
    <w:p>
      <w:pPr>
        <w:sectPr>
          <w:pgSz w:w="12240" w:h="15840" w:orient="portrait"/>
          <w:cols w:equalWidth="0" w:num="1">
            <w:col w:w="10440"/>
          </w:cols>
          <w:pgMar w:left="900" w:top="116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112</w:t>
      </w:r>
    </w:p>
    <w:p>
      <w:pPr>
        <w:sectPr>
          <w:pgSz w:w="12240" w:h="15840" w:orient="portrait"/>
          <w:cols w:equalWidth="0" w:num="1">
            <w:col w:w="10440"/>
          </w:cols>
          <w:pgMar w:left="900" w:top="1166" w:right="900" w:bottom="175" w:gutter="0" w:footer="0" w:header="0"/>
          <w:type w:val="continuous"/>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20"/>
          <w:szCs w:val="20"/>
          <w:b w:val="1"/>
          <w:bCs w:val="1"/>
          <w:color w:val="121212"/>
        </w:rPr>
        <w:t>DISC MEDICINE,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21212"/>
        </w:rPr>
        <w:t>NOTES TO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1. Organization and Nature of the Business</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121212"/>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and Diamond-Blackfan Anemia (“DBA”); DISC-0974 for the treatment of anemia of myelofibrosis (“MF”), and anemia of chronic kidney disease (“CKD”); and DISC-3405 for the treatment of polycythemia vera (“PV”), and other hematologic disorders. In addition, the Company’s preclinical programs also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spacing w:after="0" w:line="83"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public health crises such as pandemics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Reverse Merger with Gemini</w:t>
      </w:r>
    </w:p>
    <w:p>
      <w:pPr>
        <w:spacing w:after="0" w:line="120"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color w:val="121212"/>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82" w:lineRule="exact"/>
        <w:rPr>
          <w:sz w:val="20"/>
          <w:szCs w:val="20"/>
          <w:color w:val="auto"/>
        </w:rPr>
      </w:pPr>
    </w:p>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59" w:lineRule="exact"/>
        <w:rPr>
          <w:sz w:val="20"/>
          <w:szCs w:val="20"/>
          <w:color w:val="auto"/>
        </w:rPr>
      </w:pPr>
    </w:p>
    <w:p>
      <w:pPr>
        <w:jc w:val="both"/>
        <w:ind w:firstLine="490"/>
        <w:spacing w:after="0" w:line="233" w:lineRule="auto"/>
        <w:rPr>
          <w:sz w:val="20"/>
          <w:szCs w:val="20"/>
          <w:color w:val="auto"/>
        </w:rPr>
      </w:pPr>
      <w:r>
        <w:rPr>
          <w:rFonts w:ascii="Times New Roman" w:cs="Times New Roman" w:eastAsia="Times New Roman" w:hAnsi="Times New Roman"/>
          <w:sz w:val="20"/>
          <w:szCs w:val="20"/>
          <w:color w:val="121212"/>
        </w:rPr>
        <w:t>Pursuant to the terms of the Merger Agreement, at the effective time of the merger (the “Effective Time”), each then outstanding share of Private Disc common stock (including shares of common stock issued upon conversion of the Company’s preferred stock (see Note 9) and shares of the Company’s common stock issued in the Private Disc pre-closing financing defined below) was exchanged for 0.1096 shares of Gemini’s common stock (the “Exchange Ratio”), after taking into account the Reverse Stock Split, as defined below. In addition, each option to purchase Private Disc shares that was outstanding and unexercised immediately prior to the Effective Time was converted into an option to purchase shares of Gemini based on the Exchange Ratio. Immediately following the merger, stockholders of Private Disc owned approximately 74% of the outstanding common stock of the combined company. The merger was intended to qualify for federal income tax purposes as a tax-free reorganization under the provisions of Section 368(a) of the Internal Revenue Code of 1986, as amended.</w:t>
      </w:r>
    </w:p>
    <w:p>
      <w:pPr>
        <w:spacing w:after="0" w:line="76"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19"/>
          <w:szCs w:val="19"/>
          <w:color w:val="121212"/>
        </w:rPr>
        <w:t>At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(specifically, Gemini’s intellectual property assets (“Gemini IP”), which the Company assumed in the merger) during the period that is one year after the closing of the merger, calculated in accordance with the CVR Agreement. In accordance with the CVR Agreement, the holders of the CVRs would receive proceeds from any disposition of the Gemini pre-merger assets, net of costs incurred by the Company in performance of its obligations under the CVR Agreement in excess of $250,000, paid in the form of common stock in</w:t>
      </w:r>
    </w:p>
    <w:p>
      <w:pPr>
        <w:sectPr>
          <w:pgSz w:w="12240" w:h="15840" w:orient="portrait"/>
          <w:cols w:equalWidth="0" w:num="1">
            <w:col w:w="10460"/>
          </w:cols>
          <w:pgMar w:left="900" w:top="926" w:right="880" w:bottom="175"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113</w:t>
      </w:r>
    </w:p>
    <w:p>
      <w:pPr>
        <w:sectPr>
          <w:pgSz w:w="12240" w:h="15840" w:orient="portrait"/>
          <w:cols w:equalWidth="0" w:num="1">
            <w:col w:w="10460"/>
          </w:cols>
          <w:pgMar w:left="900" w:top="926" w:right="880" w:bottom="175" w:gutter="0" w:footer="0" w:header="0"/>
          <w:type w:val="continuous"/>
        </w:sectPr>
      </w:pPr>
    </w:p>
    <w:bookmarkStart w:id="123" w:name="page124"/>
    <w:bookmarkEnd w:id="123"/>
    <w:p>
      <w:pPr>
        <w:jc w:val="both"/>
        <w:spacing w:after="0" w:line="265" w:lineRule="auto"/>
        <w:rPr>
          <w:sz w:val="20"/>
          <w:szCs w:val="20"/>
          <w:color w:val="auto"/>
        </w:rPr>
      </w:pPr>
      <w:r>
        <w:rPr>
          <w:rFonts w:ascii="Times New Roman" w:cs="Times New Roman" w:eastAsia="Times New Roman" w:hAnsi="Times New Roman"/>
          <w:sz w:val="20"/>
          <w:szCs w:val="20"/>
          <w:color w:val="121212"/>
        </w:rPr>
        <w:t>the Company based on the weighted average stock price of the Company for the five trading days prior to the issuance of the payment to the holders of the CVRs.</w:t>
      </w:r>
    </w:p>
    <w:p>
      <w:pPr>
        <w:spacing w:after="0" w:line="49"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121212"/>
        </w:rPr>
        <w:t>To satisfy its obligations with respect to the CVRs and the Gemini IP, the Company hired an outside firm to attempt to sell the Gemini IP, which firm previously was unsuccessful in finding a buyer for the Gemini IP. In June 2023, the Company received an offer for the Gemini IP and recorded a $1.5 million liability representing the estimated fair value of the Company’s obligation to the holders of the CVRs based on the offer. However, the counterparty and the Company were unable to come to an agreement on the terms of the offer.</w:t>
      </w:r>
    </w:p>
    <w:p>
      <w:pPr>
        <w:spacing w:after="0" w:line="76" w:lineRule="exact"/>
        <w:rPr>
          <w:sz w:val="20"/>
          <w:szCs w:val="20"/>
          <w:color w:val="auto"/>
        </w:rPr>
      </w:pPr>
    </w:p>
    <w:p>
      <w:pPr>
        <w:jc w:val="both"/>
        <w:ind w:firstLine="490"/>
        <w:spacing w:after="0" w:line="237" w:lineRule="auto"/>
        <w:rPr>
          <w:sz w:val="20"/>
          <w:szCs w:val="20"/>
          <w:color w:val="auto"/>
        </w:rPr>
      </w:pPr>
      <w:r>
        <w:rPr>
          <w:rFonts w:ascii="Times New Roman" w:cs="Times New Roman" w:eastAsia="Times New Roman" w:hAnsi="Times New Roman"/>
          <w:sz w:val="20"/>
          <w:szCs w:val="20"/>
          <w:color w:val="121212"/>
        </w:rPr>
        <w:t>The disposition period ended December 29, 2023 and no dispositions of Gemini's pre-merger assets were made during the disposition period. Therefore, there were no CVR payments made to the holders and there will not be any future CVR payments to the holders (See Note 4). As such, the Company’s obligations under the CVR Agreement have expired and the CVRs are valueless. In December 2023, the Company recognized the reversal of the $1.5 million liability in the consolidated statements of operations and comprehensive loss within the change in fair value of contingent value right liability.</w:t>
      </w:r>
    </w:p>
    <w:p>
      <w:pPr>
        <w:spacing w:after="0" w:line="76" w:lineRule="exact"/>
        <w:rPr>
          <w:sz w:val="20"/>
          <w:szCs w:val="20"/>
          <w:color w:val="auto"/>
        </w:rPr>
      </w:pPr>
    </w:p>
    <w:p>
      <w:pPr>
        <w:jc w:val="both"/>
        <w:ind w:right="20" w:firstLine="490"/>
        <w:spacing w:after="0"/>
        <w:rPr>
          <w:sz w:val="20"/>
          <w:szCs w:val="20"/>
          <w:color w:val="auto"/>
        </w:rPr>
      </w:pPr>
      <w:r>
        <w:rPr>
          <w:rFonts w:ascii="Times New Roman" w:cs="Times New Roman" w:eastAsia="Times New Roman" w:hAnsi="Times New Roman"/>
          <w:sz w:val="20"/>
          <w:szCs w:val="20"/>
          <w:color w:val="121212"/>
        </w:rPr>
        <w:t>The Company has no additional obligations or plans with respect to Gemini’s pre-merger assets. The Company has generated no revenue from Gemini’s pre-merger assets and has incurred approximately $1.6 million in aggregate costs (including maintenance of license agreements, storage, legal and other fees) for the twelve months ended December 31, 2023, to maintain Gemini’s pre-merger assets solely in order to fulfill the Company’s obligations under the CVR Agreement.</w:t>
      </w:r>
    </w:p>
    <w:p>
      <w:pPr>
        <w:spacing w:after="0" w:line="74" w:lineRule="exact"/>
        <w:rPr>
          <w:sz w:val="20"/>
          <w:szCs w:val="20"/>
          <w:color w:val="auto"/>
        </w:rPr>
      </w:pPr>
    </w:p>
    <w:p>
      <w:pPr>
        <w:jc w:val="both"/>
        <w:ind w:firstLine="490"/>
        <w:spacing w:after="0"/>
        <w:rPr>
          <w:sz w:val="20"/>
          <w:szCs w:val="20"/>
          <w:color w:val="auto"/>
        </w:rPr>
      </w:pPr>
      <w:r>
        <w:rPr>
          <w:rFonts w:ascii="Times New Roman" w:cs="Times New Roman" w:eastAsia="Times New Roman" w:hAnsi="Times New Roman"/>
          <w:sz w:val="20"/>
          <w:szCs w:val="20"/>
          <w:color w:val="121212"/>
        </w:rPr>
        <w:t>In connection with the Merger Agreement, certain third parties entered into a subscription agreement with Private Disc to purchase shares of Private Disc’s common stock for an aggregate purchase price of $53.5 million (the “pre-closing financing”). Shares of Private Disc’s common stock issued pursuant to the pre-closing financing were converted into shares of the Company’s common stock based on the Exchange Ratio.</w:t>
      </w:r>
    </w:p>
    <w:p>
      <w:pPr>
        <w:spacing w:after="0" w:line="83"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color w:val="121212"/>
        </w:rPr>
        <w:t>The merger was accounted for as a reverse recapitalization in accordance with U.S. GAAP. For accounting purposes, Private Disc was considered to be acquiring the assets and liabilities of Gemini in the merger based on the terms of the Merger Agreement and other factors, including: (i) Private Disc’s stockholders own a majority of the voting rights in the combined company; (ii) Private Disc designated a majority (eight of nine) of the initial members of the board of directors of the combined company; (iii) Private Disc’s executive management team became the management of the combined company; (iv) the pre -combination assets of Gemini were primarily cash and cash equivalents and other non-operating assets (the in-process research and development assets potentially remaining as of the combination were considered to be of de minimis value); and (v) the combined company was named Disc Medicine, Inc. and is headquartered in Private Disc’s office in Watertown, Massachusetts. Accordingly, the merger was treated as the equivalent of Private Disc issuing stock to acquire the net assets of Gemini. As a result of the merger, the net assets of Gemini were recorded at their acquisition-date fair value in the financial statements of the Company and the reported operating results prior to the merger are those of Private Disc.</w:t>
      </w:r>
    </w:p>
    <w:p>
      <w:pPr>
        <w:spacing w:after="0" w:line="89"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21212"/>
        </w:rPr>
        <w:t>Pursuant to the terms of the Roche Agreement (see Note 4), immediately following the Effective Time, the Company issued 482,313 shares of the combined company to Roche for no consideration.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Reverse Stock Split and Exchange Ratio</w:t>
      </w:r>
    </w:p>
    <w:p>
      <w:pPr>
        <w:spacing w:after="0" w:line="120" w:lineRule="exact"/>
        <w:rPr>
          <w:sz w:val="20"/>
          <w:szCs w:val="20"/>
          <w:color w:val="auto"/>
        </w:rPr>
      </w:pPr>
    </w:p>
    <w:p>
      <w:pPr>
        <w:jc w:val="both"/>
        <w:ind w:firstLine="490"/>
        <w:spacing w:after="0" w:line="252" w:lineRule="auto"/>
        <w:rPr>
          <w:sz w:val="20"/>
          <w:szCs w:val="20"/>
          <w:color w:val="auto"/>
        </w:rPr>
      </w:pPr>
      <w:r>
        <w:rPr>
          <w:rFonts w:ascii="Times New Roman" w:cs="Times New Roman" w:eastAsia="Times New Roman" w:hAnsi="Times New Roman"/>
          <w:sz w:val="20"/>
          <w:szCs w:val="20"/>
          <w:color w:val="121212"/>
        </w:rPr>
        <w:t>On December 29, 2022, in connection with, and prior to the completion of, the merger, Gemini effected a one-for-ten reverse stock split of its then outstanding common stock (the “Reverse Stock Split”). The par value and the authorized shares of the common stock were not adjusted as a result of the Reverse Stock Split. All of Gemini’s issued and outstanding common stock have been retroactively adjusted to reflect this Reverse Stock Split for all periods presented.</w:t>
      </w:r>
    </w:p>
    <w:p>
      <w:pPr>
        <w:spacing w:after="0" w:line="74"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All issued and outstanding Private Disc common stock, convertible preferred stock and options prior to the effective date of the merger have been retroactively adjusted to reflect the 0.1096 Exchange Ratio, which reflects the impact of the reverse stock split, for all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Liquidity and Capital Resources</w:t>
      </w:r>
    </w:p>
    <w:p>
      <w:pPr>
        <w:spacing w:after="0" w:line="120"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121212"/>
        </w:rPr>
        <w:t>The Company’s consolidated financial statements have been prepared on the basis of the Company continuing as a going concern. The Company expects that its existing cash and cash equivalents as of December 31, 2023 of $360.4 million will enable the Company to fund its planned operating expense and capital expenditure requirements for at least twelve months from the date of issuance of these consolidated financial statements. The Company has incurred recurring losses and negative cash flows from operations since inception. As of December 31, 2023, the Company had an accumulated deficit of $188.6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ectPr>
          <w:pgSz w:w="12240" w:h="15840" w:orient="portrait"/>
          <w:cols w:equalWidth="0" w:num="1">
            <w:col w:w="10460"/>
          </w:cols>
          <w:pgMar w:left="900" w:top="921" w:right="880" w:bottom="175"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114</w:t>
      </w:r>
    </w:p>
    <w:p>
      <w:pPr>
        <w:sectPr>
          <w:pgSz w:w="12240" w:h="15840" w:orient="portrait"/>
          <w:cols w:equalWidth="0" w:num="1">
            <w:col w:w="10460"/>
          </w:cols>
          <w:pgMar w:left="900" w:top="921" w:right="880" w:bottom="175" w:gutter="0" w:footer="0" w:header="0"/>
          <w:type w:val="continuous"/>
        </w:sectPr>
      </w:pPr>
    </w:p>
    <w:bookmarkStart w:id="124" w:name="page125"/>
    <w:bookmarkEnd w:id="124"/>
    <w:p>
      <w:pPr>
        <w:ind w:left="7" w:right="6040" w:hanging="7"/>
        <w:spacing w:after="0" w:line="386" w:lineRule="auto"/>
        <w:tabs>
          <w:tab w:leader="none" w:pos="207" w:val="left"/>
        </w:tabs>
        <w:numPr>
          <w:ilvl w:val="0"/>
          <w:numId w:val="54"/>
        </w:numPr>
        <w:rPr>
          <w:rFonts w:ascii="Times New Roman" w:cs="Times New Roman" w:eastAsia="Times New Roman" w:hAnsi="Times New Roman"/>
          <w:sz w:val="19"/>
          <w:szCs w:val="19"/>
          <w:b w:val="1"/>
          <w:bCs w:val="1"/>
          <w:color w:val="121212"/>
        </w:rPr>
      </w:pPr>
      <w:r>
        <w:rPr>
          <w:rFonts w:ascii="Times New Roman" w:cs="Times New Roman" w:eastAsia="Times New Roman" w:hAnsi="Times New Roman"/>
          <w:sz w:val="19"/>
          <w:szCs w:val="19"/>
          <w:b w:val="1"/>
          <w:bCs w:val="1"/>
          <w:color w:val="121212"/>
        </w:rPr>
        <w:t xml:space="preserve">Summary of Significant Accounting Policies </w:t>
      </w:r>
      <w:r>
        <w:rPr>
          <w:rFonts w:ascii="Times New Roman" w:cs="Times New Roman" w:eastAsia="Times New Roman" w:hAnsi="Times New Roman"/>
          <w:sz w:val="19"/>
          <w:szCs w:val="19"/>
          <w:b w:val="1"/>
          <w:bCs w:val="1"/>
          <w:i w:val="1"/>
          <w:iCs w:val="1"/>
          <w:color w:val="121212"/>
        </w:rPr>
        <w:t>Basis of Presentation and Principles of Consolidation</w:t>
      </w:r>
    </w:p>
    <w:p>
      <w:pPr>
        <w:spacing w:after="0" w:line="1" w:lineRule="exact"/>
        <w:rPr>
          <w:sz w:val="20"/>
          <w:szCs w:val="20"/>
          <w:color w:val="auto"/>
        </w:rPr>
      </w:pPr>
    </w:p>
    <w:p>
      <w:pPr>
        <w:ind w:left="7" w:right="420" w:firstLine="490"/>
        <w:spacing w:after="0" w:line="252" w:lineRule="auto"/>
        <w:rPr>
          <w:sz w:val="20"/>
          <w:szCs w:val="20"/>
          <w:color w:val="auto"/>
        </w:rPr>
      </w:pPr>
      <w:r>
        <w:rPr>
          <w:rFonts w:ascii="Times New Roman" w:cs="Times New Roman" w:eastAsia="Times New Roman" w:hAnsi="Times New Roman"/>
          <w:sz w:val="20"/>
          <w:szCs w:val="20"/>
          <w:color w:val="121212"/>
        </w:rPr>
        <w:t>The Company’s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74"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9"/>
          <w:szCs w:val="19"/>
          <w:color w:val="121212"/>
        </w:rPr>
        <w:t>The accompanying consolidated financial statements include the accounts of the Company and its wholly-owned subsidiaries.</w:t>
      </w:r>
    </w:p>
    <w:p>
      <w:pPr>
        <w:spacing w:after="0" w:line="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21212"/>
        </w:rPr>
        <w:t>All intercompany transactions and balances have been eliminated in consolidation.</w:t>
      </w:r>
    </w:p>
    <w:p>
      <w:pPr>
        <w:spacing w:after="0" w:line="2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Use of Estimates</w:t>
      </w:r>
    </w:p>
    <w:p>
      <w:pPr>
        <w:spacing w:after="0" w:line="240" w:lineRule="exact"/>
        <w:rPr>
          <w:sz w:val="20"/>
          <w:szCs w:val="20"/>
          <w:color w:val="auto"/>
        </w:rPr>
      </w:pPr>
    </w:p>
    <w:p>
      <w:pPr>
        <w:ind w:left="7" w:right="80" w:firstLine="490"/>
        <w:spacing w:after="0" w:line="257" w:lineRule="auto"/>
        <w:rPr>
          <w:sz w:val="20"/>
          <w:szCs w:val="20"/>
          <w:color w:val="auto"/>
        </w:rPr>
      </w:pPr>
      <w:r>
        <w:rPr>
          <w:rFonts w:ascii="Times New Roman" w:cs="Times New Roman" w:eastAsia="Times New Roman" w:hAnsi="Times New Roman"/>
          <w:sz w:val="19"/>
          <w:szCs w:val="19"/>
          <w:color w:val="121212"/>
        </w:rPr>
        <w:t>The preparation of the Company’s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accrued research and development expenses; stock-based compensation expense; the fair value of the common stock prior to the effective date of the merger; the fair value determinations for instruments accounted for at fair value including contingent amounts payable to third parties upon the consummation of specified transactions, including a Roche Qualified Transaction (see Note 4); the fair value of Gemini’s development programs at the Effective Time; the fair value of the CVR;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Segment Information</w:t>
      </w:r>
    </w:p>
    <w:p>
      <w:pPr>
        <w:spacing w:after="0" w:line="120" w:lineRule="exact"/>
        <w:rPr>
          <w:sz w:val="20"/>
          <w:szCs w:val="20"/>
          <w:color w:val="auto"/>
        </w:rPr>
      </w:pPr>
    </w:p>
    <w:p>
      <w:pPr>
        <w:ind w:left="7" w:right="20" w:firstLine="490"/>
        <w:spacing w:after="0" w:line="246" w:lineRule="auto"/>
        <w:rPr>
          <w:sz w:val="20"/>
          <w:szCs w:val="20"/>
          <w:color w:val="auto"/>
        </w:rPr>
      </w:pPr>
      <w:r>
        <w:rPr>
          <w:rFonts w:ascii="Times New Roman" w:cs="Times New Roman" w:eastAsia="Times New Roman" w:hAnsi="Times New Roman"/>
          <w:sz w:val="20"/>
          <w:szCs w:val="20"/>
          <w:color w:val="121212"/>
        </w:rPr>
        <w:t>The Company manages its operations as a single operating segment for the purposes of assessing performance and making operating decisions, resulting in a single reportable segment. The Company has assembled a portfolio of clinical and preclinical product candidates that aim to modify fundamental biological pathways associated with the formation and function of red blood cells, specifically heme biosynthesis and iron homeostasis. The Company has determined that its chief operating decision maker is its Chief Executive Officer. The Company’s chief operating decision maker reviews the Company’s financial information on a consolidated basis for purposes of allocating resources and assessing financial performance. All of the Company’s tangible assets are held in the United States.</w:t>
      </w:r>
    </w:p>
    <w:p>
      <w:pPr>
        <w:spacing w:after="0" w:line="20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Concentration of Credit Risk and of Significant Suppliers</w:t>
      </w:r>
    </w:p>
    <w:p>
      <w:pPr>
        <w:spacing w:after="0" w:line="120" w:lineRule="exact"/>
        <w:rPr>
          <w:sz w:val="20"/>
          <w:szCs w:val="20"/>
          <w:color w:val="auto"/>
        </w:rPr>
      </w:pPr>
    </w:p>
    <w:p>
      <w:pPr>
        <w:jc w:val="both"/>
        <w:ind w:left="7" w:firstLine="490"/>
        <w:spacing w:after="0" w:line="249" w:lineRule="auto"/>
        <w:rPr>
          <w:sz w:val="20"/>
          <w:szCs w:val="20"/>
          <w:color w:val="auto"/>
        </w:rPr>
      </w:pPr>
      <w:r>
        <w:rPr>
          <w:rFonts w:ascii="Times New Roman" w:cs="Times New Roman" w:eastAsia="Times New Roman" w:hAnsi="Times New Roman"/>
          <w:sz w:val="20"/>
          <w:szCs w:val="20"/>
          <w:color w:val="121212"/>
        </w:rPr>
        <w:t>Financial instruments that potentially subject the Company to significant concentrations of credit risk consist primarily of cash and cash equivalents.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7" w:lineRule="exact"/>
        <w:rPr>
          <w:sz w:val="20"/>
          <w:szCs w:val="20"/>
          <w:color w:val="auto"/>
        </w:rPr>
      </w:pPr>
    </w:p>
    <w:p>
      <w:pPr>
        <w:jc w:val="both"/>
        <w:ind w:left="7" w:right="20" w:firstLine="490"/>
        <w:spacing w:after="0" w:line="258" w:lineRule="auto"/>
        <w:rPr>
          <w:sz w:val="20"/>
          <w:szCs w:val="20"/>
          <w:color w:val="auto"/>
        </w:rPr>
      </w:pPr>
      <w:r>
        <w:rPr>
          <w:rFonts w:ascii="Times New Roman" w:cs="Times New Roman" w:eastAsia="Times New Roman" w:hAnsi="Times New Roman"/>
          <w:sz w:val="20"/>
          <w:szCs w:val="20"/>
          <w:color w:val="121212"/>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Cash and Cash Equivalents</w:t>
      </w:r>
    </w:p>
    <w:p>
      <w:pPr>
        <w:spacing w:after="0" w:line="120" w:lineRule="exact"/>
        <w:rPr>
          <w:sz w:val="20"/>
          <w:szCs w:val="20"/>
          <w:color w:val="auto"/>
        </w:rPr>
      </w:pPr>
    </w:p>
    <w:p>
      <w:pPr>
        <w:ind w:left="7" w:right="40" w:firstLine="490"/>
        <w:spacing w:after="0" w:line="252" w:lineRule="auto"/>
        <w:rPr>
          <w:sz w:val="20"/>
          <w:szCs w:val="20"/>
          <w:color w:val="auto"/>
        </w:rPr>
      </w:pPr>
      <w:r>
        <w:rPr>
          <w:rFonts w:ascii="Times New Roman" w:cs="Times New Roman" w:eastAsia="Times New Roman" w:hAnsi="Times New Roman"/>
          <w:sz w:val="20"/>
          <w:szCs w:val="20"/>
          <w:color w:val="121212"/>
        </w:rPr>
        <w:t>The Company considers all highly liquid investments with original maturities of three months or less at the date of purchase to be cash equivalents. Cash and cash equivalents include cash in readily available checking and money market accounts and U.S. treasury notes with original maturities of three months or less at the date of purchase. Cash equivalents are reflected at fair value based on quoted market prices as further described in Note 4.</w:t>
      </w:r>
    </w:p>
    <w:p>
      <w:pPr>
        <w:spacing w:after="0" w:line="1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Restricted Cash</w:t>
      </w:r>
    </w:p>
    <w:p>
      <w:pPr>
        <w:spacing w:after="0" w:line="240" w:lineRule="exact"/>
        <w:rPr>
          <w:sz w:val="20"/>
          <w:szCs w:val="20"/>
          <w:color w:val="auto"/>
        </w:rPr>
      </w:pPr>
    </w:p>
    <w:p>
      <w:pPr>
        <w:jc w:val="both"/>
        <w:ind w:left="7" w:right="80" w:firstLine="490"/>
        <w:spacing w:after="0" w:line="258" w:lineRule="auto"/>
        <w:rPr>
          <w:sz w:val="20"/>
          <w:szCs w:val="20"/>
          <w:color w:val="auto"/>
        </w:rPr>
      </w:pPr>
      <w:r>
        <w:rPr>
          <w:rFonts w:ascii="Times New Roman" w:cs="Times New Roman" w:eastAsia="Times New Roman" w:hAnsi="Times New Roman"/>
          <w:sz w:val="20"/>
          <w:szCs w:val="20"/>
          <w:color w:val="121212"/>
        </w:rPr>
        <w:t>The Company maintains letters of credit totaling $0.2 million for the benefit of its landlords related to its current leased and subleased office space in Watertown, Massachusetts which is classified within other assets. The Company is required to maintain a separate cash balance to secure its letters of credit.</w:t>
      </w:r>
    </w:p>
    <w:p>
      <w:pPr>
        <w:sectPr>
          <w:pgSz w:w="12240" w:h="15840" w:orient="portrait"/>
          <w:cols w:equalWidth="0" w:num="1">
            <w:col w:w="10467"/>
          </w:cols>
          <w:pgMar w:left="893" w:top="926" w:right="880" w:bottom="17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21212"/>
        </w:rPr>
        <w:t>115</w:t>
      </w:r>
    </w:p>
    <w:p>
      <w:pPr>
        <w:sectPr>
          <w:pgSz w:w="12240" w:h="15840" w:orient="portrait"/>
          <w:cols w:equalWidth="0" w:num="1">
            <w:col w:w="10467"/>
          </w:cols>
          <w:pgMar w:left="893" w:top="926" w:right="880" w:bottom="175" w:gutter="0" w:footer="0" w:header="0"/>
          <w:type w:val="continuous"/>
        </w:sectPr>
      </w:pPr>
    </w:p>
    <w:bookmarkStart w:id="125" w:name="page126"/>
    <w:bookmarkEnd w:id="125"/>
    <w:p>
      <w:pPr>
        <w:ind w:right="140" w:firstLine="490"/>
        <w:spacing w:after="0" w:line="258" w:lineRule="auto"/>
        <w:rPr>
          <w:sz w:val="20"/>
          <w:szCs w:val="20"/>
          <w:color w:val="auto"/>
        </w:rPr>
      </w:pPr>
      <w:r>
        <w:rPr>
          <w:rFonts w:ascii="Times New Roman" w:cs="Times New Roman" w:eastAsia="Times New Roman" w:hAnsi="Times New Roman"/>
          <w:sz w:val="20"/>
          <w:szCs w:val="20"/>
          <w:color w:val="121212"/>
        </w:rPr>
        <w:t>The Company maintained a letter of credit of less than $0.1 million for leased space in Cambridge, Massachusetts, which was classified within prepaids and other current assets as of December 31, 2022. This lease was terminated in 2021 and the letter of credit was subsequently returned and released from restricted cash.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Deferred Transaction Costs</w:t>
      </w:r>
    </w:p>
    <w:p>
      <w:pPr>
        <w:spacing w:after="0" w:line="24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121212"/>
        </w:rPr>
        <w:t>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preferred stock or in stockholders’ equity (deficit) as a reduction of additional paid-in capital generated as a result of the transaction. Should the in-process equity financing be abandoned, the deferred transaction costs would be expensed immediately as a charge to operating expenses in the consolidated statements of operations and comprehensive loss.</w:t>
      </w:r>
    </w:p>
    <w:p>
      <w:pPr>
        <w:spacing w:after="0" w:line="20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21212"/>
        </w:rPr>
        <w:t xml:space="preserve">As of December 31, 2021, Private Disc had capitalized deferred transaction costs of $1.7 million related to a planned equity financing. During </w:t>
      </w:r>
      <w:r>
        <w:rPr>
          <w:rFonts w:ascii="Times New Roman" w:cs="Times New Roman" w:eastAsia="Times New Roman" w:hAnsi="Times New Roman"/>
          <w:sz w:val="20"/>
          <w:szCs w:val="20"/>
          <w:color w:val="2A2A2A"/>
        </w:rPr>
        <w:t>2022, Private Disc</w:t>
      </w:r>
      <w:r>
        <w:rPr>
          <w:rFonts w:ascii="Times New Roman" w:cs="Times New Roman" w:eastAsia="Times New Roman" w:hAnsi="Times New Roman"/>
          <w:sz w:val="20"/>
          <w:szCs w:val="20"/>
          <w:color w:val="121212"/>
        </w:rPr>
        <w:t xml:space="preserve"> concluded not to proceed with the planned equity financing and expensed the related deferred transaction costs of $2.2 million to general and administrative expenses</w:t>
      </w:r>
      <w:r>
        <w:rPr>
          <w:rFonts w:ascii="Times New Roman" w:cs="Times New Roman" w:eastAsia="Times New Roman" w:hAnsi="Times New Roman"/>
          <w:sz w:val="20"/>
          <w:szCs w:val="20"/>
          <w:color w:val="2A2A2A"/>
        </w:rPr>
        <w:t>. During 2022, the Company capitalized deferred</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color w:val="2A2A2A"/>
        </w:rPr>
        <w:t>transaction costs related to the merger of $7.9 million. At the Effective Time, the Company reclassified the capitalized deferred transaction costs to reduce additional paid-in capital generated as a result of the merger. As of December 31, 2023, the Company capitalized deferred costs related to its at-the-market program and shelf registration of $0.5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Fair Value Measurements</w:t>
      </w:r>
    </w:p>
    <w:p>
      <w:pPr>
        <w:spacing w:after="0" w:line="120" w:lineRule="exact"/>
        <w:rPr>
          <w:sz w:val="20"/>
          <w:szCs w:val="20"/>
          <w:color w:val="auto"/>
        </w:rPr>
      </w:pPr>
    </w:p>
    <w:p>
      <w:pPr>
        <w:ind w:right="320" w:firstLine="490"/>
        <w:spacing w:after="0" w:line="246" w:lineRule="auto"/>
        <w:rPr>
          <w:sz w:val="20"/>
          <w:szCs w:val="20"/>
          <w:color w:val="auto"/>
        </w:rPr>
      </w:pPr>
      <w:r>
        <w:rPr>
          <w:rFonts w:ascii="Times New Roman" w:cs="Times New Roman" w:eastAsia="Times New Roman" w:hAnsi="Times New Roman"/>
          <w:sz w:val="20"/>
          <w:szCs w:val="20"/>
          <w:color w:val="121212"/>
        </w:rPr>
        <w:t>The Company categorizes its assets and liabilities measured at fair value in accordance with the authoritative accounting guidance that establishes a consistent framework for measuring fair value and expands disclosures for each major asset and liability category measured at fair value on either a recurring or nonrecurring basis. Fair value is defined as the exit price, representing the amount that would be received to sell an asset or paid to transfer a liability in an orderly transaction between market participants. As such, fair value is a market- based measurement that should be determined based on assumptions that market participants would use in pricing an asset or liability. As a basis for considering such assumptions, the guidance establishes a three-tier fair value hierarchy, which prioritizes the inputs used in measuring fair value as follows:</w:t>
      </w:r>
    </w:p>
    <w:p>
      <w:pPr>
        <w:spacing w:after="0" w:line="94" w:lineRule="exact"/>
        <w:rPr>
          <w:sz w:val="20"/>
          <w:szCs w:val="20"/>
          <w:color w:val="auto"/>
        </w:rPr>
      </w:pPr>
    </w:p>
    <w:p>
      <w:pPr>
        <w:ind w:left="720" w:hanging="367"/>
        <w:spacing w:after="0"/>
        <w:tabs>
          <w:tab w:leader="none" w:pos="720" w:val="left"/>
        </w:tabs>
        <w:numPr>
          <w:ilvl w:val="0"/>
          <w:numId w:val="55"/>
        </w:numPr>
        <w:rPr>
          <w:rFonts w:ascii="Arial" w:cs="Arial" w:eastAsia="Arial" w:hAnsi="Arial"/>
          <w:sz w:val="20"/>
          <w:szCs w:val="20"/>
          <w:color w:val="121212"/>
        </w:rPr>
      </w:pPr>
      <w:r>
        <w:rPr>
          <w:rFonts w:ascii="Times New Roman" w:cs="Times New Roman" w:eastAsia="Times New Roman" w:hAnsi="Times New Roman"/>
          <w:sz w:val="20"/>
          <w:szCs w:val="20"/>
          <w:color w:val="121212"/>
        </w:rPr>
        <w:t>Level 1—Quoted prices (unadjusted) in active markets for identical assets or liabilities;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5"/>
        </w:numPr>
        <w:rPr>
          <w:rFonts w:ascii="Arial" w:cs="Arial" w:eastAsia="Arial" w:hAnsi="Arial"/>
          <w:sz w:val="20"/>
          <w:szCs w:val="20"/>
          <w:color w:val="121212"/>
        </w:rPr>
      </w:pPr>
      <w:r>
        <w:rPr>
          <w:rFonts w:ascii="Times New Roman" w:cs="Times New Roman" w:eastAsia="Times New Roman" w:hAnsi="Times New Roman"/>
          <w:sz w:val="20"/>
          <w:szCs w:val="20"/>
          <w:color w:val="121212"/>
        </w:rPr>
        <w:t>Level 2—Inputs other than quoted prices included within Level 1 that are either directly or indirectly observable; and</w:t>
      </w:r>
    </w:p>
    <w:p>
      <w:pPr>
        <w:spacing w:after="0" w:line="133" w:lineRule="exact"/>
        <w:rPr>
          <w:rFonts w:ascii="Arial" w:cs="Arial" w:eastAsia="Arial" w:hAnsi="Arial"/>
          <w:sz w:val="20"/>
          <w:szCs w:val="20"/>
          <w:color w:val="121212"/>
        </w:rPr>
      </w:pPr>
    </w:p>
    <w:p>
      <w:pPr>
        <w:ind w:left="720" w:hanging="367"/>
        <w:spacing w:after="0" w:line="276" w:lineRule="auto"/>
        <w:tabs>
          <w:tab w:leader="none" w:pos="720" w:val="left"/>
        </w:tabs>
        <w:numPr>
          <w:ilvl w:val="0"/>
          <w:numId w:val="55"/>
        </w:numPr>
        <w:rPr>
          <w:rFonts w:ascii="Arial" w:cs="Arial" w:eastAsia="Arial" w:hAnsi="Arial"/>
          <w:sz w:val="20"/>
          <w:szCs w:val="20"/>
          <w:color w:val="121212"/>
        </w:rPr>
      </w:pPr>
      <w:r>
        <w:rPr>
          <w:rFonts w:ascii="Times New Roman" w:cs="Times New Roman" w:eastAsia="Times New Roman" w:hAnsi="Times New Roman"/>
          <w:sz w:val="20"/>
          <w:szCs w:val="20"/>
          <w:color w:val="121212"/>
        </w:rPr>
        <w:t>Level 3—Unobservable inputs in which little or no market activity exists, therefore requiring an entity to develop its own assumptions about the assumptions that market participants would use in pricing.</w:t>
      </w:r>
    </w:p>
    <w:p>
      <w:pPr>
        <w:spacing w:after="0" w:line="50"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121212"/>
        </w:rPr>
        <w:t>The fair value of the Company’s cash equivalents are determined according to the fair value hierarchy described above (see Note 4). The carrying values of the Company’s prepaid expenses and other current assets, accounts payable and accrued expenses approximate their fair values due to the short-term nature of these assets and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Property and Equipment</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121212"/>
        </w:rPr>
        <w:t>Property and equipment are stated at cost, less accumulated depreciation. Depreciation is calculated using the straight-line method over the estimated useful lives of the assets. Depreciation on leasehold improvements is recognized over the shorter of the useful life of the assets or the estimated remaining term of the associated lease.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ESTIMATED USEFUL</w:t>
            </w:r>
          </w:p>
        </w:tc>
      </w:tr>
      <w:tr>
        <w:trPr>
          <w:trHeight w:val="203"/>
        </w:trPr>
        <w:tc>
          <w:tcPr>
            <w:tcW w:w="8480" w:type="dxa"/>
            <w:vAlign w:val="bottom"/>
            <w:tcBorders>
              <w:bottom w:val="single" w:sz="8" w:color="E0E0E0"/>
            </w:tcBorders>
          </w:tcPr>
          <w:p>
            <w:pPr>
              <w:spacing w:after="0"/>
              <w:rPr>
                <w:sz w:val="17"/>
                <w:szCs w:val="17"/>
                <w:color w:val="auto"/>
              </w:rPr>
            </w:pPr>
          </w:p>
        </w:tc>
        <w:tc>
          <w:tcPr>
            <w:tcW w:w="1960" w:type="dxa"/>
            <w:vAlign w:val="bottom"/>
            <w:tcBorders>
              <w:bottom w:val="single" w:sz="8" w:color="121212"/>
            </w:tcBorders>
          </w:tcPr>
          <w:p>
            <w:pPr>
              <w:jc w:val="center"/>
              <w:spacing w:after="0"/>
              <w:rPr>
                <w:sz w:val="20"/>
                <w:szCs w:val="20"/>
                <w:color w:val="auto"/>
              </w:rPr>
            </w:pPr>
            <w:r>
              <w:rPr>
                <w:rFonts w:ascii="Times New Roman" w:cs="Times New Roman" w:eastAsia="Times New Roman" w:hAnsi="Times New Roman"/>
                <w:sz w:val="16"/>
                <w:szCs w:val="16"/>
                <w:b w:val="1"/>
                <w:bCs w:val="1"/>
                <w:color w:val="121212"/>
              </w:rPr>
              <w:t>LIFE</w:t>
            </w:r>
          </w:p>
        </w:tc>
      </w:tr>
      <w:tr>
        <w:trPr>
          <w:trHeight w:val="220"/>
        </w:trPr>
        <w:tc>
          <w:tcPr>
            <w:tcW w:w="84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Computer equipment</w:t>
            </w:r>
          </w:p>
        </w:tc>
        <w:tc>
          <w:tcPr>
            <w:tcW w:w="1960" w:type="dxa"/>
            <w:vAlign w:val="bottom"/>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121212"/>
                <w:w w:val="99"/>
              </w:rPr>
              <w:t>3.0 years</w:t>
            </w:r>
          </w:p>
        </w:tc>
      </w:tr>
      <w:tr>
        <w:trPr>
          <w:trHeight w:val="266"/>
        </w:trPr>
        <w:tc>
          <w:tcPr>
            <w:tcW w:w="8480" w:type="dxa"/>
            <w:vAlign w:val="bottom"/>
          </w:tcPr>
          <w:p>
            <w:pPr>
              <w:spacing w:after="0"/>
              <w:rPr>
                <w:sz w:val="20"/>
                <w:szCs w:val="20"/>
                <w:color w:val="auto"/>
              </w:rPr>
            </w:pPr>
            <w:r>
              <w:rPr>
                <w:rFonts w:ascii="Times New Roman" w:cs="Times New Roman" w:eastAsia="Times New Roman" w:hAnsi="Times New Roman"/>
                <w:sz w:val="20"/>
                <w:szCs w:val="20"/>
                <w:color w:val="121212"/>
              </w:rPr>
              <w:t>Furniture and fixtures</w:t>
            </w: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121212"/>
                <w:w w:val="99"/>
              </w:rPr>
              <w:t>3.0 years</w:t>
            </w:r>
          </w:p>
        </w:tc>
      </w:tr>
    </w:tbl>
    <w:p>
      <w:pPr>
        <w:spacing w:after="0" w:line="6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121212"/>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are expensed as incurred.</w:t>
      </w:r>
    </w:p>
    <w:p>
      <w:pPr>
        <w:spacing w:after="0" w:line="74"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121212"/>
        </w:rPr>
        <w:t>The Company capitalizes internal costs incurred to develop software for internal use during the application development stage. The Company includes capitalized internally developed software subject to a cloud computing arrangement within other assets. Amortization of capitalized internally developed software costs is recorded in depreciation expense over the estimated useful life of the related asset of 3.0 years.</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116</w:t>
      </w:r>
    </w:p>
    <w:p>
      <w:pPr>
        <w:sectPr>
          <w:pgSz w:w="12240" w:h="15840" w:orient="portrait"/>
          <w:cols w:equalWidth="0" w:num="1">
            <w:col w:w="10440"/>
          </w:cols>
          <w:pgMar w:left="900" w:top="930" w:right="900" w:bottom="175"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i w:val="1"/>
          <w:iCs w:val="1"/>
          <w:color w:val="121212"/>
        </w:rPr>
        <w:t>Impairment of Long-lived Assets</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21212"/>
        </w:rPr>
        <w:t>As required under the applicable accounting guidance, the Company periodically reevaluates the original assumptions and rationale used in the establishment of the carrying value and estimated lives of all of its long-lived assets, including property and equipment. 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twelve months ended December 31, 2023 and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Leases</w:t>
      </w:r>
    </w:p>
    <w:p>
      <w:pPr>
        <w:spacing w:after="0" w:line="12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21212"/>
        </w:rPr>
        <w:t>The Company accounts for its leases under ASC 842. At the inception of an arrangement, the Company determines whether the arrangement is or contains a lease. Leases with a term greater than one year are recognized on the consolidated balance sheet as a right-of-use (“ROU”) asset and current and non-current lease liabilities, as applicable. The Company has made an accounting policy election, known as the short-term lease recognition exemption, which allows the Company to not recognize ROU assets and lease liabilities that arise from short-term leases (12 months or less) for any class of underlying asset. The Company typically only includes an initial lease term in its assessment of a lease arrangement. Options to renew or options to cancel a lease are not included in the Company’s assessment unless there is reasonable certainty that the Company will renew or will not cancel, respectively. The Company monitors its material leases on a quarterly basis.</w:t>
      </w:r>
    </w:p>
    <w:p>
      <w:pPr>
        <w:spacing w:after="0" w:line="8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Leases are classified at their lease commencement date, which is defined as the date on which the lessor makes the underlying asset available for use by the lessee, as either operating or finance leases based on the economic substance of the agreement. All of the Company’s leases are classified as operating leases. Operating lease liabilities and their corresponding ROU assets are recorded based on the present value of future lease payments over the expected remaining lease term. Fixed lease cost for operating leases is recognized on a straight-line basis over the lease term as an operating expense. Variable lease costs, such as common area maintenance expenses, are recognized in the period incurred. Certain adjustments to the ROU asset may be required for items such as lease prepayments or incentives received. The interest rate implicit in lease contracts is typically not readily determinable. As a result, the Company utilizes its estimated incremental borrowing rate, which reflects the estimated fixed rate at which the Company could borrow on a collateralized basis the amount of the lease payments in the same currency, for a similar term, in a similar economic environment.</w:t>
      </w:r>
    </w:p>
    <w:p>
      <w:pPr>
        <w:spacing w:after="0" w:line="82"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121212"/>
        </w:rPr>
        <w:t>The Company has elected to account for the lease and non-lease components together for existing classes of underlying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Preferred Stock</w:t>
      </w:r>
    </w:p>
    <w:p>
      <w:pPr>
        <w:spacing w:after="0" w:line="120"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121212"/>
        </w:rPr>
        <w:t xml:space="preserve">The Company applies the guidance of ASC Topic 480, </w:t>
      </w:r>
      <w:r>
        <w:rPr>
          <w:rFonts w:ascii="Times New Roman" w:cs="Times New Roman" w:eastAsia="Times New Roman" w:hAnsi="Times New Roman"/>
          <w:sz w:val="20"/>
          <w:szCs w:val="20"/>
          <w:i w:val="1"/>
          <w:iCs w:val="1"/>
          <w:color w:val="121212"/>
        </w:rPr>
        <w:t>Distinguishing Liabilities from Equity</w:t>
      </w:r>
      <w:r>
        <w:rPr>
          <w:rFonts w:ascii="Times New Roman" w:cs="Times New Roman" w:eastAsia="Times New Roman" w:hAnsi="Times New Roman"/>
          <w:sz w:val="20"/>
          <w:szCs w:val="20"/>
          <w:color w:val="121212"/>
        </w:rPr>
        <w:t xml:space="preserve"> (“ASC 480”), when determining the classification and measurement of its preferred stock. Preferred stock subject to mandatory redemption (if any) are classified as liability instruments and are measured at fair value. The Company classifies contingently redeemable preferred stock (if any), which includes preferred stock that features redemption rights that are either within the control of the holder or subject to redemption upon the occurrence of uncertain events not solely within the Company’s control, as temporary equity. At all other times, the Company classifies its preferred stock in stockholders’ equity (deficit).</w:t>
      </w:r>
    </w:p>
    <w:p>
      <w:pPr>
        <w:spacing w:after="0" w:line="8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121212"/>
        </w:rPr>
        <w:t>Prior to the merger, Private Disc classified its convertible preferred stock as temporary equity due to terms that allowed for redemption of the shares upon the occurrence of a contingent event that was not solely within the Private Disc's control. Private Disc did not accrete the carrying values of the preferred stock to the redemption values since the contingent event was not considered probable prior to their conversion to common stock at the Effective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Research and Development Expenses</w:t>
      </w:r>
    </w:p>
    <w:p>
      <w:pPr>
        <w:spacing w:after="0" w:line="12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121212"/>
        </w:rPr>
        <w:t>Research and development costs are expensed as incurred. Research and development expenses consist of costs incurred in performing research and development activities, including salaries and bonuses, stock-based compensation, employee benefits, facilities costs, depreciation, external costs of vendors engaged to conduct preclinical development activities and clinical trials, manufacturing expenses, as well as the costs of licensing technology.</w:t>
      </w:r>
    </w:p>
    <w:p>
      <w:pPr>
        <w:spacing w:after="0" w:line="7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121212"/>
        </w:rPr>
        <w:t>Nonrefundable prepayments for goods or services that will be used or rendered for future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121212"/>
        </w:rPr>
        <w:t xml:space="preserve">If the Company acquires an asset or group of assets under an in-licensing arrangement that does not meet the definition of a business under ASC Topic 805, </w:t>
      </w:r>
      <w:r>
        <w:rPr>
          <w:rFonts w:ascii="Times New Roman" w:cs="Times New Roman" w:eastAsia="Times New Roman" w:hAnsi="Times New Roman"/>
          <w:sz w:val="20"/>
          <w:szCs w:val="20"/>
          <w:i w:val="1"/>
          <w:iCs w:val="1"/>
          <w:color w:val="121212"/>
        </w:rPr>
        <w:t>Business Combinations</w:t>
      </w:r>
      <w:r>
        <w:rPr>
          <w:rFonts w:ascii="Times New Roman" w:cs="Times New Roman" w:eastAsia="Times New Roman" w:hAnsi="Times New Roman"/>
          <w:sz w:val="20"/>
          <w:szCs w:val="20"/>
          <w:color w:val="121212"/>
        </w:rPr>
        <w:t>, and the acquired in-process research and development does not have an alternative future use, any related upfront license payment is expensed as incurred in accordance with guidance in ASC Topic</w:t>
      </w:r>
    </w:p>
    <w:p>
      <w:pPr>
        <w:sectPr>
          <w:pgSz w:w="12240" w:h="15840" w:orient="portrait"/>
          <w:cols w:equalWidth="0" w:num="1">
            <w:col w:w="10440"/>
          </w:cols>
          <w:pgMar w:left="900" w:top="930" w:right="900" w:bottom="175"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117</w:t>
      </w:r>
    </w:p>
    <w:p>
      <w:pPr>
        <w:sectPr>
          <w:pgSz w:w="12240" w:h="15840" w:orient="portrait"/>
          <w:cols w:equalWidth="0" w:num="1">
            <w:col w:w="10440"/>
          </w:cols>
          <w:pgMar w:left="900" w:top="930" w:right="900" w:bottom="175" w:gutter="0" w:footer="0" w:header="0"/>
          <w:type w:val="continuous"/>
        </w:sectPr>
      </w:pPr>
    </w:p>
    <w:bookmarkStart w:id="127" w:name="page128"/>
    <w:bookmarkEnd w:id="127"/>
    <w:p>
      <w:pPr>
        <w:ind w:right="180"/>
        <w:spacing w:after="0" w:line="247" w:lineRule="auto"/>
        <w:rPr>
          <w:sz w:val="20"/>
          <w:szCs w:val="20"/>
          <w:color w:val="auto"/>
        </w:rPr>
      </w:pPr>
      <w:r>
        <w:rPr>
          <w:rFonts w:ascii="Times New Roman" w:cs="Times New Roman" w:eastAsia="Times New Roman" w:hAnsi="Times New Roman"/>
          <w:sz w:val="20"/>
          <w:szCs w:val="20"/>
          <w:color w:val="121212"/>
        </w:rPr>
        <w:t xml:space="preserve">730, </w:t>
      </w:r>
      <w:r>
        <w:rPr>
          <w:rFonts w:ascii="Times New Roman" w:cs="Times New Roman" w:eastAsia="Times New Roman" w:hAnsi="Times New Roman"/>
          <w:sz w:val="20"/>
          <w:szCs w:val="20"/>
          <w:i w:val="1"/>
          <w:iCs w:val="1"/>
          <w:color w:val="121212"/>
        </w:rPr>
        <w:t>Research and Development</w:t>
      </w:r>
      <w:r>
        <w:rPr>
          <w:rFonts w:ascii="Times New Roman" w:cs="Times New Roman" w:eastAsia="Times New Roman" w:hAnsi="Times New Roman"/>
          <w:sz w:val="20"/>
          <w:szCs w:val="20"/>
          <w:color w:val="121212"/>
        </w:rPr>
        <w:t>. In general, contingent payments are recognized when it becomes probable the payment will be required. Any contingent payments that qualify as a derivative liability are recognized at fair value on the Company’s consolidated balance sheets. Annual maintenance fees under license agreements are expensed in the period in which they are incurred. Contingent payments for assets acquired are expensed as incurred or capitalized and amortized based on the nature of the associated asset at the date the payment is recognized. Royalties owed on sales of the products licensed pursuant to license agreements are expensed in the period the related revenues are recognized.</w:t>
      </w:r>
    </w:p>
    <w:p>
      <w:pPr>
        <w:spacing w:after="0" w:line="8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The Company has entered into various research, development and manufacturing contracts with research institutions and other companies primarily in the United States, including contracts with third-party contract research organizations and contract development and manufacturing organizations. These agreements are generally cancelable, and related costs are recorded as research and development expenses as incurred. The Company records accrued liabilities for estimated ongoing research, development and manufacturing costs and prepaid expenses for payments made in advance of work performed.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are made in determining the accrued balances at the end of any reporting period. Actual results may differ from the estimates made by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Patent Costs</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The Company expenses all costs as incurred in connection with patent applications, including direct application fees, and the legal and consulting expenses related to making such applications due to the uncertainty about the recovery of the expenditure. These costs are included in general and administrative expenses within the Company’s consolidated statements of operations and comprehensive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Stock-Based Compensation</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121212"/>
        </w:rPr>
        <w:t>The Company accounts for all stock-based awards granted to employees and non-employees as stock-based compensation expense at fair value. The fair value of each stock option grant is estimated on the date of grant using the Black-Scholes option-pricing model, which requires inputs based on certain subjective assumptions, including the fair value of the Company’s common stock on the date of grant, the expected stock price volatility, the expected term of the option, the risk-free interest rate for a period that approximates the expected term of the option and the Company’s expected dividend yield. The fair value of each restricted stock award is estimated on the date of grant based on the fair value of the Company’s common stock on that same date. Due to the lack of company-specific historical and implied volatility data,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92"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121212"/>
        </w:rPr>
        <w:t>The Company recognizes compensation expense for employees and non-employees over the requisite service period, which is generally the vesting period of the respective award, based on the grant date fair value of the award. For awards that include performance-based vesting conditions expense is recognized using the accelerated attribution method when the performance condition is deemed to be probable. The Company accounts for forfeitures as they occur.</w:t>
      </w:r>
    </w:p>
    <w:p>
      <w:pPr>
        <w:spacing w:after="0" w:line="7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121212"/>
        </w:rPr>
        <w:t>The Company classifies stock-based compensation expense in the consolidated statements of operations and comprehensive loss in the same manner in which the award recipient’s payroll costs are classified or in which the award recipient’s service payments are classified.</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See Note 11 for a summary of the stock-based award activity under the Company’s stock-based compensation plan.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Determination of Fair Value of Common Stock on Grant Dates</w:t>
      </w:r>
    </w:p>
    <w:p>
      <w:pPr>
        <w:spacing w:after="0" w:line="120"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121212"/>
        </w:rPr>
        <w:t xml:space="preserve">Prior to the merger, due to the absence of an active market for Private Disc’s common stock, Private Disc and its Board were required to determine the fair value of Private Disc’s common stock at the time of each grant of a stock-based award. Private Disc estimated the fair value of its common stock utilizing methodologies in accordance with the framework of the American Institute of Certified Public Accountants’ Technical Practice Aid, </w:t>
      </w:r>
      <w:r>
        <w:rPr>
          <w:rFonts w:ascii="Times New Roman" w:cs="Times New Roman" w:eastAsia="Times New Roman" w:hAnsi="Times New Roman"/>
          <w:sz w:val="19"/>
          <w:szCs w:val="19"/>
          <w:i w:val="1"/>
          <w:iCs w:val="1"/>
          <w:color w:val="121212"/>
        </w:rPr>
        <w:t>Valuation of Privately-Held Company Equity Securities Issued</w:t>
      </w:r>
    </w:p>
    <w:p>
      <w:pPr>
        <w:sectPr>
          <w:pgSz w:w="12240" w:h="15840" w:orient="portrait"/>
          <w:cols w:equalWidth="0" w:num="1">
            <w:col w:w="10440"/>
          </w:cols>
          <w:pgMar w:left="900" w:top="930" w:right="900" w:bottom="175" w:gutter="0" w:footer="0" w:header="0"/>
        </w:sect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118</w:t>
      </w:r>
    </w:p>
    <w:p>
      <w:pPr>
        <w:sectPr>
          <w:pgSz w:w="12240" w:h="15840" w:orient="portrait"/>
          <w:cols w:equalWidth="0" w:num="1">
            <w:col w:w="10440"/>
          </w:cols>
          <w:pgMar w:left="900" w:top="930" w:right="900" w:bottom="175" w:gutter="0" w:footer="0" w:header="0"/>
          <w:type w:val="continuous"/>
        </w:sectPr>
      </w:pPr>
    </w:p>
    <w:bookmarkStart w:id="128" w:name="page129"/>
    <w:bookmarkEnd w:id="128"/>
    <w:p>
      <w:pPr>
        <w:spacing w:after="0" w:line="246" w:lineRule="auto"/>
        <w:rPr>
          <w:sz w:val="20"/>
          <w:szCs w:val="20"/>
          <w:color w:val="auto"/>
        </w:rPr>
      </w:pPr>
      <w:r>
        <w:rPr>
          <w:rFonts w:ascii="Times New Roman" w:cs="Times New Roman" w:eastAsia="Times New Roman" w:hAnsi="Times New Roman"/>
          <w:sz w:val="20"/>
          <w:szCs w:val="20"/>
          <w:i w:val="1"/>
          <w:iCs w:val="1"/>
          <w:color w:val="121212"/>
        </w:rPr>
        <w:t>as Compensation</w:t>
      </w:r>
      <w:r>
        <w:rPr>
          <w:rFonts w:ascii="Times New Roman" w:cs="Times New Roman" w:eastAsia="Times New Roman" w:hAnsi="Times New Roman"/>
          <w:sz w:val="20"/>
          <w:szCs w:val="20"/>
          <w:color w:val="121212"/>
        </w:rPr>
        <w:t>. In determining the exercise prices for options granted, Private Disc considered the estimated fair value of the</w:t>
      </w:r>
      <w:r>
        <w:rPr>
          <w:rFonts w:ascii="Times New Roman" w:cs="Times New Roman" w:eastAsia="Times New Roman" w:hAnsi="Times New Roman"/>
          <w:sz w:val="20"/>
          <w:szCs w:val="20"/>
          <w:i w:val="1"/>
          <w:iCs w:val="1"/>
          <w:color w:val="121212"/>
        </w:rPr>
        <w:t xml:space="preserve"> </w:t>
      </w:r>
      <w:r>
        <w:rPr>
          <w:rFonts w:ascii="Times New Roman" w:cs="Times New Roman" w:eastAsia="Times New Roman" w:hAnsi="Times New Roman"/>
          <w:sz w:val="20"/>
          <w:szCs w:val="20"/>
          <w:color w:val="121212"/>
        </w:rPr>
        <w:t>common stock as of the measurement date. The estimated fair value of the common stock has been determined at each grant date based upon a variety of factors, including prices paid for Private Disc’s convertible preferred stock and the rights, preferences, and privileges of Private Disc’s Preferred Stock and common stock; Private Disc’s stage of development and status of technological developments within Private Disc’s research; the illiquid nature of securities in a private company; the prospects of a liquidity event; and the current business climate in the marketplace. Significant changes to the key assumptions underlying the factors used could result in different fair values of common stock at each valuation date.</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21212"/>
        </w:rPr>
        <w:t>Private Disc’s common stock valuations were prepared using either an option pricing method (“OPM”), or a hybrid method, both of which used market approaches to estimate our enterprise value.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21212"/>
        </w:rPr>
        <w:t>The hybrid method is a probability-weighted expected return method (“PWERM”), by which the equity value in one or more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addition to a scenario using the OPM, the hybrid method also considers an initial public offering scenario in which the shares of convertible preferred stock are assumed to convert to common stock. The future value of the common stock in the initial public offering scenario was discounted back to the valuation date at an appropriate risk adjusted discount rate. In the hybrid method, the present value indicated for each scenario was probability weighted to arrive at an indication of value for the Private Disc’s common stock. Private Disc utilized significant estimates and assumptions in determining the fair value of its equity and equity-based awards.</w:t>
      </w:r>
    </w:p>
    <w:p>
      <w:pPr>
        <w:spacing w:after="0" w:line="20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121212"/>
        </w:rPr>
        <w:t>Substantially all of the awards granted by the Company are either new hire grants or routine annual grants. Management evaluates its award grants and modifications contemporaneously and if any are determined to be spring-loaded, the Company will adjust the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Comprehensive Loss</w:t>
      </w:r>
    </w:p>
    <w:p>
      <w:pPr>
        <w:spacing w:after="0" w:line="120"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121212"/>
        </w:rPr>
        <w:t>Comprehensive loss includes net loss, as well as other changes in stockholders’ equity (deficit) that result from transactions and economic events other than those with stockholders. The Company’s comprehensive loss was equal to net loss for the twelve months ended December 31, 2023 and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Income Taxes</w:t>
      </w:r>
    </w:p>
    <w:p>
      <w:pPr>
        <w:spacing w:after="0" w:line="120"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121212"/>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the period that includes the enactment date. A valuation allowance against deferred tax assets is recorded if, based upon the weight of all available evidence, it is more likely than not that some or all of the deferred tax assets will not be realized. Since the Company has generated operating losses and expects to continue to incur future losses, the net deferred tax assets have been fully offset by a valuation allowance.</w:t>
      </w:r>
    </w:p>
    <w:p>
      <w:pPr>
        <w:spacing w:after="0" w:line="86"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121212"/>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There are no unrecognized tax benefits included in the Company’s consolidated balance sheets at December 31, 2023 or 2022. The Company’s practice is to recognize interest and penalties related to income tax matters in income tax expense. The Company has not recognized interest or penalties related to income tax matters in its consolidated statements of operations and comprehensive loss since inception.</w:t>
      </w:r>
    </w:p>
    <w:p>
      <w:pPr>
        <w:spacing w:after="0" w:line="80" w:lineRule="exact"/>
        <w:rPr>
          <w:sz w:val="20"/>
          <w:szCs w:val="20"/>
          <w:color w:val="auto"/>
        </w:rPr>
      </w:pPr>
    </w:p>
    <w:p>
      <w:pPr>
        <w:jc w:val="both"/>
        <w:ind w:right="300" w:firstLine="490"/>
        <w:spacing w:after="0" w:line="258" w:lineRule="auto"/>
        <w:rPr>
          <w:sz w:val="20"/>
          <w:szCs w:val="20"/>
          <w:color w:val="auto"/>
        </w:rPr>
      </w:pPr>
      <w:r>
        <w:rPr>
          <w:rFonts w:ascii="Times New Roman" w:cs="Times New Roman" w:eastAsia="Times New Roman" w:hAnsi="Times New Roman"/>
          <w:sz w:val="20"/>
          <w:szCs w:val="20"/>
          <w:color w:val="121212"/>
        </w:rPr>
        <w:t>The Company files income tax returns in the United States and in Massachusetts. The Company’s income tax returns are subject to review and tax assessment from an income tax examination. As of December 31, 2023, the Company was not under examination by the Internal Revenue Service or other jurisdictions for any tax year.</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119</w:t>
      </w:r>
    </w:p>
    <w:p>
      <w:pPr>
        <w:sectPr>
          <w:pgSz w:w="12240" w:h="15840" w:orient="portrait"/>
          <w:cols w:equalWidth="0" w:num="1">
            <w:col w:w="10440"/>
          </w:cols>
          <w:pgMar w:left="900" w:top="930" w:right="900" w:bottom="175"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121212"/>
        </w:rPr>
        <w:t>Net Loss Per Share</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121212"/>
        </w:rPr>
        <w:t>Net loss per share attributable to common stockholders is calculated using the two-class method, which is an earnings allocation formula that determines net loss per share for the holders of the Company’s common shares and participating securities. The Company’s Preferred Stock contained participation rights in any dividend paid by the Company and was deemed to be a participating security. Net income attributable to common stockholders and participating preferred shares, if applicable, are allocated to each share as if all of the earnings for the period had been distributed. The participating securities did not include a contractual obligation to share in losses of the Company and were not included in the calculation of net loss per share in the periods in which a net loss is recorded. Net loss attributable to common stockholders is equal to the net loss for the period.</w:t>
      </w:r>
    </w:p>
    <w:p>
      <w:pPr>
        <w:spacing w:after="0" w:line="80"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121212"/>
        </w:rPr>
        <w:t>Diluted net loss per share is computed using the more dilutive of (a) the two-class method or (b) the treasury stock method and if-converted method. The Company allocates earnings first to preferred stockholders, if applicable, based on dividend rights and then to common and preferred stockholders, if applicable, based on ownership interests. The weighted-average number of common shares included in the computation of diluted net loss gives effect to all potentially dilutive common equivalent shares, including outstanding stock options and Preferred Stock. 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Subsequent Events</w:t>
      </w:r>
    </w:p>
    <w:p>
      <w:pPr>
        <w:spacing w:after="0" w:line="120"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121212"/>
        </w:rPr>
        <w:t>The Company considers events or transactions that occur after the consolidated balance sheet date but prior to the issuance of the consolidated financial statements to provide additional evidence for certain estimates or to identify matters that require additional disclosure. The Company has evaluated events occurring after the date of its consolidated balance sheet, through March 21, 2024, the date these consolidated financial statements were available to be issued (see Note 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Emerging Growth Company Status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Recently Adopted Accounting Pronouncements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21212"/>
        </w:rPr>
        <w:t xml:space="preserve">In June 2016, the FASB issued ASU No. 2016-13, </w:t>
      </w:r>
      <w:r>
        <w:rPr>
          <w:rFonts w:ascii="Times New Roman" w:cs="Times New Roman" w:eastAsia="Times New Roman" w:hAnsi="Times New Roman"/>
          <w:sz w:val="20"/>
          <w:szCs w:val="20"/>
          <w:i w:val="1"/>
          <w:iCs w:val="1"/>
          <w:color w:val="121212"/>
        </w:rPr>
        <w:t>Financial Instruments - Credit Losses (Topic 326): Measurement of</w:t>
      </w:r>
      <w:r>
        <w:rPr>
          <w:rFonts w:ascii="Times New Roman" w:cs="Times New Roman" w:eastAsia="Times New Roman" w:hAnsi="Times New Roman"/>
          <w:sz w:val="20"/>
          <w:szCs w:val="20"/>
          <w:color w:val="121212"/>
        </w:rPr>
        <w:t xml:space="preserve"> </w:t>
      </w:r>
      <w:r>
        <w:rPr>
          <w:rFonts w:ascii="Times New Roman" w:cs="Times New Roman" w:eastAsia="Times New Roman" w:hAnsi="Times New Roman"/>
          <w:sz w:val="20"/>
          <w:szCs w:val="20"/>
          <w:i w:val="1"/>
          <w:iCs w:val="1"/>
          <w:color w:val="121212"/>
        </w:rPr>
        <w:t>Credit Losses on Financial Instruments</w:t>
      </w:r>
      <w:r>
        <w:rPr>
          <w:rFonts w:ascii="Times New Roman" w:cs="Times New Roman" w:eastAsia="Times New Roman" w:hAnsi="Times New Roman"/>
          <w:sz w:val="20"/>
          <w:szCs w:val="20"/>
          <w:color w:val="121212"/>
        </w:rPr>
        <w:t>, which has been subsequently amended by ASU 2018-19, ASU 2019-04, ASU 2019-05,</w:t>
      </w:r>
      <w:r>
        <w:rPr>
          <w:rFonts w:ascii="Times New Roman" w:cs="Times New Roman" w:eastAsia="Times New Roman" w:hAnsi="Times New Roman"/>
          <w:sz w:val="20"/>
          <w:szCs w:val="20"/>
          <w:i w:val="1"/>
          <w:iCs w:val="1"/>
          <w:color w:val="121212"/>
        </w:rPr>
        <w:t xml:space="preserve"> </w:t>
      </w:r>
      <w:r>
        <w:rPr>
          <w:rFonts w:ascii="Times New Roman" w:cs="Times New Roman" w:eastAsia="Times New Roman" w:hAnsi="Times New Roman"/>
          <w:sz w:val="20"/>
          <w:szCs w:val="20"/>
          <w:color w:val="121212"/>
        </w:rPr>
        <w:t>ASU 2019-10, ASU 2019-11, ASU 2020-03, and ASU 2022-02 (“ASU 2016-13”). This standard requires that credit losses be recorded using an expected losses model rather than the incurred losses model that was previously used and establishes additional credit risk disclosures associated with financial assets. The amendments in this standard should be applied on a modified retrospective basis to all periods presented. The Company adopted ASU 2016-13 on January 1, 2023 using the modified retrospective approach. The adoption of this standard did not have a material effect on the Company’s financial position, results of operations or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Recently Issued Accounting Pronouncements Not Yet Adopted</w:t>
      </w:r>
    </w:p>
    <w:p>
      <w:pPr>
        <w:spacing w:after="0" w:line="12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121212"/>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120</w:t>
      </w:r>
    </w:p>
    <w:p>
      <w:pPr>
        <w:sectPr>
          <w:pgSz w:w="12240" w:h="15840" w:orient="portrait"/>
          <w:cols w:equalWidth="0" w:num="1">
            <w:col w:w="10440"/>
          </w:cols>
          <w:pgMar w:left="900" w:top="930" w:right="900" w:bottom="175"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121212"/>
        </w:rPr>
        <w:t>3. Reverse Merger with Gemini</w:t>
      </w:r>
    </w:p>
    <w:p>
      <w:pPr>
        <w:spacing w:after="0" w:line="244" w:lineRule="exact"/>
        <w:rPr>
          <w:sz w:val="20"/>
          <w:szCs w:val="20"/>
          <w:color w:val="auto"/>
        </w:rPr>
      </w:pPr>
    </w:p>
    <w:p>
      <w:pPr>
        <w:ind w:right="300" w:firstLine="490"/>
        <w:spacing w:after="0" w:line="246" w:lineRule="auto"/>
        <w:rPr>
          <w:sz w:val="20"/>
          <w:szCs w:val="20"/>
          <w:color w:val="auto"/>
        </w:rPr>
      </w:pPr>
      <w:r>
        <w:rPr>
          <w:rFonts w:ascii="Times New Roman" w:cs="Times New Roman" w:eastAsia="Times New Roman" w:hAnsi="Times New Roman"/>
          <w:sz w:val="20"/>
          <w:szCs w:val="20"/>
          <w:color w:val="121212"/>
        </w:rPr>
        <w:t>As described in Note 1, Private Disc merged with Gemini on December 29, 2022. The merger was accounted for as a reverse recapitalization with Private Disc as the accounting acquirer. The primary pre-combination assets of Gemini were cash and cash equivalents. Under reverse recapitalization accounting, the assets and liabilities of Gemini were recorded at their fair value which approximated book value due to the short-term nature of the accounts. No goodwill or intangible assets were recognized. Consequently, the consolidated financial statements of the Company reflect the operations of Private Disc for accounting purposes, together with a deemed issuance of shares equivalent to the shares held by the former stockholders of Gemini, the legal acquirer, and a recapitalization of the equity of Private Disc, the accounting acquirer.</w:t>
      </w:r>
    </w:p>
    <w:p>
      <w:pPr>
        <w:spacing w:after="0" w:line="200" w:lineRule="exact"/>
        <w:rPr>
          <w:sz w:val="20"/>
          <w:szCs w:val="20"/>
          <w:color w:val="auto"/>
        </w:rPr>
      </w:pPr>
    </w:p>
    <w:p>
      <w:pPr>
        <w:ind w:right="340" w:firstLine="490"/>
        <w:spacing w:after="0" w:line="252" w:lineRule="auto"/>
        <w:rPr>
          <w:sz w:val="20"/>
          <w:szCs w:val="20"/>
          <w:color w:val="auto"/>
        </w:rPr>
      </w:pPr>
      <w:r>
        <w:rPr>
          <w:rFonts w:ascii="Times New Roman" w:cs="Times New Roman" w:eastAsia="Times New Roman" w:hAnsi="Times New Roman"/>
          <w:sz w:val="20"/>
          <w:szCs w:val="20"/>
          <w:color w:val="121212"/>
        </w:rPr>
        <w:t>As part of the reverse recapitalization, the Company acquired $97.4 million of cash and cash equivalents. The Company also obtained prepaids and other assets of $1.8 million and assumed accounts payable and accrued expenses of $7.8 million. Gemini’s development programs had ceased prior to the merger and were deemed to be de minimis in value at the transaction date.</w:t>
      </w:r>
    </w:p>
    <w:p>
      <w:pPr>
        <w:spacing w:after="0" w:line="194" w:lineRule="exact"/>
        <w:rPr>
          <w:sz w:val="20"/>
          <w:szCs w:val="20"/>
          <w:color w:val="auto"/>
        </w:rPr>
      </w:pPr>
    </w:p>
    <w:p>
      <w:pPr>
        <w:ind w:right="300" w:firstLine="490"/>
        <w:spacing w:after="0" w:line="247" w:lineRule="auto"/>
        <w:rPr>
          <w:sz w:val="20"/>
          <w:szCs w:val="20"/>
          <w:color w:val="auto"/>
        </w:rPr>
      </w:pPr>
      <w:r>
        <w:rPr>
          <w:rFonts w:ascii="Times New Roman" w:cs="Times New Roman" w:eastAsia="Times New Roman" w:hAnsi="Times New Roman"/>
          <w:sz w:val="20"/>
          <w:szCs w:val="20"/>
          <w:color w:val="121212"/>
        </w:rPr>
        <w:t>In addition, the Company recognized $0.6 million in share-based compensation expense as a result of the acceleration of vesting of stock options, performance stock units and restricted stock units at the time of merger. This amount was recorded in general and administrative expense in the accompanying consolidated statements of operations and comprehensive loss for the year ended December 31, 2022. The Company also incurred transaction costs of $7.9 million and this amount is recorded in additional paid-in capital in the accompanying consolidated statements of convertible preferred stock and stockholders’ equity (deficit) for the year ended December 31,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4. Fair Value Measurements</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121212"/>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Financial assets and liabilities measured at fair value on a recurring basis are summarized as follows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100" w:type="dxa"/>
            <w:vAlign w:val="bottom"/>
            <w:tcBorders>
              <w:bottom w:val="single" w:sz="8" w:color="121212"/>
            </w:tcBorders>
          </w:tcPr>
          <w:p>
            <w:pPr>
              <w:spacing w:after="0"/>
              <w:rPr>
                <w:sz w:val="17"/>
                <w:szCs w:val="17"/>
                <w:color w:val="auto"/>
              </w:rPr>
            </w:pPr>
          </w:p>
        </w:tc>
        <w:tc>
          <w:tcPr>
            <w:tcW w:w="1480" w:type="dxa"/>
            <w:vAlign w:val="bottom"/>
            <w:tcBorders>
              <w:bottom w:val="single" w:sz="8" w:color="121212"/>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121212"/>
              </w:rPr>
              <w:t>December 31, 2023</w:t>
            </w:r>
          </w:p>
        </w:tc>
        <w:tc>
          <w:tcPr>
            <w:tcW w:w="160" w:type="dxa"/>
            <w:vAlign w:val="bottom"/>
            <w:tcBorders>
              <w:bottom w:val="single" w:sz="8" w:color="121212"/>
            </w:tcBorders>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100" w:type="dxa"/>
            <w:vAlign w:val="bottom"/>
            <w:tcBorders>
              <w:bottom w:val="single" w:sz="8" w:color="121212"/>
            </w:tcBorders>
          </w:tcPr>
          <w:p>
            <w:pPr>
              <w:spacing w:after="0"/>
              <w:rPr>
                <w:sz w:val="17"/>
                <w:szCs w:val="17"/>
                <w:color w:val="auto"/>
              </w:rPr>
            </w:pPr>
          </w:p>
        </w:tc>
      </w:tr>
      <w:tr>
        <w:trPr>
          <w:trHeight w:val="174"/>
        </w:trPr>
        <w:tc>
          <w:tcPr>
            <w:tcW w:w="61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2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366"/>
              <w:spacing w:after="0" w:line="174" w:lineRule="exact"/>
              <w:rPr>
                <w:sz w:val="20"/>
                <w:szCs w:val="20"/>
                <w:color w:val="auto"/>
              </w:rPr>
            </w:pPr>
            <w:r>
              <w:rPr>
                <w:rFonts w:ascii="Times New Roman" w:cs="Times New Roman" w:eastAsia="Times New Roman" w:hAnsi="Times New Roman"/>
                <w:sz w:val="16"/>
                <w:szCs w:val="16"/>
                <w:b w:val="1"/>
                <w:bCs w:val="1"/>
                <w:color w:val="121212"/>
              </w:rPr>
              <w:t>Level 1</w:t>
            </w:r>
          </w:p>
        </w:tc>
        <w:tc>
          <w:tcPr>
            <w:tcW w:w="160" w:type="dxa"/>
            <w:vAlign w:val="bottom"/>
            <w:tcBorders>
              <w:bottom w:val="single" w:sz="8" w:color="E0E0E0"/>
            </w:tcBorders>
          </w:tcPr>
          <w:p>
            <w:pPr>
              <w:spacing w:after="0"/>
              <w:rPr>
                <w:sz w:val="15"/>
                <w:szCs w:val="15"/>
                <w:color w:val="auto"/>
              </w:rPr>
            </w:pPr>
          </w:p>
        </w:tc>
        <w:tc>
          <w:tcPr>
            <w:tcW w:w="22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center"/>
              <w:ind w:right="226"/>
              <w:spacing w:after="0" w:line="174" w:lineRule="exact"/>
              <w:rPr>
                <w:sz w:val="20"/>
                <w:szCs w:val="20"/>
                <w:color w:val="auto"/>
              </w:rPr>
            </w:pPr>
            <w:r>
              <w:rPr>
                <w:rFonts w:ascii="Times New Roman" w:cs="Times New Roman" w:eastAsia="Times New Roman" w:hAnsi="Times New Roman"/>
                <w:sz w:val="16"/>
                <w:szCs w:val="16"/>
                <w:b w:val="1"/>
                <w:bCs w:val="1"/>
                <w:color w:val="121212"/>
              </w:rPr>
              <w:t>Level 2</w:t>
            </w:r>
          </w:p>
        </w:tc>
        <w:tc>
          <w:tcPr>
            <w:tcW w:w="160" w:type="dxa"/>
            <w:vAlign w:val="bottom"/>
            <w:tcBorders>
              <w:bottom w:val="single" w:sz="8" w:color="E0E0E0"/>
            </w:tcBorders>
          </w:tcPr>
          <w:p>
            <w:pPr>
              <w:spacing w:after="0"/>
              <w:rPr>
                <w:sz w:val="15"/>
                <w:szCs w:val="15"/>
                <w:color w:val="auto"/>
              </w:rPr>
            </w:pPr>
          </w:p>
        </w:tc>
        <w:tc>
          <w:tcPr>
            <w:tcW w:w="22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ind w:left="140"/>
              <w:spacing w:after="0" w:line="174" w:lineRule="exact"/>
              <w:rPr>
                <w:sz w:val="20"/>
                <w:szCs w:val="20"/>
                <w:color w:val="auto"/>
              </w:rPr>
            </w:pPr>
            <w:r>
              <w:rPr>
                <w:rFonts w:ascii="Times New Roman" w:cs="Times New Roman" w:eastAsia="Times New Roman" w:hAnsi="Times New Roman"/>
                <w:sz w:val="16"/>
                <w:szCs w:val="16"/>
                <w:b w:val="1"/>
                <w:bCs w:val="1"/>
                <w:color w:val="121212"/>
              </w:rPr>
              <w:t>Level 3</w:t>
            </w:r>
          </w:p>
        </w:tc>
      </w:tr>
      <w:tr>
        <w:trPr>
          <w:trHeight w:val="220"/>
        </w:trPr>
        <w:tc>
          <w:tcPr>
            <w:tcW w:w="61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121212"/>
              </w:rPr>
              <w:t>Assets</w:t>
            </w: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121212"/>
              </w:rPr>
              <w:t>Cash equivalents: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14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121212"/>
              </w:rPr>
              <w:t>Money market funds</w:t>
            </w:r>
          </w:p>
        </w:tc>
        <w:tc>
          <w:tcPr>
            <w:tcW w:w="240" w:type="dxa"/>
            <w:vAlign w:val="bottom"/>
            <w:gridSpan w:val="2"/>
            <w:shd w:val="clear" w:color="auto" w:fill="E0E0E0"/>
          </w:tcPr>
          <w:p>
            <w:pPr>
              <w:jc w:val="right"/>
              <w:ind w:right="55"/>
              <w:spacing w:after="0"/>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shd w:val="clear" w:color="auto" w:fill="E0E0E0"/>
          </w:tcPr>
          <w:p>
            <w:pPr>
              <w:jc w:val="right"/>
              <w:ind w:right="6"/>
              <w:spacing w:after="0"/>
              <w:rPr>
                <w:sz w:val="20"/>
                <w:szCs w:val="20"/>
                <w:color w:val="auto"/>
              </w:rPr>
            </w:pPr>
            <w:r>
              <w:rPr>
                <w:rFonts w:ascii="Times New Roman" w:cs="Times New Roman" w:eastAsia="Times New Roman" w:hAnsi="Times New Roman"/>
                <w:sz w:val="20"/>
                <w:szCs w:val="20"/>
                <w:color w:val="121212"/>
              </w:rPr>
              <w:t>55,001</w:t>
            </w: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121212"/>
              </w:rPr>
              <w:t>$</w:t>
            </w:r>
          </w:p>
        </w:tc>
        <w:tc>
          <w:tcPr>
            <w:tcW w:w="1100" w:type="dxa"/>
            <w:vAlign w:val="bottom"/>
            <w:shd w:val="clear" w:color="auto" w:fill="E0E0E0"/>
          </w:tcPr>
          <w:p>
            <w:pPr>
              <w:jc w:val="right"/>
              <w:ind w:right="6"/>
              <w:spacing w:after="0"/>
              <w:rPr>
                <w:sz w:val="20"/>
                <w:szCs w:val="20"/>
                <w:color w:val="auto"/>
              </w:rPr>
            </w:pPr>
            <w:r>
              <w:rPr>
                <w:rFonts w:ascii="Times New Roman" w:cs="Times New Roman" w:eastAsia="Times New Roman" w:hAnsi="Times New Roman"/>
                <w:sz w:val="20"/>
                <w:szCs w:val="20"/>
                <w:color w:val="121212"/>
              </w:rPr>
              <w:t>—</w:t>
            </w: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121212"/>
              </w:rPr>
              <w:t>$</w:t>
            </w:r>
          </w:p>
        </w:tc>
        <w:tc>
          <w:tcPr>
            <w:tcW w:w="1100" w:type="dxa"/>
            <w:vAlign w:val="bottom"/>
            <w:shd w:val="clear" w:color="auto" w:fill="E0E0E0"/>
          </w:tcPr>
          <w:p>
            <w:pPr>
              <w:ind w:left="800"/>
              <w:spacing w:after="0"/>
              <w:rPr>
                <w:sz w:val="20"/>
                <w:szCs w:val="20"/>
                <w:color w:val="auto"/>
              </w:rPr>
            </w:pPr>
            <w:r>
              <w:rPr>
                <w:rFonts w:ascii="Times New Roman" w:cs="Times New Roman" w:eastAsia="Times New Roman" w:hAnsi="Times New Roman"/>
                <w:sz w:val="20"/>
                <w:szCs w:val="20"/>
                <w:color w:val="121212"/>
              </w:rPr>
              <w:t>—</w:t>
            </w:r>
          </w:p>
        </w:tc>
      </w:tr>
      <w:tr>
        <w:trPr>
          <w:trHeight w:val="230"/>
        </w:trPr>
        <w:tc>
          <w:tcPr>
            <w:tcW w:w="6140" w:type="dxa"/>
            <w:vAlign w:val="bottom"/>
            <w:tcBorders>
              <w:bottom w:val="single" w:sz="8" w:color="E0E0E0"/>
            </w:tcBorders>
          </w:tcPr>
          <w:p>
            <w:pPr>
              <w:ind w:left="100"/>
              <w:spacing w:after="0"/>
              <w:rPr>
                <w:sz w:val="20"/>
                <w:szCs w:val="20"/>
                <w:color w:val="auto"/>
              </w:rPr>
            </w:pPr>
            <w:r>
              <w:rPr>
                <w:rFonts w:ascii="Times New Roman" w:cs="Times New Roman" w:eastAsia="Times New Roman" w:hAnsi="Times New Roman"/>
                <w:sz w:val="20"/>
                <w:szCs w:val="20"/>
                <w:color w:val="121212"/>
              </w:rPr>
              <w:t>U.S. Treasury notes</w:t>
            </w:r>
          </w:p>
        </w:tc>
        <w:tc>
          <w:tcPr>
            <w:tcW w:w="20" w:type="dxa"/>
            <w:vAlign w:val="bottom"/>
            <w:tcBorders>
              <w:bottom w:val="single" w:sz="8" w:color="E0E0E0"/>
            </w:tcBorders>
          </w:tcPr>
          <w:p>
            <w:pPr>
              <w:spacing w:after="0"/>
              <w:rPr>
                <w:sz w:val="19"/>
                <w:szCs w:val="19"/>
                <w:color w:val="auto"/>
              </w:rPr>
            </w:pPr>
          </w:p>
        </w:tc>
        <w:tc>
          <w:tcPr>
            <w:tcW w:w="22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ind w:right="6"/>
              <w:spacing w:after="0"/>
              <w:rPr>
                <w:sz w:val="20"/>
                <w:szCs w:val="20"/>
                <w:color w:val="auto"/>
              </w:rPr>
            </w:pPr>
            <w:r>
              <w:rPr>
                <w:rFonts w:ascii="Times New Roman" w:cs="Times New Roman" w:eastAsia="Times New Roman" w:hAnsi="Times New Roman"/>
                <w:sz w:val="20"/>
                <w:szCs w:val="20"/>
                <w:color w:val="121212"/>
              </w:rPr>
              <w:t>—</w:t>
            </w:r>
          </w:p>
        </w:tc>
        <w:tc>
          <w:tcPr>
            <w:tcW w:w="160" w:type="dxa"/>
            <w:vAlign w:val="bottom"/>
            <w:tcBorders>
              <w:bottom w:val="single" w:sz="8" w:color="E0E0E0"/>
            </w:tcBorders>
          </w:tcPr>
          <w:p>
            <w:pPr>
              <w:spacing w:after="0"/>
              <w:rPr>
                <w:sz w:val="19"/>
                <w:szCs w:val="19"/>
                <w:color w:val="auto"/>
              </w:rPr>
            </w:pPr>
          </w:p>
        </w:tc>
        <w:tc>
          <w:tcPr>
            <w:tcW w:w="22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ind w:right="6"/>
              <w:spacing w:after="0"/>
              <w:rPr>
                <w:sz w:val="20"/>
                <w:szCs w:val="20"/>
                <w:color w:val="auto"/>
              </w:rPr>
            </w:pPr>
            <w:r>
              <w:rPr>
                <w:rFonts w:ascii="Times New Roman" w:cs="Times New Roman" w:eastAsia="Times New Roman" w:hAnsi="Times New Roman"/>
                <w:sz w:val="20"/>
                <w:szCs w:val="20"/>
                <w:color w:val="121212"/>
              </w:rPr>
              <w:t>255,419</w:t>
            </w:r>
          </w:p>
        </w:tc>
        <w:tc>
          <w:tcPr>
            <w:tcW w:w="160" w:type="dxa"/>
            <w:vAlign w:val="bottom"/>
            <w:tcBorders>
              <w:bottom w:val="single" w:sz="8" w:color="E0E0E0"/>
            </w:tcBorders>
          </w:tcPr>
          <w:p>
            <w:pPr>
              <w:spacing w:after="0"/>
              <w:rPr>
                <w:sz w:val="19"/>
                <w:szCs w:val="19"/>
                <w:color w:val="auto"/>
              </w:rPr>
            </w:pPr>
          </w:p>
        </w:tc>
        <w:tc>
          <w:tcPr>
            <w:tcW w:w="22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ind w:left="800"/>
              <w:spacing w:after="0"/>
              <w:rPr>
                <w:sz w:val="20"/>
                <w:szCs w:val="20"/>
                <w:color w:val="auto"/>
              </w:rPr>
            </w:pPr>
            <w:r>
              <w:rPr>
                <w:rFonts w:ascii="Times New Roman" w:cs="Times New Roman" w:eastAsia="Times New Roman" w:hAnsi="Times New Roman"/>
                <w:sz w:val="20"/>
                <w:szCs w:val="20"/>
                <w:color w:val="121212"/>
              </w:rPr>
              <w:t>—</w:t>
            </w:r>
          </w:p>
        </w:tc>
      </w:tr>
      <w:tr>
        <w:trPr>
          <w:trHeight w:val="220"/>
        </w:trPr>
        <w:tc>
          <w:tcPr>
            <w:tcW w:w="614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121212"/>
              </w:rPr>
              <w:t>Total</w:t>
            </w:r>
          </w:p>
        </w:tc>
        <w:tc>
          <w:tcPr>
            <w:tcW w:w="2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jc w:val="right"/>
              <w:ind w:right="55"/>
              <w:spacing w:after="0"/>
              <w:rPr>
                <w:sz w:val="20"/>
                <w:szCs w:val="20"/>
                <w:color w:val="auto"/>
              </w:rPr>
            </w:pPr>
            <w:r>
              <w:rPr>
                <w:rFonts w:ascii="Times New Roman" w:cs="Times New Roman" w:eastAsia="Times New Roman" w:hAnsi="Times New Roman"/>
                <w:sz w:val="17"/>
                <w:szCs w:val="17"/>
                <w:color w:val="121212"/>
                <w:w w:val="70"/>
              </w:rPr>
              <w:t>$</w:t>
            </w:r>
          </w:p>
        </w:tc>
        <w:tc>
          <w:tcPr>
            <w:tcW w:w="1100" w:type="dxa"/>
            <w:vAlign w:val="bottom"/>
            <w:tcBorders>
              <w:bottom w:val="single" w:sz="8" w:color="121212"/>
            </w:tcBorders>
            <w:shd w:val="clear" w:color="auto" w:fill="E0E0E0"/>
          </w:tcPr>
          <w:p>
            <w:pPr>
              <w:jc w:val="right"/>
              <w:ind w:right="6"/>
              <w:spacing w:after="0" w:line="220" w:lineRule="exact"/>
              <w:rPr>
                <w:sz w:val="20"/>
                <w:szCs w:val="20"/>
                <w:color w:val="auto"/>
              </w:rPr>
            </w:pPr>
            <w:r>
              <w:rPr>
                <w:rFonts w:ascii="Times New Roman" w:cs="Times New Roman" w:eastAsia="Times New Roman" w:hAnsi="Times New Roman"/>
                <w:sz w:val="20"/>
                <w:szCs w:val="20"/>
                <w:color w:val="121212"/>
              </w:rPr>
              <w:t>55,001</w:t>
            </w:r>
          </w:p>
        </w:tc>
        <w:tc>
          <w:tcPr>
            <w:tcW w:w="16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shd w:val="clear" w:color="auto" w:fill="E0E0E0"/>
          </w:tcPr>
          <w:p>
            <w:pPr>
              <w:jc w:val="right"/>
              <w:ind w:right="6"/>
              <w:spacing w:after="0" w:line="220" w:lineRule="exact"/>
              <w:rPr>
                <w:sz w:val="20"/>
                <w:szCs w:val="20"/>
                <w:color w:val="auto"/>
              </w:rPr>
            </w:pPr>
            <w:r>
              <w:rPr>
                <w:rFonts w:ascii="Times New Roman" w:cs="Times New Roman" w:eastAsia="Times New Roman" w:hAnsi="Times New Roman"/>
                <w:sz w:val="20"/>
                <w:szCs w:val="20"/>
                <w:color w:val="121212"/>
              </w:rPr>
              <w:t>255,419</w:t>
            </w:r>
          </w:p>
        </w:tc>
        <w:tc>
          <w:tcPr>
            <w:tcW w:w="16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shd w:val="clear" w:color="auto" w:fill="E0E0E0"/>
          </w:tcPr>
          <w:p>
            <w:pPr>
              <w:ind w:left="800"/>
              <w:spacing w:after="0" w:line="220" w:lineRule="exact"/>
              <w:rPr>
                <w:sz w:val="20"/>
                <w:szCs w:val="20"/>
                <w:color w:val="auto"/>
              </w:rPr>
            </w:pPr>
            <w:r>
              <w:rPr>
                <w:rFonts w:ascii="Times New Roman" w:cs="Times New Roman" w:eastAsia="Times New Roman" w:hAnsi="Times New Roman"/>
                <w:sz w:val="20"/>
                <w:szCs w:val="20"/>
                <w:color w:val="121212"/>
              </w:rPr>
              <w:t>—</w:t>
            </w: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r>
        <w:trPr>
          <w:trHeight w:val="519"/>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121212"/>
            </w:tcBorders>
          </w:tcPr>
          <w:p>
            <w:pPr>
              <w:spacing w:after="0"/>
              <w:rPr>
                <w:sz w:val="24"/>
                <w:szCs w:val="24"/>
                <w:color w:val="auto"/>
              </w:rPr>
            </w:pPr>
          </w:p>
        </w:tc>
        <w:tc>
          <w:tcPr>
            <w:tcW w:w="1100" w:type="dxa"/>
            <w:vAlign w:val="bottom"/>
            <w:tcBorders>
              <w:bottom w:val="single" w:sz="8" w:color="121212"/>
            </w:tcBorders>
          </w:tcPr>
          <w:p>
            <w:pPr>
              <w:spacing w:after="0"/>
              <w:rPr>
                <w:sz w:val="24"/>
                <w:szCs w:val="24"/>
                <w:color w:val="auto"/>
              </w:rPr>
            </w:pPr>
          </w:p>
        </w:tc>
        <w:tc>
          <w:tcPr>
            <w:tcW w:w="1480" w:type="dxa"/>
            <w:vAlign w:val="bottom"/>
            <w:tcBorders>
              <w:bottom w:val="single" w:sz="8" w:color="121212"/>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121212"/>
              </w:rPr>
              <w:t>December 31, 2022</w:t>
            </w:r>
          </w:p>
        </w:tc>
        <w:tc>
          <w:tcPr>
            <w:tcW w:w="160" w:type="dxa"/>
            <w:vAlign w:val="bottom"/>
            <w:tcBorders>
              <w:bottom w:val="single" w:sz="8" w:color="121212"/>
            </w:tcBorders>
          </w:tcPr>
          <w:p>
            <w:pPr>
              <w:spacing w:after="0"/>
              <w:rPr>
                <w:sz w:val="24"/>
                <w:szCs w:val="24"/>
                <w:color w:val="auto"/>
              </w:rPr>
            </w:pPr>
          </w:p>
        </w:tc>
        <w:tc>
          <w:tcPr>
            <w:tcW w:w="220" w:type="dxa"/>
            <w:vAlign w:val="bottom"/>
            <w:tcBorders>
              <w:bottom w:val="single" w:sz="8" w:color="121212"/>
            </w:tcBorders>
          </w:tcPr>
          <w:p>
            <w:pPr>
              <w:spacing w:after="0"/>
              <w:rPr>
                <w:sz w:val="24"/>
                <w:szCs w:val="24"/>
                <w:color w:val="auto"/>
              </w:rPr>
            </w:pPr>
          </w:p>
        </w:tc>
        <w:tc>
          <w:tcPr>
            <w:tcW w:w="1100" w:type="dxa"/>
            <w:vAlign w:val="bottom"/>
            <w:tcBorders>
              <w:bottom w:val="single" w:sz="8" w:color="121212"/>
            </w:tcBorders>
          </w:tcPr>
          <w:p>
            <w:pPr>
              <w:spacing w:after="0"/>
              <w:rPr>
                <w:sz w:val="24"/>
                <w:szCs w:val="24"/>
                <w:color w:val="auto"/>
              </w:rPr>
            </w:pPr>
          </w:p>
        </w:tc>
      </w:tr>
      <w:tr>
        <w:trPr>
          <w:trHeight w:val="174"/>
        </w:trPr>
        <w:tc>
          <w:tcPr>
            <w:tcW w:w="61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2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366"/>
              <w:spacing w:after="0" w:line="174" w:lineRule="exact"/>
              <w:rPr>
                <w:sz w:val="20"/>
                <w:szCs w:val="20"/>
                <w:color w:val="auto"/>
              </w:rPr>
            </w:pPr>
            <w:r>
              <w:rPr>
                <w:rFonts w:ascii="Times New Roman" w:cs="Times New Roman" w:eastAsia="Times New Roman" w:hAnsi="Times New Roman"/>
                <w:sz w:val="16"/>
                <w:szCs w:val="16"/>
                <w:b w:val="1"/>
                <w:bCs w:val="1"/>
                <w:color w:val="121212"/>
              </w:rPr>
              <w:t>Level 1</w:t>
            </w:r>
          </w:p>
        </w:tc>
        <w:tc>
          <w:tcPr>
            <w:tcW w:w="160" w:type="dxa"/>
            <w:vAlign w:val="bottom"/>
            <w:tcBorders>
              <w:bottom w:val="single" w:sz="8" w:color="E0E0E0"/>
            </w:tcBorders>
          </w:tcPr>
          <w:p>
            <w:pPr>
              <w:spacing w:after="0"/>
              <w:rPr>
                <w:sz w:val="15"/>
                <w:szCs w:val="15"/>
                <w:color w:val="auto"/>
              </w:rPr>
            </w:pPr>
          </w:p>
        </w:tc>
        <w:tc>
          <w:tcPr>
            <w:tcW w:w="22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center"/>
              <w:ind w:right="226"/>
              <w:spacing w:after="0" w:line="174" w:lineRule="exact"/>
              <w:rPr>
                <w:sz w:val="20"/>
                <w:szCs w:val="20"/>
                <w:color w:val="auto"/>
              </w:rPr>
            </w:pPr>
            <w:r>
              <w:rPr>
                <w:rFonts w:ascii="Times New Roman" w:cs="Times New Roman" w:eastAsia="Times New Roman" w:hAnsi="Times New Roman"/>
                <w:sz w:val="16"/>
                <w:szCs w:val="16"/>
                <w:b w:val="1"/>
                <w:bCs w:val="1"/>
                <w:color w:val="121212"/>
              </w:rPr>
              <w:t>Level 2</w:t>
            </w:r>
          </w:p>
        </w:tc>
        <w:tc>
          <w:tcPr>
            <w:tcW w:w="160" w:type="dxa"/>
            <w:vAlign w:val="bottom"/>
            <w:tcBorders>
              <w:bottom w:val="single" w:sz="8" w:color="E0E0E0"/>
            </w:tcBorders>
          </w:tcPr>
          <w:p>
            <w:pPr>
              <w:spacing w:after="0"/>
              <w:rPr>
                <w:sz w:val="15"/>
                <w:szCs w:val="15"/>
                <w:color w:val="auto"/>
              </w:rPr>
            </w:pPr>
          </w:p>
        </w:tc>
        <w:tc>
          <w:tcPr>
            <w:tcW w:w="22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ind w:left="140"/>
              <w:spacing w:after="0" w:line="174" w:lineRule="exact"/>
              <w:rPr>
                <w:sz w:val="20"/>
                <w:szCs w:val="20"/>
                <w:color w:val="auto"/>
              </w:rPr>
            </w:pPr>
            <w:r>
              <w:rPr>
                <w:rFonts w:ascii="Times New Roman" w:cs="Times New Roman" w:eastAsia="Times New Roman" w:hAnsi="Times New Roman"/>
                <w:sz w:val="16"/>
                <w:szCs w:val="16"/>
                <w:b w:val="1"/>
                <w:bCs w:val="1"/>
                <w:color w:val="121212"/>
              </w:rPr>
              <w:t>Level 3</w:t>
            </w:r>
          </w:p>
        </w:tc>
      </w:tr>
      <w:tr>
        <w:trPr>
          <w:trHeight w:val="220"/>
        </w:trPr>
        <w:tc>
          <w:tcPr>
            <w:tcW w:w="61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121212"/>
              </w:rPr>
              <w:t>Assets</w:t>
            </w:r>
          </w:p>
        </w:tc>
        <w:tc>
          <w:tcPr>
            <w:tcW w:w="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121212"/>
              </w:rPr>
              <w:t>Cash equivalents: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14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121212"/>
              </w:rPr>
              <w:t>Money market funds</w:t>
            </w:r>
          </w:p>
        </w:tc>
        <w:tc>
          <w:tcPr>
            <w:tcW w:w="240" w:type="dxa"/>
            <w:vAlign w:val="bottom"/>
            <w:gridSpan w:val="2"/>
            <w:shd w:val="clear" w:color="auto" w:fill="E0E0E0"/>
          </w:tcPr>
          <w:p>
            <w:pPr>
              <w:jc w:val="right"/>
              <w:ind w:right="55"/>
              <w:spacing w:after="0"/>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shd w:val="clear" w:color="auto" w:fill="E0E0E0"/>
          </w:tcPr>
          <w:p>
            <w:pPr>
              <w:jc w:val="right"/>
              <w:ind w:right="6"/>
              <w:spacing w:after="0"/>
              <w:rPr>
                <w:sz w:val="20"/>
                <w:szCs w:val="20"/>
                <w:color w:val="auto"/>
              </w:rPr>
            </w:pPr>
            <w:r>
              <w:rPr>
                <w:rFonts w:ascii="Times New Roman" w:cs="Times New Roman" w:eastAsia="Times New Roman" w:hAnsi="Times New Roman"/>
                <w:sz w:val="20"/>
                <w:szCs w:val="20"/>
                <w:color w:val="121212"/>
              </w:rPr>
              <w:t>40,783</w:t>
            </w: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121212"/>
              </w:rPr>
              <w:t>$</w:t>
            </w:r>
          </w:p>
        </w:tc>
        <w:tc>
          <w:tcPr>
            <w:tcW w:w="1100" w:type="dxa"/>
            <w:vAlign w:val="bottom"/>
            <w:shd w:val="clear" w:color="auto" w:fill="E0E0E0"/>
          </w:tcPr>
          <w:p>
            <w:pPr>
              <w:jc w:val="right"/>
              <w:ind w:right="6"/>
              <w:spacing w:after="0"/>
              <w:rPr>
                <w:sz w:val="20"/>
                <w:szCs w:val="20"/>
                <w:color w:val="auto"/>
              </w:rPr>
            </w:pPr>
            <w:r>
              <w:rPr>
                <w:rFonts w:ascii="Times New Roman" w:cs="Times New Roman" w:eastAsia="Times New Roman" w:hAnsi="Times New Roman"/>
                <w:sz w:val="20"/>
                <w:szCs w:val="20"/>
                <w:color w:val="121212"/>
              </w:rPr>
              <w:t>—</w:t>
            </w:r>
          </w:p>
        </w:tc>
        <w:tc>
          <w:tcPr>
            <w:tcW w:w="3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121212"/>
              </w:rPr>
              <w:t>$</w:t>
            </w:r>
          </w:p>
        </w:tc>
        <w:tc>
          <w:tcPr>
            <w:tcW w:w="1100" w:type="dxa"/>
            <w:vAlign w:val="bottom"/>
            <w:shd w:val="clear" w:color="auto" w:fill="E0E0E0"/>
          </w:tcPr>
          <w:p>
            <w:pPr>
              <w:ind w:left="800"/>
              <w:spacing w:after="0"/>
              <w:rPr>
                <w:sz w:val="20"/>
                <w:szCs w:val="20"/>
                <w:color w:val="auto"/>
              </w:rPr>
            </w:pPr>
            <w:r>
              <w:rPr>
                <w:rFonts w:ascii="Times New Roman" w:cs="Times New Roman" w:eastAsia="Times New Roman" w:hAnsi="Times New Roman"/>
                <w:sz w:val="20"/>
                <w:szCs w:val="20"/>
                <w:color w:val="121212"/>
              </w:rPr>
              <w:t>—</w:t>
            </w:r>
          </w:p>
        </w:tc>
      </w:tr>
      <w:tr>
        <w:trPr>
          <w:trHeight w:val="220"/>
        </w:trPr>
        <w:tc>
          <w:tcPr>
            <w:tcW w:w="614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121212"/>
              </w:rPr>
              <w:t>Total</w:t>
            </w:r>
          </w:p>
        </w:tc>
        <w:tc>
          <w:tcPr>
            <w:tcW w:w="20" w:type="dxa"/>
            <w:vAlign w:val="bottom"/>
          </w:tcPr>
          <w:p>
            <w:pPr>
              <w:spacing w:after="0"/>
              <w:rPr>
                <w:sz w:val="19"/>
                <w:szCs w:val="19"/>
                <w:color w:val="auto"/>
              </w:rPr>
            </w:pPr>
          </w:p>
        </w:tc>
        <w:tc>
          <w:tcPr>
            <w:tcW w:w="220" w:type="dxa"/>
            <w:vAlign w:val="bottom"/>
            <w:tcBorders>
              <w:top w:val="single" w:sz="8" w:color="121212"/>
              <w:bottom w:val="single" w:sz="8" w:color="121212"/>
            </w:tcBorders>
          </w:tcPr>
          <w:p>
            <w:pPr>
              <w:jc w:val="right"/>
              <w:ind w:right="55"/>
              <w:spacing w:after="0"/>
              <w:rPr>
                <w:sz w:val="20"/>
                <w:szCs w:val="20"/>
                <w:color w:val="auto"/>
              </w:rPr>
            </w:pPr>
            <w:r>
              <w:rPr>
                <w:rFonts w:ascii="Times New Roman" w:cs="Times New Roman" w:eastAsia="Times New Roman" w:hAnsi="Times New Roman"/>
                <w:sz w:val="17"/>
                <w:szCs w:val="17"/>
                <w:color w:val="121212"/>
                <w:w w:val="70"/>
              </w:rPr>
              <w:t>$</w:t>
            </w:r>
          </w:p>
        </w:tc>
        <w:tc>
          <w:tcPr>
            <w:tcW w:w="1100" w:type="dxa"/>
            <w:vAlign w:val="bottom"/>
            <w:tcBorders>
              <w:top w:val="single" w:sz="8" w:color="121212"/>
              <w:bottom w:val="single" w:sz="8" w:color="121212"/>
            </w:tcBorders>
          </w:tcPr>
          <w:p>
            <w:pPr>
              <w:jc w:val="right"/>
              <w:ind w:right="6"/>
              <w:spacing w:after="0" w:line="220" w:lineRule="exact"/>
              <w:rPr>
                <w:sz w:val="20"/>
                <w:szCs w:val="20"/>
                <w:color w:val="auto"/>
              </w:rPr>
            </w:pPr>
            <w:r>
              <w:rPr>
                <w:rFonts w:ascii="Times New Roman" w:cs="Times New Roman" w:eastAsia="Times New Roman" w:hAnsi="Times New Roman"/>
                <w:sz w:val="20"/>
                <w:szCs w:val="20"/>
                <w:color w:val="121212"/>
              </w:rPr>
              <w:t>40,783</w:t>
            </w:r>
          </w:p>
        </w:tc>
        <w:tc>
          <w:tcPr>
            <w:tcW w:w="160" w:type="dxa"/>
            <w:vAlign w:val="bottom"/>
          </w:tcPr>
          <w:p>
            <w:pPr>
              <w:spacing w:after="0"/>
              <w:rPr>
                <w:sz w:val="19"/>
                <w:szCs w:val="19"/>
                <w:color w:val="auto"/>
              </w:rPr>
            </w:pPr>
          </w:p>
        </w:tc>
        <w:tc>
          <w:tcPr>
            <w:tcW w:w="220" w:type="dxa"/>
            <w:vAlign w:val="bottom"/>
            <w:tcBorders>
              <w:top w:val="single" w:sz="8" w:color="121212"/>
              <w:bottom w:val="single" w:sz="8" w:color="121212"/>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top w:val="single" w:sz="8" w:color="121212"/>
              <w:bottom w:val="single" w:sz="8" w:color="121212"/>
            </w:tcBorders>
          </w:tcPr>
          <w:p>
            <w:pPr>
              <w:jc w:val="right"/>
              <w:ind w:right="6"/>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160" w:type="dxa"/>
            <w:vAlign w:val="bottom"/>
          </w:tcPr>
          <w:p>
            <w:pPr>
              <w:spacing w:after="0"/>
              <w:rPr>
                <w:sz w:val="19"/>
                <w:szCs w:val="19"/>
                <w:color w:val="auto"/>
              </w:rPr>
            </w:pPr>
          </w:p>
        </w:tc>
        <w:tc>
          <w:tcPr>
            <w:tcW w:w="220" w:type="dxa"/>
            <w:vAlign w:val="bottom"/>
            <w:tcBorders>
              <w:top w:val="single" w:sz="8" w:color="121212"/>
              <w:bottom w:val="single" w:sz="8" w:color="121212"/>
            </w:tcBorders>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top w:val="single" w:sz="8" w:color="121212"/>
              <w:bottom w:val="single" w:sz="8" w:color="121212"/>
            </w:tcBorders>
          </w:tcPr>
          <w:p>
            <w:pPr>
              <w:ind w:left="800"/>
              <w:spacing w:after="0" w:line="220" w:lineRule="exact"/>
              <w:rPr>
                <w:sz w:val="20"/>
                <w:szCs w:val="20"/>
                <w:color w:val="auto"/>
              </w:rPr>
            </w:pPr>
            <w:r>
              <w:rPr>
                <w:rFonts w:ascii="Times New Roman" w:cs="Times New Roman" w:eastAsia="Times New Roman" w:hAnsi="Times New Roman"/>
                <w:sz w:val="20"/>
                <w:szCs w:val="20"/>
                <w:color w:val="121212"/>
              </w:rPr>
              <w:t>—</w:t>
            </w:r>
          </w:p>
        </w:tc>
      </w:tr>
      <w:tr>
        <w:trPr>
          <w:trHeight w:val="20"/>
        </w:trPr>
        <w:tc>
          <w:tcPr>
            <w:tcW w:w="6140" w:type="dxa"/>
            <w:vAlign w:val="bottom"/>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221" w:lineRule="exact"/>
        <w:rPr>
          <w:sz w:val="20"/>
          <w:szCs w:val="20"/>
          <w:color w:val="auto"/>
        </w:rPr>
      </w:pPr>
    </w:p>
    <w:p>
      <w:pPr>
        <w:ind w:right="240" w:firstLine="490"/>
        <w:spacing w:after="0" w:line="245" w:lineRule="auto"/>
        <w:rPr>
          <w:sz w:val="20"/>
          <w:szCs w:val="20"/>
          <w:color w:val="auto"/>
        </w:rPr>
      </w:pPr>
      <w:r>
        <w:rPr>
          <w:rFonts w:ascii="Times New Roman" w:cs="Times New Roman" w:eastAsia="Times New Roman" w:hAnsi="Times New Roman"/>
          <w:sz w:val="20"/>
          <w:szCs w:val="20"/>
          <w:color w:val="121212"/>
        </w:rPr>
        <w:t>The fair value of the Company’s Level 1 cash equivalents, consisting of money market funds, is based on quoted market prices in active markets with no valuation adjustment. The fair value of the Company’s Level 2 cash equivalents, consisting of U.S. Treasury notes with original maturities of three months or less, is determined through third-party pricing services. The amortized cost of the U.S. treasury notes approximates the fair value. There have been no impairments of the Company’s assets measured and carried at fair value during the twelve months ended December 31, 2023 and 2022. In addition, there were no changes in valuation techniques or transfers between Level 1, Level 2 and Level 3 financial assets during the twelve months ended December 31, 2023 and 2022. The Company did not have any non-recurring fair value measurements on any assets or liabilities during the twelve months ended December 31, 2023 and 2022.</w:t>
      </w:r>
    </w:p>
    <w:p>
      <w:pPr>
        <w:spacing w:after="0" w:line="202"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21212"/>
        </w:rPr>
        <w:t>In May 2021, the Company entered into a license agreement (the “Roche Agreement”) with F. Hoffmann-La Roche Ltd. and Hoffmann-La Roche Inc. (together, “Roche”) pursuant to which Roche granted the Company an exclusive and sublicensable worldwide license under certain patent rights and know-how to develop, manufacture and commercialize certain compounds (the “Compounds”) as further described in Note 8. The Company recognized a liability in connection with the Roche Agreement which included an obligation to issue a variable number of shares of the Company’s common stock to Roche for no additional</w:t>
      </w:r>
    </w:p>
    <w:p>
      <w:pPr>
        <w:sectPr>
          <w:pgSz w:w="12240" w:h="15840" w:orient="portrait"/>
          <w:cols w:equalWidth="0" w:num="1">
            <w:col w:w="10440"/>
          </w:cols>
          <w:pgMar w:left="900" w:top="926" w:right="900" w:bottom="175"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121</w:t>
      </w:r>
    </w:p>
    <w:p>
      <w:pPr>
        <w:sectPr>
          <w:pgSz w:w="12240" w:h="15840" w:orient="portrait"/>
          <w:cols w:equalWidth="0" w:num="1">
            <w:col w:w="10440"/>
          </w:cols>
          <w:pgMar w:left="900" w:top="926" w:right="900" w:bottom="175" w:gutter="0" w:footer="0" w:header="0"/>
          <w:type w:val="continuous"/>
        </w:sectPr>
      </w:pPr>
    </w:p>
    <w:bookmarkStart w:id="131" w:name="page132"/>
    <w:bookmarkEnd w:id="131"/>
    <w:p>
      <w:pPr>
        <w:ind w:right="20"/>
        <w:spacing w:after="0" w:line="243" w:lineRule="auto"/>
        <w:rPr>
          <w:sz w:val="20"/>
          <w:szCs w:val="20"/>
          <w:color w:val="auto"/>
        </w:rPr>
      </w:pPr>
      <w:r>
        <w:rPr>
          <w:rFonts w:ascii="Times New Roman" w:cs="Times New Roman" w:eastAsia="Times New Roman" w:hAnsi="Times New Roman"/>
          <w:sz w:val="20"/>
          <w:szCs w:val="20"/>
          <w:color w:val="121212"/>
        </w:rPr>
        <w:t>consideration upon the Company’s completion of an initial public offering or certain merger transactions (a “Roche Qualified Transaction”). Prior to settlement in Q4 2022, the fair value measurement of the derivative liability was classified as Level 3 under the fair value hierarchy as it was valued using certain unobservable inputs. These inputs included: (1) the Company’s estimated shares outstanding and fair value per share upon completion of a Roche Qualified Transaction and (2) the probability of the Company completing a Roche Qualified Transaction.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The Company remeasured the derivative liability based on the stock price of its publicly-traded common stock on December 29, 2022. The change in the fair value for the period was recorded in the consolidated statements of operations and comprehensive loss in the change in fair value of derivative liability. Upon completion of the merger, the Company issued 482,313 shares of common stock to Roche, thereby settling the derivative liability, with the fair value of the common stock at the time of issuance recorded as additional paid-in capital.</w:t>
      </w:r>
    </w:p>
    <w:p>
      <w:pPr>
        <w:spacing w:after="0" w:line="86"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121212"/>
        </w:rPr>
        <w:t>The following table provides a summary of changes in fair value of the Level 3 liabilities related to the Roche Agreement (in thousands):</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Balance at the beginning of the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-139700</wp:posOffset>
                </wp:positionV>
                <wp:extent cx="5022850" cy="1517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850" cy="151765"/>
                        </a:xfrm>
                        <a:prstGeom prst="rect">
                          <a:avLst/>
                        </a:prstGeom>
                        <a:solidFill>
                          <a:srgbClr val="E0E0E0"/>
                        </a:solidFill>
                      </wps:spPr>
                      <wps:bodyPr/>
                    </wps:wsp>
                  </a:graphicData>
                </a:graphic>
              </wp:anchor>
            </w:drawing>
          </mc:Choice>
          <mc:Fallback>
            <w:pict>
              <v:rect id="Shape 40" o:spid="_x0000_s1065" style="position:absolute;margin-left:-0.2999pt;margin-top:-11pt;width:395.5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Change in fair value of derivative liability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-5080</wp:posOffset>
                </wp:positionV>
                <wp:extent cx="6637655" cy="14541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145415"/>
                        </a:xfrm>
                        <a:prstGeom prst="rect">
                          <a:avLst/>
                        </a:prstGeom>
                        <a:solidFill>
                          <a:srgbClr val="E0E0E0"/>
                        </a:solidFill>
                      </wps:spPr>
                      <wps:bodyPr/>
                    </wps:wsp>
                  </a:graphicData>
                </a:graphic>
              </wp:anchor>
            </w:drawing>
          </mc:Choice>
          <mc:Fallback>
            <w:pict>
              <v:rect id="Shape 41" o:spid="_x0000_s1066" style="position:absolute;margin-left:-0.2999pt;margin-top:-0.3999pt;width:522.6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ind w:right="1200"/>
        <w:spacing w:after="0" w:line="259" w:lineRule="auto"/>
        <w:rPr>
          <w:sz w:val="20"/>
          <w:szCs w:val="20"/>
          <w:color w:val="auto"/>
        </w:rPr>
      </w:pPr>
      <w:r>
        <w:rPr>
          <w:rFonts w:ascii="Times New Roman" w:cs="Times New Roman" w:eastAsia="Times New Roman" w:hAnsi="Times New Roman"/>
          <w:sz w:val="20"/>
          <w:szCs w:val="20"/>
          <w:color w:val="121212"/>
        </w:rPr>
        <w:t>Settlement of derivative liability upon issuance of common stock to Roche Balance at the end of the year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tcPr>
          <w:p>
            <w:pPr>
              <w:jc w:val="center"/>
              <w:ind w:right="329"/>
              <w:spacing w:after="0"/>
              <w:rPr>
                <w:sz w:val="20"/>
                <w:szCs w:val="20"/>
                <w:color w:val="auto"/>
              </w:rPr>
            </w:pPr>
            <w:r>
              <w:rPr>
                <w:rFonts w:ascii="Times New Roman" w:cs="Times New Roman" w:eastAsia="Times New Roman" w:hAnsi="Times New Roman"/>
                <w:sz w:val="16"/>
                <w:szCs w:val="16"/>
                <w:b w:val="1"/>
                <w:bCs w:val="1"/>
                <w:color w:val="121212"/>
                <w:w w:val="99"/>
              </w:rPr>
              <w:t>Year Ended</w:t>
            </w:r>
          </w:p>
        </w:tc>
      </w:tr>
      <w:tr>
        <w:trPr>
          <w:trHeight w:val="203"/>
        </w:trPr>
        <w:tc>
          <w:tcPr>
            <w:tcW w:w="20" w:type="dxa"/>
            <w:vAlign w:val="bottom"/>
          </w:tcPr>
          <w:p>
            <w:pPr>
              <w:spacing w:after="0"/>
              <w:rPr>
                <w:sz w:val="17"/>
                <w:szCs w:val="17"/>
                <w:color w:val="auto"/>
              </w:rPr>
            </w:pPr>
          </w:p>
        </w:tc>
        <w:tc>
          <w:tcPr>
            <w:tcW w:w="320" w:type="dxa"/>
            <w:vAlign w:val="bottom"/>
            <w:tcBorders>
              <w:bottom w:val="single" w:sz="8" w:color="121212"/>
            </w:tcBorders>
          </w:tcPr>
          <w:p>
            <w:pPr>
              <w:spacing w:after="0"/>
              <w:rPr>
                <w:sz w:val="17"/>
                <w:szCs w:val="17"/>
                <w:color w:val="auto"/>
              </w:rPr>
            </w:pPr>
          </w:p>
        </w:tc>
        <w:tc>
          <w:tcPr>
            <w:tcW w:w="2200" w:type="dxa"/>
            <w:vAlign w:val="bottom"/>
            <w:tcBorders>
              <w:bottom w:val="single" w:sz="8" w:color="121212"/>
            </w:tcBorders>
          </w:tcPr>
          <w:p>
            <w:pPr>
              <w:jc w:val="center"/>
              <w:ind w:right="349"/>
              <w:spacing w:after="0"/>
              <w:rPr>
                <w:sz w:val="20"/>
                <w:szCs w:val="20"/>
                <w:color w:val="auto"/>
              </w:rPr>
            </w:pPr>
            <w:r>
              <w:rPr>
                <w:rFonts w:ascii="Times New Roman" w:cs="Times New Roman" w:eastAsia="Times New Roman" w:hAnsi="Times New Roman"/>
                <w:sz w:val="16"/>
                <w:szCs w:val="16"/>
                <w:b w:val="1"/>
                <w:bCs w:val="1"/>
                <w:color w:val="121212"/>
                <w:w w:val="98"/>
              </w:rPr>
              <w:t>December 31, 2022</w:t>
            </w:r>
          </w:p>
        </w:tc>
      </w:tr>
      <w:tr>
        <w:trPr>
          <w:trHeight w:val="174"/>
        </w:trPr>
        <w:tc>
          <w:tcPr>
            <w:tcW w:w="20" w:type="dxa"/>
            <w:vAlign w:val="bottom"/>
          </w:tcPr>
          <w:p>
            <w:pPr>
              <w:spacing w:after="0"/>
              <w:rPr>
                <w:sz w:val="15"/>
                <w:szCs w:val="15"/>
                <w:color w:val="auto"/>
              </w:rPr>
            </w:pPr>
          </w:p>
        </w:tc>
        <w:tc>
          <w:tcPr>
            <w:tcW w:w="320" w:type="dxa"/>
            <w:vAlign w:val="bottom"/>
            <w:tcBorders>
              <w:bottom w:val="single" w:sz="8" w:color="121212"/>
            </w:tcBorders>
          </w:tcPr>
          <w:p>
            <w:pPr>
              <w:spacing w:after="0"/>
              <w:rPr>
                <w:sz w:val="15"/>
                <w:szCs w:val="15"/>
                <w:color w:val="auto"/>
              </w:rPr>
            </w:pPr>
          </w:p>
        </w:tc>
        <w:tc>
          <w:tcPr>
            <w:tcW w:w="2200" w:type="dxa"/>
            <w:vAlign w:val="bottom"/>
            <w:tcBorders>
              <w:bottom w:val="single" w:sz="8" w:color="121212"/>
            </w:tcBorders>
          </w:tcPr>
          <w:p>
            <w:pPr>
              <w:jc w:val="center"/>
              <w:ind w:right="349"/>
              <w:spacing w:after="0" w:line="174" w:lineRule="exact"/>
              <w:rPr>
                <w:sz w:val="20"/>
                <w:szCs w:val="20"/>
                <w:color w:val="auto"/>
              </w:rPr>
            </w:pPr>
            <w:r>
              <w:rPr>
                <w:rFonts w:ascii="Times New Roman" w:cs="Times New Roman" w:eastAsia="Times New Roman" w:hAnsi="Times New Roman"/>
                <w:sz w:val="16"/>
                <w:szCs w:val="16"/>
                <w:b w:val="1"/>
                <w:bCs w:val="1"/>
                <w:color w:val="121212"/>
              </w:rPr>
              <w:t>Derivative liability</w:t>
            </w:r>
          </w:p>
        </w:tc>
      </w:tr>
      <w:tr>
        <w:trPr>
          <w:trHeight w:val="220"/>
        </w:trPr>
        <w:tc>
          <w:tcPr>
            <w:tcW w:w="20" w:type="dxa"/>
            <w:vAlign w:val="bottom"/>
          </w:tcPr>
          <w:p>
            <w:pPr>
              <w:spacing w:after="0"/>
              <w:rPr>
                <w:sz w:val="19"/>
                <w:szCs w:val="19"/>
                <w:color w:val="auto"/>
              </w:rPr>
            </w:pPr>
          </w:p>
        </w:tc>
        <w:tc>
          <w:tcPr>
            <w:tcW w:w="320" w:type="dxa"/>
            <w:vAlign w:val="bottom"/>
            <w:shd w:val="clear" w:color="auto" w:fill="E0E0E0"/>
          </w:tcPr>
          <w:p>
            <w:pPr>
              <w:jc w:val="right"/>
              <w:ind w:right="155"/>
              <w:spacing w:after="0"/>
              <w:rPr>
                <w:sz w:val="20"/>
                <w:szCs w:val="20"/>
                <w:color w:val="auto"/>
              </w:rPr>
            </w:pPr>
            <w:r>
              <w:rPr>
                <w:rFonts w:ascii="Times New Roman" w:cs="Times New Roman" w:eastAsia="Times New Roman" w:hAnsi="Times New Roman"/>
                <w:sz w:val="17"/>
                <w:szCs w:val="17"/>
                <w:color w:val="121212"/>
                <w:w w:val="70"/>
              </w:rPr>
              <w:t>$</w:t>
            </w:r>
          </w:p>
        </w:tc>
        <w:tc>
          <w:tcPr>
            <w:tcW w:w="2200" w:type="dxa"/>
            <w:vAlign w:val="bottom"/>
            <w:shd w:val="clear" w:color="auto" w:fill="E0E0E0"/>
          </w:tcPr>
          <w:p>
            <w:pPr>
              <w:jc w:val="right"/>
              <w:ind w:right="9"/>
              <w:spacing w:after="0" w:line="220" w:lineRule="exact"/>
              <w:rPr>
                <w:sz w:val="20"/>
                <w:szCs w:val="20"/>
                <w:color w:val="auto"/>
              </w:rPr>
            </w:pPr>
            <w:r>
              <w:rPr>
                <w:rFonts w:ascii="Times New Roman" w:cs="Times New Roman" w:eastAsia="Times New Roman" w:hAnsi="Times New Roman"/>
                <w:sz w:val="20"/>
                <w:szCs w:val="20"/>
                <w:color w:val="121212"/>
              </w:rPr>
              <w:t>6,450</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jc w:val="right"/>
              <w:ind w:right="9"/>
              <w:spacing w:after="0" w:line="210" w:lineRule="exact"/>
              <w:rPr>
                <w:sz w:val="20"/>
                <w:szCs w:val="20"/>
                <w:color w:val="auto"/>
              </w:rPr>
            </w:pPr>
            <w:r>
              <w:rPr>
                <w:rFonts w:ascii="Times New Roman" w:cs="Times New Roman" w:eastAsia="Times New Roman" w:hAnsi="Times New Roman"/>
                <w:sz w:val="20"/>
                <w:szCs w:val="20"/>
                <w:color w:val="121212"/>
              </w:rPr>
              <w:t>61</w:t>
            </w:r>
          </w:p>
        </w:tc>
      </w:tr>
      <w:tr>
        <w:trPr>
          <w:trHeight w:val="249"/>
        </w:trPr>
        <w:tc>
          <w:tcPr>
            <w:tcW w:w="20" w:type="dxa"/>
            <w:vAlign w:val="bottom"/>
          </w:tcPr>
          <w:p>
            <w:pPr>
              <w:spacing w:after="0"/>
              <w:rPr>
                <w:sz w:val="21"/>
                <w:szCs w:val="21"/>
                <w:color w:val="auto"/>
              </w:rPr>
            </w:pPr>
          </w:p>
        </w:tc>
        <w:tc>
          <w:tcPr>
            <w:tcW w:w="320" w:type="dxa"/>
            <w:vAlign w:val="bottom"/>
            <w:tcBorders>
              <w:bottom w:val="single" w:sz="8" w:color="121212"/>
            </w:tcBorders>
          </w:tcPr>
          <w:p>
            <w:pPr>
              <w:spacing w:after="0"/>
              <w:rPr>
                <w:sz w:val="21"/>
                <w:szCs w:val="21"/>
                <w:color w:val="auto"/>
              </w:rPr>
            </w:pPr>
          </w:p>
        </w:tc>
        <w:tc>
          <w:tcPr>
            <w:tcW w:w="220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(6,511)</w:t>
            </w:r>
          </w:p>
        </w:tc>
      </w:tr>
      <w:tr>
        <w:trPr>
          <w:trHeight w:val="220"/>
        </w:trPr>
        <w:tc>
          <w:tcPr>
            <w:tcW w:w="20" w:type="dxa"/>
            <w:vAlign w:val="bottom"/>
          </w:tcPr>
          <w:p>
            <w:pPr>
              <w:spacing w:after="0"/>
              <w:rPr>
                <w:sz w:val="19"/>
                <w:szCs w:val="19"/>
                <w:color w:val="auto"/>
              </w:rPr>
            </w:pPr>
          </w:p>
        </w:tc>
        <w:tc>
          <w:tcPr>
            <w:tcW w:w="320" w:type="dxa"/>
            <w:vAlign w:val="bottom"/>
            <w:tcBorders>
              <w:bottom w:val="single" w:sz="8" w:color="121212"/>
            </w:tcBorders>
          </w:tcPr>
          <w:p>
            <w:pPr>
              <w:jc w:val="right"/>
              <w:ind w:right="155"/>
              <w:spacing w:after="0"/>
              <w:rPr>
                <w:sz w:val="20"/>
                <w:szCs w:val="20"/>
                <w:color w:val="auto"/>
              </w:rPr>
            </w:pPr>
            <w:r>
              <w:rPr>
                <w:rFonts w:ascii="Times New Roman" w:cs="Times New Roman" w:eastAsia="Times New Roman" w:hAnsi="Times New Roman"/>
                <w:sz w:val="17"/>
                <w:szCs w:val="17"/>
                <w:color w:val="121212"/>
                <w:w w:val="70"/>
              </w:rPr>
              <w:t>$</w:t>
            </w:r>
          </w:p>
        </w:tc>
        <w:tc>
          <w:tcPr>
            <w:tcW w:w="2200" w:type="dxa"/>
            <w:vAlign w:val="bottom"/>
            <w:tcBorders>
              <w:bottom w:val="single" w:sz="8" w:color="121212"/>
            </w:tcBorders>
          </w:tcPr>
          <w:p>
            <w:pPr>
              <w:jc w:val="right"/>
              <w:ind w:right="9"/>
              <w:spacing w:after="0" w:line="220" w:lineRule="exact"/>
              <w:rPr>
                <w:sz w:val="20"/>
                <w:szCs w:val="20"/>
                <w:color w:val="auto"/>
              </w:rPr>
            </w:pPr>
            <w:r>
              <w:rPr>
                <w:rFonts w:ascii="Times New Roman" w:cs="Times New Roman" w:eastAsia="Times New Roman" w:hAnsi="Times New Roman"/>
                <w:sz w:val="20"/>
                <w:szCs w:val="20"/>
                <w:color w:val="121212"/>
              </w:rPr>
              <w:t>—</w:t>
            </w:r>
          </w:p>
        </w:tc>
      </w:tr>
      <w:tr>
        <w:trPr>
          <w:trHeight w:val="20"/>
        </w:trPr>
        <w:tc>
          <w:tcPr>
            <w:tcW w:w="20" w:type="dxa"/>
            <w:vAlign w:val="bottom"/>
            <w:tcBorders>
              <w:bottom w:val="single" w:sz="8" w:color="121212"/>
            </w:tcBorders>
          </w:tcPr>
          <w:p>
            <w:pPr>
              <w:spacing w:after="0" w:line="20" w:lineRule="exact"/>
              <w:rPr>
                <w:sz w:val="1"/>
                <w:szCs w:val="1"/>
                <w:color w:val="auto"/>
              </w:rPr>
            </w:pPr>
          </w:p>
        </w:tc>
        <w:tc>
          <w:tcPr>
            <w:tcW w:w="320" w:type="dxa"/>
            <w:vAlign w:val="bottom"/>
            <w:tcBorders>
              <w:bottom w:val="single" w:sz="8" w:color="121212"/>
            </w:tcBorders>
          </w:tcPr>
          <w:p>
            <w:pPr>
              <w:spacing w:after="0" w:line="20" w:lineRule="exact"/>
              <w:rPr>
                <w:sz w:val="1"/>
                <w:szCs w:val="1"/>
                <w:color w:val="auto"/>
              </w:rPr>
            </w:pPr>
          </w:p>
        </w:tc>
        <w:tc>
          <w:tcPr>
            <w:tcW w:w="2200" w:type="dxa"/>
            <w:vAlign w:val="bottom"/>
            <w:tcBorders>
              <w:bottom w:val="single" w:sz="8" w:color="121212"/>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7180" w:space="720"/>
            <w:col w:w="2540"/>
          </w:cols>
          <w:pgMar w:left="900" w:top="930" w:right="900" w:bottom="175" w:gutter="0" w:footer="0" w:header="0"/>
          <w:type w:val="continuous"/>
        </w:sectPr>
      </w:pPr>
    </w:p>
    <w:p>
      <w:pPr>
        <w:spacing w:after="0" w:line="2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As described in Note 1, in connection with the merger, the stockholders of Gemini at the Effective Time received a CVR to receive consideration from the Company upon its receipt of certain proceeds, resulting from a disposition of Gemini’s pre-merger assets within one year after the closing of the merger, calculated in accordance with the CVR Agreement. The disposition period ended December 29, 2023 and no dispositions of Gemini's pre-merger assets were made during the disposition period. Therefore, there were no CVR payments made to the holders and there will not be any future CVR payments to the holders. The fair value of the CVR liability was zero and de minimis as of December 31, 2023 and 2022, respectively. The fair value of the CVR liability was determined based on significant inputs not observable in the market, which represents a Level 3 measurement within the fair value hierarchy. The Company used a discounted cash flow approach to value the CVR liability. As inputs into the valuation, the Company considered the probabilities of success of certain potential payments, the amount of the payments, and a discount rate of 13.2% determined using an implied credit spread adjusted based on companies with similar credit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5. Cash, Cash Equivalents and Restricted Cash</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Cash, cash equivalents and restricted cash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121212"/>
            </w:tcBorders>
          </w:tcPr>
          <w:p>
            <w:pPr>
              <w:spacing w:after="0"/>
              <w:rPr>
                <w:sz w:val="17"/>
                <w:szCs w:val="17"/>
                <w:color w:val="auto"/>
              </w:rPr>
            </w:pPr>
          </w:p>
        </w:tc>
        <w:tc>
          <w:tcPr>
            <w:tcW w:w="1380" w:type="dxa"/>
            <w:vAlign w:val="bottom"/>
            <w:tcBorders>
              <w:bottom w:val="single" w:sz="8" w:color="121212"/>
            </w:tcBorders>
          </w:tcPr>
          <w:p>
            <w:pPr>
              <w:jc w:val="center"/>
              <w:ind w:right="187"/>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80" w:type="dxa"/>
            <w:vAlign w:val="bottom"/>
            <w:tcBorders>
              <w:bottom w:val="single" w:sz="8" w:color="121212"/>
            </w:tcBorders>
          </w:tcPr>
          <w:p>
            <w:pPr>
              <w:spacing w:after="0"/>
              <w:rPr>
                <w:sz w:val="17"/>
                <w:szCs w:val="17"/>
                <w:color w:val="auto"/>
              </w:rPr>
            </w:pPr>
          </w:p>
        </w:tc>
        <w:tc>
          <w:tcPr>
            <w:tcW w:w="180" w:type="dxa"/>
            <w:vAlign w:val="bottom"/>
            <w:tcBorders>
              <w:bottom w:val="single" w:sz="8" w:color="121212"/>
            </w:tcBorders>
          </w:tcPr>
          <w:p>
            <w:pPr>
              <w:spacing w:after="0"/>
              <w:rPr>
                <w:sz w:val="17"/>
                <w:szCs w:val="17"/>
                <w:color w:val="auto"/>
              </w:rPr>
            </w:pPr>
          </w:p>
        </w:tc>
        <w:tc>
          <w:tcPr>
            <w:tcW w:w="1360" w:type="dxa"/>
            <w:vAlign w:val="bottom"/>
            <w:tcBorders>
              <w:bottom w:val="single" w:sz="8" w:color="121212"/>
            </w:tcBorders>
          </w:tcPr>
          <w:p>
            <w:pPr>
              <w:jc w:val="center"/>
              <w:ind w:right="187"/>
              <w:spacing w:after="0"/>
              <w:rPr>
                <w:sz w:val="20"/>
                <w:szCs w:val="20"/>
                <w:color w:val="auto"/>
              </w:rPr>
            </w:pPr>
            <w:r>
              <w:rPr>
                <w:rFonts w:ascii="Times New Roman" w:cs="Times New Roman" w:eastAsia="Times New Roman" w:hAnsi="Times New Roman"/>
                <w:sz w:val="16"/>
                <w:szCs w:val="16"/>
                <w:b w:val="1"/>
                <w:bCs w:val="1"/>
                <w:color w:val="121212"/>
                <w:w w:val="98"/>
              </w:rPr>
              <w:t>December 31,</w:t>
            </w:r>
          </w:p>
        </w:tc>
        <w:tc>
          <w:tcPr>
            <w:tcW w:w="0" w:type="dxa"/>
            <w:vAlign w:val="bottom"/>
          </w:tcPr>
          <w:p>
            <w:pPr>
              <w:spacing w:after="0"/>
              <w:rPr>
                <w:sz w:val="1"/>
                <w:szCs w:val="1"/>
                <w:color w:val="auto"/>
              </w:rPr>
            </w:pPr>
          </w:p>
        </w:tc>
      </w:tr>
      <w:tr>
        <w:trPr>
          <w:trHeight w:val="174"/>
        </w:trPr>
        <w:tc>
          <w:tcPr>
            <w:tcW w:w="71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121212"/>
            </w:tcBorders>
          </w:tcPr>
          <w:p>
            <w:pPr>
              <w:spacing w:after="0"/>
              <w:rPr>
                <w:sz w:val="15"/>
                <w:szCs w:val="15"/>
                <w:color w:val="auto"/>
              </w:rPr>
            </w:pPr>
          </w:p>
        </w:tc>
        <w:tc>
          <w:tcPr>
            <w:tcW w:w="1380" w:type="dxa"/>
            <w:vAlign w:val="bottom"/>
            <w:tcBorders>
              <w:bottom w:val="single" w:sz="8" w:color="121212"/>
            </w:tcBorders>
          </w:tcPr>
          <w:p>
            <w:pPr>
              <w:jc w:val="center"/>
              <w:ind w:right="167"/>
              <w:spacing w:after="0" w:line="174" w:lineRule="exact"/>
              <w:rPr>
                <w:sz w:val="20"/>
                <w:szCs w:val="20"/>
                <w:color w:val="auto"/>
              </w:rPr>
            </w:pPr>
            <w:r>
              <w:rPr>
                <w:rFonts w:ascii="Times New Roman" w:cs="Times New Roman" w:eastAsia="Times New Roman" w:hAnsi="Times New Roman"/>
                <w:sz w:val="16"/>
                <w:szCs w:val="16"/>
                <w:b w:val="1"/>
                <w:bCs w:val="1"/>
                <w:color w:val="121212"/>
                <w:w w:val="99"/>
              </w:rPr>
              <w:t>2023</w:t>
            </w:r>
          </w:p>
        </w:tc>
        <w:tc>
          <w:tcPr>
            <w:tcW w:w="180" w:type="dxa"/>
            <w:vAlign w:val="bottom"/>
            <w:tcBorders>
              <w:bottom w:val="single" w:sz="8" w:color="E0E0E0"/>
            </w:tcBorders>
          </w:tcPr>
          <w:p>
            <w:pPr>
              <w:spacing w:after="0"/>
              <w:rPr>
                <w:sz w:val="15"/>
                <w:szCs w:val="15"/>
                <w:color w:val="auto"/>
              </w:rPr>
            </w:pPr>
          </w:p>
        </w:tc>
        <w:tc>
          <w:tcPr>
            <w:tcW w:w="180" w:type="dxa"/>
            <w:vAlign w:val="bottom"/>
            <w:tcBorders>
              <w:bottom w:val="single" w:sz="8" w:color="121212"/>
            </w:tcBorders>
          </w:tcPr>
          <w:p>
            <w:pPr>
              <w:spacing w:after="0"/>
              <w:rPr>
                <w:sz w:val="15"/>
                <w:szCs w:val="15"/>
                <w:color w:val="auto"/>
              </w:rPr>
            </w:pPr>
          </w:p>
        </w:tc>
        <w:tc>
          <w:tcPr>
            <w:tcW w:w="1360" w:type="dxa"/>
            <w:vAlign w:val="bottom"/>
            <w:tcBorders>
              <w:bottom w:val="single" w:sz="8" w:color="121212"/>
            </w:tcBorders>
          </w:tcPr>
          <w:p>
            <w:pPr>
              <w:jc w:val="center"/>
              <w:ind w:right="187"/>
              <w:spacing w:after="0" w:line="174" w:lineRule="exact"/>
              <w:rPr>
                <w:sz w:val="20"/>
                <w:szCs w:val="20"/>
                <w:color w:val="auto"/>
              </w:rPr>
            </w:pPr>
            <w:r>
              <w:rPr>
                <w:rFonts w:ascii="Times New Roman" w:cs="Times New Roman" w:eastAsia="Times New Roman" w:hAnsi="Times New Roman"/>
                <w:sz w:val="16"/>
                <w:szCs w:val="16"/>
                <w:b w:val="1"/>
                <w:bCs w:val="1"/>
                <w:color w:val="121212"/>
                <w:w w:val="99"/>
              </w:rPr>
              <w:t>2022</w:t>
            </w:r>
          </w:p>
        </w:tc>
        <w:tc>
          <w:tcPr>
            <w:tcW w:w="0" w:type="dxa"/>
            <w:vAlign w:val="bottom"/>
          </w:tcPr>
          <w:p>
            <w:pPr>
              <w:spacing w:after="0"/>
              <w:rPr>
                <w:sz w:val="1"/>
                <w:szCs w:val="1"/>
                <w:color w:val="auto"/>
              </w:rPr>
            </w:pPr>
          </w:p>
        </w:tc>
      </w:tr>
      <w:tr>
        <w:trPr>
          <w:trHeight w:val="220"/>
        </w:trPr>
        <w:tc>
          <w:tcPr>
            <w:tcW w:w="71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Cash and cash equivalents</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380" w:type="dxa"/>
            <w:vAlign w:val="bottom"/>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360,382</w:t>
            </w:r>
          </w:p>
        </w:tc>
        <w:tc>
          <w:tcPr>
            <w:tcW w:w="18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60" w:type="dxa"/>
            <w:vAlign w:val="bottom"/>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194,611</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121212"/>
              </w:rPr>
              <w:t>Restricted cash</w:t>
            </w:r>
          </w:p>
        </w:tc>
        <w:tc>
          <w:tcPr>
            <w:tcW w:w="20" w:type="dxa"/>
            <w:vAlign w:val="bottom"/>
            <w:tcBorders>
              <w:bottom w:val="single" w:sz="8" w:color="E0E0E0"/>
            </w:tcBorders>
          </w:tcPr>
          <w:p>
            <w:pPr>
              <w:spacing w:after="0"/>
              <w:rPr>
                <w:sz w:val="19"/>
                <w:szCs w:val="19"/>
                <w:color w:val="auto"/>
              </w:rPr>
            </w:pPr>
          </w:p>
        </w:tc>
        <w:tc>
          <w:tcPr>
            <w:tcW w:w="160" w:type="dxa"/>
            <w:vAlign w:val="bottom"/>
            <w:tcBorders>
              <w:bottom w:val="single" w:sz="8" w:color="121212"/>
            </w:tcBorders>
          </w:tcPr>
          <w:p>
            <w:pPr>
              <w:spacing w:after="0"/>
              <w:rPr>
                <w:sz w:val="19"/>
                <w:szCs w:val="19"/>
                <w:color w:val="auto"/>
              </w:rPr>
            </w:pPr>
          </w:p>
        </w:tc>
        <w:tc>
          <w:tcPr>
            <w:tcW w:w="1380" w:type="dxa"/>
            <w:vAlign w:val="bottom"/>
            <w:tcBorders>
              <w:bottom w:val="single" w:sz="8" w:color="121212"/>
            </w:tcBorders>
          </w:tcPr>
          <w:p>
            <w:pPr>
              <w:jc w:val="right"/>
              <w:ind w:right="7"/>
              <w:spacing w:after="0"/>
              <w:rPr>
                <w:sz w:val="20"/>
                <w:szCs w:val="20"/>
                <w:color w:val="auto"/>
              </w:rPr>
            </w:pPr>
            <w:r>
              <w:rPr>
                <w:rFonts w:ascii="Times New Roman" w:cs="Times New Roman" w:eastAsia="Times New Roman" w:hAnsi="Times New Roman"/>
                <w:sz w:val="20"/>
                <w:szCs w:val="20"/>
                <w:color w:val="121212"/>
              </w:rPr>
              <w:t>234</w:t>
            </w:r>
          </w:p>
        </w:tc>
        <w:tc>
          <w:tcPr>
            <w:tcW w:w="180" w:type="dxa"/>
            <w:vAlign w:val="bottom"/>
            <w:tcBorders>
              <w:bottom w:val="single" w:sz="8" w:color="E0E0E0"/>
            </w:tcBorders>
          </w:tcPr>
          <w:p>
            <w:pPr>
              <w:spacing w:after="0"/>
              <w:rPr>
                <w:sz w:val="19"/>
                <w:szCs w:val="19"/>
                <w:color w:val="auto"/>
              </w:rPr>
            </w:pPr>
          </w:p>
        </w:tc>
        <w:tc>
          <w:tcPr>
            <w:tcW w:w="180" w:type="dxa"/>
            <w:vAlign w:val="bottom"/>
            <w:tcBorders>
              <w:bottom w:val="single" w:sz="8" w:color="121212"/>
            </w:tcBorders>
          </w:tcPr>
          <w:p>
            <w:pPr>
              <w:spacing w:after="0"/>
              <w:rPr>
                <w:sz w:val="19"/>
                <w:szCs w:val="19"/>
                <w:color w:val="auto"/>
              </w:rPr>
            </w:pPr>
          </w:p>
        </w:tc>
        <w:tc>
          <w:tcPr>
            <w:tcW w:w="1360" w:type="dxa"/>
            <w:vAlign w:val="bottom"/>
            <w:tcBorders>
              <w:bottom w:val="single" w:sz="8" w:color="121212"/>
            </w:tcBorders>
          </w:tcPr>
          <w:p>
            <w:pPr>
              <w:jc w:val="right"/>
              <w:ind w:right="7"/>
              <w:spacing w:after="0"/>
              <w:rPr>
                <w:sz w:val="20"/>
                <w:szCs w:val="20"/>
                <w:color w:val="auto"/>
              </w:rPr>
            </w:pPr>
            <w:r>
              <w:rPr>
                <w:rFonts w:ascii="Times New Roman" w:cs="Times New Roman" w:eastAsia="Times New Roman" w:hAnsi="Times New Roman"/>
                <w:sz w:val="20"/>
                <w:szCs w:val="20"/>
                <w:color w:val="121212"/>
              </w:rPr>
              <w:t>177</w:t>
            </w:r>
          </w:p>
        </w:tc>
        <w:tc>
          <w:tcPr>
            <w:tcW w:w="0" w:type="dxa"/>
            <w:vAlign w:val="bottom"/>
          </w:tcPr>
          <w:p>
            <w:pPr>
              <w:spacing w:after="0"/>
              <w:rPr>
                <w:sz w:val="1"/>
                <w:szCs w:val="1"/>
                <w:color w:val="auto"/>
              </w:rPr>
            </w:pPr>
          </w:p>
        </w:tc>
      </w:tr>
      <w:tr>
        <w:trPr>
          <w:trHeight w:val="201"/>
        </w:trPr>
        <w:tc>
          <w:tcPr>
            <w:tcW w:w="716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20"/>
                <w:szCs w:val="20"/>
                <w:color w:val="121212"/>
              </w:rPr>
              <w:t>Total cash, cash equivalents and restricted cash as shown on the</w:t>
            </w:r>
          </w:p>
        </w:tc>
        <w:tc>
          <w:tcPr>
            <w:tcW w:w="20" w:type="dxa"/>
            <w:vAlign w:val="bottom"/>
            <w:shd w:val="clear" w:color="auto" w:fill="E0E0E0"/>
          </w:tcPr>
          <w:p>
            <w:pPr>
              <w:spacing w:after="0"/>
              <w:rPr>
                <w:sz w:val="17"/>
                <w:szCs w:val="17"/>
                <w:color w:val="auto"/>
              </w:rPr>
            </w:pPr>
          </w:p>
        </w:tc>
        <w:tc>
          <w:tcPr>
            <w:tcW w:w="1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380" w:type="dxa"/>
            <w:vAlign w:val="bottom"/>
            <w:vMerge w:val="restart"/>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360,616</w:t>
            </w:r>
          </w:p>
        </w:tc>
        <w:tc>
          <w:tcPr>
            <w:tcW w:w="180" w:type="dxa"/>
            <w:vAlign w:val="bottom"/>
            <w:shd w:val="clear" w:color="auto" w:fill="E0E0E0"/>
          </w:tcPr>
          <w:p>
            <w:pPr>
              <w:spacing w:after="0"/>
              <w:rPr>
                <w:sz w:val="17"/>
                <w:szCs w:val="17"/>
                <w:color w:val="auto"/>
              </w:rPr>
            </w:pPr>
          </w:p>
        </w:tc>
        <w:tc>
          <w:tcPr>
            <w:tcW w:w="1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w w:val="79"/>
              </w:rPr>
              <w:t>$</w:t>
            </w:r>
          </w:p>
        </w:tc>
        <w:tc>
          <w:tcPr>
            <w:tcW w:w="1360" w:type="dxa"/>
            <w:vAlign w:val="bottom"/>
            <w:vMerge w:val="restart"/>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194,788</w:t>
            </w:r>
          </w:p>
        </w:tc>
        <w:tc>
          <w:tcPr>
            <w:tcW w:w="0" w:type="dxa"/>
            <w:vAlign w:val="bottom"/>
          </w:tcPr>
          <w:p>
            <w:pPr>
              <w:spacing w:after="0"/>
              <w:rPr>
                <w:sz w:val="1"/>
                <w:szCs w:val="1"/>
                <w:color w:val="auto"/>
              </w:rPr>
            </w:pPr>
          </w:p>
        </w:tc>
      </w:tr>
      <w:tr>
        <w:trPr>
          <w:trHeight w:val="254"/>
        </w:trPr>
        <w:tc>
          <w:tcPr>
            <w:tcW w:w="716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121212"/>
              </w:rPr>
              <w:t>consolidated statements of cash flows</w:t>
            </w:r>
          </w:p>
        </w:tc>
        <w:tc>
          <w:tcPr>
            <w:tcW w:w="20" w:type="dxa"/>
            <w:vAlign w:val="bottom"/>
            <w:shd w:val="clear" w:color="auto" w:fill="E0E0E0"/>
          </w:tcPr>
          <w:p>
            <w:pPr>
              <w:spacing w:after="0"/>
              <w:rPr>
                <w:sz w:val="21"/>
                <w:szCs w:val="21"/>
                <w:color w:val="auto"/>
              </w:rPr>
            </w:pPr>
          </w:p>
        </w:tc>
        <w:tc>
          <w:tcPr>
            <w:tcW w:w="160" w:type="dxa"/>
            <w:vAlign w:val="bottom"/>
            <w:tcBorders>
              <w:bottom w:val="single" w:sz="8" w:color="121212"/>
            </w:tcBorders>
            <w:vMerge w:val="continue"/>
            <w:shd w:val="clear" w:color="auto" w:fill="E0E0E0"/>
          </w:tcPr>
          <w:p>
            <w:pPr>
              <w:spacing w:after="0"/>
              <w:rPr>
                <w:sz w:val="21"/>
                <w:szCs w:val="21"/>
                <w:color w:val="auto"/>
              </w:rPr>
            </w:pPr>
          </w:p>
        </w:tc>
        <w:tc>
          <w:tcPr>
            <w:tcW w:w="1380" w:type="dxa"/>
            <w:vAlign w:val="bottom"/>
            <w:tcBorders>
              <w:bottom w:val="single" w:sz="8" w:color="121212"/>
            </w:tcBorders>
            <w:vMerge w:val="continue"/>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180" w:type="dxa"/>
            <w:vAlign w:val="bottom"/>
            <w:tcBorders>
              <w:bottom w:val="single" w:sz="8" w:color="121212"/>
            </w:tcBorders>
            <w:vMerge w:val="continue"/>
            <w:shd w:val="clear" w:color="auto" w:fill="E0E0E0"/>
          </w:tcPr>
          <w:p>
            <w:pPr>
              <w:spacing w:after="0"/>
              <w:rPr>
                <w:sz w:val="21"/>
                <w:szCs w:val="21"/>
                <w:color w:val="auto"/>
              </w:rPr>
            </w:pPr>
          </w:p>
        </w:tc>
        <w:tc>
          <w:tcPr>
            <w:tcW w:w="1360" w:type="dxa"/>
            <w:vAlign w:val="bottom"/>
            <w:tcBorders>
              <w:bottom w:val="single" w:sz="8" w:color="121212"/>
            </w:tcBorders>
            <w:vMerge w:val="continue"/>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121212"/>
              </w:rPr>
              <w:t>6. Property and Equipment, Net</w:t>
            </w:r>
          </w:p>
        </w:tc>
        <w:tc>
          <w:tcPr>
            <w:tcW w:w="20" w:type="dxa"/>
            <w:vAlign w:val="bottom"/>
          </w:tcPr>
          <w:p>
            <w:pPr>
              <w:spacing w:after="0" w:line="20" w:lineRule="exact"/>
              <w:rPr>
                <w:sz w:val="1"/>
                <w:szCs w:val="1"/>
                <w:color w:val="auto"/>
              </w:rPr>
            </w:pPr>
          </w:p>
        </w:tc>
        <w:tc>
          <w:tcPr>
            <w:tcW w:w="160" w:type="dxa"/>
            <w:vAlign w:val="bottom"/>
            <w:tcBorders>
              <w:bottom w:val="single" w:sz="8" w:color="121212"/>
            </w:tcBorders>
          </w:tcPr>
          <w:p>
            <w:pPr>
              <w:spacing w:after="0" w:line="20" w:lineRule="exact"/>
              <w:rPr>
                <w:sz w:val="1"/>
                <w:szCs w:val="1"/>
                <w:color w:val="auto"/>
              </w:rPr>
            </w:pPr>
          </w:p>
        </w:tc>
        <w:tc>
          <w:tcPr>
            <w:tcW w:w="1380" w:type="dxa"/>
            <w:vAlign w:val="bottom"/>
            <w:tcBorders>
              <w:bottom w:val="single" w:sz="8" w:color="12121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1360" w:type="dxa"/>
            <w:vAlign w:val="bottom"/>
            <w:tcBorders>
              <w:bottom w:val="single" w:sz="8" w:color="12121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7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160" w:type="dxa"/>
            <w:vAlign w:val="bottom"/>
          </w:tcPr>
          <w:p>
            <w:pPr>
              <w:ind w:left="480"/>
              <w:spacing w:after="0"/>
              <w:rPr>
                <w:sz w:val="20"/>
                <w:szCs w:val="20"/>
                <w:color w:val="auto"/>
              </w:rPr>
            </w:pPr>
            <w:r>
              <w:rPr>
                <w:rFonts w:ascii="Times New Roman" w:cs="Times New Roman" w:eastAsia="Times New Roman" w:hAnsi="Times New Roman"/>
                <w:sz w:val="20"/>
                <w:szCs w:val="20"/>
                <w:color w:val="121212"/>
              </w:rPr>
              <w:t>Property and equipment, net consisted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121212"/>
            </w:tcBorders>
          </w:tcPr>
          <w:p>
            <w:pPr>
              <w:spacing w:after="0"/>
              <w:rPr>
                <w:sz w:val="24"/>
                <w:szCs w:val="24"/>
                <w:color w:val="auto"/>
              </w:rPr>
            </w:pPr>
          </w:p>
        </w:tc>
        <w:tc>
          <w:tcPr>
            <w:tcW w:w="1380" w:type="dxa"/>
            <w:vAlign w:val="bottom"/>
            <w:tcBorders>
              <w:bottom w:val="single" w:sz="8" w:color="121212"/>
            </w:tcBorders>
          </w:tcPr>
          <w:p>
            <w:pPr>
              <w:jc w:val="center"/>
              <w:ind w:right="187"/>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80" w:type="dxa"/>
            <w:vAlign w:val="bottom"/>
          </w:tcPr>
          <w:p>
            <w:pPr>
              <w:spacing w:after="0"/>
              <w:rPr>
                <w:sz w:val="24"/>
                <w:szCs w:val="24"/>
                <w:color w:val="auto"/>
              </w:rPr>
            </w:pPr>
          </w:p>
        </w:tc>
        <w:tc>
          <w:tcPr>
            <w:tcW w:w="180" w:type="dxa"/>
            <w:vAlign w:val="bottom"/>
            <w:tcBorders>
              <w:bottom w:val="single" w:sz="8" w:color="121212"/>
            </w:tcBorders>
          </w:tcPr>
          <w:p>
            <w:pPr>
              <w:spacing w:after="0"/>
              <w:rPr>
                <w:sz w:val="24"/>
                <w:szCs w:val="24"/>
                <w:color w:val="auto"/>
              </w:rPr>
            </w:pPr>
          </w:p>
        </w:tc>
        <w:tc>
          <w:tcPr>
            <w:tcW w:w="1360" w:type="dxa"/>
            <w:vAlign w:val="bottom"/>
            <w:tcBorders>
              <w:bottom w:val="single" w:sz="8" w:color="121212"/>
            </w:tcBorders>
          </w:tcPr>
          <w:p>
            <w:pPr>
              <w:jc w:val="center"/>
              <w:ind w:right="187"/>
              <w:spacing w:after="0"/>
              <w:rPr>
                <w:sz w:val="20"/>
                <w:szCs w:val="20"/>
                <w:color w:val="auto"/>
              </w:rPr>
            </w:pPr>
            <w:r>
              <w:rPr>
                <w:rFonts w:ascii="Times New Roman" w:cs="Times New Roman" w:eastAsia="Times New Roman" w:hAnsi="Times New Roman"/>
                <w:sz w:val="16"/>
                <w:szCs w:val="16"/>
                <w:b w:val="1"/>
                <w:bCs w:val="1"/>
                <w:color w:val="121212"/>
                <w:w w:val="98"/>
              </w:rPr>
              <w:t>December 31,</w:t>
            </w:r>
          </w:p>
        </w:tc>
        <w:tc>
          <w:tcPr>
            <w:tcW w:w="0" w:type="dxa"/>
            <w:vAlign w:val="bottom"/>
          </w:tcPr>
          <w:p>
            <w:pPr>
              <w:spacing w:after="0"/>
              <w:rPr>
                <w:sz w:val="1"/>
                <w:szCs w:val="1"/>
                <w:color w:val="auto"/>
              </w:rPr>
            </w:pPr>
          </w:p>
        </w:tc>
      </w:tr>
      <w:tr>
        <w:trPr>
          <w:trHeight w:val="174"/>
        </w:trPr>
        <w:tc>
          <w:tcPr>
            <w:tcW w:w="71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121212"/>
            </w:tcBorders>
          </w:tcPr>
          <w:p>
            <w:pPr>
              <w:spacing w:after="0"/>
              <w:rPr>
                <w:sz w:val="15"/>
                <w:szCs w:val="15"/>
                <w:color w:val="auto"/>
              </w:rPr>
            </w:pPr>
          </w:p>
        </w:tc>
        <w:tc>
          <w:tcPr>
            <w:tcW w:w="1380" w:type="dxa"/>
            <w:vAlign w:val="bottom"/>
            <w:tcBorders>
              <w:bottom w:val="single" w:sz="8" w:color="121212"/>
            </w:tcBorders>
          </w:tcPr>
          <w:p>
            <w:pPr>
              <w:jc w:val="center"/>
              <w:ind w:right="167"/>
              <w:spacing w:after="0" w:line="174" w:lineRule="exact"/>
              <w:rPr>
                <w:sz w:val="20"/>
                <w:szCs w:val="20"/>
                <w:color w:val="auto"/>
              </w:rPr>
            </w:pPr>
            <w:r>
              <w:rPr>
                <w:rFonts w:ascii="Times New Roman" w:cs="Times New Roman" w:eastAsia="Times New Roman" w:hAnsi="Times New Roman"/>
                <w:sz w:val="16"/>
                <w:szCs w:val="16"/>
                <w:b w:val="1"/>
                <w:bCs w:val="1"/>
                <w:color w:val="121212"/>
                <w:w w:val="99"/>
              </w:rPr>
              <w:t>2023</w:t>
            </w:r>
          </w:p>
        </w:tc>
        <w:tc>
          <w:tcPr>
            <w:tcW w:w="180" w:type="dxa"/>
            <w:vAlign w:val="bottom"/>
            <w:tcBorders>
              <w:bottom w:val="single" w:sz="8" w:color="E0E0E0"/>
            </w:tcBorders>
          </w:tcPr>
          <w:p>
            <w:pPr>
              <w:spacing w:after="0"/>
              <w:rPr>
                <w:sz w:val="15"/>
                <w:szCs w:val="15"/>
                <w:color w:val="auto"/>
              </w:rPr>
            </w:pPr>
          </w:p>
        </w:tc>
        <w:tc>
          <w:tcPr>
            <w:tcW w:w="180" w:type="dxa"/>
            <w:vAlign w:val="bottom"/>
            <w:tcBorders>
              <w:bottom w:val="single" w:sz="8" w:color="121212"/>
            </w:tcBorders>
          </w:tcPr>
          <w:p>
            <w:pPr>
              <w:spacing w:after="0"/>
              <w:rPr>
                <w:sz w:val="15"/>
                <w:szCs w:val="15"/>
                <w:color w:val="auto"/>
              </w:rPr>
            </w:pPr>
          </w:p>
        </w:tc>
        <w:tc>
          <w:tcPr>
            <w:tcW w:w="1360" w:type="dxa"/>
            <w:vAlign w:val="bottom"/>
            <w:tcBorders>
              <w:bottom w:val="single" w:sz="8" w:color="121212"/>
            </w:tcBorders>
          </w:tcPr>
          <w:p>
            <w:pPr>
              <w:jc w:val="center"/>
              <w:ind w:right="187"/>
              <w:spacing w:after="0" w:line="174" w:lineRule="exact"/>
              <w:rPr>
                <w:sz w:val="20"/>
                <w:szCs w:val="20"/>
                <w:color w:val="auto"/>
              </w:rPr>
            </w:pPr>
            <w:r>
              <w:rPr>
                <w:rFonts w:ascii="Times New Roman" w:cs="Times New Roman" w:eastAsia="Times New Roman" w:hAnsi="Times New Roman"/>
                <w:sz w:val="16"/>
                <w:szCs w:val="16"/>
                <w:b w:val="1"/>
                <w:bCs w:val="1"/>
                <w:color w:val="121212"/>
                <w:w w:val="99"/>
              </w:rPr>
              <w:t>2022</w:t>
            </w:r>
          </w:p>
        </w:tc>
        <w:tc>
          <w:tcPr>
            <w:tcW w:w="0" w:type="dxa"/>
            <w:vAlign w:val="bottom"/>
          </w:tcPr>
          <w:p>
            <w:pPr>
              <w:spacing w:after="0"/>
              <w:rPr>
                <w:sz w:val="1"/>
                <w:szCs w:val="1"/>
                <w:color w:val="auto"/>
              </w:rPr>
            </w:pPr>
          </w:p>
        </w:tc>
      </w:tr>
      <w:tr>
        <w:trPr>
          <w:trHeight w:val="220"/>
        </w:trPr>
        <w:tc>
          <w:tcPr>
            <w:tcW w:w="71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Computer equipment</w:t>
            </w: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380" w:type="dxa"/>
            <w:vAlign w:val="bottom"/>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231</w:t>
            </w:r>
          </w:p>
        </w:tc>
        <w:tc>
          <w:tcPr>
            <w:tcW w:w="18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60" w:type="dxa"/>
            <w:vAlign w:val="bottom"/>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169</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121212"/>
              </w:rPr>
              <w:t>Furniture and fixtures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184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144</w:t>
            </w:r>
          </w:p>
        </w:tc>
        <w:tc>
          <w:tcPr>
            <w:tcW w:w="0" w:type="dxa"/>
            <w:vAlign w:val="bottom"/>
          </w:tcPr>
          <w:p>
            <w:pPr>
              <w:spacing w:after="0"/>
              <w:rPr>
                <w:sz w:val="1"/>
                <w:szCs w:val="1"/>
                <w:color w:val="auto"/>
              </w:rPr>
            </w:pPr>
          </w:p>
        </w:tc>
      </w:tr>
      <w:tr>
        <w:trPr>
          <w:trHeight w:val="230"/>
        </w:trPr>
        <w:tc>
          <w:tcPr>
            <w:tcW w:w="71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Less: Accumulated depreciation</w:t>
            </w:r>
          </w:p>
        </w:tc>
        <w:tc>
          <w:tcPr>
            <w:tcW w:w="20" w:type="dxa"/>
            <w:vAlign w:val="bottom"/>
            <w:shd w:val="clear" w:color="auto" w:fill="E0E0E0"/>
          </w:tcPr>
          <w:p>
            <w:pPr>
              <w:spacing w:after="0"/>
              <w:rPr>
                <w:sz w:val="19"/>
                <w:szCs w:val="19"/>
                <w:color w:val="auto"/>
              </w:rPr>
            </w:pPr>
          </w:p>
        </w:tc>
        <w:tc>
          <w:tcPr>
            <w:tcW w:w="160" w:type="dxa"/>
            <w:vAlign w:val="bottom"/>
            <w:tcBorders>
              <w:bottom w:val="single" w:sz="8" w:color="121212"/>
            </w:tcBorders>
            <w:shd w:val="clear" w:color="auto" w:fill="E0E0E0"/>
          </w:tcPr>
          <w:p>
            <w:pPr>
              <w:spacing w:after="0"/>
              <w:rPr>
                <w:sz w:val="19"/>
                <w:szCs w:val="19"/>
                <w:color w:val="auto"/>
              </w:rPr>
            </w:pPr>
          </w:p>
        </w:tc>
        <w:tc>
          <w:tcPr>
            <w:tcW w:w="1380" w:type="dxa"/>
            <w:vAlign w:val="bottom"/>
            <w:tcBorders>
              <w:bottom w:val="single" w:sz="8" w:color="121212"/>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(245)</w:t>
            </w:r>
          </w:p>
        </w:tc>
        <w:tc>
          <w:tcPr>
            <w:tcW w:w="180" w:type="dxa"/>
            <w:vAlign w:val="bottom"/>
            <w:shd w:val="clear" w:color="auto" w:fill="E0E0E0"/>
          </w:tcPr>
          <w:p>
            <w:pPr>
              <w:spacing w:after="0"/>
              <w:rPr>
                <w:sz w:val="19"/>
                <w:szCs w:val="19"/>
                <w:color w:val="auto"/>
              </w:rPr>
            </w:pPr>
          </w:p>
        </w:tc>
        <w:tc>
          <w:tcPr>
            <w:tcW w:w="180" w:type="dxa"/>
            <w:vAlign w:val="bottom"/>
            <w:tcBorders>
              <w:bottom w:val="single" w:sz="8" w:color="121212"/>
            </w:tcBorders>
            <w:shd w:val="clear" w:color="auto" w:fill="E0E0E0"/>
          </w:tcPr>
          <w:p>
            <w:pPr>
              <w:spacing w:after="0"/>
              <w:rPr>
                <w:sz w:val="19"/>
                <w:szCs w:val="19"/>
                <w:color w:val="auto"/>
              </w:rPr>
            </w:pPr>
          </w:p>
        </w:tc>
        <w:tc>
          <w:tcPr>
            <w:tcW w:w="1360" w:type="dxa"/>
            <w:vAlign w:val="bottom"/>
            <w:tcBorders>
              <w:bottom w:val="single" w:sz="8" w:color="121212"/>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(145)</w:t>
            </w:r>
          </w:p>
        </w:tc>
        <w:tc>
          <w:tcPr>
            <w:tcW w:w="0" w:type="dxa"/>
            <w:vAlign w:val="bottom"/>
          </w:tcPr>
          <w:p>
            <w:pPr>
              <w:spacing w:after="0"/>
              <w:rPr>
                <w:sz w:val="1"/>
                <w:szCs w:val="1"/>
                <w:color w:val="auto"/>
              </w:rPr>
            </w:pPr>
          </w:p>
        </w:tc>
      </w:tr>
      <w:tr>
        <w:trPr>
          <w:trHeight w:val="220"/>
        </w:trPr>
        <w:tc>
          <w:tcPr>
            <w:tcW w:w="7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21212"/>
              </w:rPr>
              <w:t>Property and equipment, net</w:t>
            </w:r>
          </w:p>
        </w:tc>
        <w:tc>
          <w:tcPr>
            <w:tcW w:w="20" w:type="dxa"/>
            <w:vAlign w:val="bottom"/>
          </w:tcPr>
          <w:p>
            <w:pPr>
              <w:spacing w:after="0"/>
              <w:rPr>
                <w:sz w:val="19"/>
                <w:szCs w:val="19"/>
                <w:color w:val="auto"/>
              </w:rPr>
            </w:pPr>
          </w:p>
        </w:tc>
        <w:tc>
          <w:tcPr>
            <w:tcW w:w="16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17"/>
                <w:szCs w:val="17"/>
                <w:color w:val="121212"/>
                <w:w w:val="70"/>
              </w:rPr>
              <w:t>$</w:t>
            </w:r>
          </w:p>
        </w:tc>
        <w:tc>
          <w:tcPr>
            <w:tcW w:w="1380" w:type="dxa"/>
            <w:vAlign w:val="bottom"/>
            <w:tcBorders>
              <w:bottom w:val="single" w:sz="8" w:color="121212"/>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170</w:t>
            </w:r>
          </w:p>
        </w:tc>
        <w:tc>
          <w:tcPr>
            <w:tcW w:w="180" w:type="dxa"/>
            <w:vAlign w:val="bottom"/>
          </w:tcPr>
          <w:p>
            <w:pPr>
              <w:spacing w:after="0"/>
              <w:rPr>
                <w:sz w:val="19"/>
                <w:szCs w:val="19"/>
                <w:color w:val="auto"/>
              </w:rPr>
            </w:pPr>
          </w:p>
        </w:tc>
        <w:tc>
          <w:tcPr>
            <w:tcW w:w="180" w:type="dxa"/>
            <w:vAlign w:val="bottom"/>
            <w:tcBorders>
              <w:bottom w:val="single" w:sz="8" w:color="121212"/>
            </w:tcBorders>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60" w:type="dxa"/>
            <w:vAlign w:val="bottom"/>
            <w:tcBorders>
              <w:bottom w:val="single" w:sz="8" w:color="121212"/>
            </w:tcBorders>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168</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160" w:type="dxa"/>
            <w:vAlign w:val="bottom"/>
            <w:tcBorders>
              <w:bottom w:val="single" w:sz="8" w:color="121212"/>
            </w:tcBorders>
          </w:tcPr>
          <w:p>
            <w:pPr>
              <w:spacing w:after="0" w:line="20" w:lineRule="exact"/>
              <w:rPr>
                <w:sz w:val="1"/>
                <w:szCs w:val="1"/>
                <w:color w:val="auto"/>
              </w:rPr>
            </w:pPr>
          </w:p>
        </w:tc>
        <w:tc>
          <w:tcPr>
            <w:tcW w:w="1380" w:type="dxa"/>
            <w:vAlign w:val="bottom"/>
            <w:tcBorders>
              <w:bottom w:val="single" w:sz="8" w:color="12121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1360" w:type="dxa"/>
            <w:vAlign w:val="bottom"/>
            <w:tcBorders>
              <w:bottom w:val="single" w:sz="8" w:color="12121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900" w:top="930" w:right="90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122</w:t>
      </w:r>
    </w:p>
    <w:p>
      <w:pPr>
        <w:sectPr>
          <w:pgSz w:w="12240" w:h="15840" w:orient="portrait"/>
          <w:cols w:equalWidth="0" w:num="1">
            <w:col w:w="10440"/>
          </w:cols>
          <w:pgMar w:left="900" w:top="930" w:right="900" w:bottom="175"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121212"/>
        </w:rPr>
        <w:t>7. Accrued Expenses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Accrued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0" w:type="dxa"/>
            <w:vAlign w:val="bottom"/>
            <w:tcBorders>
              <w:bottom w:val="single" w:sz="8" w:color="121212"/>
            </w:tcBorders>
          </w:tcPr>
          <w:p>
            <w:pPr>
              <w:spacing w:after="0"/>
              <w:rPr>
                <w:sz w:val="17"/>
                <w:szCs w:val="17"/>
                <w:color w:val="auto"/>
              </w:rPr>
            </w:pPr>
          </w:p>
        </w:tc>
        <w:tc>
          <w:tcPr>
            <w:tcW w:w="1380" w:type="dxa"/>
            <w:vAlign w:val="bottom"/>
            <w:tcBorders>
              <w:bottom w:val="single" w:sz="8" w:color="121212"/>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80" w:type="dxa"/>
            <w:vAlign w:val="bottom"/>
          </w:tcPr>
          <w:p>
            <w:pPr>
              <w:spacing w:after="0"/>
              <w:rPr>
                <w:sz w:val="17"/>
                <w:szCs w:val="17"/>
                <w:color w:val="auto"/>
              </w:rPr>
            </w:pPr>
          </w:p>
        </w:tc>
        <w:tc>
          <w:tcPr>
            <w:tcW w:w="180" w:type="dxa"/>
            <w:vAlign w:val="bottom"/>
            <w:tcBorders>
              <w:bottom w:val="single" w:sz="8" w:color="121212"/>
            </w:tcBorders>
          </w:tcPr>
          <w:p>
            <w:pPr>
              <w:spacing w:after="0"/>
              <w:rPr>
                <w:sz w:val="17"/>
                <w:szCs w:val="17"/>
                <w:color w:val="auto"/>
              </w:rPr>
            </w:pPr>
          </w:p>
        </w:tc>
        <w:tc>
          <w:tcPr>
            <w:tcW w:w="1360" w:type="dxa"/>
            <w:vAlign w:val="bottom"/>
            <w:tcBorders>
              <w:bottom w:val="single" w:sz="8" w:color="121212"/>
            </w:tcBorders>
          </w:tcPr>
          <w:p>
            <w:pPr>
              <w:jc w:val="right"/>
              <w:ind w:right="266"/>
              <w:spacing w:after="0"/>
              <w:rPr>
                <w:sz w:val="20"/>
                <w:szCs w:val="20"/>
                <w:color w:val="auto"/>
              </w:rPr>
            </w:pPr>
            <w:r>
              <w:rPr>
                <w:rFonts w:ascii="Times New Roman" w:cs="Times New Roman" w:eastAsia="Times New Roman" w:hAnsi="Times New Roman"/>
                <w:sz w:val="16"/>
                <w:szCs w:val="16"/>
                <w:b w:val="1"/>
                <w:bCs w:val="1"/>
                <w:color w:val="121212"/>
              </w:rPr>
              <w:t>December 31,</w:t>
            </w:r>
          </w:p>
        </w:tc>
      </w:tr>
      <w:tr>
        <w:trPr>
          <w:trHeight w:val="174"/>
        </w:trPr>
        <w:tc>
          <w:tcPr>
            <w:tcW w:w="5020" w:type="dxa"/>
            <w:vAlign w:val="bottom"/>
            <w:tcBorders>
              <w:bottom w:val="single" w:sz="8" w:color="E0E0E0"/>
            </w:tcBorders>
          </w:tcPr>
          <w:p>
            <w:pPr>
              <w:spacing w:after="0"/>
              <w:rPr>
                <w:sz w:val="15"/>
                <w:szCs w:val="15"/>
                <w:color w:val="auto"/>
              </w:rPr>
            </w:pPr>
          </w:p>
        </w:tc>
        <w:tc>
          <w:tcPr>
            <w:tcW w:w="2140" w:type="dxa"/>
            <w:vAlign w:val="bottom"/>
            <w:tcBorders>
              <w:bottom w:val="single" w:sz="8" w:color="E0E0E0"/>
            </w:tcBorders>
          </w:tcPr>
          <w:p>
            <w:pPr>
              <w:spacing w:after="0"/>
              <w:rPr>
                <w:sz w:val="15"/>
                <w:szCs w:val="15"/>
                <w:color w:val="auto"/>
              </w:rPr>
            </w:pPr>
          </w:p>
        </w:tc>
        <w:tc>
          <w:tcPr>
            <w:tcW w:w="180" w:type="dxa"/>
            <w:vAlign w:val="bottom"/>
            <w:tcBorders>
              <w:bottom w:val="single" w:sz="8" w:color="121212"/>
            </w:tcBorders>
          </w:tcPr>
          <w:p>
            <w:pPr>
              <w:spacing w:after="0"/>
              <w:rPr>
                <w:sz w:val="15"/>
                <w:szCs w:val="15"/>
                <w:color w:val="auto"/>
              </w:rPr>
            </w:pPr>
          </w:p>
        </w:tc>
        <w:tc>
          <w:tcPr>
            <w:tcW w:w="1380" w:type="dxa"/>
            <w:vAlign w:val="bottom"/>
            <w:tcBorders>
              <w:bottom w:val="single" w:sz="8" w:color="121212"/>
            </w:tcBorders>
          </w:tcPr>
          <w:p>
            <w:pPr>
              <w:jc w:val="right"/>
              <w:ind w:right="566"/>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80" w:type="dxa"/>
            <w:vAlign w:val="bottom"/>
            <w:tcBorders>
              <w:bottom w:val="single" w:sz="8" w:color="E0E0E0"/>
            </w:tcBorders>
          </w:tcPr>
          <w:p>
            <w:pPr>
              <w:spacing w:after="0"/>
              <w:rPr>
                <w:sz w:val="15"/>
                <w:szCs w:val="15"/>
                <w:color w:val="auto"/>
              </w:rPr>
            </w:pPr>
          </w:p>
        </w:tc>
        <w:tc>
          <w:tcPr>
            <w:tcW w:w="180" w:type="dxa"/>
            <w:vAlign w:val="bottom"/>
            <w:tcBorders>
              <w:bottom w:val="single" w:sz="8" w:color="121212"/>
            </w:tcBorders>
          </w:tcPr>
          <w:p>
            <w:pPr>
              <w:spacing w:after="0"/>
              <w:rPr>
                <w:sz w:val="15"/>
                <w:szCs w:val="15"/>
                <w:color w:val="auto"/>
              </w:rPr>
            </w:pPr>
          </w:p>
        </w:tc>
        <w:tc>
          <w:tcPr>
            <w:tcW w:w="1360" w:type="dxa"/>
            <w:vAlign w:val="bottom"/>
            <w:tcBorders>
              <w:bottom w:val="single" w:sz="8" w:color="121212"/>
            </w:tcBorders>
          </w:tcPr>
          <w:p>
            <w:pPr>
              <w:jc w:val="right"/>
              <w:ind w:right="566"/>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50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Accrued employee-related expenses</w:t>
            </w:r>
          </w:p>
        </w:tc>
        <w:tc>
          <w:tcPr>
            <w:tcW w:w="214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80" w:type="dxa"/>
            <w:vAlign w:val="bottom"/>
            <w:shd w:val="clear" w:color="auto" w:fill="E0E0E0"/>
          </w:tcPr>
          <w:p>
            <w:pPr>
              <w:jc w:val="right"/>
              <w:ind w:right="6"/>
              <w:spacing w:after="0" w:line="220" w:lineRule="exact"/>
              <w:rPr>
                <w:sz w:val="20"/>
                <w:szCs w:val="20"/>
                <w:color w:val="auto"/>
              </w:rPr>
            </w:pPr>
            <w:r>
              <w:rPr>
                <w:rFonts w:ascii="Times New Roman" w:cs="Times New Roman" w:eastAsia="Times New Roman" w:hAnsi="Times New Roman"/>
                <w:sz w:val="20"/>
                <w:szCs w:val="20"/>
                <w:color w:val="121212"/>
              </w:rPr>
              <w:t>5,790</w:t>
            </w:r>
          </w:p>
        </w:tc>
        <w:tc>
          <w:tcPr>
            <w:tcW w:w="180" w:type="dxa"/>
            <w:vAlign w:val="bottom"/>
            <w:shd w:val="clear" w:color="auto" w:fill="E0E0E0"/>
          </w:tcPr>
          <w:p>
            <w:pPr>
              <w:spacing w:after="0"/>
              <w:rPr>
                <w:sz w:val="19"/>
                <w:szCs w:val="19"/>
                <w:color w:val="auto"/>
              </w:rPr>
            </w:pPr>
          </w:p>
        </w:tc>
        <w:tc>
          <w:tcPr>
            <w:tcW w:w="18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60" w:type="dxa"/>
            <w:vAlign w:val="bottom"/>
            <w:shd w:val="clear" w:color="auto" w:fill="E0E0E0"/>
          </w:tcPr>
          <w:p>
            <w:pPr>
              <w:jc w:val="right"/>
              <w:ind w:right="6"/>
              <w:spacing w:after="0" w:line="220" w:lineRule="exact"/>
              <w:rPr>
                <w:sz w:val="20"/>
                <w:szCs w:val="20"/>
                <w:color w:val="auto"/>
              </w:rPr>
            </w:pPr>
            <w:r>
              <w:rPr>
                <w:rFonts w:ascii="Times New Roman" w:cs="Times New Roman" w:eastAsia="Times New Roman" w:hAnsi="Times New Roman"/>
                <w:sz w:val="20"/>
                <w:szCs w:val="20"/>
                <w:color w:val="121212"/>
              </w:rPr>
              <w:t>3,623</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121212"/>
              </w:rPr>
              <w:t>Accrued research and development</w:t>
            </w: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121212"/>
              </w:rPr>
              <w:t>1,986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121212"/>
              </w:rPr>
              <w:t>1,817</w:t>
            </w:r>
          </w:p>
        </w:tc>
      </w:tr>
      <w:tr>
        <w:trPr>
          <w:trHeight w:val="230"/>
        </w:trPr>
        <w:tc>
          <w:tcPr>
            <w:tcW w:w="50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Accrued professional fees</w:t>
            </w:r>
          </w:p>
        </w:tc>
        <w:tc>
          <w:tcPr>
            <w:tcW w:w="21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380" w:type="dxa"/>
            <w:vAlign w:val="bottom"/>
            <w:shd w:val="clear" w:color="auto" w:fill="E0E0E0"/>
          </w:tcPr>
          <w:p>
            <w:pPr>
              <w:jc w:val="right"/>
              <w:ind w:right="6"/>
              <w:spacing w:after="0"/>
              <w:rPr>
                <w:sz w:val="20"/>
                <w:szCs w:val="20"/>
                <w:color w:val="auto"/>
              </w:rPr>
            </w:pPr>
            <w:r>
              <w:rPr>
                <w:rFonts w:ascii="Times New Roman" w:cs="Times New Roman" w:eastAsia="Times New Roman" w:hAnsi="Times New Roman"/>
                <w:sz w:val="20"/>
                <w:szCs w:val="20"/>
                <w:color w:val="121212"/>
              </w:rPr>
              <w:t>317</w:t>
            </w:r>
          </w:p>
        </w:tc>
        <w:tc>
          <w:tcPr>
            <w:tcW w:w="1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360" w:type="dxa"/>
            <w:vAlign w:val="bottom"/>
            <w:shd w:val="clear" w:color="auto" w:fill="E0E0E0"/>
          </w:tcPr>
          <w:p>
            <w:pPr>
              <w:jc w:val="right"/>
              <w:ind w:right="6"/>
              <w:spacing w:after="0"/>
              <w:rPr>
                <w:sz w:val="20"/>
                <w:szCs w:val="20"/>
                <w:color w:val="auto"/>
              </w:rPr>
            </w:pPr>
            <w:r>
              <w:rPr>
                <w:rFonts w:ascii="Times New Roman" w:cs="Times New Roman" w:eastAsia="Times New Roman" w:hAnsi="Times New Roman"/>
                <w:sz w:val="20"/>
                <w:szCs w:val="20"/>
                <w:color w:val="121212"/>
              </w:rPr>
              <w:t>463</w:t>
            </w:r>
          </w:p>
        </w:tc>
      </w:tr>
      <w:tr>
        <w:trPr>
          <w:trHeight w:val="230"/>
        </w:trPr>
        <w:tc>
          <w:tcPr>
            <w:tcW w:w="50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121212"/>
              </w:rPr>
              <w:t>Accrued other</w:t>
            </w:r>
          </w:p>
        </w:tc>
        <w:tc>
          <w:tcPr>
            <w:tcW w:w="2140" w:type="dxa"/>
            <w:vAlign w:val="bottom"/>
            <w:tcBorders>
              <w:bottom w:val="single" w:sz="8" w:color="E0E0E0"/>
            </w:tcBorders>
          </w:tcPr>
          <w:p>
            <w:pPr>
              <w:spacing w:after="0"/>
              <w:rPr>
                <w:sz w:val="19"/>
                <w:szCs w:val="19"/>
                <w:color w:val="auto"/>
              </w:rPr>
            </w:pPr>
          </w:p>
        </w:tc>
        <w:tc>
          <w:tcPr>
            <w:tcW w:w="180" w:type="dxa"/>
            <w:vAlign w:val="bottom"/>
            <w:tcBorders>
              <w:bottom w:val="single" w:sz="8" w:color="121212"/>
            </w:tcBorders>
          </w:tcPr>
          <w:p>
            <w:pPr>
              <w:spacing w:after="0"/>
              <w:rPr>
                <w:sz w:val="19"/>
                <w:szCs w:val="19"/>
                <w:color w:val="auto"/>
              </w:rPr>
            </w:pPr>
          </w:p>
        </w:tc>
        <w:tc>
          <w:tcPr>
            <w:tcW w:w="1380" w:type="dxa"/>
            <w:vAlign w:val="bottom"/>
            <w:tcBorders>
              <w:bottom w:val="single" w:sz="8" w:color="121212"/>
            </w:tcBorders>
          </w:tcPr>
          <w:p>
            <w:pPr>
              <w:jc w:val="right"/>
              <w:ind w:right="6"/>
              <w:spacing w:after="0"/>
              <w:rPr>
                <w:sz w:val="20"/>
                <w:szCs w:val="20"/>
                <w:color w:val="auto"/>
              </w:rPr>
            </w:pPr>
            <w:r>
              <w:rPr>
                <w:rFonts w:ascii="Times New Roman" w:cs="Times New Roman" w:eastAsia="Times New Roman" w:hAnsi="Times New Roman"/>
                <w:sz w:val="20"/>
                <w:szCs w:val="20"/>
                <w:color w:val="121212"/>
              </w:rPr>
              <w:t>52</w:t>
            </w:r>
          </w:p>
        </w:tc>
        <w:tc>
          <w:tcPr>
            <w:tcW w:w="180" w:type="dxa"/>
            <w:vAlign w:val="bottom"/>
            <w:tcBorders>
              <w:bottom w:val="single" w:sz="8" w:color="E0E0E0"/>
            </w:tcBorders>
          </w:tcPr>
          <w:p>
            <w:pPr>
              <w:spacing w:after="0"/>
              <w:rPr>
                <w:sz w:val="19"/>
                <w:szCs w:val="19"/>
                <w:color w:val="auto"/>
              </w:rPr>
            </w:pPr>
          </w:p>
        </w:tc>
        <w:tc>
          <w:tcPr>
            <w:tcW w:w="180" w:type="dxa"/>
            <w:vAlign w:val="bottom"/>
            <w:tcBorders>
              <w:bottom w:val="single" w:sz="8" w:color="121212"/>
            </w:tcBorders>
          </w:tcPr>
          <w:p>
            <w:pPr>
              <w:spacing w:after="0"/>
              <w:rPr>
                <w:sz w:val="19"/>
                <w:szCs w:val="19"/>
                <w:color w:val="auto"/>
              </w:rPr>
            </w:pPr>
          </w:p>
        </w:tc>
        <w:tc>
          <w:tcPr>
            <w:tcW w:w="1360" w:type="dxa"/>
            <w:vAlign w:val="bottom"/>
            <w:tcBorders>
              <w:bottom w:val="single" w:sz="8" w:color="121212"/>
            </w:tcBorders>
          </w:tcPr>
          <w:p>
            <w:pPr>
              <w:jc w:val="right"/>
              <w:ind w:right="6"/>
              <w:spacing w:after="0"/>
              <w:rPr>
                <w:sz w:val="20"/>
                <w:szCs w:val="20"/>
                <w:color w:val="auto"/>
              </w:rPr>
            </w:pPr>
            <w:r>
              <w:rPr>
                <w:rFonts w:ascii="Times New Roman" w:cs="Times New Roman" w:eastAsia="Times New Roman" w:hAnsi="Times New Roman"/>
                <w:sz w:val="20"/>
                <w:szCs w:val="20"/>
                <w:color w:val="121212"/>
              </w:rPr>
              <w:t>206</w:t>
            </w:r>
          </w:p>
        </w:tc>
      </w:tr>
      <w:tr>
        <w:trPr>
          <w:trHeight w:val="220"/>
        </w:trPr>
        <w:tc>
          <w:tcPr>
            <w:tcW w:w="50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Total accrued expenses</w:t>
            </w:r>
          </w:p>
        </w:tc>
        <w:tc>
          <w:tcPr>
            <w:tcW w:w="2140" w:type="dxa"/>
            <w:vAlign w:val="bottom"/>
            <w:shd w:val="clear" w:color="auto" w:fill="E0E0E0"/>
          </w:tcPr>
          <w:p>
            <w:pPr>
              <w:spacing w:after="0"/>
              <w:rPr>
                <w:sz w:val="19"/>
                <w:szCs w:val="19"/>
                <w:color w:val="auto"/>
              </w:rPr>
            </w:pPr>
          </w:p>
        </w:tc>
        <w:tc>
          <w:tcPr>
            <w:tcW w:w="18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80" w:type="dxa"/>
            <w:vAlign w:val="bottom"/>
            <w:tcBorders>
              <w:bottom w:val="single" w:sz="8" w:color="121212"/>
            </w:tcBorders>
            <w:shd w:val="clear" w:color="auto" w:fill="E0E0E0"/>
          </w:tcPr>
          <w:p>
            <w:pPr>
              <w:jc w:val="right"/>
              <w:ind w:right="6"/>
              <w:spacing w:after="0" w:line="220" w:lineRule="exact"/>
              <w:rPr>
                <w:sz w:val="20"/>
                <w:szCs w:val="20"/>
                <w:color w:val="auto"/>
              </w:rPr>
            </w:pPr>
            <w:r>
              <w:rPr>
                <w:rFonts w:ascii="Times New Roman" w:cs="Times New Roman" w:eastAsia="Times New Roman" w:hAnsi="Times New Roman"/>
                <w:sz w:val="20"/>
                <w:szCs w:val="20"/>
                <w:color w:val="121212"/>
              </w:rPr>
              <w:t>8,145</w:t>
            </w:r>
          </w:p>
        </w:tc>
        <w:tc>
          <w:tcPr>
            <w:tcW w:w="180" w:type="dxa"/>
            <w:vAlign w:val="bottom"/>
            <w:shd w:val="clear" w:color="auto" w:fill="E0E0E0"/>
          </w:tcPr>
          <w:p>
            <w:pPr>
              <w:spacing w:after="0"/>
              <w:rPr>
                <w:sz w:val="19"/>
                <w:szCs w:val="19"/>
                <w:color w:val="auto"/>
              </w:rPr>
            </w:pPr>
          </w:p>
        </w:tc>
        <w:tc>
          <w:tcPr>
            <w:tcW w:w="18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60" w:type="dxa"/>
            <w:vAlign w:val="bottom"/>
            <w:tcBorders>
              <w:bottom w:val="single" w:sz="8" w:color="121212"/>
            </w:tcBorders>
            <w:shd w:val="clear" w:color="auto" w:fill="E0E0E0"/>
          </w:tcPr>
          <w:p>
            <w:pPr>
              <w:jc w:val="right"/>
              <w:ind w:right="6"/>
              <w:spacing w:after="0" w:line="220" w:lineRule="exact"/>
              <w:rPr>
                <w:sz w:val="20"/>
                <w:szCs w:val="20"/>
                <w:color w:val="auto"/>
              </w:rPr>
            </w:pPr>
            <w:r>
              <w:rPr>
                <w:rFonts w:ascii="Times New Roman" w:cs="Times New Roman" w:eastAsia="Times New Roman" w:hAnsi="Times New Roman"/>
                <w:sz w:val="20"/>
                <w:szCs w:val="20"/>
                <w:color w:val="121212"/>
              </w:rPr>
              <w:t>6,109</w:t>
            </w:r>
          </w:p>
        </w:tc>
      </w:tr>
      <w:tr>
        <w:trPr>
          <w:trHeight w:val="20"/>
        </w:trPr>
        <w:tc>
          <w:tcPr>
            <w:tcW w:w="5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1380" w:type="dxa"/>
            <w:vAlign w:val="bottom"/>
            <w:tcBorders>
              <w:bottom w:val="single" w:sz="8" w:color="12121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1360" w:type="dxa"/>
            <w:vAlign w:val="bottom"/>
            <w:tcBorders>
              <w:bottom w:val="single" w:sz="8" w:color="121212"/>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8. Development and License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License Agreement and Master Service Agreement with Aurigene Discoveries Technology Limited (“Aurigene”)</w:t>
      </w:r>
    </w:p>
    <w:p>
      <w:pPr>
        <w:spacing w:after="0" w:line="120"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In February 2018, the Company entered into a license agreement with Aurigene, pursuant to which Aurigene granted the Company an exclusive worldwide license, with the right to grant sublicenses, to certain Aurigene intellectual property. Concurrent with the execution of the Aurigene license agreement, the parties entered into a master services agreement, which provided for Aurigene to provide future development services to the Company on a full-time equivalent cost basis and consumable costs incurred basis. The Company terminated the master service agreement effective in March 2023.</w:t>
      </w:r>
    </w:p>
    <w:p>
      <w:pPr>
        <w:spacing w:after="0" w:line="77"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Pursuant to the license agreement, the Company agreed to pay an upfront fee of $0.1 million and annual maintenance fees up to $0.2 million for the licensed intellectual property. The Company may also be obligated to make future milestone payments of up to $7.1 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p>
    <w:p>
      <w:pPr>
        <w:spacing w:after="0" w:line="80"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121212"/>
        </w:rPr>
        <w:t>During the twelve months ended December 31, 2023 and 2022, the Company recorded research and development expense of $0.3 million and $0.8 million, respectively, related to its arrangements with Aurigene.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License and Stock Purchase Agreement with AbbVie Deutschland GmbH &amp; Co. KG (“AbbVie”)</w:t>
      </w:r>
    </w:p>
    <w:p>
      <w:pPr>
        <w:spacing w:after="0" w:line="12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121212"/>
        </w:rPr>
        <w:t>In September 2019, Private Disc entered into an agreement with AbbVie, pursuant to which AbbVie granted Private Disc an exclusive license, with the right to grant sublicenses, to certain AbbVie intellectual property.</w:t>
      </w:r>
    </w:p>
    <w:p>
      <w:pPr>
        <w:spacing w:after="0" w:line="49"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21212"/>
        </w:rPr>
        <w:t>Under this agreement, Private Disc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December 31, 2023, none of the milestones had been achieved.</w:t>
      </w:r>
    </w:p>
    <w:p>
      <w:pPr>
        <w:spacing w:after="0" w:line="7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121212"/>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License Agreement with Roche</w:t>
      </w:r>
    </w:p>
    <w:p>
      <w:pPr>
        <w:spacing w:after="0" w:line="12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121212"/>
        </w:rPr>
        <w:t>In connection with the Roche Agreement, the Company paid Roche an upfront, non-refundable exclusivity payment of $0.5 million in March 2021. Upon execution of the Roche Agreement in May 2021, the Company paid Roche an additional upfront, non-refundable payment of $4.0 million.</w:t>
      </w:r>
    </w:p>
    <w:p>
      <w:pPr>
        <w:spacing w:after="0" w:line="68" w:lineRule="exact"/>
        <w:rPr>
          <w:sz w:val="20"/>
          <w:szCs w:val="20"/>
          <w:color w:val="auto"/>
        </w:rPr>
      </w:pPr>
    </w:p>
    <w:p>
      <w:pPr>
        <w:jc w:val="both"/>
        <w:ind w:firstLine="490"/>
        <w:spacing w:after="0" w:line="247" w:lineRule="auto"/>
        <w:rPr>
          <w:sz w:val="20"/>
          <w:szCs w:val="20"/>
          <w:color w:val="auto"/>
        </w:rPr>
      </w:pPr>
      <w:r>
        <w:rPr>
          <w:rFonts w:ascii="Times New Roman" w:cs="Times New Roman" w:eastAsia="Times New Roman" w:hAnsi="Times New Roman"/>
          <w:sz w:val="20"/>
          <w:szCs w:val="20"/>
          <w:color w:val="121212"/>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As of December 31, 2023, none of the milestones had been achieved. Roche is also eligible to receive tiered royalties on net sales of commercialized products, at rates ranging from high single-digits to high teens.</w:t>
      </w:r>
    </w:p>
    <w:p>
      <w:pPr>
        <w:sectPr>
          <w:pgSz w:w="12240" w:h="15840" w:orient="portrait"/>
          <w:cols w:equalWidth="0" w:num="1">
            <w:col w:w="10460"/>
          </w:cols>
          <w:pgMar w:left="900" w:top="1304" w:right="880" w:bottom="175"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123</w:t>
      </w:r>
    </w:p>
    <w:p>
      <w:pPr>
        <w:sectPr>
          <w:pgSz w:w="12240" w:h="15840" w:orient="portrait"/>
          <w:cols w:equalWidth="0" w:num="1">
            <w:col w:w="10460"/>
          </w:cols>
          <w:pgMar w:left="900" w:top="1304" w:right="880" w:bottom="175" w:gutter="0" w:footer="0" w:header="0"/>
          <w:type w:val="continuous"/>
        </w:sectPr>
      </w:pPr>
    </w:p>
    <w:bookmarkStart w:id="133" w:name="page134"/>
    <w:bookmarkEnd w:id="133"/>
    <w:p>
      <w:pPr>
        <w:ind w:left="480"/>
        <w:spacing w:after="0"/>
        <w:rPr>
          <w:sz w:val="20"/>
          <w:szCs w:val="20"/>
          <w:color w:val="auto"/>
        </w:rPr>
      </w:pPr>
      <w:r>
        <w:rPr>
          <w:rFonts w:ascii="Times New Roman" w:cs="Times New Roman" w:eastAsia="Times New Roman" w:hAnsi="Times New Roman"/>
          <w:sz w:val="20"/>
          <w:szCs w:val="20"/>
          <w:color w:val="121212"/>
        </w:rPr>
        <w:t>A description of the derivative liability related to the Roche agreement settled in 2022 is included in Note 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License Agreement with Mabwell</w:t>
      </w:r>
    </w:p>
    <w:p>
      <w:pPr>
        <w:spacing w:after="0" w:line="115" w:lineRule="exact"/>
        <w:rPr>
          <w:sz w:val="20"/>
          <w:szCs w:val="20"/>
          <w:color w:val="auto"/>
        </w:rPr>
      </w:pPr>
    </w:p>
    <w:p>
      <w:pPr>
        <w:jc w:val="both"/>
        <w:ind w:firstLine="490"/>
        <w:spacing w:after="0" w:line="277" w:lineRule="auto"/>
        <w:rPr>
          <w:sz w:val="20"/>
          <w:szCs w:val="20"/>
          <w:color w:val="auto"/>
        </w:rPr>
      </w:pPr>
      <w:r>
        <w:rPr>
          <w:rFonts w:ascii="Times New Roman" w:cs="Times New Roman" w:eastAsia="Times New Roman" w:hAnsi="Times New Roman"/>
          <w:sz w:val="20"/>
          <w:szCs w:val="20"/>
          <w:color w:val="121212"/>
        </w:rPr>
        <w:t>In January 2023, the Company entered into an exclusive license agreement with Mabwell Therapeutics, Inc. (“Mabwell”), pursuant to which Mabwell granted the Company an exclusive and sublicensable license to certain Mabwell intellectual property.</w:t>
      </w:r>
    </w:p>
    <w:p>
      <w:pPr>
        <w:spacing w:after="0" w:line="49"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color w:val="121212"/>
        </w:rPr>
        <w:t>In connection with the agreement, the Company paid Mabwell an upfront payment of $10.0 million in March 2023. In October 2023, the Company dosed the first patient in the Phase 1 clinical trial of polycythemia vera for DISC-3405, resulting in a milestone payment of $5.0 million due to Mabwell.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9. Convertible Preferred Stock</w:t>
      </w:r>
    </w:p>
    <w:p>
      <w:pPr>
        <w:spacing w:after="0" w:line="244"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121212"/>
        </w:rPr>
        <w:t>As of December 31, 2023 and 2022, the Company was authorized to issue up to 10,000,000 shares of preferred stock at a par value of $0.0001, with no shares issued or outstanding.</w:t>
      </w:r>
    </w:p>
    <w:p>
      <w:pPr>
        <w:spacing w:after="0" w:line="169"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121212"/>
        </w:rPr>
        <w:t>Immediately prior to the Effective Time, each share of Private Disc’s preferred stock was converted into a share of Private Disc’s common stock. At the closing of the merger, the shares of Private Disc’s common stock were converted into shares of the Company’s common stock based on the Exchange Ratio.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10. Common Stock</w:t>
      </w:r>
    </w:p>
    <w:p>
      <w:pPr>
        <w:spacing w:after="0" w:line="244"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121212"/>
        </w:rPr>
        <w:t>At the closing of the merger, the shares of Private Disc’s common stock were converted into shares of the Company’s common stock based on the Exchange Ratio.</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As of December 31, 2023, the authorized capital stock of the Company included 100,000,000 shares of common stock,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21212"/>
        </w:rPr>
        <w:t>$0.0001 par value per share. Prior to the merger, the holders of Private Disc’s common stock were subject to and qualified by the</w:t>
      </w:r>
    </w:p>
    <w:p>
      <w:pPr>
        <w:spacing w:after="0"/>
        <w:rPr>
          <w:sz w:val="20"/>
          <w:szCs w:val="20"/>
          <w:color w:val="auto"/>
        </w:rPr>
      </w:pPr>
      <w:r>
        <w:rPr>
          <w:rFonts w:ascii="Times New Roman" w:cs="Times New Roman" w:eastAsia="Times New Roman" w:hAnsi="Times New Roman"/>
          <w:sz w:val="20"/>
          <w:szCs w:val="20"/>
          <w:color w:val="121212"/>
        </w:rPr>
        <w:t>rights, powers and preferences of the holders of the Preferred Stock. Each share of common stock entitles the holder to one vote</w:t>
      </w:r>
    </w:p>
    <w:p>
      <w:pPr>
        <w:spacing w:after="0"/>
        <w:rPr>
          <w:sz w:val="20"/>
          <w:szCs w:val="20"/>
          <w:color w:val="auto"/>
        </w:rPr>
      </w:pPr>
      <w:r>
        <w:rPr>
          <w:rFonts w:ascii="Times New Roman" w:cs="Times New Roman" w:eastAsia="Times New Roman" w:hAnsi="Times New Roman"/>
          <w:sz w:val="20"/>
          <w:szCs w:val="20"/>
          <w:color w:val="121212"/>
        </w:rPr>
        <w:t>on all matters submitted to the stockholders for a vote.</w:t>
      </w:r>
    </w:p>
    <w:p>
      <w:pPr>
        <w:spacing w:after="0" w:line="92"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121212"/>
        </w:rPr>
        <w:t>As of December 31, 2023 and 2022, the Company reserved 2,459,037 and 2,640,590, respectively, of common stock for the exercise of stock options and 204,081 shares of common stock were reserved for the exercise of pre-funded warrants.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Registration Statements Resulting from the Merger</w:t>
      </w:r>
    </w:p>
    <w:p>
      <w:pPr>
        <w:spacing w:after="0" w:line="120" w:lineRule="exact"/>
        <w:rPr>
          <w:sz w:val="20"/>
          <w:szCs w:val="20"/>
          <w:color w:val="auto"/>
        </w:rPr>
      </w:pPr>
    </w:p>
    <w:p>
      <w:pPr>
        <w:jc w:val="both"/>
        <w:ind w:firstLine="490"/>
        <w:spacing w:after="0" w:line="246" w:lineRule="auto"/>
        <w:rPr>
          <w:sz w:val="20"/>
          <w:szCs w:val="20"/>
          <w:color w:val="auto"/>
        </w:rPr>
      </w:pPr>
      <w:r>
        <w:rPr>
          <w:rFonts w:ascii="Times New Roman" w:cs="Times New Roman" w:eastAsia="Times New Roman" w:hAnsi="Times New Roman"/>
          <w:sz w:val="20"/>
          <w:szCs w:val="20"/>
          <w:color w:val="121212"/>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Employee Stock Purchase Plan (the “2021 ESPP”).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ATM Program</w:t>
      </w:r>
    </w:p>
    <w:p>
      <w:pPr>
        <w:spacing w:after="0" w:line="120"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121212"/>
        </w:rPr>
        <w:t>In January 2023, the Company filed a shelf registration statement on Form S-3 with the SEC, which covered the offering, issuance and sale by the Company of up to an aggregate of $300.0 million of the Company’s common stock, preferred stock, debt securities, warrants or units (the “January 2023 Shelf”). Subsequently in January 2023, the Company entered into a Sales Agreement (the “Sales Agreement”) with SVB Securities LLC, as sales agent, to provide for the offering, issuance and sale by the Company of up to $100.0 million of the Company’s common stock from time to time in “at-the-market” (“ATM”) offerings under the January 2023 Shelf. Effective June 12, 2023, the ATM program with SVB Securities LLC was suspended. Following the date of the ATM suspension, the Company did not make any further sales of its common stock pursuant to the Sales Agreement. The Sales Agreement was terminated effective September 28, 2023. In connection with the ATM suspension, the Company recognized the remaining</w:t>
      </w:r>
    </w:p>
    <w:p>
      <w:pPr>
        <w:sectPr>
          <w:pgSz w:w="12240" w:h="15840" w:orient="portrait"/>
          <w:cols w:equalWidth="0" w:num="1">
            <w:col w:w="10460"/>
          </w:cols>
          <w:pgMar w:left="900"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124</w:t>
      </w:r>
    </w:p>
    <w:p>
      <w:pPr>
        <w:sectPr>
          <w:pgSz w:w="12240" w:h="15840" w:orient="portrait"/>
          <w:cols w:equalWidth="0" w:num="1">
            <w:col w:w="10460"/>
          </w:cols>
          <w:pgMar w:left="900" w:top="930" w:right="880" w:bottom="175" w:gutter="0" w:footer="0" w:header="0"/>
          <w:type w:val="continuous"/>
        </w:sectPr>
      </w:pPr>
    </w:p>
    <w:bookmarkStart w:id="134" w:name="page135"/>
    <w:bookmarkEnd w:id="134"/>
    <w:p>
      <w:pPr>
        <w:jc w:val="both"/>
        <w:ind w:left="7" w:right="20"/>
        <w:spacing w:after="0" w:line="277" w:lineRule="auto"/>
        <w:rPr>
          <w:sz w:val="20"/>
          <w:szCs w:val="20"/>
          <w:color w:val="auto"/>
        </w:rPr>
      </w:pPr>
      <w:r>
        <w:rPr>
          <w:rFonts w:ascii="Times New Roman" w:cs="Times New Roman" w:eastAsia="Times New Roman" w:hAnsi="Times New Roman"/>
          <w:sz w:val="20"/>
          <w:szCs w:val="20"/>
          <w:color w:val="121212"/>
        </w:rPr>
        <w:t>capitalized issuance costs of $0.3 million as general and administrative expense in the consolidated statements of operations and comprehensive loss for the nine months ended September 30, 2023.</w:t>
      </w:r>
    </w:p>
    <w:p>
      <w:pPr>
        <w:spacing w:after="0" w:line="49" w:lineRule="exact"/>
        <w:rPr>
          <w:sz w:val="20"/>
          <w:szCs w:val="20"/>
          <w:color w:val="auto"/>
        </w:rPr>
      </w:pPr>
    </w:p>
    <w:p>
      <w:pPr>
        <w:jc w:val="both"/>
        <w:ind w:left="7" w:firstLine="490"/>
        <w:spacing w:after="0" w:line="258" w:lineRule="auto"/>
        <w:rPr>
          <w:sz w:val="20"/>
          <w:szCs w:val="20"/>
          <w:color w:val="auto"/>
        </w:rPr>
      </w:pPr>
      <w:r>
        <w:rPr>
          <w:rFonts w:ascii="Times New Roman" w:cs="Times New Roman" w:eastAsia="Times New Roman" w:hAnsi="Times New Roman"/>
          <w:sz w:val="20"/>
          <w:szCs w:val="20"/>
          <w:color w:val="121212"/>
        </w:rPr>
        <w:t>As of September 30, 2023, the Company had sold an aggregate of 825,350 shares of common stock in ATM offerings under the January 2023 Shelf and pursuant to the Sales Agreement. Aggregate gross proceeds from the transactions were $20.0 million and the Company received $19.5 million in net proceeds, after deducting placement agent fees and offering expenses.</w:t>
      </w:r>
    </w:p>
    <w:p>
      <w:pPr>
        <w:spacing w:after="0" w:line="68" w:lineRule="exact"/>
        <w:rPr>
          <w:sz w:val="20"/>
          <w:szCs w:val="20"/>
          <w:color w:val="auto"/>
        </w:rPr>
      </w:pPr>
    </w:p>
    <w:p>
      <w:pPr>
        <w:jc w:val="both"/>
        <w:ind w:left="7" w:firstLine="490"/>
        <w:spacing w:after="0" w:line="258" w:lineRule="auto"/>
        <w:rPr>
          <w:sz w:val="20"/>
          <w:szCs w:val="20"/>
          <w:color w:val="auto"/>
        </w:rPr>
      </w:pPr>
      <w:r>
        <w:rPr>
          <w:rFonts w:ascii="Times New Roman" w:cs="Times New Roman" w:eastAsia="Times New Roman" w:hAnsi="Times New Roman"/>
          <w:sz w:val="20"/>
          <w:szCs w:val="20"/>
          <w:color w:val="121212"/>
        </w:rPr>
        <w:t>In October 2023, the Company entered into an Open Market Sale Agreement with Jefferies LLC as sales agent (the “ATM Agreement”) to provide for the offering, issuance and sale by the Company of up to $59.7 million of the Company’s common stock from time to time in ATM offerings under the January 2023 Shelf.</w:t>
      </w:r>
    </w:p>
    <w:p>
      <w:pPr>
        <w:spacing w:after="0" w:line="68" w:lineRule="exact"/>
        <w:rPr>
          <w:sz w:val="20"/>
          <w:szCs w:val="20"/>
          <w:color w:val="auto"/>
        </w:rPr>
      </w:pPr>
    </w:p>
    <w:p>
      <w:pPr>
        <w:jc w:val="both"/>
        <w:ind w:left="7" w:firstLine="490"/>
        <w:spacing w:after="0" w:line="247" w:lineRule="auto"/>
        <w:rPr>
          <w:sz w:val="20"/>
          <w:szCs w:val="20"/>
          <w:color w:val="auto"/>
        </w:rPr>
      </w:pPr>
      <w:r>
        <w:rPr>
          <w:rFonts w:ascii="Times New Roman" w:cs="Times New Roman" w:eastAsia="Times New Roman" w:hAnsi="Times New Roman"/>
          <w:sz w:val="20"/>
          <w:szCs w:val="20"/>
          <w:color w:val="121212"/>
        </w:rPr>
        <w:t>In November 2023, the Company filed a shelf registration statement on Form S-3 with the SEC, which covered the offering, issuance and sale by the Company of up to an aggregate of $400.0 million of the Company’s common stock, preferred stock, debt securities, warrants or units (the “November 2023 Shelf”). On December 5, 2023, the Company and Jefferies LLC entered into an amendment to the ATM Agreement to increase the aggregate offering price of the shares of common stock that the Company may offer under the ATM Agreement from $59.7 million to $200.0 million. The material terms and conditions of the ATM Agreement otherwise remained unchanged.</w:t>
      </w:r>
    </w:p>
    <w:p>
      <w:pPr>
        <w:spacing w:after="0" w:line="80" w:lineRule="exact"/>
        <w:rPr>
          <w:sz w:val="20"/>
          <w:szCs w:val="20"/>
          <w:color w:val="auto"/>
        </w:rPr>
      </w:pPr>
    </w:p>
    <w:p>
      <w:pPr>
        <w:jc w:val="both"/>
        <w:ind w:left="7" w:firstLine="490"/>
        <w:spacing w:after="0" w:line="258" w:lineRule="auto"/>
        <w:rPr>
          <w:sz w:val="20"/>
          <w:szCs w:val="20"/>
          <w:color w:val="auto"/>
        </w:rPr>
      </w:pPr>
      <w:r>
        <w:rPr>
          <w:rFonts w:ascii="Times New Roman" w:cs="Times New Roman" w:eastAsia="Times New Roman" w:hAnsi="Times New Roman"/>
          <w:sz w:val="20"/>
          <w:szCs w:val="20"/>
          <w:color w:val="121212"/>
        </w:rPr>
        <w:t>As of December 31, 2023, the Company had sold an aggregate of 141,914 shares of common stock in ATM offerings under the November 2023 Shelf and pursuant to the ATM Agreement. Aggregate gross proceeds from the transactions were $7.2 million and the Company received $7.0 million in net proceeds, after deducting placement agent fees and offering expenses.</w:t>
      </w:r>
    </w:p>
    <w:p>
      <w:pPr>
        <w:spacing w:after="0" w:line="1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Registered Direct Offering</w:t>
      </w:r>
    </w:p>
    <w:p>
      <w:pPr>
        <w:spacing w:after="0" w:line="120" w:lineRule="exact"/>
        <w:rPr>
          <w:sz w:val="20"/>
          <w:szCs w:val="20"/>
          <w:color w:val="auto"/>
        </w:rPr>
      </w:pPr>
    </w:p>
    <w:p>
      <w:pPr>
        <w:jc w:val="both"/>
        <w:ind w:left="7" w:firstLine="490"/>
        <w:spacing w:after="0" w:line="249" w:lineRule="auto"/>
        <w:rPr>
          <w:sz w:val="20"/>
          <w:szCs w:val="20"/>
          <w:color w:val="auto"/>
        </w:rPr>
      </w:pPr>
      <w:r>
        <w:rPr>
          <w:rFonts w:ascii="Times New Roman" w:cs="Times New Roman" w:eastAsia="Times New Roman" w:hAnsi="Times New Roman"/>
          <w:sz w:val="20"/>
          <w:szCs w:val="20"/>
          <w:color w:val="121212"/>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w:t>
      </w:r>
    </w:p>
    <w:p>
      <w:pPr>
        <w:spacing w:after="0" w:line="77" w:lineRule="exact"/>
        <w:rPr>
          <w:sz w:val="20"/>
          <w:szCs w:val="20"/>
          <w:color w:val="auto"/>
        </w:rPr>
      </w:pPr>
    </w:p>
    <w:p>
      <w:pPr>
        <w:jc w:val="both"/>
        <w:ind w:left="7" w:firstLine="490"/>
        <w:spacing w:after="0" w:line="246" w:lineRule="auto"/>
        <w:rPr>
          <w:sz w:val="20"/>
          <w:szCs w:val="20"/>
          <w:color w:val="auto"/>
        </w:rPr>
      </w:pPr>
      <w:r>
        <w:rPr>
          <w:rFonts w:ascii="Times New Roman" w:cs="Times New Roman" w:eastAsia="Times New Roman" w:hAnsi="Times New Roman"/>
          <w:sz w:val="20"/>
          <w:szCs w:val="20"/>
          <w:color w:val="121212"/>
        </w:rPr>
        <w:t>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 The pre- funded warrants meet the condition for equity classification and were therefore recorded as a component of stockholders’ equity within additional paid-in capital at the time of their issuance.</w:t>
      </w:r>
    </w:p>
    <w:p>
      <w:pPr>
        <w:spacing w:after="0" w:line="80" w:lineRule="exact"/>
        <w:rPr>
          <w:sz w:val="20"/>
          <w:szCs w:val="20"/>
          <w:color w:val="auto"/>
        </w:rPr>
      </w:pPr>
    </w:p>
    <w:p>
      <w:pPr>
        <w:jc w:val="both"/>
        <w:ind w:left="7" w:right="20" w:firstLine="490"/>
        <w:spacing w:after="0" w:line="277" w:lineRule="auto"/>
        <w:rPr>
          <w:sz w:val="20"/>
          <w:szCs w:val="20"/>
          <w:color w:val="auto"/>
        </w:rPr>
      </w:pPr>
      <w:r>
        <w:rPr>
          <w:rFonts w:ascii="Times New Roman" w:cs="Times New Roman" w:eastAsia="Times New Roman" w:hAnsi="Times New Roman"/>
          <w:sz w:val="20"/>
          <w:szCs w:val="20"/>
          <w:color w:val="121212"/>
        </w:rPr>
        <w:t>During the twelve months ended December 31, 2023, all of the pre-funded warrants were exercised in a cashless transaction which resulted in 1,229,221 shares of common stock being issued to the investor.</w:t>
      </w:r>
    </w:p>
    <w:p>
      <w:pPr>
        <w:spacing w:after="0" w:line="1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Follow-On Public Offering</w:t>
      </w:r>
    </w:p>
    <w:p>
      <w:pPr>
        <w:spacing w:after="0" w:line="240" w:lineRule="exact"/>
        <w:rPr>
          <w:sz w:val="20"/>
          <w:szCs w:val="20"/>
          <w:color w:val="auto"/>
        </w:rPr>
      </w:pPr>
    </w:p>
    <w:p>
      <w:pPr>
        <w:jc w:val="both"/>
        <w:ind w:left="7" w:firstLine="490"/>
        <w:spacing w:after="0" w:line="247" w:lineRule="auto"/>
        <w:rPr>
          <w:sz w:val="20"/>
          <w:szCs w:val="20"/>
          <w:color w:val="auto"/>
        </w:rPr>
      </w:pPr>
      <w:r>
        <w:rPr>
          <w:rFonts w:ascii="Times New Roman" w:cs="Times New Roman" w:eastAsia="Times New Roman" w:hAnsi="Times New Roman"/>
          <w:sz w:val="20"/>
          <w:szCs w:val="20"/>
          <w:color w:val="121212"/>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December 31, 2023, none of the 204,081 pre-funded warrants had been exercised.</w:t>
      </w:r>
    </w:p>
    <w:p>
      <w:pPr>
        <w:spacing w:after="0" w:line="80" w:lineRule="exact"/>
        <w:rPr>
          <w:sz w:val="20"/>
          <w:szCs w:val="20"/>
          <w:color w:val="auto"/>
        </w:rPr>
      </w:pPr>
    </w:p>
    <w:p>
      <w:pPr>
        <w:jc w:val="both"/>
        <w:ind w:left="7" w:firstLine="490"/>
        <w:spacing w:after="0" w:line="260" w:lineRule="auto"/>
        <w:rPr>
          <w:sz w:val="20"/>
          <w:szCs w:val="20"/>
          <w:color w:val="auto"/>
        </w:rPr>
      </w:pPr>
      <w:r>
        <w:rPr>
          <w:rFonts w:ascii="Times New Roman" w:cs="Times New Roman" w:eastAsia="Times New Roman" w:hAnsi="Times New Roman"/>
          <w:sz w:val="19"/>
          <w:szCs w:val="19"/>
          <w:color w:val="121212"/>
        </w:rPr>
        <w:t>The pre-funded warrants provide that the holder will not have the right to exercise any portion of its warrants if such holder, together with its affiliates,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 The pre-funded warrants meet the condition for equity classification and were therefore recorded as a component of stockholders’ equity within additional paid-in capital.</w:t>
      </w:r>
    </w:p>
    <w:p>
      <w:pPr>
        <w:spacing w:after="0" w:line="321" w:lineRule="exact"/>
        <w:rPr>
          <w:sz w:val="20"/>
          <w:szCs w:val="20"/>
          <w:color w:val="auto"/>
        </w:rPr>
      </w:pPr>
    </w:p>
    <w:p>
      <w:pPr>
        <w:ind w:left="7" w:right="7600" w:hanging="7"/>
        <w:spacing w:after="0" w:line="441" w:lineRule="auto"/>
        <w:tabs>
          <w:tab w:leader="none" w:pos="307" w:val="left"/>
        </w:tabs>
        <w:numPr>
          <w:ilvl w:val="0"/>
          <w:numId w:val="56"/>
        </w:numPr>
        <w:rPr>
          <w:rFonts w:ascii="Times New Roman" w:cs="Times New Roman" w:eastAsia="Times New Roman" w:hAnsi="Times New Roman"/>
          <w:sz w:val="19"/>
          <w:szCs w:val="19"/>
          <w:b w:val="1"/>
          <w:bCs w:val="1"/>
          <w:color w:val="121212"/>
        </w:rPr>
      </w:pPr>
      <w:r>
        <w:rPr>
          <w:rFonts w:ascii="Times New Roman" w:cs="Times New Roman" w:eastAsia="Times New Roman" w:hAnsi="Times New Roman"/>
          <w:sz w:val="19"/>
          <w:szCs w:val="19"/>
          <w:b w:val="1"/>
          <w:bCs w:val="1"/>
          <w:color w:val="121212"/>
        </w:rPr>
        <w:t xml:space="preserve">Stock-Based Compensation </w:t>
      </w:r>
      <w:r>
        <w:rPr>
          <w:rFonts w:ascii="Times New Roman" w:cs="Times New Roman" w:eastAsia="Times New Roman" w:hAnsi="Times New Roman"/>
          <w:sz w:val="19"/>
          <w:szCs w:val="19"/>
          <w:b w:val="1"/>
          <w:bCs w:val="1"/>
          <w:i w:val="1"/>
          <w:iCs w:val="1"/>
          <w:color w:val="121212"/>
        </w:rPr>
        <w:t>2017 Stock Option and Grant Plan</w:t>
      </w:r>
    </w:p>
    <w:p>
      <w:pPr>
        <w:sectPr>
          <w:pgSz w:w="12240" w:h="15840" w:orient="portrait"/>
          <w:cols w:equalWidth="0" w:num="1">
            <w:col w:w="10467"/>
          </w:cols>
          <w:pgMar w:left="893" w:top="930" w:right="880" w:bottom="175" w:gutter="0" w:footer="0" w:header="0"/>
        </w:sectPr>
      </w:pPr>
    </w:p>
    <w:p>
      <w:pPr>
        <w:spacing w:after="0" w:line="27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21212"/>
        </w:rPr>
        <w:t>125</w:t>
      </w:r>
    </w:p>
    <w:p>
      <w:pPr>
        <w:sectPr>
          <w:pgSz w:w="12240" w:h="15840" w:orient="portrait"/>
          <w:cols w:equalWidth="0" w:num="1">
            <w:col w:w="10467"/>
          </w:cols>
          <w:pgMar w:left="893" w:top="930" w:right="880" w:bottom="175" w:gutter="0" w:footer="0" w:header="0"/>
          <w:type w:val="continuous"/>
        </w:sectPr>
      </w:pPr>
    </w:p>
    <w:bookmarkStart w:id="135" w:name="page136"/>
    <w:bookmarkEnd w:id="135"/>
    <w:p>
      <w:pPr>
        <w:ind w:right="20" w:firstLine="490"/>
        <w:spacing w:after="0" w:line="243" w:lineRule="auto"/>
        <w:rPr>
          <w:sz w:val="20"/>
          <w:szCs w:val="20"/>
          <w:color w:val="auto"/>
        </w:rPr>
      </w:pPr>
      <w:r>
        <w:rPr>
          <w:rFonts w:ascii="Times New Roman" w:cs="Times New Roman" w:eastAsia="Times New Roman" w:hAnsi="Times New Roman"/>
          <w:sz w:val="20"/>
          <w:szCs w:val="20"/>
          <w:color w:val="121212"/>
        </w:rPr>
        <w:t>Private Disc adopted the 2017 Stock Option and Grant Plan (the “Private Disc Plan”) in November 2017 reserving shares of common stock for issuance to employees, directors, and consultants. The Private Disc Plan allowed for the grant of incentive stock options, non-statutory stock options, stock appreciation rights, restricted stock awards, restricted stock unit awards and other stock awards. Recipients of stock options or stock appreciation rights were eligible to purchase shares of Private Disc’s common stock at an exercise price equal to the estimated fair market value of such stock on the date of grant. The exercise price could have been less than fair market value if the stock award was granted pursuant to an assumption or substitution for another stock award in the event of a merger or sale of Private Disc. The maximum term of options granted under the Private Disc Plan was ten years, and stock options typically vested over a four-year period. The Board could have assigned vesting terms to the stock options grants as deemed appropriate. Private Disc also had the right of first refusal to purchase any proposed disposition of shares issued under the Private Disc Plan. As it relates to restricted stock awards, Private Disc had the option to repurchase any unvested shares at the original purchase price upon any voluntary or involuntary termination. At the discretion of the Board, unvested shares held by employees, directors and consultants could have accelerated vesting in the event of a change of control of Private Disc unless assumed or substituted by the acquirer or surviving entity.</w:t>
      </w:r>
    </w:p>
    <w:p>
      <w:pPr>
        <w:spacing w:after="0" w:line="83"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121212"/>
        </w:rPr>
        <w:t>The number of shares of common stock reserved for issuance as of December 31, 2023 and 2022 was 1,505,624 and 1,672,599 shares, respectively. As of December 31, 2023 and 2022, there are no options available for grant. Upon completion of the merger, the Company ceased granting awards under the Private Disc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2021 Stock Option and Incentive Plan</w:t>
      </w:r>
    </w:p>
    <w:p>
      <w:pPr>
        <w:spacing w:after="0" w:line="120"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121212"/>
        </w:rPr>
        <w:t>In February 2021, Gemini adopted the 2021 Stock Option and Incentive Plan ("the 2021 Plan") reserving shares of common stock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Upon approving the 2021 Plan in February 2021, Gemini ceased granting awards under its then existing 2017 Stock Option and Grant Plan. Incentive stock options may only be granted to employees. The 2021 Plan is administered by the plan administrator, which is the compensation committee of the Company’s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December 31, 2023, 1,561,926 shares remained available for future issuance under the 2021 Plan. The number of shares of common stock reserved for issuance under the 2021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Company’s board of directors.</w:t>
      </w:r>
    </w:p>
    <w:p>
      <w:pPr>
        <w:spacing w:after="0" w:line="9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The exercise price of each stock option granted under the 2021 Plan is 100% of the fair market value of the underlying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2021 Employee Stock Purchase Plan</w:t>
      </w:r>
    </w:p>
    <w:p>
      <w:pPr>
        <w:spacing w:after="0" w:line="12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121212"/>
        </w:rPr>
        <w:t>In July 2021, Gemini’s board of directors approved the 2021 Employee Stock Purchase Plan (the "2021 ESPP"). The first offering period under the 2021 ESPP began on December 1, 2021. As of December 31, 2023, 222,953 shares remained available for future issuance under the 2021 ESPP. The number of shares of common stock reserved for issuance under the 2021 ESPP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Company’s board of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2021 Inducement Plan</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21212"/>
        </w:rPr>
        <w:t>In February 2021, Gemini’s board of directors approved the 2021 Inducement Plan. The 2021 Inducement Plan is a non-stockholder approved stock plan under which equity awards are granted to induce highly-qualified prospective officers and employees who are not currently employed by the Company to accept employment and provide them with a proprietary interest in the Company. From the completion of the merger through December 31, 2023, the Company had not granted awards under the 2021 Inducement Plan. As of December 31, 2023, 153,712 shares remained available for future issuance under the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Reverse Merger with Gemini</w:t>
      </w:r>
    </w:p>
    <w:p>
      <w:pPr>
        <w:spacing w:after="0" w:line="120"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121212"/>
        </w:rPr>
        <w:t>In connection with the merger, each option to purchase shares of Private Disc common stock that was outstanding and unexercised under the Private Disc Plan immediately prior to the Effective Time, whether or not vested, was converted into an option to purchase shares of Gemini common stock and became eligible to be registered on Form S-8. Gemini assumed the</w:t>
      </w:r>
    </w:p>
    <w:p>
      <w:pPr>
        <w:sectPr>
          <w:pgSz w:w="12240" w:h="15840" w:orient="portrait"/>
          <w:cols w:equalWidth="0" w:num="1">
            <w:col w:w="10440"/>
          </w:cols>
          <w:pgMar w:left="900" w:top="930" w:right="900" w:bottom="175"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126</w:t>
      </w:r>
    </w:p>
    <w:p>
      <w:pPr>
        <w:sectPr>
          <w:pgSz w:w="12240" w:h="15840" w:orient="portrait"/>
          <w:cols w:equalWidth="0" w:num="1">
            <w:col w:w="10440"/>
          </w:cols>
          <w:pgMar w:left="900" w:top="930" w:right="900" w:bottom="175" w:gutter="0" w:footer="0" w:header="0"/>
          <w:type w:val="continuous"/>
        </w:sectPr>
      </w:pPr>
    </w:p>
    <w:bookmarkStart w:id="136" w:name="page137"/>
    <w:bookmarkEnd w:id="136"/>
    <w:p>
      <w:pPr>
        <w:ind w:right="100"/>
        <w:spacing w:after="0" w:line="258" w:lineRule="auto"/>
        <w:rPr>
          <w:sz w:val="20"/>
          <w:szCs w:val="20"/>
          <w:color w:val="auto"/>
        </w:rPr>
      </w:pPr>
      <w:r>
        <w:rPr>
          <w:rFonts w:ascii="Times New Roman" w:cs="Times New Roman" w:eastAsia="Times New Roman" w:hAnsi="Times New Roman"/>
          <w:sz w:val="20"/>
          <w:szCs w:val="20"/>
          <w:color w:val="121212"/>
        </w:rPr>
        <w:t>Private Disc Plan, as amended, and each such outstanding option to purchase shares of Private Disc common stock in accordance with the terms (as in effect as of the date of the Merger Agreement) of the Private Disc Plan and the terms of the stock option agreement by which such option to purchase shares of Private Disc common stock is evidenced.</w:t>
      </w:r>
    </w:p>
    <w:p>
      <w:pPr>
        <w:spacing w:after="0" w:line="68"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21212"/>
        </w:rPr>
        <w:t>On December 29, 2022, Gemini's shareholders approved amendments to the 2021 Plan and the 2021 ESPP to (i) increase the number of shares of common stock reserved for issuance under the 2021 Plan to a number of shares representing approximately 9% of the fully diluted capitalization of the Company, determined as of immediately following the merger and (ii) increase the number of shares of common stock reserved for issuance under the 2021 ESPP to a number of shares representing approximately 0.84% of the fully diluted capitalization of the Company, determined as of immediately following the merger.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Stock Options</w:t>
      </w:r>
    </w:p>
    <w:p>
      <w:pPr>
        <w:spacing w:after="0" w:line="120"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121212"/>
        </w:rPr>
        <w:t>For purposes of calculating stock-based compensation, the Company estimates the fair value of stock options using the Black-Scholes option-pricing model. This model incorporates various assumptions, including the expected volatility, expected term, and interest rates.</w:t>
      </w:r>
    </w:p>
    <w:p>
      <w:pPr>
        <w:spacing w:after="0" w:line="6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121212"/>
        </w:rPr>
        <w:t>Prior to the merger, Private Disc lacked company-specific historical and implied volatility information. Therefore, Private Disc estimated its expected stock volatility based on the historical volatility of a publicly traded set of peer public companies and the Company expects to continue to do so until such time as it has adequate historical data regarding the volatility of its own traded stock price. The risk -free interest rate is determined by reference to the U.S. Treasury yield curve in effect at the time of grant of the award for time periods approximately equal to the expected term of the option. For options with service-based vesting conditions, the expected term of the Company’s stock options has been determined utilizing the “simplified” method for awards that qualify as “plain-vanilla” options. The expected dividend yield of 0% is based on the fact that the Company has never paid cash dividends and does not expect to pay any cash dividends in the foreseeable future.</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The following table summarizes stock option activity for the year ended December 31,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center"/>
              <w:ind w:right="147"/>
              <w:spacing w:after="0"/>
              <w:rPr>
                <w:sz w:val="20"/>
                <w:szCs w:val="20"/>
                <w:color w:val="auto"/>
              </w:rPr>
            </w:pPr>
            <w:r>
              <w:rPr>
                <w:rFonts w:ascii="Times New Roman" w:cs="Times New Roman" w:eastAsia="Times New Roman" w:hAnsi="Times New Roman"/>
                <w:sz w:val="16"/>
                <w:szCs w:val="16"/>
                <w:b w:val="1"/>
                <w:bCs w:val="1"/>
                <w:color w:val="121212"/>
              </w:rPr>
              <w:t>Weighted-</w:t>
            </w:r>
          </w:p>
        </w:tc>
        <w:tc>
          <w:tcPr>
            <w:tcW w:w="100" w:type="dxa"/>
            <w:vAlign w:val="bottom"/>
          </w:tcPr>
          <w:p>
            <w:pPr>
              <w:spacing w:after="0"/>
              <w:rPr>
                <w:sz w:val="16"/>
                <w:szCs w:val="16"/>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Weighted-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6"/>
                <w:szCs w:val="16"/>
                <w:b w:val="1"/>
                <w:bCs w:val="1"/>
                <w:color w:val="121212"/>
                <w:w w:val="99"/>
              </w:rPr>
              <w:t>Aggregate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w w:val="98"/>
              </w:rPr>
              <w:t>Average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1220" w:type="dxa"/>
            <w:vAlign w:val="bottom"/>
            <w:vMerge w:val="restart"/>
          </w:tcPr>
          <w:p>
            <w:pPr>
              <w:jc w:val="right"/>
              <w:ind w:right="184"/>
              <w:spacing w:after="0"/>
              <w:rPr>
                <w:sz w:val="20"/>
                <w:szCs w:val="20"/>
                <w:color w:val="auto"/>
              </w:rPr>
            </w:pPr>
            <w:r>
              <w:rPr>
                <w:rFonts w:ascii="Times New Roman" w:cs="Times New Roman" w:eastAsia="Times New Roman" w:hAnsi="Times New Roman"/>
                <w:sz w:val="16"/>
                <w:szCs w:val="16"/>
                <w:b w:val="1"/>
                <w:bCs w:val="1"/>
                <w:color w:val="121212"/>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121212"/>
                <w:w w:val="98"/>
              </w:rPr>
              <w:t>Average</w:t>
            </w:r>
          </w:p>
        </w:tc>
        <w:tc>
          <w:tcPr>
            <w:tcW w:w="100" w:type="dxa"/>
            <w:vAlign w:val="bottom"/>
          </w:tcPr>
          <w:p>
            <w:pPr>
              <w:spacing w:after="0"/>
              <w:rPr>
                <w:sz w:val="16"/>
                <w:szCs w:val="16"/>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Remaining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121212"/>
                <w:w w:val="98"/>
              </w:rPr>
              <w:t>Intrinsic</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121212"/>
              </w:rPr>
              <w:t>Exercise</w:t>
            </w:r>
          </w:p>
        </w:tc>
        <w:tc>
          <w:tcPr>
            <w:tcW w:w="100" w:type="dxa"/>
            <w:vAlign w:val="bottom"/>
          </w:tcPr>
          <w:p>
            <w:pPr>
              <w:spacing w:after="0"/>
              <w:rPr>
                <w:sz w:val="15"/>
                <w:szCs w:val="15"/>
                <w:color w:val="auto"/>
              </w:rPr>
            </w:pPr>
          </w:p>
        </w:tc>
        <w:tc>
          <w:tcPr>
            <w:tcW w:w="13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Contractual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121212"/>
                <w:w w:val="99"/>
              </w:rPr>
              <w:t>Value</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E0E0E0"/>
            </w:tcBorders>
          </w:tcPr>
          <w:p>
            <w:pPr>
              <w:spacing w:after="0"/>
              <w:rPr>
                <w:sz w:val="17"/>
                <w:szCs w:val="17"/>
                <w:color w:val="auto"/>
              </w:rPr>
            </w:pPr>
          </w:p>
        </w:tc>
        <w:tc>
          <w:tcPr>
            <w:tcW w:w="1220" w:type="dxa"/>
            <w:vAlign w:val="bottom"/>
            <w:tcBorders>
              <w:bottom w:val="single" w:sz="8" w:color="121212"/>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21212"/>
              </w:rPr>
              <w:t>Options</w:t>
            </w:r>
          </w:p>
        </w:tc>
        <w:tc>
          <w:tcPr>
            <w:tcW w:w="120" w:type="dxa"/>
            <w:vAlign w:val="bottom"/>
            <w:tcBorders>
              <w:bottom w:val="single" w:sz="8" w:color="E0E0E0"/>
            </w:tcBorders>
          </w:tcPr>
          <w:p>
            <w:pPr>
              <w:spacing w:after="0"/>
              <w:rPr>
                <w:sz w:val="17"/>
                <w:szCs w:val="17"/>
                <w:color w:val="auto"/>
              </w:rPr>
            </w:pPr>
          </w:p>
        </w:tc>
        <w:tc>
          <w:tcPr>
            <w:tcW w:w="120" w:type="dxa"/>
            <w:vAlign w:val="bottom"/>
            <w:tcBorders>
              <w:bottom w:val="single" w:sz="8" w:color="121212"/>
            </w:tcBorders>
          </w:tcPr>
          <w:p>
            <w:pPr>
              <w:spacing w:after="0"/>
              <w:rPr>
                <w:sz w:val="17"/>
                <w:szCs w:val="17"/>
                <w:color w:val="auto"/>
              </w:rPr>
            </w:pPr>
          </w:p>
        </w:tc>
        <w:tc>
          <w:tcPr>
            <w:tcW w:w="960" w:type="dxa"/>
            <w:vAlign w:val="bottom"/>
            <w:tcBorders>
              <w:bottom w:val="single" w:sz="8" w:color="121212"/>
            </w:tcBorders>
          </w:tcPr>
          <w:p>
            <w:pPr>
              <w:jc w:val="center"/>
              <w:ind w:right="147"/>
              <w:spacing w:after="0"/>
              <w:rPr>
                <w:sz w:val="20"/>
                <w:szCs w:val="20"/>
                <w:color w:val="auto"/>
              </w:rPr>
            </w:pPr>
            <w:r>
              <w:rPr>
                <w:rFonts w:ascii="Times New Roman" w:cs="Times New Roman" w:eastAsia="Times New Roman" w:hAnsi="Times New Roman"/>
                <w:sz w:val="16"/>
                <w:szCs w:val="16"/>
                <w:b w:val="1"/>
                <w:bCs w:val="1"/>
                <w:color w:val="121212"/>
              </w:rPr>
              <w:t>Price</w:t>
            </w:r>
          </w:p>
        </w:tc>
        <w:tc>
          <w:tcPr>
            <w:tcW w:w="100" w:type="dxa"/>
            <w:vAlign w:val="bottom"/>
            <w:tcBorders>
              <w:bottom w:val="single" w:sz="8" w:color="E0E0E0"/>
            </w:tcBorders>
          </w:tcPr>
          <w:p>
            <w:pPr>
              <w:spacing w:after="0"/>
              <w:rPr>
                <w:sz w:val="17"/>
                <w:szCs w:val="17"/>
                <w:color w:val="auto"/>
              </w:rPr>
            </w:pPr>
          </w:p>
        </w:tc>
        <w:tc>
          <w:tcPr>
            <w:tcW w:w="1300" w:type="dxa"/>
            <w:vAlign w:val="bottom"/>
            <w:tcBorders>
              <w:bottom w:val="single" w:sz="8" w:color="121212"/>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w w:val="99"/>
              </w:rPr>
              <w:t>Term (In Years)</w:t>
            </w:r>
          </w:p>
        </w:tc>
        <w:tc>
          <w:tcPr>
            <w:tcW w:w="120" w:type="dxa"/>
            <w:vAlign w:val="bottom"/>
            <w:tcBorders>
              <w:bottom w:val="single" w:sz="8" w:color="E0E0E0"/>
            </w:tcBorders>
          </w:tcPr>
          <w:p>
            <w:pPr>
              <w:spacing w:after="0"/>
              <w:rPr>
                <w:sz w:val="17"/>
                <w:szCs w:val="17"/>
                <w:color w:val="auto"/>
              </w:rPr>
            </w:pPr>
          </w:p>
        </w:tc>
        <w:tc>
          <w:tcPr>
            <w:tcW w:w="1180" w:type="dxa"/>
            <w:vAlign w:val="bottom"/>
            <w:tcBorders>
              <w:bottom w:val="single" w:sz="8" w:color="121212"/>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121212"/>
              </w:rPr>
              <w:t>(In Thousands)</w:t>
            </w:r>
          </w:p>
        </w:tc>
        <w:tc>
          <w:tcPr>
            <w:tcW w:w="0" w:type="dxa"/>
            <w:vAlign w:val="bottom"/>
          </w:tcPr>
          <w:p>
            <w:pPr>
              <w:spacing w:after="0"/>
              <w:rPr>
                <w:sz w:val="1"/>
                <w:szCs w:val="1"/>
                <w:color w:val="auto"/>
              </w:rPr>
            </w:pPr>
          </w:p>
        </w:tc>
      </w:tr>
      <w:tr>
        <w:trPr>
          <w:trHeight w:val="220"/>
        </w:trPr>
        <w:tc>
          <w:tcPr>
            <w:tcW w:w="53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Outstanding at December 31, 2022</w:t>
            </w:r>
          </w:p>
        </w:tc>
        <w:tc>
          <w:tcPr>
            <w:tcW w:w="1220" w:type="dxa"/>
            <w:vAlign w:val="bottom"/>
            <w:shd w:val="clear" w:color="auto" w:fill="E0E0E0"/>
          </w:tcPr>
          <w:p>
            <w:pPr>
              <w:jc w:val="right"/>
              <w:ind w:right="4"/>
              <w:spacing w:after="0" w:line="220" w:lineRule="exact"/>
              <w:rPr>
                <w:sz w:val="20"/>
                <w:szCs w:val="20"/>
                <w:color w:val="auto"/>
              </w:rPr>
            </w:pPr>
            <w:r>
              <w:rPr>
                <w:rFonts w:ascii="Times New Roman" w:cs="Times New Roman" w:eastAsia="Times New Roman" w:hAnsi="Times New Roman"/>
                <w:sz w:val="20"/>
                <w:szCs w:val="20"/>
                <w:color w:val="121212"/>
              </w:rPr>
              <w:t>2,640,590</w:t>
            </w: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960" w:type="dxa"/>
            <w:vAlign w:val="bottom"/>
            <w:shd w:val="clear" w:color="auto" w:fill="E0E0E0"/>
          </w:tcPr>
          <w:p>
            <w:pPr>
              <w:jc w:val="right"/>
              <w:ind w:right="27"/>
              <w:spacing w:after="0" w:line="220" w:lineRule="exact"/>
              <w:rPr>
                <w:sz w:val="20"/>
                <w:szCs w:val="20"/>
                <w:color w:val="auto"/>
              </w:rPr>
            </w:pPr>
            <w:r>
              <w:rPr>
                <w:rFonts w:ascii="Times New Roman" w:cs="Times New Roman" w:eastAsia="Times New Roman" w:hAnsi="Times New Roman"/>
                <w:sz w:val="20"/>
                <w:szCs w:val="20"/>
                <w:color w:val="121212"/>
              </w:rPr>
              <w:t>16.19</w:t>
            </w:r>
          </w:p>
        </w:tc>
        <w:tc>
          <w:tcPr>
            <w:tcW w:w="100" w:type="dxa"/>
            <w:vAlign w:val="bottom"/>
            <w:shd w:val="clear" w:color="auto" w:fill="E0E0E0"/>
          </w:tcPr>
          <w:p>
            <w:pPr>
              <w:spacing w:after="0"/>
              <w:rPr>
                <w:sz w:val="19"/>
                <w:szCs w:val="19"/>
                <w:color w:val="auto"/>
              </w:rPr>
            </w:pPr>
          </w:p>
        </w:tc>
        <w:tc>
          <w:tcPr>
            <w:tcW w:w="1300" w:type="dxa"/>
            <w:vAlign w:val="bottom"/>
            <w:shd w:val="clear" w:color="auto" w:fill="E0E0E0"/>
          </w:tcPr>
          <w:p>
            <w:pPr>
              <w:jc w:val="right"/>
              <w:ind w:right="17"/>
              <w:spacing w:after="0" w:line="220" w:lineRule="exact"/>
              <w:rPr>
                <w:sz w:val="20"/>
                <w:szCs w:val="20"/>
                <w:color w:val="auto"/>
              </w:rPr>
            </w:pPr>
            <w:r>
              <w:rPr>
                <w:rFonts w:ascii="Times New Roman" w:cs="Times New Roman" w:eastAsia="Times New Roman" w:hAnsi="Times New Roman"/>
                <w:sz w:val="20"/>
                <w:szCs w:val="20"/>
                <w:color w:val="121212"/>
              </w:rPr>
              <w:t>8.08</w:t>
            </w:r>
          </w:p>
        </w:tc>
        <w:tc>
          <w:tcPr>
            <w:tcW w:w="1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1040" w:type="dxa"/>
            <w:vAlign w:val="bottom"/>
            <w:shd w:val="clear" w:color="auto" w:fill="E0E0E0"/>
          </w:tcPr>
          <w:p>
            <w:pPr>
              <w:jc w:val="right"/>
              <w:ind w:right="10"/>
              <w:spacing w:after="0" w:line="220" w:lineRule="exact"/>
              <w:rPr>
                <w:sz w:val="20"/>
                <w:szCs w:val="20"/>
                <w:color w:val="auto"/>
              </w:rPr>
            </w:pPr>
            <w:r>
              <w:rPr>
                <w:rFonts w:ascii="Times New Roman" w:cs="Times New Roman" w:eastAsia="Times New Roman" w:hAnsi="Times New Roman"/>
                <w:sz w:val="20"/>
                <w:szCs w:val="20"/>
                <w:color w:val="121212"/>
              </w:rPr>
              <w:t>25,513</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121212"/>
              </w:rPr>
              <w:t>Granted</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121212"/>
              </w:rPr>
              <w:t>236,503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121212"/>
              </w:rPr>
              <w:t>43.42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Exercised</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(254,432)</w:t>
            </w: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121212"/>
              </w:rPr>
              <w:t>11.09</w:t>
            </w:r>
          </w:p>
        </w:tc>
        <w:tc>
          <w:tcPr>
            <w:tcW w:w="100" w:type="dxa"/>
            <w:vAlign w:val="bottom"/>
            <w:shd w:val="clear" w:color="auto" w:fill="E0E0E0"/>
          </w:tcPr>
          <w:p>
            <w:pPr>
              <w:spacing w:after="0"/>
              <w:rPr>
                <w:sz w:val="19"/>
                <w:szCs w:val="19"/>
                <w:color w:val="auto"/>
              </w:rPr>
            </w:pPr>
          </w:p>
        </w:tc>
        <w:tc>
          <w:tcPr>
            <w:tcW w:w="13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121212"/>
              </w:rPr>
              <w:t>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(21,173)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121212"/>
              </w:rPr>
              <w:t>17.90</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Expired</w:t>
            </w:r>
          </w:p>
        </w:tc>
        <w:tc>
          <w:tcPr>
            <w:tcW w:w="1220" w:type="dxa"/>
            <w:vAlign w:val="bottom"/>
            <w:tcBorders>
              <w:bottom w:val="single" w:sz="8" w:color="121212"/>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(142,451)</w:t>
            </w:r>
          </w:p>
        </w:tc>
        <w:tc>
          <w:tcPr>
            <w:tcW w:w="1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960" w:type="dxa"/>
            <w:vAlign w:val="bottom"/>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121212"/>
              </w:rPr>
              <w:t>111.15</w:t>
            </w:r>
          </w:p>
        </w:tc>
        <w:tc>
          <w:tcPr>
            <w:tcW w:w="100" w:type="dxa"/>
            <w:vAlign w:val="bottom"/>
            <w:shd w:val="clear" w:color="auto" w:fill="E0E0E0"/>
          </w:tcPr>
          <w:p>
            <w:pPr>
              <w:spacing w:after="0"/>
              <w:rPr>
                <w:sz w:val="19"/>
                <w:szCs w:val="19"/>
                <w:color w:val="auto"/>
              </w:rPr>
            </w:pPr>
          </w:p>
        </w:tc>
        <w:tc>
          <w:tcPr>
            <w:tcW w:w="13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104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Borders>
              <w:bottom w:val="single" w:sz="8" w:color="E0E0E0"/>
            </w:tcBorders>
          </w:tcPr>
          <w:p>
            <w:pPr>
              <w:spacing w:after="0" w:line="220" w:lineRule="exact"/>
              <w:rPr>
                <w:sz w:val="20"/>
                <w:szCs w:val="20"/>
                <w:color w:val="auto"/>
              </w:rPr>
            </w:pPr>
            <w:r>
              <w:rPr>
                <w:rFonts w:ascii="Times New Roman" w:cs="Times New Roman" w:eastAsia="Times New Roman" w:hAnsi="Times New Roman"/>
                <w:sz w:val="20"/>
                <w:szCs w:val="20"/>
                <w:color w:val="121212"/>
              </w:rPr>
              <w:t>Outstanding at December 31, 2023</w:t>
            </w:r>
          </w:p>
        </w:tc>
        <w:tc>
          <w:tcPr>
            <w:tcW w:w="1220" w:type="dxa"/>
            <w:vAlign w:val="bottom"/>
            <w:tcBorders>
              <w:bottom w:val="single" w:sz="8" w:color="121212"/>
            </w:tcBorders>
          </w:tcPr>
          <w:p>
            <w:pPr>
              <w:jc w:val="right"/>
              <w:ind w:right="4"/>
              <w:spacing w:after="0" w:line="220" w:lineRule="exact"/>
              <w:rPr>
                <w:sz w:val="20"/>
                <w:szCs w:val="20"/>
                <w:color w:val="auto"/>
              </w:rPr>
            </w:pPr>
            <w:r>
              <w:rPr>
                <w:rFonts w:ascii="Times New Roman" w:cs="Times New Roman" w:eastAsia="Times New Roman" w:hAnsi="Times New Roman"/>
                <w:sz w:val="20"/>
                <w:szCs w:val="20"/>
                <w:color w:val="121212"/>
              </w:rPr>
              <w:t>2,459,037</w:t>
            </w:r>
          </w:p>
        </w:tc>
        <w:tc>
          <w:tcPr>
            <w:tcW w:w="240" w:type="dxa"/>
            <w:vAlign w:val="bottom"/>
            <w:tcBorders>
              <w:bottom w:val="single" w:sz="8" w:color="E0E0E0"/>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960" w:type="dxa"/>
            <w:vAlign w:val="bottom"/>
            <w:tcBorders>
              <w:bottom w:val="single" w:sz="8" w:color="E0E0E0"/>
            </w:tcBorders>
          </w:tcPr>
          <w:p>
            <w:pPr>
              <w:jc w:val="right"/>
              <w:ind w:right="27"/>
              <w:spacing w:after="0" w:line="220" w:lineRule="exact"/>
              <w:rPr>
                <w:sz w:val="20"/>
                <w:szCs w:val="20"/>
                <w:color w:val="auto"/>
              </w:rPr>
            </w:pPr>
            <w:r>
              <w:rPr>
                <w:rFonts w:ascii="Times New Roman" w:cs="Times New Roman" w:eastAsia="Times New Roman" w:hAnsi="Times New Roman"/>
                <w:sz w:val="20"/>
                <w:szCs w:val="20"/>
                <w:color w:val="121212"/>
              </w:rPr>
              <w:t>13.82</w:t>
            </w:r>
          </w:p>
        </w:tc>
        <w:tc>
          <w:tcPr>
            <w:tcW w:w="1400" w:type="dxa"/>
            <w:vAlign w:val="bottom"/>
            <w:tcBorders>
              <w:bottom w:val="single" w:sz="8" w:color="E0E0E0"/>
            </w:tcBorders>
            <w:gridSpan w:val="2"/>
          </w:tcPr>
          <w:p>
            <w:pPr>
              <w:jc w:val="right"/>
              <w:ind w:right="17"/>
              <w:spacing w:after="0" w:line="220" w:lineRule="exact"/>
              <w:rPr>
                <w:sz w:val="20"/>
                <w:szCs w:val="20"/>
                <w:color w:val="auto"/>
              </w:rPr>
            </w:pPr>
            <w:r>
              <w:rPr>
                <w:rFonts w:ascii="Times New Roman" w:cs="Times New Roman" w:eastAsia="Times New Roman" w:hAnsi="Times New Roman"/>
                <w:sz w:val="20"/>
                <w:szCs w:val="20"/>
                <w:color w:val="121212"/>
              </w:rPr>
              <w:t>7.81</w:t>
            </w:r>
          </w:p>
        </w:tc>
        <w:tc>
          <w:tcPr>
            <w:tcW w:w="260" w:type="dxa"/>
            <w:vAlign w:val="bottom"/>
            <w:tcBorders>
              <w:bottom w:val="single" w:sz="8" w:color="E0E0E0"/>
            </w:tcBorders>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1040" w:type="dxa"/>
            <w:vAlign w:val="bottom"/>
            <w:tcBorders>
              <w:bottom w:val="single" w:sz="8" w:color="E0E0E0"/>
            </w:tcBorders>
          </w:tcPr>
          <w:p>
            <w:pPr>
              <w:jc w:val="right"/>
              <w:ind w:right="10"/>
              <w:spacing w:after="0" w:line="220" w:lineRule="exact"/>
              <w:rPr>
                <w:sz w:val="20"/>
                <w:szCs w:val="20"/>
                <w:color w:val="auto"/>
              </w:rPr>
            </w:pPr>
            <w:r>
              <w:rPr>
                <w:rFonts w:ascii="Times New Roman" w:cs="Times New Roman" w:eastAsia="Times New Roman" w:hAnsi="Times New Roman"/>
                <w:sz w:val="20"/>
                <w:szCs w:val="20"/>
                <w:color w:val="121212"/>
              </w:rPr>
              <w:t>109,078</w:t>
            </w:r>
          </w:p>
        </w:tc>
        <w:tc>
          <w:tcPr>
            <w:tcW w:w="0" w:type="dxa"/>
            <w:vAlign w:val="bottom"/>
          </w:tcPr>
          <w:p>
            <w:pPr>
              <w:spacing w:after="0"/>
              <w:rPr>
                <w:sz w:val="1"/>
                <w:szCs w:val="1"/>
                <w:color w:val="auto"/>
              </w:rPr>
            </w:pPr>
          </w:p>
        </w:tc>
      </w:tr>
      <w:tr>
        <w:trPr>
          <w:trHeight w:val="20"/>
        </w:trPr>
        <w:tc>
          <w:tcPr>
            <w:tcW w:w="5320" w:type="dxa"/>
            <w:vAlign w:val="bottom"/>
            <w:tcBorders>
              <w:bottom w:val="single" w:sz="8" w:color="E0E0E0"/>
            </w:tcBorders>
            <w:vMerge w:val="restart"/>
            <w:shd w:val="clear" w:color="auto" w:fill="E0E0E0"/>
          </w:tcPr>
          <w:p>
            <w:pPr>
              <w:spacing w:after="0"/>
              <w:rPr>
                <w:sz w:val="20"/>
                <w:szCs w:val="20"/>
                <w:color w:val="auto"/>
              </w:rPr>
            </w:pPr>
            <w:r>
              <w:rPr>
                <w:rFonts w:ascii="Times New Roman" w:cs="Times New Roman" w:eastAsia="Times New Roman" w:hAnsi="Times New Roman"/>
                <w:sz w:val="20"/>
                <w:szCs w:val="20"/>
                <w:color w:val="121212"/>
              </w:rPr>
              <w:t>Exercisable at December 31, 2023</w:t>
            </w:r>
          </w:p>
        </w:tc>
        <w:tc>
          <w:tcPr>
            <w:tcW w:w="1220" w:type="dxa"/>
            <w:vAlign w:val="bottom"/>
            <w:tcBorders>
              <w:bottom w:val="single" w:sz="8" w:color="121212"/>
            </w:tcBorders>
          </w:tcPr>
          <w:p>
            <w:pPr>
              <w:spacing w:after="0" w:line="20" w:lineRule="exact"/>
              <w:rPr>
                <w:sz w:val="1"/>
                <w:szCs w:val="1"/>
                <w:color w:val="auto"/>
              </w:rPr>
            </w:pPr>
          </w:p>
        </w:tc>
        <w:tc>
          <w:tcPr>
            <w:tcW w:w="240" w:type="dxa"/>
            <w:vAlign w:val="bottom"/>
            <w:tcBorders>
              <w:bottom w:val="single" w:sz="8" w:color="E0E0E0"/>
            </w:tcBorders>
            <w:gridSpan w:val="2"/>
            <w:vMerge w:val="restart"/>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w:t>
            </w:r>
          </w:p>
        </w:tc>
        <w:tc>
          <w:tcPr>
            <w:tcW w:w="960" w:type="dxa"/>
            <w:vAlign w:val="bottom"/>
            <w:tcBorders>
              <w:bottom w:val="single" w:sz="8" w:color="E0E0E0"/>
            </w:tcBorders>
            <w:vMerge w:val="restart"/>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121212"/>
              </w:rPr>
              <w:t>9.78</w:t>
            </w:r>
          </w:p>
        </w:tc>
        <w:tc>
          <w:tcPr>
            <w:tcW w:w="1400" w:type="dxa"/>
            <w:vAlign w:val="bottom"/>
            <w:tcBorders>
              <w:bottom w:val="single" w:sz="8" w:color="E0E0E0"/>
            </w:tcBorders>
            <w:gridSpan w:val="2"/>
            <w:vMerge w:val="restart"/>
            <w:shd w:val="clear" w:color="auto" w:fill="E0E0E0"/>
          </w:tcPr>
          <w:p>
            <w:pPr>
              <w:jc w:val="right"/>
              <w:ind w:right="17"/>
              <w:spacing w:after="0"/>
              <w:rPr>
                <w:sz w:val="20"/>
                <w:szCs w:val="20"/>
                <w:color w:val="auto"/>
              </w:rPr>
            </w:pPr>
            <w:r>
              <w:rPr>
                <w:rFonts w:ascii="Times New Roman" w:cs="Times New Roman" w:eastAsia="Times New Roman" w:hAnsi="Times New Roman"/>
                <w:sz w:val="20"/>
                <w:szCs w:val="20"/>
                <w:color w:val="121212"/>
              </w:rPr>
              <w:t>7.08</w:t>
            </w:r>
          </w:p>
        </w:tc>
        <w:tc>
          <w:tcPr>
            <w:tcW w:w="260" w:type="dxa"/>
            <w:vAlign w:val="bottom"/>
            <w:tcBorders>
              <w:bottom w:val="single" w:sz="8" w:color="E0E0E0"/>
            </w:tcBorders>
            <w:gridSpan w:val="2"/>
            <w:vMerge w:val="restart"/>
            <w:shd w:val="clear" w:color="auto" w:fill="E0E0E0"/>
          </w:tcPr>
          <w:p>
            <w:pPr>
              <w:ind w:left="120"/>
              <w:spacing w:after="0"/>
              <w:rPr>
                <w:sz w:val="20"/>
                <w:szCs w:val="20"/>
                <w:color w:val="auto"/>
              </w:rPr>
            </w:pPr>
            <w:r>
              <w:rPr>
                <w:rFonts w:ascii="Times New Roman" w:cs="Times New Roman" w:eastAsia="Times New Roman" w:hAnsi="Times New Roman"/>
                <w:sz w:val="20"/>
                <w:szCs w:val="20"/>
                <w:color w:val="121212"/>
              </w:rPr>
              <w:t>$</w:t>
            </w:r>
          </w:p>
        </w:tc>
        <w:tc>
          <w:tcPr>
            <w:tcW w:w="1040" w:type="dxa"/>
            <w:vAlign w:val="bottom"/>
            <w:tcBorders>
              <w:bottom w:val="single" w:sz="8" w:color="E0E0E0"/>
            </w:tcBorders>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20"/>
                <w:szCs w:val="20"/>
                <w:color w:val="121212"/>
              </w:rPr>
              <w:t>61,992</w:t>
            </w:r>
          </w:p>
        </w:tc>
        <w:tc>
          <w:tcPr>
            <w:tcW w:w="0" w:type="dxa"/>
            <w:vAlign w:val="bottom"/>
          </w:tcPr>
          <w:p>
            <w:pPr>
              <w:spacing w:after="0" w:line="20" w:lineRule="exact"/>
              <w:rPr>
                <w:sz w:val="1"/>
                <w:szCs w:val="1"/>
                <w:color w:val="auto"/>
              </w:rPr>
            </w:pPr>
          </w:p>
        </w:tc>
      </w:tr>
      <w:tr>
        <w:trPr>
          <w:trHeight w:val="215"/>
        </w:trPr>
        <w:tc>
          <w:tcPr>
            <w:tcW w:w="5320" w:type="dxa"/>
            <w:vAlign w:val="bottom"/>
            <w:vMerge w:val="continue"/>
            <w:shd w:val="clear" w:color="auto" w:fill="E0E0E0"/>
          </w:tcPr>
          <w:p>
            <w:pPr>
              <w:spacing w:after="0"/>
              <w:rPr>
                <w:sz w:val="18"/>
                <w:szCs w:val="18"/>
                <w:color w:val="auto"/>
              </w:rPr>
            </w:pPr>
          </w:p>
        </w:tc>
        <w:tc>
          <w:tcPr>
            <w:tcW w:w="1220" w:type="dxa"/>
            <w:vAlign w:val="bottom"/>
            <w:shd w:val="clear" w:color="auto" w:fill="E0E0E0"/>
          </w:tcPr>
          <w:p>
            <w:pPr>
              <w:jc w:val="right"/>
              <w:ind w:right="4"/>
              <w:spacing w:after="0" w:line="215" w:lineRule="exact"/>
              <w:rPr>
                <w:sz w:val="20"/>
                <w:szCs w:val="20"/>
                <w:color w:val="auto"/>
              </w:rPr>
            </w:pPr>
            <w:r>
              <w:rPr>
                <w:rFonts w:ascii="Times New Roman" w:cs="Times New Roman" w:eastAsia="Times New Roman" w:hAnsi="Times New Roman"/>
                <w:sz w:val="20"/>
                <w:szCs w:val="20"/>
                <w:color w:val="121212"/>
              </w:rPr>
              <w:t>1,271,208</w:t>
            </w:r>
          </w:p>
        </w:tc>
        <w:tc>
          <w:tcPr>
            <w:tcW w:w="240" w:type="dxa"/>
            <w:vAlign w:val="bottom"/>
            <w:gridSpan w:val="2"/>
            <w:vMerge w:val="continue"/>
            <w:shd w:val="clear" w:color="auto" w:fill="E0E0E0"/>
          </w:tcPr>
          <w:p>
            <w:pPr>
              <w:spacing w:after="0"/>
              <w:rPr>
                <w:sz w:val="18"/>
                <w:szCs w:val="18"/>
                <w:color w:val="auto"/>
              </w:rPr>
            </w:pPr>
          </w:p>
        </w:tc>
        <w:tc>
          <w:tcPr>
            <w:tcW w:w="960" w:type="dxa"/>
            <w:vAlign w:val="bottom"/>
            <w:vMerge w:val="continue"/>
            <w:shd w:val="clear" w:color="auto" w:fill="E0E0E0"/>
          </w:tcPr>
          <w:p>
            <w:pPr>
              <w:spacing w:after="0"/>
              <w:rPr>
                <w:sz w:val="18"/>
                <w:szCs w:val="18"/>
                <w:color w:val="auto"/>
              </w:rPr>
            </w:pPr>
          </w:p>
        </w:tc>
        <w:tc>
          <w:tcPr>
            <w:tcW w:w="1400" w:type="dxa"/>
            <w:vAlign w:val="bottom"/>
            <w:gridSpan w:val="2"/>
            <w:vMerge w:val="continue"/>
            <w:shd w:val="clear" w:color="auto" w:fill="E0E0E0"/>
          </w:tcPr>
          <w:p>
            <w:pPr>
              <w:spacing w:after="0"/>
              <w:rPr>
                <w:sz w:val="18"/>
                <w:szCs w:val="18"/>
                <w:color w:val="auto"/>
              </w:rPr>
            </w:pPr>
          </w:p>
        </w:tc>
        <w:tc>
          <w:tcPr>
            <w:tcW w:w="260" w:type="dxa"/>
            <w:vAlign w:val="bottom"/>
            <w:gridSpan w:val="2"/>
            <w:vMerge w:val="continue"/>
            <w:shd w:val="clear" w:color="auto" w:fill="E0E0E0"/>
          </w:tcPr>
          <w:p>
            <w:pPr>
              <w:spacing w:after="0"/>
              <w:rPr>
                <w:sz w:val="18"/>
                <w:szCs w:val="18"/>
                <w:color w:val="auto"/>
              </w:rPr>
            </w:pPr>
          </w:p>
        </w:tc>
        <w:tc>
          <w:tcPr>
            <w:tcW w:w="1040" w:type="dxa"/>
            <w:vAlign w:val="bottom"/>
            <w:vMerge w:val="continue"/>
            <w:shd w:val="clear" w:color="auto" w:fill="E0E0E0"/>
          </w:tcPr>
          <w:p>
            <w:pPr>
              <w:spacing w:after="0"/>
              <w:rPr>
                <w:sz w:val="18"/>
                <w:szCs w:val="18"/>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121212"/>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years ended December 31, 2023 and 2022 was $8.3 million and $0.6 million, respectively.</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The weighted-average assumptions used to estimate the fair value of stock options granted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Year Ended</w:t>
            </w:r>
          </w:p>
        </w:tc>
        <w:tc>
          <w:tcPr>
            <w:tcW w:w="1140" w:type="dxa"/>
            <w:vAlign w:val="bottom"/>
          </w:tcPr>
          <w:p>
            <w:pPr>
              <w:spacing w:after="0"/>
              <w:rPr>
                <w:sz w:val="16"/>
                <w:szCs w:val="16"/>
                <w:color w:val="auto"/>
              </w:rPr>
            </w:pPr>
          </w:p>
        </w:tc>
      </w:tr>
      <w:tr>
        <w:trPr>
          <w:trHeight w:val="203"/>
        </w:trPr>
        <w:tc>
          <w:tcPr>
            <w:tcW w:w="5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00" w:type="dxa"/>
            <w:vAlign w:val="bottom"/>
            <w:tcBorders>
              <w:bottom w:val="single" w:sz="8" w:color="121212"/>
            </w:tcBorders>
          </w:tcPr>
          <w:p>
            <w:pPr>
              <w:spacing w:after="0"/>
              <w:rPr>
                <w:sz w:val="17"/>
                <w:szCs w:val="17"/>
                <w:color w:val="auto"/>
              </w:rPr>
            </w:pPr>
          </w:p>
        </w:tc>
        <w:tc>
          <w:tcPr>
            <w:tcW w:w="1240" w:type="dxa"/>
            <w:vAlign w:val="bottom"/>
            <w:tcBorders>
              <w:bottom w:val="single" w:sz="8" w:color="121212"/>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140" w:type="dxa"/>
            <w:vAlign w:val="bottom"/>
            <w:tcBorders>
              <w:bottom w:val="single" w:sz="8" w:color="121212"/>
            </w:tcBorders>
          </w:tcPr>
          <w:p>
            <w:pPr>
              <w:spacing w:after="0"/>
              <w:rPr>
                <w:sz w:val="17"/>
                <w:szCs w:val="17"/>
                <w:color w:val="auto"/>
              </w:rPr>
            </w:pPr>
          </w:p>
        </w:tc>
      </w:tr>
      <w:tr>
        <w:trPr>
          <w:trHeight w:val="174"/>
        </w:trPr>
        <w:tc>
          <w:tcPr>
            <w:tcW w:w="5100" w:type="dxa"/>
            <w:vAlign w:val="bottom"/>
            <w:tcBorders>
              <w:bottom w:val="single" w:sz="8" w:color="E0E0E0"/>
            </w:tcBorders>
          </w:tcPr>
          <w:p>
            <w:pPr>
              <w:spacing w:after="0"/>
              <w:rPr>
                <w:sz w:val="15"/>
                <w:szCs w:val="15"/>
                <w:color w:val="auto"/>
              </w:rPr>
            </w:pPr>
          </w:p>
        </w:tc>
        <w:tc>
          <w:tcPr>
            <w:tcW w:w="2060" w:type="dxa"/>
            <w:vAlign w:val="bottom"/>
            <w:tcBorders>
              <w:bottom w:val="single" w:sz="8" w:color="E0E0E0"/>
            </w:tcBorders>
          </w:tcPr>
          <w:p>
            <w:pPr>
              <w:spacing w:after="0"/>
              <w:rPr>
                <w:sz w:val="15"/>
                <w:szCs w:val="15"/>
                <w:color w:val="auto"/>
              </w:rPr>
            </w:pPr>
          </w:p>
        </w:tc>
        <w:tc>
          <w:tcPr>
            <w:tcW w:w="900" w:type="dxa"/>
            <w:vAlign w:val="bottom"/>
            <w:tcBorders>
              <w:bottom w:val="single" w:sz="8" w:color="121212"/>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660" w:type="dxa"/>
            <w:vAlign w:val="bottom"/>
            <w:tcBorders>
              <w:bottom w:val="single" w:sz="8" w:color="121212"/>
            </w:tcBorders>
          </w:tcPr>
          <w:p>
            <w:pPr>
              <w:spacing w:after="0"/>
              <w:rPr>
                <w:sz w:val="15"/>
                <w:szCs w:val="15"/>
                <w:color w:val="auto"/>
              </w:rPr>
            </w:pPr>
          </w:p>
        </w:tc>
        <w:tc>
          <w:tcPr>
            <w:tcW w:w="180" w:type="dxa"/>
            <w:vAlign w:val="bottom"/>
            <w:tcBorders>
              <w:bottom w:val="single" w:sz="8" w:color="E0E0E0"/>
            </w:tcBorders>
          </w:tcPr>
          <w:p>
            <w:pPr>
              <w:spacing w:after="0"/>
              <w:rPr>
                <w:sz w:val="15"/>
                <w:szCs w:val="15"/>
                <w:color w:val="auto"/>
              </w:rPr>
            </w:pPr>
          </w:p>
        </w:tc>
        <w:tc>
          <w:tcPr>
            <w:tcW w:w="400" w:type="dxa"/>
            <w:vAlign w:val="bottom"/>
            <w:tcBorders>
              <w:bottom w:val="single" w:sz="8" w:color="121212"/>
            </w:tcBorders>
          </w:tcPr>
          <w:p>
            <w:pPr>
              <w:spacing w:after="0"/>
              <w:rPr>
                <w:sz w:val="15"/>
                <w:szCs w:val="15"/>
                <w:color w:val="auto"/>
              </w:rPr>
            </w:pPr>
          </w:p>
        </w:tc>
        <w:tc>
          <w:tcPr>
            <w:tcW w:w="1140" w:type="dxa"/>
            <w:vAlign w:val="bottom"/>
            <w:tcBorders>
              <w:bottom w:val="single" w:sz="8" w:color="121212"/>
            </w:tcBorders>
          </w:tcPr>
          <w:p>
            <w:pPr>
              <w:jc w:val="right"/>
              <w:ind w:right="603"/>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510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Risk-free interest rate</w:t>
            </w:r>
          </w:p>
        </w:tc>
        <w:tc>
          <w:tcPr>
            <w:tcW w:w="206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4.03%</w:t>
            </w:r>
          </w:p>
        </w:tc>
        <w:tc>
          <w:tcPr>
            <w:tcW w:w="180" w:type="dxa"/>
            <w:vAlign w:val="bottom"/>
            <w:shd w:val="clear" w:color="auto" w:fill="E0E0E0"/>
          </w:tcPr>
          <w:p>
            <w:pPr>
              <w:spacing w:after="0"/>
              <w:rPr>
                <w:sz w:val="19"/>
                <w:szCs w:val="19"/>
                <w:color w:val="auto"/>
              </w:rPr>
            </w:pPr>
          </w:p>
        </w:tc>
        <w:tc>
          <w:tcPr>
            <w:tcW w:w="40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3.54%</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121212"/>
              </w:rPr>
              <w:t>Expected term (in years)</w:t>
            </w: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ind w:right="86"/>
              <w:spacing w:after="0"/>
              <w:rPr>
                <w:sz w:val="20"/>
                <w:szCs w:val="20"/>
                <w:color w:val="auto"/>
              </w:rPr>
            </w:pPr>
            <w:r>
              <w:rPr>
                <w:rFonts w:ascii="Times New Roman" w:cs="Times New Roman" w:eastAsia="Times New Roman" w:hAnsi="Times New Roman"/>
                <w:sz w:val="20"/>
                <w:szCs w:val="20"/>
                <w:color w:val="121212"/>
              </w:rPr>
              <w:t>6.88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121212"/>
              </w:rPr>
              <w:t>5.94</w:t>
            </w:r>
          </w:p>
        </w:tc>
      </w:tr>
      <w:tr>
        <w:trPr>
          <w:trHeight w:val="230"/>
        </w:trPr>
        <w:tc>
          <w:tcPr>
            <w:tcW w:w="51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Expected volatility</w:t>
            </w:r>
          </w:p>
        </w:tc>
        <w:tc>
          <w:tcPr>
            <w:tcW w:w="206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59%</w:t>
            </w:r>
          </w:p>
        </w:tc>
        <w:tc>
          <w:tcPr>
            <w:tcW w:w="180" w:type="dxa"/>
            <w:vAlign w:val="bottom"/>
            <w:shd w:val="clear" w:color="auto" w:fill="E0E0E0"/>
          </w:tcPr>
          <w:p>
            <w:pPr>
              <w:spacing w:after="0"/>
              <w:rPr>
                <w:sz w:val="19"/>
                <w:szCs w:val="19"/>
                <w:color w:val="auto"/>
              </w:rPr>
            </w:pPr>
          </w:p>
        </w:tc>
        <w:tc>
          <w:tcPr>
            <w:tcW w:w="400" w:type="dxa"/>
            <w:vAlign w:val="bottom"/>
            <w:shd w:val="clear" w:color="auto" w:fill="E0E0E0"/>
          </w:tcPr>
          <w:p>
            <w:pPr>
              <w:spacing w:after="0"/>
              <w:rPr>
                <w:sz w:val="19"/>
                <w:szCs w:val="19"/>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60%</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121212"/>
              </w:rPr>
              <w:t>Expected dividend yield</w:t>
            </w:r>
          </w:p>
        </w:tc>
        <w:tc>
          <w:tcPr>
            <w:tcW w:w="2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0%</w:t>
            </w:r>
          </w:p>
        </w:tc>
      </w:tr>
      <w:tr>
        <w:trPr>
          <w:trHeight w:val="230"/>
        </w:trPr>
        <w:tc>
          <w:tcPr>
            <w:tcW w:w="51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Fair value per share of common stock</w:t>
            </w:r>
          </w:p>
        </w:tc>
        <w:tc>
          <w:tcPr>
            <w:tcW w:w="2960" w:type="dxa"/>
            <w:vAlign w:val="bottom"/>
            <w:gridSpan w:val="2"/>
            <w:shd w:val="clear" w:color="auto" w:fill="E0E0E0"/>
          </w:tcPr>
          <w:p>
            <w:pPr>
              <w:jc w:val="right"/>
              <w:ind w:right="720"/>
              <w:spacing w:after="0"/>
              <w:rPr>
                <w:sz w:val="20"/>
                <w:szCs w:val="20"/>
                <w:color w:val="auto"/>
              </w:rPr>
            </w:pPr>
            <w:r>
              <w:rPr>
                <w:rFonts w:ascii="Times New Roman" w:cs="Times New Roman" w:eastAsia="Times New Roman" w:hAnsi="Times New Roman"/>
                <w:sz w:val="20"/>
                <w:szCs w:val="20"/>
                <w:color w:val="121212"/>
              </w:rPr>
              <w:t>$</w:t>
            </w:r>
          </w:p>
        </w:tc>
        <w:tc>
          <w:tcPr>
            <w:tcW w:w="660" w:type="dxa"/>
            <w:vAlign w:val="bottom"/>
            <w:shd w:val="clear" w:color="auto" w:fill="E0E0E0"/>
          </w:tcPr>
          <w:p>
            <w:pPr>
              <w:jc w:val="right"/>
              <w:ind w:right="86"/>
              <w:spacing w:after="0"/>
              <w:rPr>
                <w:sz w:val="20"/>
                <w:szCs w:val="20"/>
                <w:color w:val="auto"/>
              </w:rPr>
            </w:pPr>
            <w:r>
              <w:rPr>
                <w:rFonts w:ascii="Times New Roman" w:cs="Times New Roman" w:eastAsia="Times New Roman" w:hAnsi="Times New Roman"/>
                <w:sz w:val="20"/>
                <w:szCs w:val="20"/>
                <w:color w:val="121212"/>
              </w:rPr>
              <w:t>43.42</w:t>
            </w:r>
          </w:p>
        </w:tc>
        <w:tc>
          <w:tcPr>
            <w:tcW w:w="580" w:type="dxa"/>
            <w:vAlign w:val="bottom"/>
            <w:gridSpan w:val="2"/>
            <w:shd w:val="clear" w:color="auto" w:fill="E0E0E0"/>
          </w:tcPr>
          <w:p>
            <w:pPr>
              <w:jc w:val="right"/>
              <w:ind w:right="300"/>
              <w:spacing w:after="0"/>
              <w:rPr>
                <w:sz w:val="20"/>
                <w:szCs w:val="20"/>
                <w:color w:val="auto"/>
              </w:rPr>
            </w:pPr>
            <w:r>
              <w:rPr>
                <w:rFonts w:ascii="Times New Roman" w:cs="Times New Roman" w:eastAsia="Times New Roman" w:hAnsi="Times New Roman"/>
                <w:sz w:val="20"/>
                <w:szCs w:val="20"/>
                <w:color w:val="121212"/>
              </w:rPr>
              <w:t>$</w:t>
            </w:r>
          </w:p>
        </w:tc>
        <w:tc>
          <w:tcPr>
            <w:tcW w:w="1140" w:type="dxa"/>
            <w:vAlign w:val="bottom"/>
            <w:shd w:val="clear" w:color="auto" w:fill="E0E0E0"/>
          </w:tcPr>
          <w:p>
            <w:pPr>
              <w:jc w:val="right"/>
              <w:ind w:right="83"/>
              <w:spacing w:after="0"/>
              <w:rPr>
                <w:sz w:val="20"/>
                <w:szCs w:val="20"/>
                <w:color w:val="auto"/>
              </w:rPr>
            </w:pPr>
            <w:r>
              <w:rPr>
                <w:rFonts w:ascii="Times New Roman" w:cs="Times New Roman" w:eastAsia="Times New Roman" w:hAnsi="Times New Roman"/>
                <w:sz w:val="20"/>
                <w:szCs w:val="20"/>
                <w:color w:val="121212"/>
              </w:rPr>
              <w:t>13.94</w:t>
            </w:r>
          </w:p>
        </w:tc>
      </w:tr>
    </w:tbl>
    <w:p>
      <w:pPr>
        <w:spacing w:after="0" w:line="119"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121212"/>
        </w:rPr>
        <w:t>The weighted-average grant date fair value of options granted in the years ended December 31, 2023 and 2022 was $26.54 and $8.13 per share, respectively.</w:t>
      </w:r>
    </w:p>
    <w:p>
      <w:pPr>
        <w:spacing w:after="0" w:line="49"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121212"/>
        </w:rPr>
        <w:t>The total fair value of options vested during the years ended December 31, 2023 and 2022 was $3.7 million and $1.9 million, respectively.</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127</w:t>
      </w:r>
    </w:p>
    <w:p>
      <w:pPr>
        <w:sectPr>
          <w:pgSz w:w="12240" w:h="15840" w:orient="portrait"/>
          <w:cols w:equalWidth="0" w:num="1">
            <w:col w:w="10440"/>
          </w:cols>
          <w:pgMar w:left="900" w:top="930" w:right="900" w:bottom="175"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i w:val="1"/>
          <w:iCs w:val="1"/>
          <w:color w:val="121212"/>
        </w:rPr>
        <w:t>Shares of Restricted Common Stock</w:t>
      </w:r>
    </w:p>
    <w:p>
      <w:pPr>
        <w:spacing w:after="0" w:line="120" w:lineRule="exact"/>
        <w:rPr>
          <w:sz w:val="20"/>
          <w:szCs w:val="20"/>
          <w:color w:val="auto"/>
        </w:rPr>
      </w:pPr>
    </w:p>
    <w:p>
      <w:pPr>
        <w:ind w:right="20" w:firstLine="490"/>
        <w:spacing w:after="0" w:line="263" w:lineRule="auto"/>
        <w:rPr>
          <w:sz w:val="20"/>
          <w:szCs w:val="20"/>
          <w:color w:val="auto"/>
        </w:rPr>
      </w:pPr>
      <w:r>
        <w:rPr>
          <w:rFonts w:ascii="Times New Roman" w:cs="Times New Roman" w:eastAsia="Times New Roman" w:hAnsi="Times New Roman"/>
          <w:sz w:val="19"/>
          <w:szCs w:val="19"/>
          <w:color w:val="121212"/>
        </w:rPr>
        <w:t>As of December 31, 2023, the Company had issued a total of 63,061 shares of restricted common stock to the founders of Private Disc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 As of December 31, 2023, all awards of restricted common stock were fully vested.</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A summary of restricted common stock activity is as follows:</w:t>
      </w:r>
    </w:p>
    <w:p>
      <w:pPr>
        <w:spacing w:after="0" w:line="23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6"/>
          <w:szCs w:val="16"/>
          <w:b w:val="1"/>
          <w:bCs w:val="1"/>
          <w:color w:val="121212"/>
        </w:rPr>
        <w:t>Year Ended</w:t>
      </w:r>
    </w:p>
    <w:p>
      <w:pPr>
        <w:spacing w:after="0" w:line="1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6"/>
          <w:szCs w:val="16"/>
          <w:b w:val="1"/>
          <w:bCs w:val="1"/>
          <w:color w:val="121212"/>
        </w:rPr>
        <w:t>December 31,</w:t>
      </w:r>
    </w:p>
    <w:tbl>
      <w:tblPr>
        <w:tblLayout w:type="fixed"/>
        <w:tblInd w:w="0" w:type="dxa"/>
        <w:tblCellMar>
          <w:top w:w="0" w:type="dxa"/>
          <w:left w:w="0" w:type="dxa"/>
          <w:bottom w:w="0" w:type="dxa"/>
          <w:right w:w="0" w:type="dxa"/>
        </w:tblCellMar>
      </w:tblPr>
      <w:tr>
        <w:trPr>
          <w:trHeight w:val="174"/>
        </w:trPr>
        <w:tc>
          <w:tcPr>
            <w:tcW w:w="7120" w:type="dxa"/>
            <w:vAlign w:val="bottom"/>
          </w:tcPr>
          <w:p>
            <w:pPr>
              <w:spacing w:after="0"/>
              <w:rPr>
                <w:sz w:val="15"/>
                <w:szCs w:val="15"/>
                <w:color w:val="auto"/>
              </w:rPr>
            </w:pPr>
          </w:p>
        </w:tc>
        <w:tc>
          <w:tcPr>
            <w:tcW w:w="940" w:type="dxa"/>
            <w:vAlign w:val="bottom"/>
            <w:tcBorders>
              <w:top w:val="single" w:sz="8" w:color="121212"/>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660" w:type="dxa"/>
            <w:vAlign w:val="bottom"/>
            <w:tcBorders>
              <w:top w:val="single" w:sz="8" w:color="121212"/>
            </w:tcBorders>
          </w:tcPr>
          <w:p>
            <w:pPr>
              <w:spacing w:after="0"/>
              <w:rPr>
                <w:sz w:val="15"/>
                <w:szCs w:val="15"/>
                <w:color w:val="auto"/>
              </w:rPr>
            </w:pPr>
          </w:p>
        </w:tc>
        <w:tc>
          <w:tcPr>
            <w:tcW w:w="1720" w:type="dxa"/>
            <w:vAlign w:val="bottom"/>
            <w:tcBorders>
              <w:top w:val="single" w:sz="8" w:color="121212"/>
            </w:tcBorders>
            <w:gridSpan w:val="2"/>
          </w:tcPr>
          <w:p>
            <w:pPr>
              <w:jc w:val="right"/>
              <w:ind w:right="580"/>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712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Unvested at the beginning of the year</w:t>
            </w:r>
          </w:p>
        </w:tc>
        <w:tc>
          <w:tcPr>
            <w:tcW w:w="940" w:type="dxa"/>
            <w:vAlign w:val="bottom"/>
            <w:tcBorders>
              <w:top w:val="single" w:sz="8" w:color="121212"/>
            </w:tcBorders>
            <w:shd w:val="clear" w:color="auto" w:fill="E0E0E0"/>
          </w:tcPr>
          <w:p>
            <w:pPr>
              <w:spacing w:after="0"/>
              <w:rPr>
                <w:sz w:val="19"/>
                <w:szCs w:val="19"/>
                <w:color w:val="auto"/>
              </w:rPr>
            </w:pPr>
          </w:p>
        </w:tc>
        <w:tc>
          <w:tcPr>
            <w:tcW w:w="660" w:type="dxa"/>
            <w:vAlign w:val="bottom"/>
            <w:tcBorders>
              <w:top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1,916</w:t>
            </w:r>
          </w:p>
        </w:tc>
        <w:tc>
          <w:tcPr>
            <w:tcW w:w="120" w:type="dxa"/>
            <w:vAlign w:val="bottom"/>
            <w:tcBorders>
              <w:top w:val="single" w:sz="8" w:color="E0E0E0"/>
            </w:tcBorders>
            <w:shd w:val="clear" w:color="auto" w:fill="E0E0E0"/>
          </w:tcPr>
          <w:p>
            <w:pPr>
              <w:spacing w:after="0"/>
              <w:rPr>
                <w:sz w:val="19"/>
                <w:szCs w:val="19"/>
                <w:color w:val="auto"/>
              </w:rPr>
            </w:pPr>
          </w:p>
        </w:tc>
        <w:tc>
          <w:tcPr>
            <w:tcW w:w="1600" w:type="dxa"/>
            <w:vAlign w:val="bottom"/>
            <w:tcBorders>
              <w:top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10,170</w:t>
            </w:r>
          </w:p>
        </w:tc>
      </w:tr>
      <w:tr>
        <w:trPr>
          <w:trHeight w:val="230"/>
        </w:trPr>
        <w:tc>
          <w:tcPr>
            <w:tcW w:w="712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121212"/>
              </w:rPr>
              <w:t>Vested</w:t>
            </w:r>
          </w:p>
        </w:tc>
        <w:tc>
          <w:tcPr>
            <w:tcW w:w="940" w:type="dxa"/>
            <w:vAlign w:val="bottom"/>
            <w:tcBorders>
              <w:bottom w:val="single" w:sz="8" w:color="121212"/>
            </w:tcBorders>
          </w:tcPr>
          <w:p>
            <w:pPr>
              <w:spacing w:after="0"/>
              <w:rPr>
                <w:sz w:val="19"/>
                <w:szCs w:val="19"/>
                <w:color w:val="auto"/>
              </w:rPr>
            </w:pPr>
          </w:p>
        </w:tc>
        <w:tc>
          <w:tcPr>
            <w:tcW w:w="66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(1,916)</w:t>
            </w:r>
          </w:p>
        </w:tc>
        <w:tc>
          <w:tcPr>
            <w:tcW w:w="120" w:type="dxa"/>
            <w:vAlign w:val="bottom"/>
            <w:tcBorders>
              <w:bottom w:val="single" w:sz="8" w:color="E0E0E0"/>
            </w:tcBorders>
          </w:tcPr>
          <w:p>
            <w:pPr>
              <w:spacing w:after="0"/>
              <w:rPr>
                <w:sz w:val="19"/>
                <w:szCs w:val="19"/>
                <w:color w:val="auto"/>
              </w:rPr>
            </w:pPr>
          </w:p>
        </w:tc>
        <w:tc>
          <w:tcPr>
            <w:tcW w:w="160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(8,254)</w:t>
            </w:r>
          </w:p>
        </w:tc>
      </w:tr>
      <w:tr>
        <w:trPr>
          <w:trHeight w:val="220"/>
        </w:trPr>
        <w:tc>
          <w:tcPr>
            <w:tcW w:w="71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Unvested at the end of the period</w:t>
            </w:r>
          </w:p>
        </w:tc>
        <w:tc>
          <w:tcPr>
            <w:tcW w:w="940" w:type="dxa"/>
            <w:vAlign w:val="bottom"/>
            <w:tcBorders>
              <w:bottom w:val="single" w:sz="8" w:color="121212"/>
            </w:tcBorders>
            <w:shd w:val="clear" w:color="auto" w:fill="E0E0E0"/>
          </w:tcPr>
          <w:p>
            <w:pPr>
              <w:spacing w:after="0"/>
              <w:rPr>
                <w:sz w:val="19"/>
                <w:szCs w:val="19"/>
                <w:color w:val="auto"/>
              </w:rPr>
            </w:pPr>
          </w:p>
        </w:tc>
        <w:tc>
          <w:tcPr>
            <w:tcW w:w="66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120" w:type="dxa"/>
            <w:vAlign w:val="bottom"/>
            <w:shd w:val="clear" w:color="auto" w:fill="E0E0E0"/>
          </w:tcPr>
          <w:p>
            <w:pPr>
              <w:spacing w:after="0"/>
              <w:rPr>
                <w:sz w:val="19"/>
                <w:szCs w:val="19"/>
                <w:color w:val="auto"/>
              </w:rPr>
            </w:pPr>
          </w:p>
        </w:tc>
        <w:tc>
          <w:tcPr>
            <w:tcW w:w="160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1,916</w:t>
            </w:r>
          </w:p>
        </w:tc>
      </w:tr>
      <w:tr>
        <w:trPr>
          <w:trHeight w:val="20"/>
        </w:trPr>
        <w:tc>
          <w:tcPr>
            <w:tcW w:w="7120" w:type="dxa"/>
            <w:vAlign w:val="bottom"/>
          </w:tcPr>
          <w:p>
            <w:pPr>
              <w:spacing w:after="0" w:line="20" w:lineRule="exact"/>
              <w:rPr>
                <w:sz w:val="1"/>
                <w:szCs w:val="1"/>
                <w:color w:val="auto"/>
              </w:rPr>
            </w:pPr>
          </w:p>
        </w:tc>
        <w:tc>
          <w:tcPr>
            <w:tcW w:w="940" w:type="dxa"/>
            <w:vAlign w:val="bottom"/>
            <w:tcBorders>
              <w:bottom w:val="single" w:sz="8" w:color="121212"/>
            </w:tcBorders>
          </w:tcPr>
          <w:p>
            <w:pPr>
              <w:spacing w:after="0" w:line="20" w:lineRule="exact"/>
              <w:rPr>
                <w:sz w:val="1"/>
                <w:szCs w:val="1"/>
                <w:color w:val="auto"/>
              </w:rPr>
            </w:pPr>
          </w:p>
        </w:tc>
        <w:tc>
          <w:tcPr>
            <w:tcW w:w="660" w:type="dxa"/>
            <w:vAlign w:val="bottom"/>
            <w:tcBorders>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121212"/>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Stock-Based Compensation Expense</w:t>
      </w:r>
    </w:p>
    <w:p>
      <w:pPr>
        <w:spacing w:after="0" w:line="120" w:lineRule="exact"/>
        <w:rPr>
          <w:sz w:val="20"/>
          <w:szCs w:val="20"/>
          <w:color w:val="auto"/>
        </w:rPr>
      </w:pPr>
    </w:p>
    <w:p>
      <w:pPr>
        <w:jc w:val="both"/>
        <w:ind w:right="240" w:firstLine="490"/>
        <w:spacing w:after="0" w:line="277" w:lineRule="auto"/>
        <w:rPr>
          <w:sz w:val="20"/>
          <w:szCs w:val="20"/>
          <w:color w:val="auto"/>
        </w:rPr>
      </w:pPr>
      <w:r>
        <w:rPr>
          <w:rFonts w:ascii="Times New Roman" w:cs="Times New Roman" w:eastAsia="Times New Roman" w:hAnsi="Times New Roman"/>
          <w:sz w:val="20"/>
          <w:szCs w:val="20"/>
          <w:color w:val="121212"/>
        </w:rPr>
        <w:t>Total stock-based compensation expense recorded as research and development and general and administrative expenses, respectively, for employees, directors and non-employees is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121212"/>
              </w:rPr>
              <w:t>Year Ended</w:t>
            </w:r>
          </w:p>
        </w:tc>
        <w:tc>
          <w:tcPr>
            <w:tcW w:w="11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Borders>
              <w:bottom w:val="single" w:sz="8" w:color="121212"/>
            </w:tcBorders>
          </w:tcPr>
          <w:p>
            <w:pPr>
              <w:spacing w:after="0"/>
              <w:rPr>
                <w:sz w:val="17"/>
                <w:szCs w:val="17"/>
                <w:color w:val="auto"/>
              </w:rPr>
            </w:pPr>
          </w:p>
        </w:tc>
        <w:tc>
          <w:tcPr>
            <w:tcW w:w="1240" w:type="dxa"/>
            <w:vAlign w:val="bottom"/>
            <w:tcBorders>
              <w:bottom w:val="single" w:sz="8" w:color="121212"/>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100" w:type="dxa"/>
            <w:vAlign w:val="bottom"/>
            <w:tcBorders>
              <w:bottom w:val="single" w:sz="8" w:color="121212"/>
            </w:tcBorders>
          </w:tcPr>
          <w:p>
            <w:pPr>
              <w:spacing w:after="0"/>
              <w:rPr>
                <w:sz w:val="17"/>
                <w:szCs w:val="17"/>
                <w:color w:val="auto"/>
              </w:rPr>
            </w:pPr>
          </w:p>
        </w:tc>
      </w:tr>
      <w:tr>
        <w:trPr>
          <w:trHeight w:val="174"/>
        </w:trPr>
        <w:tc>
          <w:tcPr>
            <w:tcW w:w="5220" w:type="dxa"/>
            <w:vAlign w:val="bottom"/>
            <w:tcBorders>
              <w:bottom w:val="single" w:sz="8" w:color="E0E0E0"/>
            </w:tcBorders>
          </w:tcPr>
          <w:p>
            <w:pPr>
              <w:spacing w:after="0"/>
              <w:rPr>
                <w:sz w:val="15"/>
                <w:szCs w:val="15"/>
                <w:color w:val="auto"/>
              </w:rPr>
            </w:pPr>
          </w:p>
        </w:tc>
        <w:tc>
          <w:tcPr>
            <w:tcW w:w="1940" w:type="dxa"/>
            <w:vAlign w:val="bottom"/>
            <w:tcBorders>
              <w:bottom w:val="single" w:sz="8" w:color="E0E0E0"/>
            </w:tcBorders>
          </w:tcPr>
          <w:p>
            <w:pPr>
              <w:spacing w:after="0"/>
              <w:rPr>
                <w:sz w:val="15"/>
                <w:szCs w:val="15"/>
                <w:color w:val="auto"/>
              </w:rPr>
            </w:pPr>
          </w:p>
        </w:tc>
        <w:tc>
          <w:tcPr>
            <w:tcW w:w="940" w:type="dxa"/>
            <w:vAlign w:val="bottom"/>
            <w:tcBorders>
              <w:bottom w:val="single" w:sz="8" w:color="121212"/>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620" w:type="dxa"/>
            <w:vAlign w:val="bottom"/>
            <w:tcBorders>
              <w:bottom w:val="single" w:sz="8" w:color="121212"/>
            </w:tcBorders>
          </w:tcPr>
          <w:p>
            <w:pPr>
              <w:spacing w:after="0"/>
              <w:rPr>
                <w:sz w:val="15"/>
                <w:szCs w:val="15"/>
                <w:color w:val="auto"/>
              </w:rPr>
            </w:pPr>
          </w:p>
        </w:tc>
        <w:tc>
          <w:tcPr>
            <w:tcW w:w="180" w:type="dxa"/>
            <w:vAlign w:val="bottom"/>
            <w:tcBorders>
              <w:bottom w:val="single" w:sz="8" w:color="E0E0E0"/>
            </w:tcBorders>
          </w:tcPr>
          <w:p>
            <w:pPr>
              <w:spacing w:after="0"/>
              <w:rPr>
                <w:sz w:val="15"/>
                <w:szCs w:val="15"/>
                <w:color w:val="auto"/>
              </w:rPr>
            </w:pPr>
          </w:p>
        </w:tc>
        <w:tc>
          <w:tcPr>
            <w:tcW w:w="44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565"/>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52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Research and development</w:t>
            </w:r>
          </w:p>
        </w:tc>
        <w:tc>
          <w:tcPr>
            <w:tcW w:w="1940" w:type="dxa"/>
            <w:vAlign w:val="bottom"/>
            <w:shd w:val="clear" w:color="auto" w:fill="E0E0E0"/>
          </w:tcPr>
          <w:p>
            <w:pPr>
              <w:spacing w:after="0"/>
              <w:rPr>
                <w:sz w:val="19"/>
                <w:szCs w:val="19"/>
                <w:color w:val="auto"/>
              </w:rPr>
            </w:pPr>
          </w:p>
        </w:tc>
        <w:tc>
          <w:tcPr>
            <w:tcW w:w="940" w:type="dxa"/>
            <w:vAlign w:val="bottom"/>
            <w:shd w:val="clear" w:color="auto" w:fill="E0E0E0"/>
          </w:tcPr>
          <w:p>
            <w:pPr>
              <w:jc w:val="right"/>
              <w:ind w:right="747"/>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620" w:type="dxa"/>
            <w:vAlign w:val="bottom"/>
            <w:shd w:val="clear" w:color="auto" w:fill="E0E0E0"/>
          </w:tcPr>
          <w:p>
            <w:pPr>
              <w:jc w:val="right"/>
              <w:ind w:right="8"/>
              <w:spacing w:after="0" w:line="220" w:lineRule="exact"/>
              <w:rPr>
                <w:sz w:val="20"/>
                <w:szCs w:val="20"/>
                <w:color w:val="auto"/>
              </w:rPr>
            </w:pPr>
            <w:r>
              <w:rPr>
                <w:rFonts w:ascii="Times New Roman" w:cs="Times New Roman" w:eastAsia="Times New Roman" w:hAnsi="Times New Roman"/>
                <w:sz w:val="20"/>
                <w:szCs w:val="20"/>
                <w:color w:val="121212"/>
              </w:rPr>
              <w:t>1,767</w:t>
            </w: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jc w:val="right"/>
              <w:ind w:right="24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shd w:val="clear" w:color="auto" w:fill="E0E0E0"/>
          </w:tcPr>
          <w:p>
            <w:pPr>
              <w:jc w:val="right"/>
              <w:ind w:right="5"/>
              <w:spacing w:after="0" w:line="220" w:lineRule="exact"/>
              <w:rPr>
                <w:sz w:val="20"/>
                <w:szCs w:val="20"/>
                <w:color w:val="auto"/>
              </w:rPr>
            </w:pPr>
            <w:r>
              <w:rPr>
                <w:rFonts w:ascii="Times New Roman" w:cs="Times New Roman" w:eastAsia="Times New Roman" w:hAnsi="Times New Roman"/>
                <w:sz w:val="20"/>
                <w:szCs w:val="20"/>
                <w:color w:val="121212"/>
              </w:rPr>
              <w:t>581</w:t>
            </w:r>
          </w:p>
        </w:tc>
      </w:tr>
      <w:tr>
        <w:trPr>
          <w:trHeight w:val="230"/>
        </w:trPr>
        <w:tc>
          <w:tcPr>
            <w:tcW w:w="52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121212"/>
              </w:rPr>
              <w:t>General and administrative</w:t>
            </w:r>
          </w:p>
        </w:tc>
        <w:tc>
          <w:tcPr>
            <w:tcW w:w="1940" w:type="dxa"/>
            <w:vAlign w:val="bottom"/>
            <w:tcBorders>
              <w:bottom w:val="single" w:sz="8" w:color="E0E0E0"/>
            </w:tcBorders>
          </w:tcPr>
          <w:p>
            <w:pPr>
              <w:spacing w:after="0"/>
              <w:rPr>
                <w:sz w:val="19"/>
                <w:szCs w:val="19"/>
                <w:color w:val="auto"/>
              </w:rPr>
            </w:pPr>
          </w:p>
        </w:tc>
        <w:tc>
          <w:tcPr>
            <w:tcW w:w="940" w:type="dxa"/>
            <w:vAlign w:val="bottom"/>
            <w:tcBorders>
              <w:bottom w:val="single" w:sz="8" w:color="121212"/>
            </w:tcBorders>
          </w:tcPr>
          <w:p>
            <w:pPr>
              <w:spacing w:after="0"/>
              <w:rPr>
                <w:sz w:val="19"/>
                <w:szCs w:val="19"/>
                <w:color w:val="auto"/>
              </w:rPr>
            </w:pPr>
          </w:p>
        </w:tc>
        <w:tc>
          <w:tcPr>
            <w:tcW w:w="620" w:type="dxa"/>
            <w:vAlign w:val="bottom"/>
            <w:tcBorders>
              <w:bottom w:val="single" w:sz="8" w:color="121212"/>
            </w:tcBorders>
          </w:tcPr>
          <w:p>
            <w:pPr>
              <w:jc w:val="right"/>
              <w:ind w:right="8"/>
              <w:spacing w:after="0"/>
              <w:rPr>
                <w:sz w:val="20"/>
                <w:szCs w:val="20"/>
                <w:color w:val="auto"/>
              </w:rPr>
            </w:pPr>
            <w:r>
              <w:rPr>
                <w:rFonts w:ascii="Times New Roman" w:cs="Times New Roman" w:eastAsia="Times New Roman" w:hAnsi="Times New Roman"/>
                <w:sz w:val="20"/>
                <w:szCs w:val="20"/>
                <w:color w:val="121212"/>
              </w:rPr>
              <w:t>3,763</w:t>
            </w:r>
          </w:p>
        </w:tc>
        <w:tc>
          <w:tcPr>
            <w:tcW w:w="180" w:type="dxa"/>
            <w:vAlign w:val="bottom"/>
            <w:tcBorders>
              <w:bottom w:val="single" w:sz="8" w:color="E0E0E0"/>
            </w:tcBorders>
          </w:tcPr>
          <w:p>
            <w:pPr>
              <w:spacing w:after="0"/>
              <w:rPr>
                <w:sz w:val="19"/>
                <w:szCs w:val="19"/>
                <w:color w:val="auto"/>
              </w:rPr>
            </w:pPr>
          </w:p>
        </w:tc>
        <w:tc>
          <w:tcPr>
            <w:tcW w:w="44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ind w:right="5"/>
              <w:spacing w:after="0"/>
              <w:rPr>
                <w:sz w:val="20"/>
                <w:szCs w:val="20"/>
                <w:color w:val="auto"/>
              </w:rPr>
            </w:pPr>
            <w:r>
              <w:rPr>
                <w:rFonts w:ascii="Times New Roman" w:cs="Times New Roman" w:eastAsia="Times New Roman" w:hAnsi="Times New Roman"/>
                <w:sz w:val="20"/>
                <w:szCs w:val="20"/>
                <w:color w:val="121212"/>
              </w:rPr>
              <w:t>1,508</w:t>
            </w:r>
          </w:p>
        </w:tc>
      </w:tr>
      <w:tr>
        <w:trPr>
          <w:trHeight w:val="220"/>
        </w:trPr>
        <w:tc>
          <w:tcPr>
            <w:tcW w:w="52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Total stock-based compensation expense</w:t>
            </w:r>
          </w:p>
        </w:tc>
        <w:tc>
          <w:tcPr>
            <w:tcW w:w="1940" w:type="dxa"/>
            <w:vAlign w:val="bottom"/>
            <w:shd w:val="clear" w:color="auto" w:fill="E0E0E0"/>
          </w:tcPr>
          <w:p>
            <w:pPr>
              <w:spacing w:after="0"/>
              <w:rPr>
                <w:sz w:val="19"/>
                <w:szCs w:val="19"/>
                <w:color w:val="auto"/>
              </w:rPr>
            </w:pPr>
          </w:p>
        </w:tc>
        <w:tc>
          <w:tcPr>
            <w:tcW w:w="940" w:type="dxa"/>
            <w:vAlign w:val="bottom"/>
            <w:tcBorders>
              <w:bottom w:val="single" w:sz="8" w:color="121212"/>
            </w:tcBorders>
            <w:shd w:val="clear" w:color="auto" w:fill="E0E0E0"/>
          </w:tcPr>
          <w:p>
            <w:pPr>
              <w:jc w:val="right"/>
              <w:ind w:right="747"/>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620" w:type="dxa"/>
            <w:vAlign w:val="bottom"/>
            <w:tcBorders>
              <w:bottom w:val="single" w:sz="8" w:color="121212"/>
            </w:tcBorders>
            <w:shd w:val="clear" w:color="auto" w:fill="E0E0E0"/>
          </w:tcPr>
          <w:p>
            <w:pPr>
              <w:jc w:val="right"/>
              <w:ind w:right="8"/>
              <w:spacing w:after="0" w:line="220" w:lineRule="exact"/>
              <w:rPr>
                <w:sz w:val="20"/>
                <w:szCs w:val="20"/>
                <w:color w:val="auto"/>
              </w:rPr>
            </w:pPr>
            <w:r>
              <w:rPr>
                <w:rFonts w:ascii="Times New Roman" w:cs="Times New Roman" w:eastAsia="Times New Roman" w:hAnsi="Times New Roman"/>
                <w:sz w:val="20"/>
                <w:szCs w:val="20"/>
                <w:color w:val="121212"/>
              </w:rPr>
              <w:t>5,530</w:t>
            </w:r>
          </w:p>
        </w:tc>
        <w:tc>
          <w:tcPr>
            <w:tcW w:w="180" w:type="dxa"/>
            <w:vAlign w:val="bottom"/>
            <w:shd w:val="clear" w:color="auto" w:fill="E0E0E0"/>
          </w:tcPr>
          <w:p>
            <w:pPr>
              <w:spacing w:after="0"/>
              <w:rPr>
                <w:sz w:val="19"/>
                <w:szCs w:val="19"/>
                <w:color w:val="auto"/>
              </w:rPr>
            </w:pPr>
          </w:p>
        </w:tc>
        <w:tc>
          <w:tcPr>
            <w:tcW w:w="440" w:type="dxa"/>
            <w:vAlign w:val="bottom"/>
            <w:tcBorders>
              <w:bottom w:val="single" w:sz="8" w:color="121212"/>
            </w:tcBorders>
            <w:shd w:val="clear" w:color="auto" w:fill="E0E0E0"/>
          </w:tcPr>
          <w:p>
            <w:pPr>
              <w:jc w:val="right"/>
              <w:ind w:right="24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shd w:val="clear" w:color="auto" w:fill="E0E0E0"/>
          </w:tcPr>
          <w:p>
            <w:pPr>
              <w:jc w:val="right"/>
              <w:ind w:right="5"/>
              <w:spacing w:after="0" w:line="220" w:lineRule="exact"/>
              <w:rPr>
                <w:sz w:val="20"/>
                <w:szCs w:val="20"/>
                <w:color w:val="auto"/>
              </w:rPr>
            </w:pPr>
            <w:r>
              <w:rPr>
                <w:rFonts w:ascii="Times New Roman" w:cs="Times New Roman" w:eastAsia="Times New Roman" w:hAnsi="Times New Roman"/>
                <w:sz w:val="20"/>
                <w:szCs w:val="20"/>
                <w:color w:val="121212"/>
              </w:rPr>
              <w:t>2,089</w:t>
            </w:r>
          </w:p>
        </w:tc>
      </w:tr>
      <w:tr>
        <w:trPr>
          <w:trHeight w:val="20"/>
        </w:trPr>
        <w:tc>
          <w:tcPr>
            <w:tcW w:w="5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Borders>
              <w:bottom w:val="single" w:sz="8" w:color="121212"/>
            </w:tcBorders>
          </w:tcPr>
          <w:p>
            <w:pPr>
              <w:spacing w:after="0" w:line="20" w:lineRule="exact"/>
              <w:rPr>
                <w:sz w:val="1"/>
                <w:szCs w:val="1"/>
                <w:color w:val="auto"/>
              </w:rPr>
            </w:pPr>
          </w:p>
        </w:tc>
        <w:tc>
          <w:tcPr>
            <w:tcW w:w="620" w:type="dxa"/>
            <w:vAlign w:val="bottom"/>
            <w:tcBorders>
              <w:bottom w:val="single" w:sz="8" w:color="12121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118"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121212"/>
        </w:rPr>
        <w:t>As of December 31, 2023, the total unrecognized stock-based compensation expense related to outstanding awards was $11.5 million and is expected to be recognized over a weighted-average period of 2.63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12. Income Taxes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A reconciliation of the U.S. federal statutory income tax rate to the Company’s effective income tax rate is as follows:</w:t>
      </w:r>
    </w:p>
    <w:p>
      <w:pPr>
        <w:spacing w:after="0" w:line="23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121212"/>
        </w:rPr>
        <w:t>Year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940" w:type="dxa"/>
            <w:vAlign w:val="bottom"/>
            <w:tcBorders>
              <w:top w:val="single" w:sz="8" w:color="121212"/>
            </w:tcBorders>
          </w:tcPr>
          <w:p>
            <w:pPr>
              <w:jc w:val="right"/>
              <w:spacing w:after="0"/>
              <w:rPr>
                <w:sz w:val="20"/>
                <w:szCs w:val="20"/>
                <w:color w:val="auto"/>
              </w:rPr>
            </w:pPr>
            <w:r>
              <w:rPr>
                <w:rFonts w:ascii="Times New Roman" w:cs="Times New Roman" w:eastAsia="Times New Roman" w:hAnsi="Times New Roman"/>
                <w:sz w:val="16"/>
                <w:szCs w:val="16"/>
                <w:b w:val="1"/>
                <w:bCs w:val="1"/>
                <w:color w:val="121212"/>
              </w:rPr>
              <w:t>2023</w:t>
            </w:r>
          </w:p>
        </w:tc>
        <w:tc>
          <w:tcPr>
            <w:tcW w:w="660" w:type="dxa"/>
            <w:vAlign w:val="bottom"/>
            <w:tcBorders>
              <w:top w:val="single" w:sz="8" w:color="121212"/>
            </w:tcBorders>
          </w:tcPr>
          <w:p>
            <w:pPr>
              <w:spacing w:after="0"/>
              <w:rPr>
                <w:sz w:val="16"/>
                <w:szCs w:val="16"/>
                <w:color w:val="auto"/>
              </w:rPr>
            </w:pPr>
          </w:p>
        </w:tc>
        <w:tc>
          <w:tcPr>
            <w:tcW w:w="1720" w:type="dxa"/>
            <w:vAlign w:val="bottom"/>
            <w:tcBorders>
              <w:top w:val="single" w:sz="8" w:color="121212"/>
            </w:tcBorders>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712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Federal statutory income tax rate</w:t>
            </w:r>
          </w:p>
        </w:tc>
        <w:tc>
          <w:tcPr>
            <w:tcW w:w="940" w:type="dxa"/>
            <w:vAlign w:val="bottom"/>
            <w:tcBorders>
              <w:top w:val="single" w:sz="8" w:color="121212"/>
            </w:tcBorders>
            <w:shd w:val="clear" w:color="auto" w:fill="E0E0E0"/>
          </w:tcPr>
          <w:p>
            <w:pPr>
              <w:spacing w:after="0"/>
              <w:rPr>
                <w:sz w:val="19"/>
                <w:szCs w:val="19"/>
                <w:color w:val="auto"/>
              </w:rPr>
            </w:pPr>
          </w:p>
        </w:tc>
        <w:tc>
          <w:tcPr>
            <w:tcW w:w="660" w:type="dxa"/>
            <w:vAlign w:val="bottom"/>
            <w:tcBorders>
              <w:top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21.0%</w:t>
            </w:r>
          </w:p>
        </w:tc>
        <w:tc>
          <w:tcPr>
            <w:tcW w:w="120" w:type="dxa"/>
            <w:vAlign w:val="bottom"/>
            <w:tcBorders>
              <w:top w:val="single" w:sz="8" w:color="E0E0E0"/>
            </w:tcBorders>
            <w:shd w:val="clear" w:color="auto" w:fill="E0E0E0"/>
          </w:tcPr>
          <w:p>
            <w:pPr>
              <w:spacing w:after="0"/>
              <w:rPr>
                <w:sz w:val="19"/>
                <w:szCs w:val="19"/>
                <w:color w:val="auto"/>
              </w:rPr>
            </w:pPr>
          </w:p>
        </w:tc>
        <w:tc>
          <w:tcPr>
            <w:tcW w:w="1600" w:type="dxa"/>
            <w:vAlign w:val="bottom"/>
            <w:tcBorders>
              <w:top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21.0%</w:t>
            </w: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State income taxes, net of federal benefit</w:t>
            </w:r>
          </w:p>
        </w:tc>
        <w:tc>
          <w:tcPr>
            <w:tcW w:w="940" w:type="dxa"/>
            <w:vAlign w:val="bottom"/>
          </w:tcPr>
          <w:p>
            <w:pPr>
              <w:spacing w:after="0"/>
              <w:rPr>
                <w:sz w:val="19"/>
                <w:szCs w:val="19"/>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21212"/>
              </w:rPr>
              <w:t>8.0</w:t>
            </w:r>
          </w:p>
        </w:tc>
        <w:tc>
          <w:tcPr>
            <w:tcW w:w="120" w:type="dxa"/>
            <w:vAlign w:val="bottom"/>
          </w:tcPr>
          <w:p>
            <w:pPr>
              <w:spacing w:after="0"/>
              <w:rPr>
                <w:sz w:val="19"/>
                <w:szCs w:val="19"/>
                <w:color w:val="auto"/>
              </w:rPr>
            </w:pPr>
          </w:p>
        </w:tc>
        <w:tc>
          <w:tcPr>
            <w:tcW w:w="16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21212"/>
              </w:rPr>
              <w:t>6.3</w:t>
            </w:r>
          </w:p>
        </w:tc>
      </w:tr>
      <w:tr>
        <w:trPr>
          <w:trHeight w:val="230"/>
        </w:trPr>
        <w:tc>
          <w:tcPr>
            <w:tcW w:w="806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Federal and state research and development tax credits</w:t>
            </w:r>
          </w:p>
        </w:tc>
        <w:tc>
          <w:tcPr>
            <w:tcW w:w="66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121212"/>
              </w:rPr>
              <w:t>4.0</w:t>
            </w:r>
          </w:p>
        </w:tc>
        <w:tc>
          <w:tcPr>
            <w:tcW w:w="17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121212"/>
              </w:rPr>
              <w:t>3.5</w:t>
            </w:r>
          </w:p>
        </w:tc>
      </w:tr>
      <w:tr>
        <w:trPr>
          <w:trHeight w:val="230"/>
        </w:trPr>
        <w:tc>
          <w:tcPr>
            <w:tcW w:w="80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21212"/>
              </w:rPr>
              <w:t>Stock-based compensation</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21212"/>
              </w:rPr>
              <w:t>1.3</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21212"/>
              </w:rPr>
              <w:t>(0.4)</w:t>
            </w:r>
          </w:p>
        </w:tc>
      </w:tr>
      <w:tr>
        <w:trPr>
          <w:trHeight w:val="230"/>
        </w:trPr>
        <w:tc>
          <w:tcPr>
            <w:tcW w:w="806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Other</w:t>
            </w:r>
          </w:p>
        </w:tc>
        <w:tc>
          <w:tcPr>
            <w:tcW w:w="660" w:type="dxa"/>
            <w:vAlign w:val="bottom"/>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121212"/>
              </w:rPr>
              <w:t>(0.7)</w:t>
            </w:r>
          </w:p>
        </w:tc>
        <w:tc>
          <w:tcPr>
            <w:tcW w:w="17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121212"/>
              </w:rPr>
              <w:t>0.1</w:t>
            </w:r>
          </w:p>
        </w:tc>
      </w:tr>
      <w:tr>
        <w:trPr>
          <w:trHeight w:val="230"/>
        </w:trPr>
        <w:tc>
          <w:tcPr>
            <w:tcW w:w="80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21212"/>
              </w:rPr>
              <w:t>Change in deferred tax asset valuation allowance</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21212"/>
              </w:rPr>
              <w:t>(33.6)</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121212"/>
              </w:rPr>
              <w:t>(30.5)</w:t>
            </w:r>
          </w:p>
        </w:tc>
      </w:tr>
      <w:tr>
        <w:trPr>
          <w:trHeight w:val="220"/>
        </w:trPr>
        <w:tc>
          <w:tcPr>
            <w:tcW w:w="7120" w:type="dxa"/>
            <w:vAlign w:val="bottom"/>
            <w:tcBorders>
              <w:top w:val="single" w:sz="8" w:color="E0E0E0"/>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Effective income tax rate</w:t>
            </w:r>
          </w:p>
        </w:tc>
        <w:tc>
          <w:tcPr>
            <w:tcW w:w="940" w:type="dxa"/>
            <w:vAlign w:val="bottom"/>
            <w:tcBorders>
              <w:top w:val="single" w:sz="8" w:color="121212"/>
              <w:bottom w:val="single" w:sz="8" w:color="121212"/>
            </w:tcBorders>
            <w:shd w:val="clear" w:color="auto" w:fill="E0E0E0"/>
          </w:tcPr>
          <w:p>
            <w:pPr>
              <w:spacing w:after="0"/>
              <w:rPr>
                <w:sz w:val="19"/>
                <w:szCs w:val="19"/>
                <w:color w:val="auto"/>
              </w:rPr>
            </w:pPr>
          </w:p>
        </w:tc>
        <w:tc>
          <w:tcPr>
            <w:tcW w:w="660" w:type="dxa"/>
            <w:vAlign w:val="bottom"/>
            <w:tcBorders>
              <w:top w:val="single" w:sz="8" w:color="121212"/>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0%</w:t>
            </w:r>
          </w:p>
        </w:tc>
        <w:tc>
          <w:tcPr>
            <w:tcW w:w="120" w:type="dxa"/>
            <w:vAlign w:val="bottom"/>
            <w:tcBorders>
              <w:top w:val="single" w:sz="8" w:color="E0E0E0"/>
            </w:tcBorders>
            <w:shd w:val="clear" w:color="auto" w:fill="E0E0E0"/>
          </w:tcPr>
          <w:p>
            <w:pPr>
              <w:spacing w:after="0"/>
              <w:rPr>
                <w:sz w:val="19"/>
                <w:szCs w:val="19"/>
                <w:color w:val="auto"/>
              </w:rPr>
            </w:pPr>
          </w:p>
        </w:tc>
        <w:tc>
          <w:tcPr>
            <w:tcW w:w="1600" w:type="dxa"/>
            <w:vAlign w:val="bottom"/>
            <w:tcBorders>
              <w:top w:val="single" w:sz="8" w:color="121212"/>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0%</w:t>
            </w:r>
          </w:p>
        </w:tc>
      </w:tr>
      <w:tr>
        <w:trPr>
          <w:trHeight w:val="20"/>
        </w:trPr>
        <w:tc>
          <w:tcPr>
            <w:tcW w:w="7120" w:type="dxa"/>
            <w:vAlign w:val="bottom"/>
          </w:tcPr>
          <w:p>
            <w:pPr>
              <w:spacing w:after="0" w:line="20" w:lineRule="exact"/>
              <w:rPr>
                <w:sz w:val="1"/>
                <w:szCs w:val="1"/>
                <w:color w:val="auto"/>
              </w:rPr>
            </w:pPr>
          </w:p>
        </w:tc>
        <w:tc>
          <w:tcPr>
            <w:tcW w:w="940" w:type="dxa"/>
            <w:vAlign w:val="bottom"/>
            <w:tcBorders>
              <w:bottom w:val="single" w:sz="8" w:color="121212"/>
            </w:tcBorders>
          </w:tcPr>
          <w:p>
            <w:pPr>
              <w:spacing w:after="0" w:line="20" w:lineRule="exact"/>
              <w:rPr>
                <w:sz w:val="1"/>
                <w:szCs w:val="1"/>
                <w:color w:val="auto"/>
              </w:rPr>
            </w:pPr>
          </w:p>
        </w:tc>
        <w:tc>
          <w:tcPr>
            <w:tcW w:w="660" w:type="dxa"/>
            <w:vAlign w:val="bottom"/>
            <w:tcBorders>
              <w:bottom w:val="single" w:sz="8" w:color="12121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121212"/>
            </w:tcBorders>
          </w:tcPr>
          <w:p>
            <w:pPr>
              <w:spacing w:after="0" w:line="20" w:lineRule="exact"/>
              <w:rPr>
                <w:sz w:val="1"/>
                <w:szCs w:val="1"/>
                <w:color w:val="auto"/>
              </w:rPr>
            </w:pPr>
          </w:p>
        </w:tc>
      </w:tr>
    </w:tbl>
    <w:p>
      <w:pPr>
        <w:spacing w:after="0" w:line="119" w:lineRule="exact"/>
        <w:rPr>
          <w:sz w:val="20"/>
          <w:szCs w:val="20"/>
          <w:color w:val="auto"/>
        </w:rPr>
      </w:pPr>
    </w:p>
    <w:p>
      <w:pPr>
        <w:jc w:val="both"/>
        <w:ind w:right="260" w:firstLine="490"/>
        <w:spacing w:after="0" w:line="258" w:lineRule="auto"/>
        <w:rPr>
          <w:sz w:val="20"/>
          <w:szCs w:val="20"/>
          <w:color w:val="auto"/>
        </w:rPr>
      </w:pPr>
      <w:r>
        <w:rPr>
          <w:rFonts w:ascii="Times New Roman" w:cs="Times New Roman" w:eastAsia="Times New Roman" w:hAnsi="Times New Roman"/>
          <w:sz w:val="20"/>
          <w:szCs w:val="20"/>
          <w:color w:val="121212"/>
        </w:rPr>
        <w:t>For the twelve months ended December 31, 2023, the Company recorded income tax expense of $0.1 million due to state income tax resulting from higher interest income. For the twelve months ended December 31, 2022, the Company recorded no income tax expense due to the Company’s net operating loss (“NOL”) and full valuation allowance.</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128</w:t>
      </w:r>
    </w:p>
    <w:p>
      <w:pPr>
        <w:sectPr>
          <w:pgSz w:w="12240" w:h="15840" w:orient="portrait"/>
          <w:cols w:equalWidth="0" w:num="1">
            <w:col w:w="10440"/>
          </w:cols>
          <w:pgMar w:left="900" w:top="930" w:right="900" w:bottom="175" w:gutter="0" w:footer="0" w:header="0"/>
          <w:type w:val="continuous"/>
        </w:sectPr>
      </w:pPr>
    </w:p>
    <w:bookmarkStart w:id="138" w:name="page139"/>
    <w:bookmarkEnd w:id="138"/>
    <w:p>
      <w:pPr>
        <w:ind w:right="540" w:firstLine="490"/>
        <w:spacing w:after="0" w:line="258" w:lineRule="auto"/>
        <w:rPr>
          <w:sz w:val="20"/>
          <w:szCs w:val="20"/>
          <w:color w:val="auto"/>
        </w:rPr>
      </w:pPr>
      <w:r>
        <w:rPr>
          <w:rFonts w:ascii="Times New Roman" w:cs="Times New Roman" w:eastAsia="Times New Roman" w:hAnsi="Times New Roman"/>
          <w:sz w:val="20"/>
          <w:szCs w:val="20"/>
          <w:color w:val="121212"/>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17"/>
                <w:szCs w:val="17"/>
                <w:color w:val="auto"/>
              </w:rPr>
            </w:pPr>
          </w:p>
        </w:tc>
        <w:tc>
          <w:tcPr>
            <w:tcW w:w="340" w:type="dxa"/>
            <w:vAlign w:val="bottom"/>
            <w:tcBorders>
              <w:bottom w:val="single" w:sz="8" w:color="121212"/>
            </w:tcBorders>
          </w:tcPr>
          <w:p>
            <w:pPr>
              <w:spacing w:after="0"/>
              <w:rPr>
                <w:sz w:val="17"/>
                <w:szCs w:val="17"/>
                <w:color w:val="auto"/>
              </w:rPr>
            </w:pPr>
          </w:p>
        </w:tc>
        <w:tc>
          <w:tcPr>
            <w:tcW w:w="1840" w:type="dxa"/>
            <w:vAlign w:val="bottom"/>
            <w:tcBorders>
              <w:bottom w:val="single" w:sz="8" w:color="121212"/>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100" w:type="dxa"/>
            <w:vAlign w:val="bottom"/>
            <w:tcBorders>
              <w:bottom w:val="single" w:sz="8" w:color="121212"/>
            </w:tcBorders>
          </w:tcPr>
          <w:p>
            <w:pPr>
              <w:spacing w:after="0"/>
              <w:rPr>
                <w:sz w:val="17"/>
                <w:szCs w:val="17"/>
                <w:color w:val="auto"/>
              </w:rPr>
            </w:pPr>
          </w:p>
        </w:tc>
      </w:tr>
      <w:tr>
        <w:trPr>
          <w:trHeight w:val="174"/>
        </w:trPr>
        <w:tc>
          <w:tcPr>
            <w:tcW w:w="7160" w:type="dxa"/>
            <w:vAlign w:val="bottom"/>
            <w:tcBorders>
              <w:bottom w:val="single" w:sz="8" w:color="E0E0E0"/>
            </w:tcBorders>
          </w:tcPr>
          <w:p>
            <w:pPr>
              <w:spacing w:after="0"/>
              <w:rPr>
                <w:sz w:val="15"/>
                <w:szCs w:val="15"/>
                <w:color w:val="auto"/>
              </w:rPr>
            </w:pPr>
          </w:p>
        </w:tc>
        <w:tc>
          <w:tcPr>
            <w:tcW w:w="340" w:type="dxa"/>
            <w:vAlign w:val="bottom"/>
            <w:tcBorders>
              <w:bottom w:val="single" w:sz="8" w:color="121212"/>
            </w:tcBorders>
          </w:tcPr>
          <w:p>
            <w:pPr>
              <w:spacing w:after="0"/>
              <w:rPr>
                <w:sz w:val="15"/>
                <w:szCs w:val="15"/>
                <w:color w:val="auto"/>
              </w:rPr>
            </w:pPr>
          </w:p>
        </w:tc>
        <w:tc>
          <w:tcPr>
            <w:tcW w:w="1220" w:type="dxa"/>
            <w:vAlign w:val="bottom"/>
            <w:tcBorders>
              <w:bottom w:val="single" w:sz="8" w:color="121212"/>
            </w:tcBorders>
          </w:tcPr>
          <w:p>
            <w:pPr>
              <w:jc w:val="right"/>
              <w:ind w:right="563"/>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80" w:type="dxa"/>
            <w:vAlign w:val="bottom"/>
            <w:tcBorders>
              <w:bottom w:val="single" w:sz="8" w:color="E0E0E0"/>
            </w:tcBorders>
          </w:tcPr>
          <w:p>
            <w:pPr>
              <w:spacing w:after="0"/>
              <w:rPr>
                <w:sz w:val="15"/>
                <w:szCs w:val="15"/>
                <w:color w:val="auto"/>
              </w:rPr>
            </w:pPr>
          </w:p>
        </w:tc>
        <w:tc>
          <w:tcPr>
            <w:tcW w:w="44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561"/>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71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Deferred tax assets:</w:t>
            </w: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Net operating loss carryforwards</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24,312</w:t>
            </w:r>
          </w:p>
        </w:tc>
        <w:tc>
          <w:tcPr>
            <w:tcW w:w="180" w:type="dxa"/>
            <w:vAlign w:val="bottom"/>
          </w:tcPr>
          <w:p>
            <w:pPr>
              <w:spacing w:after="0"/>
              <w:rPr>
                <w:sz w:val="19"/>
                <w:szCs w:val="19"/>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18,882</w:t>
            </w:r>
          </w:p>
        </w:tc>
      </w:tr>
      <w:tr>
        <w:trPr>
          <w:trHeight w:val="230"/>
        </w:trPr>
        <w:tc>
          <w:tcPr>
            <w:tcW w:w="71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Research and experimental expenditures</w:t>
            </w: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20,598</w:t>
            </w: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121212"/>
              </w:rPr>
              <w:t>7,608</w:t>
            </w: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Tax credits</w:t>
            </w: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7,202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3,550</w:t>
            </w:r>
          </w:p>
        </w:tc>
      </w:tr>
      <w:tr>
        <w:trPr>
          <w:trHeight w:val="230"/>
        </w:trPr>
        <w:tc>
          <w:tcPr>
            <w:tcW w:w="71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Capitalized licenses</w:t>
            </w: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6,890</w:t>
            </w: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121212"/>
              </w:rPr>
              <w:t>3,142</w:t>
            </w: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Accrued expenses</w:t>
            </w:r>
          </w:p>
        </w:tc>
        <w:tc>
          <w:tcPr>
            <w:tcW w:w="340" w:type="dxa"/>
            <w:vAlign w:val="bottom"/>
          </w:tcPr>
          <w:p>
            <w:pPr>
              <w:spacing w:after="0"/>
              <w:rPr>
                <w:sz w:val="19"/>
                <w:szCs w:val="19"/>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1,513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121212"/>
              </w:rPr>
              <w:t>2,416</w:t>
            </w:r>
          </w:p>
        </w:tc>
      </w:tr>
      <w:tr>
        <w:trPr>
          <w:trHeight w:val="230"/>
        </w:trPr>
        <w:tc>
          <w:tcPr>
            <w:tcW w:w="71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Stock-based compensation</w:t>
            </w: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1,234</w:t>
            </w: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jc w:val="right"/>
              <w:ind w:right="1"/>
              <w:spacing w:after="0"/>
              <w:rPr>
                <w:sz w:val="20"/>
                <w:szCs w:val="20"/>
                <w:color w:val="auto"/>
              </w:rPr>
            </w:pPr>
            <w:r>
              <w:rPr>
                <w:rFonts w:ascii="Times New Roman" w:cs="Times New Roman" w:eastAsia="Times New Roman" w:hAnsi="Times New Roman"/>
                <w:sz w:val="20"/>
                <w:szCs w:val="20"/>
                <w:color w:val="121212"/>
              </w:rPr>
              <w:t>565</w:t>
            </w:r>
          </w:p>
        </w:tc>
      </w:tr>
      <w:tr>
        <w:trPr>
          <w:trHeight w:val="230"/>
        </w:trPr>
        <w:tc>
          <w:tcPr>
            <w:tcW w:w="71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121212"/>
              </w:rPr>
              <w:t>Operating lease liabilities</w:t>
            </w:r>
          </w:p>
        </w:tc>
        <w:tc>
          <w:tcPr>
            <w:tcW w:w="340" w:type="dxa"/>
            <w:vAlign w:val="bottom"/>
            <w:tcBorders>
              <w:bottom w:val="single" w:sz="8" w:color="121212"/>
            </w:tcBorders>
          </w:tcPr>
          <w:p>
            <w:pPr>
              <w:spacing w:after="0"/>
              <w:rPr>
                <w:sz w:val="19"/>
                <w:szCs w:val="19"/>
                <w:color w:val="auto"/>
              </w:rPr>
            </w:pPr>
          </w:p>
        </w:tc>
        <w:tc>
          <w:tcPr>
            <w:tcW w:w="1220" w:type="dxa"/>
            <w:vAlign w:val="bottom"/>
            <w:tcBorders>
              <w:bottom w:val="single" w:sz="8" w:color="121212"/>
            </w:tcBorders>
          </w:tcPr>
          <w:p>
            <w:pPr>
              <w:jc w:val="right"/>
              <w:ind w:right="3"/>
              <w:spacing w:after="0"/>
              <w:rPr>
                <w:sz w:val="20"/>
                <w:szCs w:val="20"/>
                <w:color w:val="auto"/>
              </w:rPr>
            </w:pPr>
            <w:r>
              <w:rPr>
                <w:rFonts w:ascii="Times New Roman" w:cs="Times New Roman" w:eastAsia="Times New Roman" w:hAnsi="Times New Roman"/>
                <w:sz w:val="20"/>
                <w:szCs w:val="20"/>
                <w:color w:val="121212"/>
              </w:rPr>
              <w:t>574</w:t>
            </w:r>
          </w:p>
        </w:tc>
        <w:tc>
          <w:tcPr>
            <w:tcW w:w="180" w:type="dxa"/>
            <w:vAlign w:val="bottom"/>
            <w:tcBorders>
              <w:bottom w:val="single" w:sz="8" w:color="E0E0E0"/>
            </w:tcBorders>
          </w:tcPr>
          <w:p>
            <w:pPr>
              <w:spacing w:after="0"/>
              <w:rPr>
                <w:sz w:val="19"/>
                <w:szCs w:val="19"/>
                <w:color w:val="auto"/>
              </w:rPr>
            </w:pPr>
          </w:p>
        </w:tc>
        <w:tc>
          <w:tcPr>
            <w:tcW w:w="44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ind w:right="1"/>
              <w:spacing w:after="0"/>
              <w:rPr>
                <w:sz w:val="20"/>
                <w:szCs w:val="20"/>
                <w:color w:val="auto"/>
              </w:rPr>
            </w:pPr>
            <w:r>
              <w:rPr>
                <w:rFonts w:ascii="Times New Roman" w:cs="Times New Roman" w:eastAsia="Times New Roman" w:hAnsi="Times New Roman"/>
                <w:sz w:val="20"/>
                <w:szCs w:val="20"/>
                <w:color w:val="121212"/>
              </w:rPr>
              <w:t>359</w:t>
            </w:r>
          </w:p>
        </w:tc>
      </w:tr>
      <w:tr>
        <w:trPr>
          <w:trHeight w:val="220"/>
        </w:trPr>
        <w:tc>
          <w:tcPr>
            <w:tcW w:w="7160" w:type="dxa"/>
            <w:vAlign w:val="bottom"/>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121212"/>
              </w:rPr>
              <w:t>Total deferred tax assets</w:t>
            </w: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62,323</w:t>
            </w: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jc w:val="right"/>
              <w:ind w:right="1"/>
              <w:spacing w:after="0" w:line="220" w:lineRule="exact"/>
              <w:rPr>
                <w:sz w:val="20"/>
                <w:szCs w:val="20"/>
                <w:color w:val="auto"/>
              </w:rPr>
            </w:pPr>
            <w:r>
              <w:rPr>
                <w:rFonts w:ascii="Times New Roman" w:cs="Times New Roman" w:eastAsia="Times New Roman" w:hAnsi="Times New Roman"/>
                <w:sz w:val="20"/>
                <w:szCs w:val="20"/>
                <w:color w:val="121212"/>
              </w:rPr>
              <w:t>36,522</w:t>
            </w:r>
          </w:p>
        </w:tc>
      </w:tr>
      <w:tr>
        <w:trPr>
          <w:trHeight w:val="230"/>
        </w:trPr>
        <w:tc>
          <w:tcPr>
            <w:tcW w:w="71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121212"/>
              </w:rPr>
              <w:t>Valuation allowance</w:t>
            </w:r>
          </w:p>
        </w:tc>
        <w:tc>
          <w:tcPr>
            <w:tcW w:w="340" w:type="dxa"/>
            <w:vAlign w:val="bottom"/>
            <w:tcBorders>
              <w:bottom w:val="single" w:sz="8" w:color="121212"/>
            </w:tcBorders>
          </w:tcPr>
          <w:p>
            <w:pPr>
              <w:spacing w:after="0"/>
              <w:rPr>
                <w:sz w:val="19"/>
                <w:szCs w:val="19"/>
                <w:color w:val="auto"/>
              </w:rPr>
            </w:pPr>
          </w:p>
        </w:tc>
        <w:tc>
          <w:tcPr>
            <w:tcW w:w="122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(61,768)</w:t>
            </w:r>
          </w:p>
        </w:tc>
        <w:tc>
          <w:tcPr>
            <w:tcW w:w="180" w:type="dxa"/>
            <w:vAlign w:val="bottom"/>
            <w:tcBorders>
              <w:bottom w:val="single" w:sz="8" w:color="E0E0E0"/>
            </w:tcBorders>
          </w:tcPr>
          <w:p>
            <w:pPr>
              <w:spacing w:after="0"/>
              <w:rPr>
                <w:sz w:val="19"/>
                <w:szCs w:val="19"/>
                <w:color w:val="auto"/>
              </w:rPr>
            </w:pPr>
          </w:p>
        </w:tc>
        <w:tc>
          <w:tcPr>
            <w:tcW w:w="44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(36,102)</w:t>
            </w:r>
          </w:p>
        </w:tc>
      </w:tr>
      <w:tr>
        <w:trPr>
          <w:trHeight w:val="220"/>
        </w:trPr>
        <w:tc>
          <w:tcPr>
            <w:tcW w:w="71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Total deferred tax assets, net of valuation allowance</w:t>
            </w:r>
          </w:p>
        </w:tc>
        <w:tc>
          <w:tcPr>
            <w:tcW w:w="340" w:type="dxa"/>
            <w:vAlign w:val="bottom"/>
            <w:tcBorders>
              <w:bottom w:val="single" w:sz="8" w:color="121212"/>
            </w:tcBorders>
            <w:shd w:val="clear" w:color="auto" w:fill="E0E0E0"/>
          </w:tcPr>
          <w:p>
            <w:pPr>
              <w:spacing w:after="0"/>
              <w:rPr>
                <w:sz w:val="19"/>
                <w:szCs w:val="19"/>
                <w:color w:val="auto"/>
              </w:rPr>
            </w:pPr>
          </w:p>
        </w:tc>
        <w:tc>
          <w:tcPr>
            <w:tcW w:w="1220" w:type="dxa"/>
            <w:vAlign w:val="bottom"/>
            <w:tcBorders>
              <w:bottom w:val="single" w:sz="8" w:color="121212"/>
            </w:tcBorders>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555</w:t>
            </w:r>
          </w:p>
        </w:tc>
        <w:tc>
          <w:tcPr>
            <w:tcW w:w="180" w:type="dxa"/>
            <w:vAlign w:val="bottom"/>
            <w:shd w:val="clear" w:color="auto" w:fill="E0E0E0"/>
          </w:tcPr>
          <w:p>
            <w:pPr>
              <w:spacing w:after="0"/>
              <w:rPr>
                <w:sz w:val="19"/>
                <w:szCs w:val="19"/>
                <w:color w:val="auto"/>
              </w:rPr>
            </w:pPr>
          </w:p>
        </w:tc>
        <w:tc>
          <w:tcPr>
            <w:tcW w:w="440" w:type="dxa"/>
            <w:vAlign w:val="bottom"/>
            <w:tcBorders>
              <w:bottom w:val="single" w:sz="8" w:color="121212"/>
            </w:tcBorders>
            <w:shd w:val="clear" w:color="auto" w:fill="E0E0E0"/>
          </w:tcPr>
          <w:p>
            <w:pPr>
              <w:spacing w:after="0"/>
              <w:rPr>
                <w:sz w:val="19"/>
                <w:szCs w:val="19"/>
                <w:color w:val="auto"/>
              </w:rPr>
            </w:pPr>
          </w:p>
        </w:tc>
        <w:tc>
          <w:tcPr>
            <w:tcW w:w="1100" w:type="dxa"/>
            <w:vAlign w:val="bottom"/>
            <w:tcBorders>
              <w:bottom w:val="single" w:sz="8" w:color="121212"/>
            </w:tcBorders>
            <w:shd w:val="clear" w:color="auto" w:fill="E0E0E0"/>
          </w:tcPr>
          <w:p>
            <w:pPr>
              <w:jc w:val="right"/>
              <w:ind w:right="1"/>
              <w:spacing w:after="0" w:line="220" w:lineRule="exact"/>
              <w:rPr>
                <w:sz w:val="20"/>
                <w:szCs w:val="20"/>
                <w:color w:val="auto"/>
              </w:rPr>
            </w:pPr>
            <w:r>
              <w:rPr>
                <w:rFonts w:ascii="Times New Roman" w:cs="Times New Roman" w:eastAsia="Times New Roman" w:hAnsi="Times New Roman"/>
                <w:sz w:val="20"/>
                <w:szCs w:val="20"/>
                <w:color w:val="121212"/>
              </w:rPr>
              <w:t>420</w:t>
            </w:r>
          </w:p>
        </w:tc>
      </w:tr>
      <w:tr>
        <w:trPr>
          <w:trHeight w:val="220"/>
        </w:trPr>
        <w:tc>
          <w:tcPr>
            <w:tcW w:w="716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21212"/>
              </w:rPr>
              <w:t>Deferred tax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1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Operating right-of-use assets</w:t>
            </w: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(527)</w:t>
            </w: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(385)</w:t>
            </w:r>
          </w:p>
        </w:tc>
      </w:tr>
      <w:tr>
        <w:trPr>
          <w:trHeight w:val="230"/>
        </w:trPr>
        <w:tc>
          <w:tcPr>
            <w:tcW w:w="71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121212"/>
              </w:rPr>
              <w:t>Depreciation</w:t>
            </w:r>
          </w:p>
        </w:tc>
        <w:tc>
          <w:tcPr>
            <w:tcW w:w="340" w:type="dxa"/>
            <w:vAlign w:val="bottom"/>
            <w:tcBorders>
              <w:bottom w:val="single" w:sz="8" w:color="121212"/>
            </w:tcBorders>
          </w:tcPr>
          <w:p>
            <w:pPr>
              <w:spacing w:after="0"/>
              <w:rPr>
                <w:sz w:val="19"/>
                <w:szCs w:val="19"/>
                <w:color w:val="auto"/>
              </w:rPr>
            </w:pPr>
          </w:p>
        </w:tc>
        <w:tc>
          <w:tcPr>
            <w:tcW w:w="122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(28)</w:t>
            </w:r>
          </w:p>
        </w:tc>
        <w:tc>
          <w:tcPr>
            <w:tcW w:w="180" w:type="dxa"/>
            <w:vAlign w:val="bottom"/>
            <w:tcBorders>
              <w:bottom w:val="single" w:sz="8" w:color="E0E0E0"/>
            </w:tcBorders>
          </w:tcPr>
          <w:p>
            <w:pPr>
              <w:spacing w:after="0"/>
              <w:rPr>
                <w:sz w:val="19"/>
                <w:szCs w:val="19"/>
                <w:color w:val="auto"/>
              </w:rPr>
            </w:pPr>
          </w:p>
        </w:tc>
        <w:tc>
          <w:tcPr>
            <w:tcW w:w="44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(35)</w:t>
            </w:r>
          </w:p>
        </w:tc>
      </w:tr>
      <w:tr>
        <w:trPr>
          <w:trHeight w:val="240"/>
        </w:trPr>
        <w:tc>
          <w:tcPr>
            <w:tcW w:w="7160" w:type="dxa"/>
            <w:vAlign w:val="bottom"/>
            <w:tcBorders>
              <w:bottom w:val="single" w:sz="8" w:color="E0E0E0"/>
            </w:tcBorders>
            <w:shd w:val="clear" w:color="auto" w:fill="E0E0E0"/>
          </w:tcPr>
          <w:p>
            <w:pPr>
              <w:ind w:left="200"/>
              <w:spacing w:after="0" w:line="220" w:lineRule="exact"/>
              <w:rPr>
                <w:sz w:val="20"/>
                <w:szCs w:val="20"/>
                <w:color w:val="auto"/>
              </w:rPr>
            </w:pPr>
            <w:r>
              <w:rPr>
                <w:rFonts w:ascii="Times New Roman" w:cs="Times New Roman" w:eastAsia="Times New Roman" w:hAnsi="Times New Roman"/>
                <w:sz w:val="20"/>
                <w:szCs w:val="20"/>
                <w:color w:val="121212"/>
              </w:rPr>
              <w:t>Total deferred tax liabilities</w:t>
            </w:r>
          </w:p>
        </w:tc>
        <w:tc>
          <w:tcPr>
            <w:tcW w:w="340" w:type="dxa"/>
            <w:vAlign w:val="bottom"/>
            <w:tcBorders>
              <w:bottom w:val="single" w:sz="8" w:color="121212"/>
            </w:tcBorders>
            <w:shd w:val="clear" w:color="auto" w:fill="E0E0E0"/>
          </w:tcPr>
          <w:p>
            <w:pPr>
              <w:spacing w:after="0"/>
              <w:rPr>
                <w:sz w:val="20"/>
                <w:szCs w:val="20"/>
                <w:color w:val="auto"/>
              </w:rPr>
            </w:pPr>
          </w:p>
        </w:tc>
        <w:tc>
          <w:tcPr>
            <w:tcW w:w="122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(555)</w:t>
            </w:r>
          </w:p>
        </w:tc>
        <w:tc>
          <w:tcPr>
            <w:tcW w:w="180" w:type="dxa"/>
            <w:vAlign w:val="bottom"/>
            <w:tcBorders>
              <w:bottom w:val="single" w:sz="8" w:color="E0E0E0"/>
            </w:tcBorders>
            <w:shd w:val="clear" w:color="auto" w:fill="E0E0E0"/>
          </w:tcPr>
          <w:p>
            <w:pPr>
              <w:spacing w:after="0"/>
              <w:rPr>
                <w:sz w:val="20"/>
                <w:szCs w:val="20"/>
                <w:color w:val="auto"/>
              </w:rPr>
            </w:pPr>
          </w:p>
        </w:tc>
        <w:tc>
          <w:tcPr>
            <w:tcW w:w="440" w:type="dxa"/>
            <w:vAlign w:val="bottom"/>
            <w:tcBorders>
              <w:bottom w:val="single" w:sz="8" w:color="121212"/>
            </w:tcBorders>
            <w:shd w:val="clear" w:color="auto" w:fill="E0E0E0"/>
          </w:tcPr>
          <w:p>
            <w:pPr>
              <w:spacing w:after="0"/>
              <w:rPr>
                <w:sz w:val="20"/>
                <w:szCs w:val="20"/>
                <w:color w:val="auto"/>
              </w:rPr>
            </w:pPr>
          </w:p>
        </w:tc>
        <w:tc>
          <w:tcPr>
            <w:tcW w:w="1100" w:type="dxa"/>
            <w:vAlign w:val="bottom"/>
            <w:tcBorders>
              <w:bottom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(420)</w:t>
            </w:r>
          </w:p>
        </w:tc>
      </w:tr>
      <w:tr>
        <w:trPr>
          <w:trHeight w:val="200"/>
        </w:trPr>
        <w:tc>
          <w:tcPr>
            <w:tcW w:w="71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121212"/>
              </w:rPr>
              <w:t>Net deferred tax assets</w:t>
            </w:r>
          </w:p>
        </w:tc>
        <w:tc>
          <w:tcPr>
            <w:tcW w:w="340" w:type="dxa"/>
            <w:vAlign w:val="bottom"/>
            <w:tcBorders>
              <w:bottom w:val="single" w:sz="8" w:color="121212"/>
            </w:tcBorders>
          </w:tcPr>
          <w:p>
            <w:pPr>
              <w:jc w:val="right"/>
              <w:ind w:right="140"/>
              <w:spacing w:after="0" w:line="200" w:lineRule="exact"/>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Borders>
              <w:bottom w:val="single" w:sz="8" w:color="121212"/>
            </w:tcBorders>
          </w:tcPr>
          <w:p>
            <w:pPr>
              <w:jc w:val="right"/>
              <w:ind w:right="3"/>
              <w:spacing w:after="0" w:line="200" w:lineRule="exact"/>
              <w:rPr>
                <w:sz w:val="20"/>
                <w:szCs w:val="20"/>
                <w:color w:val="auto"/>
              </w:rPr>
            </w:pPr>
            <w:r>
              <w:rPr>
                <w:rFonts w:ascii="Times New Roman" w:cs="Times New Roman" w:eastAsia="Times New Roman" w:hAnsi="Times New Roman"/>
                <w:sz w:val="20"/>
                <w:szCs w:val="20"/>
                <w:color w:val="121212"/>
              </w:rPr>
              <w:t>—</w:t>
            </w:r>
          </w:p>
        </w:tc>
        <w:tc>
          <w:tcPr>
            <w:tcW w:w="180" w:type="dxa"/>
            <w:vAlign w:val="bottom"/>
          </w:tcPr>
          <w:p>
            <w:pPr>
              <w:spacing w:after="0"/>
              <w:rPr>
                <w:sz w:val="17"/>
                <w:szCs w:val="17"/>
                <w:color w:val="auto"/>
              </w:rPr>
            </w:pPr>
          </w:p>
        </w:tc>
        <w:tc>
          <w:tcPr>
            <w:tcW w:w="440" w:type="dxa"/>
            <w:vAlign w:val="bottom"/>
            <w:tcBorders>
              <w:bottom w:val="single" w:sz="8" w:color="121212"/>
            </w:tcBorders>
          </w:tcPr>
          <w:p>
            <w:pPr>
              <w:jc w:val="right"/>
              <w:ind w:right="240"/>
              <w:spacing w:after="0" w:line="20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121212"/>
              </w:rPr>
              <w:t>—</w:t>
            </w:r>
          </w:p>
        </w:tc>
      </w:tr>
      <w:tr>
        <w:trPr>
          <w:trHeight w:val="20"/>
        </w:trPr>
        <w:tc>
          <w:tcPr>
            <w:tcW w:w="7160" w:type="dxa"/>
            <w:vAlign w:val="bottom"/>
          </w:tcPr>
          <w:p>
            <w:pPr>
              <w:spacing w:after="0" w:line="20" w:lineRule="exact"/>
              <w:rPr>
                <w:sz w:val="1"/>
                <w:szCs w:val="1"/>
                <w:color w:val="auto"/>
              </w:rPr>
            </w:pPr>
          </w:p>
        </w:tc>
        <w:tc>
          <w:tcPr>
            <w:tcW w:w="340" w:type="dxa"/>
            <w:vAlign w:val="bottom"/>
            <w:tcBorders>
              <w:bottom w:val="single" w:sz="8" w:color="121212"/>
            </w:tcBorders>
          </w:tcPr>
          <w:p>
            <w:pPr>
              <w:spacing w:after="0" w:line="20" w:lineRule="exact"/>
              <w:rPr>
                <w:sz w:val="1"/>
                <w:szCs w:val="1"/>
                <w:color w:val="auto"/>
              </w:rPr>
            </w:pPr>
          </w:p>
        </w:tc>
        <w:tc>
          <w:tcPr>
            <w:tcW w:w="1220" w:type="dxa"/>
            <w:vAlign w:val="bottom"/>
            <w:tcBorders>
              <w:bottom w:val="single" w:sz="8" w:color="12121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11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121212"/>
        </w:rPr>
        <w:t>The Company's income tax provision for the twelve months ended December 31, 2023 related to state and foreign income taxes. The Company has evaluated the positive and negative evidence bearing upon the reliability of its deferred tax assets. Based on this, the Company has provided a valuation allowance for the full amount of the net deferred tax assets as the realization of the deferred tax assets is not determined to be more likely than not. During the year ended December 31, 2023, the valuation allowance increased by $25.7 million primarily due to the increase in the Company’s net operating loss, capitalized expenditures and tax credit carryforwards during the period.</w:t>
      </w:r>
    </w:p>
    <w:p>
      <w:pPr>
        <w:spacing w:after="0" w:line="80"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121212"/>
        </w:rPr>
        <w:t>As of December 31, 2023, the Company had $88.1 million and $91.7 million of federal and state operating loss carryforwards, respectively. The pre-merger net operating loss carryforwards of Gemini were written off in the transaction as these would be permanently restricted from use as a result of Section 382 of the Internal Revenue Code of 1986 (“Section 382”). Substantially all of the federal NOLs are not subject to expiration and the state NOLs begin to expire in 2037. These loss carryforwards are available to reduce future federal taxable income, if any. As of December 31, 2023, the Company also had federal and state research and development tax credit carryforwards of $5.8 million and $1.8 million respectively, to offset future income taxes, which will begin to expire beginning in December 2032. These loss carryforwards are subject to review and possible adjustment by the appropriate taxing authorities.</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121212"/>
        </w:rPr>
        <w:t>Utilization of the Company’s NOL carryforwards and research and development credit carryforwards may be subject to a substantial annual limitation due to ownership change limitations that have occurred previously or that could occur in the future in accordance with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2023, would limit or otherwise restrict its ability to utilize its NOL and research and development credit carryforwards. In addition, future changes in ownership occurring after December 31, 2023 could affect the limitation in future years, and any limitation may result in expiration of a portion of the NOL or research and development credit carryforwards before utilization.</w:t>
      </w:r>
    </w:p>
    <w:p>
      <w:pPr>
        <w:spacing w:after="0" w:line="86" w:lineRule="exact"/>
        <w:rPr>
          <w:sz w:val="20"/>
          <w:szCs w:val="20"/>
          <w:color w:val="auto"/>
        </w:rPr>
      </w:pPr>
    </w:p>
    <w:p>
      <w:pPr>
        <w:ind w:right="140" w:firstLine="490"/>
        <w:spacing w:after="0" w:line="265" w:lineRule="auto"/>
        <w:rPr>
          <w:sz w:val="20"/>
          <w:szCs w:val="20"/>
          <w:color w:val="auto"/>
        </w:rPr>
      </w:pPr>
      <w:r>
        <w:rPr>
          <w:rFonts w:ascii="Times New Roman" w:cs="Times New Roman" w:eastAsia="Times New Roman" w:hAnsi="Times New Roman"/>
          <w:sz w:val="19"/>
          <w:szCs w:val="19"/>
          <w:color w:val="121212"/>
        </w:rPr>
        <w:t>Beginning in 2022, the Tax Cuts and Jobs Act ("TCJA") amended Section 174 and now requires U.S.-based and non-U.S.-based research and experimental expenditures to be capitalized and amortized over a period of five or 15 years, respectively, for amounts paid in tax years starting after December 31, 2021. Prior to the TCJA amendment, Section 174 allowed taxpayers to immediately deduct research and experimental expenditures in the year paid or incurred. The Company has applied this required change in accounting method beginning in 2022 and the computation may be adjusted pending future IRS guidance.</w:t>
      </w:r>
    </w:p>
    <w:p>
      <w:pPr>
        <w:spacing w:after="0" w:line="64" w:lineRule="exact"/>
        <w:rPr>
          <w:sz w:val="20"/>
          <w:szCs w:val="20"/>
          <w:color w:val="auto"/>
        </w:rPr>
      </w:pPr>
    </w:p>
    <w:p>
      <w:pPr>
        <w:ind w:right="140" w:firstLine="490"/>
        <w:spacing w:after="0" w:line="278" w:lineRule="auto"/>
        <w:rPr>
          <w:sz w:val="20"/>
          <w:szCs w:val="20"/>
          <w:color w:val="auto"/>
        </w:rPr>
      </w:pPr>
      <w:r>
        <w:rPr>
          <w:rFonts w:ascii="Times New Roman" w:cs="Times New Roman" w:eastAsia="Times New Roman" w:hAnsi="Times New Roman"/>
          <w:sz w:val="19"/>
          <w:szCs w:val="19"/>
          <w:color w:val="121212"/>
        </w:rPr>
        <w:t>On December 18, 2015, the Protecting Americans from Tax Hikes (“PATH”) Act of 2015 was signed into law. The PATH Act has created several research and development credit provisions, including allowing a qualified small business to utilize the research credit against the employer portion of payroll tax (i.e., FICA tax) not exceeding $0.3 million per year. This provision is</w:t>
      </w:r>
    </w:p>
    <w:p>
      <w:pPr>
        <w:sectPr>
          <w:pgSz w:w="12240" w:h="15840" w:orient="portrait"/>
          <w:cols w:equalWidth="0" w:num="1">
            <w:col w:w="10440"/>
          </w:cols>
          <w:pgMar w:left="900" w:top="930" w:right="900" w:bottom="175"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129</w:t>
      </w:r>
    </w:p>
    <w:p>
      <w:pPr>
        <w:sectPr>
          <w:pgSz w:w="12240" w:h="15840" w:orient="portrait"/>
          <w:cols w:equalWidth="0" w:num="1">
            <w:col w:w="10440"/>
          </w:cols>
          <w:pgMar w:left="900" w:top="930" w:right="900" w:bottom="175" w:gutter="0" w:footer="0" w:header="0"/>
          <w:type w:val="continuous"/>
        </w:sectPr>
      </w:pPr>
    </w:p>
    <w:bookmarkStart w:id="139" w:name="page140"/>
    <w:bookmarkEnd w:id="139"/>
    <w:p>
      <w:pPr>
        <w:ind w:left="7" w:right="140"/>
        <w:spacing w:after="0" w:line="277" w:lineRule="auto"/>
        <w:rPr>
          <w:sz w:val="20"/>
          <w:szCs w:val="20"/>
          <w:color w:val="auto"/>
        </w:rPr>
      </w:pPr>
      <w:r>
        <w:rPr>
          <w:rFonts w:ascii="Times New Roman" w:cs="Times New Roman" w:eastAsia="Times New Roman" w:hAnsi="Times New Roman"/>
          <w:sz w:val="20"/>
          <w:szCs w:val="20"/>
          <w:color w:val="121212"/>
        </w:rPr>
        <w:t>available for credits generated in tax years beginning after 2015. The Company does not qualify as a small business for 2023 and will not elect to make a small business election.</w:t>
      </w:r>
    </w:p>
    <w:p>
      <w:pPr>
        <w:spacing w:after="0" w:line="49" w:lineRule="exact"/>
        <w:rPr>
          <w:sz w:val="20"/>
          <w:szCs w:val="20"/>
          <w:color w:val="auto"/>
        </w:rPr>
      </w:pPr>
    </w:p>
    <w:p>
      <w:pPr>
        <w:ind w:left="7" w:right="60" w:firstLine="490"/>
        <w:spacing w:after="0" w:line="260" w:lineRule="auto"/>
        <w:rPr>
          <w:sz w:val="20"/>
          <w:szCs w:val="20"/>
          <w:color w:val="auto"/>
        </w:rPr>
      </w:pPr>
      <w:r>
        <w:rPr>
          <w:rFonts w:ascii="Times New Roman" w:cs="Times New Roman" w:eastAsia="Times New Roman" w:hAnsi="Times New Roman"/>
          <w:sz w:val="19"/>
          <w:szCs w:val="19"/>
          <w:color w:val="121212"/>
        </w:rPr>
        <w:t xml:space="preserve">The Company follows the provisions of ASC Topic 740-10, </w:t>
      </w:r>
      <w:r>
        <w:rPr>
          <w:rFonts w:ascii="Times New Roman" w:cs="Times New Roman" w:eastAsia="Times New Roman" w:hAnsi="Times New Roman"/>
          <w:sz w:val="19"/>
          <w:szCs w:val="19"/>
          <w:i w:val="1"/>
          <w:iCs w:val="1"/>
          <w:color w:val="121212"/>
        </w:rPr>
        <w:t>Accounting for Uncertainty in Income Taxes</w:t>
      </w:r>
      <w:r>
        <w:rPr>
          <w:rFonts w:ascii="Times New Roman" w:cs="Times New Roman" w:eastAsia="Times New Roman" w:hAnsi="Times New Roman"/>
          <w:sz w:val="19"/>
          <w:szCs w:val="19"/>
          <w:color w:val="121212"/>
        </w:rPr>
        <w:t>, which specifies how tax benefits for uncertain tax positions are to be recognized, measured, and recorded in financial statements; requires certain disclosures of uncertain tax matters; specifies how reserves for uncertain tax positions should be classified on the consolidated balance sheets; and provides transition and interim period guidance, among other provisions. As of December 31, 2023 and 2022,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As of December 31, 2023 and 2022, the Company had no reserves for uncertain tax positions. For the years ended December 31, 2023 and 2022, no estimated interest or penalties were recognized on uncertain tax positions.</w:t>
      </w:r>
    </w:p>
    <w:p>
      <w:pPr>
        <w:spacing w:after="0" w:line="67" w:lineRule="exact"/>
        <w:rPr>
          <w:sz w:val="20"/>
          <w:szCs w:val="20"/>
          <w:color w:val="auto"/>
        </w:rPr>
      </w:pPr>
    </w:p>
    <w:p>
      <w:pPr>
        <w:ind w:left="7" w:right="560" w:firstLine="490"/>
        <w:spacing w:after="0" w:line="277" w:lineRule="auto"/>
        <w:rPr>
          <w:sz w:val="20"/>
          <w:szCs w:val="20"/>
          <w:color w:val="auto"/>
        </w:rPr>
      </w:pPr>
      <w:r>
        <w:rPr>
          <w:rFonts w:ascii="Times New Roman" w:cs="Times New Roman" w:eastAsia="Times New Roman" w:hAnsi="Times New Roman"/>
          <w:sz w:val="20"/>
          <w:szCs w:val="20"/>
          <w:color w:val="121212"/>
        </w:rPr>
        <w:t>The Company’s tax returns for the years ended December 31, 2019 to December 31, 2023 remain open and subject to examination by the Internal Revenue Service and state taxing authorities.</w:t>
      </w:r>
    </w:p>
    <w:p>
      <w:pPr>
        <w:spacing w:after="0" w:line="16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21212"/>
        </w:rPr>
        <w:t>13. Net Loss Per Share</w:t>
      </w:r>
    </w:p>
    <w:p>
      <w:pPr>
        <w:spacing w:after="0" w:line="124" w:lineRule="exact"/>
        <w:rPr>
          <w:sz w:val="20"/>
          <w:szCs w:val="20"/>
          <w:color w:val="auto"/>
        </w:rPr>
      </w:pPr>
    </w:p>
    <w:p>
      <w:pPr>
        <w:ind w:left="7" w:right="40" w:firstLine="490"/>
        <w:spacing w:after="0" w:line="245" w:lineRule="auto"/>
        <w:rPr>
          <w:sz w:val="20"/>
          <w:szCs w:val="20"/>
          <w:color w:val="auto"/>
        </w:rPr>
      </w:pPr>
      <w:r>
        <w:rPr>
          <w:rFonts w:ascii="Times New Roman" w:cs="Times New Roman" w:eastAsia="Times New Roman" w:hAnsi="Times New Roman"/>
          <w:sz w:val="20"/>
          <w:szCs w:val="20"/>
          <w:color w:val="121212"/>
        </w:rPr>
        <w:t>Basic and diluted net loss per share is computed by dividing net loss attributable to common stockholders by the weighted-average common shares outstanding. The weighted-average common shares outstanding used in the basic and diluted net loss per share calculation includes the pre-funded warrants issued in connection with the Company’s follow-on public offering in June 2023 and registered direct offering in February 2023 as the pre-funded warrants are exercisable for nominal cash consideration. In September 2023, 1,229,224 of the pre-funded warrants were exercised in a cashless transaction which resulted in 1,229,221 shares of common stock being issued to the investor. As of December 31, 2023, 204,081 pre-funded warrants were outstanding. The following table sets forth the computation of the Company’s basic and diluted net loss per share (in thousands, except share and per share data):</w:t>
      </w:r>
    </w:p>
    <w:p>
      <w:pPr>
        <w:spacing w:after="0" w:line="312"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121212"/>
              </w:rPr>
              <w:t>Year Ended</w:t>
            </w:r>
          </w:p>
        </w:tc>
        <w:tc>
          <w:tcPr>
            <w:tcW w:w="1100" w:type="dxa"/>
            <w:vAlign w:val="bottom"/>
          </w:tcPr>
          <w:p>
            <w:pPr>
              <w:spacing w:after="0"/>
              <w:rPr>
                <w:sz w:val="16"/>
                <w:szCs w:val="16"/>
                <w:color w:val="auto"/>
              </w:rPr>
            </w:pPr>
          </w:p>
        </w:tc>
      </w:tr>
      <w:tr>
        <w:trPr>
          <w:trHeight w:val="203"/>
        </w:trPr>
        <w:tc>
          <w:tcPr>
            <w:tcW w:w="6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bottom w:val="single" w:sz="8" w:color="121212"/>
            </w:tcBorders>
          </w:tcPr>
          <w:p>
            <w:pPr>
              <w:spacing w:after="0"/>
              <w:rPr>
                <w:sz w:val="17"/>
                <w:szCs w:val="17"/>
                <w:color w:val="auto"/>
              </w:rPr>
            </w:pPr>
          </w:p>
        </w:tc>
        <w:tc>
          <w:tcPr>
            <w:tcW w:w="1840" w:type="dxa"/>
            <w:vAlign w:val="bottom"/>
            <w:tcBorders>
              <w:bottom w:val="single" w:sz="8" w:color="121212"/>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100" w:type="dxa"/>
            <w:vAlign w:val="bottom"/>
            <w:tcBorders>
              <w:bottom w:val="single" w:sz="8" w:color="121212"/>
            </w:tcBorders>
          </w:tcPr>
          <w:p>
            <w:pPr>
              <w:spacing w:after="0"/>
              <w:rPr>
                <w:sz w:val="17"/>
                <w:szCs w:val="17"/>
                <w:color w:val="auto"/>
              </w:rPr>
            </w:pPr>
          </w:p>
        </w:tc>
      </w:tr>
      <w:tr>
        <w:trPr>
          <w:trHeight w:val="174"/>
        </w:trPr>
        <w:tc>
          <w:tcPr>
            <w:tcW w:w="6600" w:type="dxa"/>
            <w:vAlign w:val="bottom"/>
            <w:tcBorders>
              <w:bottom w:val="single" w:sz="8" w:color="E0E0E0"/>
            </w:tcBorders>
          </w:tcPr>
          <w:p>
            <w:pPr>
              <w:spacing w:after="0"/>
              <w:rPr>
                <w:sz w:val="15"/>
                <w:szCs w:val="15"/>
                <w:color w:val="auto"/>
              </w:rPr>
            </w:pPr>
          </w:p>
        </w:tc>
        <w:tc>
          <w:tcPr>
            <w:tcW w:w="560" w:type="dxa"/>
            <w:vAlign w:val="bottom"/>
            <w:tcBorders>
              <w:bottom w:val="single" w:sz="8" w:color="E0E0E0"/>
            </w:tcBorders>
          </w:tcPr>
          <w:p>
            <w:pPr>
              <w:spacing w:after="0"/>
              <w:rPr>
                <w:sz w:val="15"/>
                <w:szCs w:val="15"/>
                <w:color w:val="auto"/>
              </w:rPr>
            </w:pPr>
          </w:p>
        </w:tc>
        <w:tc>
          <w:tcPr>
            <w:tcW w:w="340" w:type="dxa"/>
            <w:vAlign w:val="bottom"/>
            <w:tcBorders>
              <w:bottom w:val="single" w:sz="8" w:color="121212"/>
            </w:tcBorders>
          </w:tcPr>
          <w:p>
            <w:pPr>
              <w:spacing w:after="0"/>
              <w:rPr>
                <w:sz w:val="15"/>
                <w:szCs w:val="15"/>
                <w:color w:val="auto"/>
              </w:rPr>
            </w:pPr>
          </w:p>
        </w:tc>
        <w:tc>
          <w:tcPr>
            <w:tcW w:w="1220" w:type="dxa"/>
            <w:vAlign w:val="bottom"/>
            <w:tcBorders>
              <w:bottom w:val="single" w:sz="8" w:color="121212"/>
            </w:tcBorders>
          </w:tcPr>
          <w:p>
            <w:pPr>
              <w:jc w:val="right"/>
              <w:ind w:right="570"/>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80" w:type="dxa"/>
            <w:vAlign w:val="bottom"/>
            <w:tcBorders>
              <w:bottom w:val="single" w:sz="8" w:color="E0E0E0"/>
            </w:tcBorders>
          </w:tcPr>
          <w:p>
            <w:pPr>
              <w:spacing w:after="0"/>
              <w:rPr>
                <w:sz w:val="15"/>
                <w:szCs w:val="15"/>
                <w:color w:val="auto"/>
              </w:rPr>
            </w:pPr>
          </w:p>
        </w:tc>
        <w:tc>
          <w:tcPr>
            <w:tcW w:w="44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565"/>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660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Numerator:</w:t>
            </w:r>
          </w:p>
        </w:tc>
        <w:tc>
          <w:tcPr>
            <w:tcW w:w="56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spacing w:after="0"/>
              <w:rPr>
                <w:sz w:val="19"/>
                <w:szCs w:val="19"/>
                <w:color w:val="auto"/>
              </w:rPr>
            </w:pPr>
          </w:p>
        </w:tc>
        <w:tc>
          <w:tcPr>
            <w:tcW w:w="1100" w:type="dxa"/>
            <w:vAlign w:val="bottom"/>
            <w:shd w:val="clear" w:color="auto" w:fill="E0E0E0"/>
          </w:tcPr>
          <w:p>
            <w:pPr>
              <w:spacing w:after="0"/>
              <w:rPr>
                <w:sz w:val="19"/>
                <w:szCs w:val="19"/>
                <w:color w:val="auto"/>
              </w:rPr>
            </w:pPr>
          </w:p>
        </w:tc>
      </w:tr>
      <w:tr>
        <w:trPr>
          <w:trHeight w:val="270"/>
        </w:trPr>
        <w:tc>
          <w:tcPr>
            <w:tcW w:w="66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121212"/>
              </w:rPr>
              <w:t>Net loss attributable to common stockholders-basic and diluted</w:t>
            </w:r>
          </w:p>
        </w:tc>
        <w:tc>
          <w:tcPr>
            <w:tcW w:w="560" w:type="dxa"/>
            <w:vAlign w:val="bottom"/>
            <w:tcBorders>
              <w:bottom w:val="single" w:sz="8" w:color="E0E0E0"/>
            </w:tcBorders>
          </w:tcPr>
          <w:p>
            <w:pPr>
              <w:spacing w:after="0"/>
              <w:rPr>
                <w:sz w:val="23"/>
                <w:szCs w:val="23"/>
                <w:color w:val="auto"/>
              </w:rPr>
            </w:pPr>
          </w:p>
        </w:tc>
        <w:tc>
          <w:tcPr>
            <w:tcW w:w="340" w:type="dxa"/>
            <w:vAlign w:val="bottom"/>
            <w:tcBorders>
              <w:bottom w:val="single" w:sz="8" w:color="121212"/>
            </w:tcBorders>
          </w:tcPr>
          <w:p>
            <w:pPr>
              <w:jc w:val="right"/>
              <w:ind w:right="140"/>
              <w:spacing w:after="0"/>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(76,429)</w:t>
            </w:r>
          </w:p>
        </w:tc>
        <w:tc>
          <w:tcPr>
            <w:tcW w:w="180" w:type="dxa"/>
            <w:vAlign w:val="bottom"/>
            <w:tcBorders>
              <w:bottom w:val="single" w:sz="8" w:color="E0E0E0"/>
            </w:tcBorders>
          </w:tcPr>
          <w:p>
            <w:pPr>
              <w:spacing w:after="0"/>
              <w:rPr>
                <w:sz w:val="23"/>
                <w:szCs w:val="23"/>
                <w:color w:val="auto"/>
              </w:rPr>
            </w:pPr>
          </w:p>
        </w:tc>
        <w:tc>
          <w:tcPr>
            <w:tcW w:w="440" w:type="dxa"/>
            <w:vAlign w:val="bottom"/>
            <w:tcBorders>
              <w:bottom w:val="single" w:sz="8" w:color="121212"/>
            </w:tcBorders>
          </w:tcPr>
          <w:p>
            <w:pPr>
              <w:jc w:val="right"/>
              <w:ind w:right="240"/>
              <w:spacing w:after="0"/>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tcPr>
          <w:p>
            <w:pPr>
              <w:jc w:val="right"/>
              <w:spacing w:after="0"/>
              <w:rPr>
                <w:sz w:val="20"/>
                <w:szCs w:val="20"/>
                <w:color w:val="auto"/>
              </w:rPr>
            </w:pPr>
            <w:r>
              <w:rPr>
                <w:rFonts w:ascii="Times New Roman" w:cs="Times New Roman" w:eastAsia="Times New Roman" w:hAnsi="Times New Roman"/>
                <w:sz w:val="20"/>
                <w:szCs w:val="20"/>
                <w:color w:val="121212"/>
              </w:rPr>
              <w:t>(46,827)</w:t>
            </w:r>
          </w:p>
        </w:tc>
      </w:tr>
      <w:tr>
        <w:trPr>
          <w:trHeight w:val="215"/>
        </w:trPr>
        <w:tc>
          <w:tcPr>
            <w:tcW w:w="6600" w:type="dxa"/>
            <w:vAlign w:val="bottom"/>
            <w:shd w:val="clear" w:color="auto" w:fill="E0E0E0"/>
          </w:tcPr>
          <w:p>
            <w:pPr>
              <w:spacing w:after="0" w:line="215" w:lineRule="exact"/>
              <w:rPr>
                <w:sz w:val="20"/>
                <w:szCs w:val="20"/>
                <w:color w:val="auto"/>
              </w:rPr>
            </w:pPr>
            <w:r>
              <w:rPr>
                <w:rFonts w:ascii="Times New Roman" w:cs="Times New Roman" w:eastAsia="Times New Roman" w:hAnsi="Times New Roman"/>
                <w:sz w:val="20"/>
                <w:szCs w:val="20"/>
                <w:color w:val="121212"/>
              </w:rPr>
              <w:t>Denominator:</w:t>
            </w:r>
          </w:p>
        </w:tc>
        <w:tc>
          <w:tcPr>
            <w:tcW w:w="56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44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r>
      <w:tr>
        <w:trPr>
          <w:trHeight w:val="270"/>
        </w:trPr>
        <w:tc>
          <w:tcPr>
            <w:tcW w:w="66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0"/>
                <w:szCs w:val="20"/>
                <w:color w:val="121212"/>
              </w:rPr>
              <w:t>Weighted-average common shares outstanding-basic and diluted</w:t>
            </w:r>
          </w:p>
        </w:tc>
        <w:tc>
          <w:tcPr>
            <w:tcW w:w="560" w:type="dxa"/>
            <w:vAlign w:val="bottom"/>
            <w:tcBorders>
              <w:bottom w:val="single" w:sz="8" w:color="E0E0E0"/>
            </w:tcBorders>
          </w:tcPr>
          <w:p>
            <w:pPr>
              <w:spacing w:after="0"/>
              <w:rPr>
                <w:sz w:val="23"/>
                <w:szCs w:val="23"/>
                <w:color w:val="auto"/>
              </w:rPr>
            </w:pPr>
          </w:p>
        </w:tc>
        <w:tc>
          <w:tcPr>
            <w:tcW w:w="340" w:type="dxa"/>
            <w:vAlign w:val="bottom"/>
            <w:tcBorders>
              <w:bottom w:val="single" w:sz="8" w:color="121212"/>
            </w:tcBorders>
          </w:tcPr>
          <w:p>
            <w:pPr>
              <w:spacing w:after="0"/>
              <w:rPr>
                <w:sz w:val="23"/>
                <w:szCs w:val="23"/>
                <w:color w:val="auto"/>
              </w:rPr>
            </w:pPr>
          </w:p>
        </w:tc>
        <w:tc>
          <w:tcPr>
            <w:tcW w:w="1220" w:type="dxa"/>
            <w:vAlign w:val="bottom"/>
            <w:tcBorders>
              <w:bottom w:val="single" w:sz="8" w:color="121212"/>
            </w:tcBorders>
          </w:tcPr>
          <w:p>
            <w:pPr>
              <w:jc w:val="right"/>
              <w:ind w:right="10"/>
              <w:spacing w:after="0"/>
              <w:rPr>
                <w:sz w:val="20"/>
                <w:szCs w:val="20"/>
                <w:color w:val="auto"/>
              </w:rPr>
            </w:pPr>
            <w:r>
              <w:rPr>
                <w:rFonts w:ascii="Times New Roman" w:cs="Times New Roman" w:eastAsia="Times New Roman" w:hAnsi="Times New Roman"/>
                <w:sz w:val="20"/>
                <w:szCs w:val="20"/>
                <w:color w:val="121212"/>
              </w:rPr>
              <w:t>22,315,877</w:t>
            </w:r>
          </w:p>
        </w:tc>
        <w:tc>
          <w:tcPr>
            <w:tcW w:w="180" w:type="dxa"/>
            <w:vAlign w:val="bottom"/>
            <w:tcBorders>
              <w:bottom w:val="single" w:sz="8" w:color="E0E0E0"/>
            </w:tcBorders>
          </w:tcPr>
          <w:p>
            <w:pPr>
              <w:spacing w:after="0"/>
              <w:rPr>
                <w:sz w:val="23"/>
                <w:szCs w:val="23"/>
                <w:color w:val="auto"/>
              </w:rPr>
            </w:pPr>
          </w:p>
        </w:tc>
        <w:tc>
          <w:tcPr>
            <w:tcW w:w="440" w:type="dxa"/>
            <w:vAlign w:val="bottom"/>
            <w:tcBorders>
              <w:bottom w:val="single" w:sz="8" w:color="121212"/>
            </w:tcBorders>
          </w:tcPr>
          <w:p>
            <w:pPr>
              <w:spacing w:after="0"/>
              <w:rPr>
                <w:sz w:val="23"/>
                <w:szCs w:val="23"/>
                <w:color w:val="auto"/>
              </w:rPr>
            </w:pPr>
          </w:p>
        </w:tc>
        <w:tc>
          <w:tcPr>
            <w:tcW w:w="1100" w:type="dxa"/>
            <w:vAlign w:val="bottom"/>
            <w:tcBorders>
              <w:bottom w:val="single" w:sz="8" w:color="121212"/>
            </w:tcBorders>
          </w:tcPr>
          <w:p>
            <w:pPr>
              <w:jc w:val="right"/>
              <w:ind w:right="5"/>
              <w:spacing w:after="0"/>
              <w:rPr>
                <w:sz w:val="20"/>
                <w:szCs w:val="20"/>
                <w:color w:val="auto"/>
              </w:rPr>
            </w:pPr>
            <w:r>
              <w:rPr>
                <w:rFonts w:ascii="Times New Roman" w:cs="Times New Roman" w:eastAsia="Times New Roman" w:hAnsi="Times New Roman"/>
                <w:sz w:val="20"/>
                <w:szCs w:val="20"/>
                <w:color w:val="121212"/>
              </w:rPr>
              <w:t>1,039,490</w:t>
            </w:r>
          </w:p>
        </w:tc>
      </w:tr>
      <w:tr>
        <w:trPr>
          <w:trHeight w:val="215"/>
        </w:trPr>
        <w:tc>
          <w:tcPr>
            <w:tcW w:w="6600" w:type="dxa"/>
            <w:vAlign w:val="bottom"/>
            <w:shd w:val="clear" w:color="auto" w:fill="E0E0E0"/>
          </w:tcPr>
          <w:p>
            <w:pPr>
              <w:ind w:left="200"/>
              <w:spacing w:after="0" w:line="215" w:lineRule="exact"/>
              <w:rPr>
                <w:sz w:val="20"/>
                <w:szCs w:val="20"/>
                <w:color w:val="auto"/>
              </w:rPr>
            </w:pPr>
            <w:r>
              <w:rPr>
                <w:rFonts w:ascii="Times New Roman" w:cs="Times New Roman" w:eastAsia="Times New Roman" w:hAnsi="Times New Roman"/>
                <w:sz w:val="20"/>
                <w:szCs w:val="20"/>
                <w:color w:val="121212"/>
              </w:rPr>
              <w:t>Net loss per share attributable to common stockholders-basic and diluted</w:t>
            </w:r>
          </w:p>
        </w:tc>
        <w:tc>
          <w:tcPr>
            <w:tcW w:w="560" w:type="dxa"/>
            <w:vAlign w:val="bottom"/>
            <w:shd w:val="clear" w:color="auto" w:fill="E0E0E0"/>
          </w:tcPr>
          <w:p>
            <w:pPr>
              <w:spacing w:after="0"/>
              <w:rPr>
                <w:sz w:val="18"/>
                <w:szCs w:val="18"/>
                <w:color w:val="auto"/>
              </w:rPr>
            </w:pPr>
          </w:p>
        </w:tc>
        <w:tc>
          <w:tcPr>
            <w:tcW w:w="340" w:type="dxa"/>
            <w:vAlign w:val="bottom"/>
            <w:tcBorders>
              <w:bottom w:val="single" w:sz="8" w:color="121212"/>
            </w:tcBorders>
            <w:shd w:val="clear" w:color="auto" w:fill="E0E0E0"/>
          </w:tcPr>
          <w:p>
            <w:pPr>
              <w:jc w:val="right"/>
              <w:ind w:right="140"/>
              <w:spacing w:after="0" w:line="215" w:lineRule="exact"/>
              <w:rPr>
                <w:sz w:val="20"/>
                <w:szCs w:val="20"/>
                <w:color w:val="auto"/>
              </w:rPr>
            </w:pPr>
            <w:r>
              <w:rPr>
                <w:rFonts w:ascii="Times New Roman" w:cs="Times New Roman" w:eastAsia="Times New Roman" w:hAnsi="Times New Roman"/>
                <w:sz w:val="20"/>
                <w:szCs w:val="20"/>
                <w:color w:val="121212"/>
                <w:w w:val="79"/>
              </w:rPr>
              <w:t>$</w:t>
            </w:r>
          </w:p>
        </w:tc>
        <w:tc>
          <w:tcPr>
            <w:tcW w:w="1220" w:type="dxa"/>
            <w:vAlign w:val="bottom"/>
            <w:tcBorders>
              <w:bottom w:val="single" w:sz="8" w:color="121212"/>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121212"/>
              </w:rPr>
              <w:t>(3.42)</w:t>
            </w:r>
          </w:p>
        </w:tc>
        <w:tc>
          <w:tcPr>
            <w:tcW w:w="180" w:type="dxa"/>
            <w:vAlign w:val="bottom"/>
            <w:shd w:val="clear" w:color="auto" w:fill="E0E0E0"/>
          </w:tcPr>
          <w:p>
            <w:pPr>
              <w:spacing w:after="0"/>
              <w:rPr>
                <w:sz w:val="18"/>
                <w:szCs w:val="18"/>
                <w:color w:val="auto"/>
              </w:rPr>
            </w:pPr>
          </w:p>
        </w:tc>
        <w:tc>
          <w:tcPr>
            <w:tcW w:w="440" w:type="dxa"/>
            <w:vAlign w:val="bottom"/>
            <w:tcBorders>
              <w:bottom w:val="single" w:sz="8" w:color="121212"/>
            </w:tcBorders>
            <w:shd w:val="clear" w:color="auto" w:fill="E0E0E0"/>
          </w:tcPr>
          <w:p>
            <w:pPr>
              <w:jc w:val="right"/>
              <w:ind w:right="240"/>
              <w:spacing w:after="0" w:line="215"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shd w:val="clear" w:color="auto" w:fill="E0E0E0"/>
          </w:tcPr>
          <w:p>
            <w:pPr>
              <w:jc w:val="right"/>
              <w:spacing w:after="0" w:line="215" w:lineRule="exact"/>
              <w:rPr>
                <w:sz w:val="20"/>
                <w:szCs w:val="20"/>
                <w:color w:val="auto"/>
              </w:rPr>
            </w:pPr>
            <w:r>
              <w:rPr>
                <w:rFonts w:ascii="Times New Roman" w:cs="Times New Roman" w:eastAsia="Times New Roman" w:hAnsi="Times New Roman"/>
                <w:sz w:val="20"/>
                <w:szCs w:val="20"/>
                <w:color w:val="121212"/>
              </w:rPr>
              <w:t>(45.05)</w:t>
            </w:r>
          </w:p>
        </w:tc>
      </w:tr>
      <w:tr>
        <w:trPr>
          <w:trHeight w:val="20"/>
        </w:trPr>
        <w:tc>
          <w:tcPr>
            <w:tcW w:w="6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121212"/>
            </w:tcBorders>
          </w:tcPr>
          <w:p>
            <w:pPr>
              <w:spacing w:after="0" w:line="20" w:lineRule="exact"/>
              <w:rPr>
                <w:sz w:val="1"/>
                <w:szCs w:val="1"/>
                <w:color w:val="auto"/>
              </w:rPr>
            </w:pPr>
          </w:p>
        </w:tc>
        <w:tc>
          <w:tcPr>
            <w:tcW w:w="1220" w:type="dxa"/>
            <w:vAlign w:val="bottom"/>
            <w:tcBorders>
              <w:bottom w:val="single" w:sz="8" w:color="12121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101" w:lineRule="exact"/>
        <w:rPr>
          <w:sz w:val="20"/>
          <w:szCs w:val="20"/>
          <w:color w:val="auto"/>
        </w:rPr>
      </w:pPr>
    </w:p>
    <w:p>
      <w:pPr>
        <w:jc w:val="both"/>
        <w:ind w:left="7" w:firstLine="490"/>
        <w:spacing w:after="0" w:line="278" w:lineRule="auto"/>
        <w:rPr>
          <w:sz w:val="20"/>
          <w:szCs w:val="20"/>
          <w:color w:val="auto"/>
        </w:rPr>
      </w:pPr>
      <w:r>
        <w:rPr>
          <w:rFonts w:ascii="Times New Roman" w:cs="Times New Roman" w:eastAsia="Times New Roman" w:hAnsi="Times New Roman"/>
          <w:sz w:val="19"/>
          <w:szCs w:val="19"/>
          <w:color w:val="121212"/>
        </w:rPr>
        <w:t>The Company has generated a net loss in all periods presented, so the basic and diluted net loss per share are the same, as the inclusion of the potentially dilutive securities would be anti-dilutive. The Company excluded the following from the computation of diluted net loss per share attributable to common stockholders because including them would have had an anti-dilutive effect:</w:t>
      </w:r>
    </w:p>
    <w:p>
      <w:pPr>
        <w:spacing w:after="0" w:line="16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2200" w:type="dxa"/>
            <w:vAlign w:val="bottom"/>
            <w:tcBorders>
              <w:bottom w:val="single" w:sz="8" w:color="121212"/>
            </w:tcBorders>
            <w:gridSpan w:val="3"/>
          </w:tcPr>
          <w:p>
            <w:pPr>
              <w:ind w:left="114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120" w:type="dxa"/>
            <w:vAlign w:val="bottom"/>
            <w:tcBorders>
              <w:bottom w:val="single" w:sz="8" w:color="121212"/>
            </w:tcBorders>
          </w:tcPr>
          <w:p>
            <w:pPr>
              <w:spacing w:after="0"/>
              <w:rPr>
                <w:sz w:val="17"/>
                <w:szCs w:val="17"/>
                <w:color w:val="auto"/>
              </w:rPr>
            </w:pPr>
          </w:p>
        </w:tc>
      </w:tr>
      <w:tr>
        <w:trPr>
          <w:trHeight w:val="174"/>
        </w:trPr>
        <w:tc>
          <w:tcPr>
            <w:tcW w:w="7120" w:type="dxa"/>
            <w:vAlign w:val="bottom"/>
            <w:tcBorders>
              <w:bottom w:val="single" w:sz="8" w:color="E0E0E0"/>
            </w:tcBorders>
          </w:tcPr>
          <w:p>
            <w:pPr>
              <w:spacing w:after="0"/>
              <w:rPr>
                <w:sz w:val="15"/>
                <w:szCs w:val="15"/>
                <w:color w:val="auto"/>
              </w:rPr>
            </w:pPr>
          </w:p>
        </w:tc>
        <w:tc>
          <w:tcPr>
            <w:tcW w:w="1600" w:type="dxa"/>
            <w:vAlign w:val="bottom"/>
            <w:tcBorders>
              <w:bottom w:val="single" w:sz="8" w:color="121212"/>
            </w:tcBorders>
          </w:tcPr>
          <w:p>
            <w:pPr>
              <w:jc w:val="right"/>
              <w:ind w:right="608"/>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20" w:type="dxa"/>
            <w:vAlign w:val="bottom"/>
            <w:tcBorders>
              <w:bottom w:val="single" w:sz="8" w:color="E0E0E0"/>
            </w:tcBorders>
          </w:tcPr>
          <w:p>
            <w:pPr>
              <w:spacing w:after="0"/>
              <w:rPr>
                <w:sz w:val="15"/>
                <w:szCs w:val="15"/>
                <w:color w:val="auto"/>
              </w:rPr>
            </w:pPr>
          </w:p>
        </w:tc>
        <w:tc>
          <w:tcPr>
            <w:tcW w:w="480" w:type="dxa"/>
            <w:vAlign w:val="bottom"/>
            <w:tcBorders>
              <w:bottom w:val="single" w:sz="8" w:color="121212"/>
            </w:tcBorders>
          </w:tcPr>
          <w:p>
            <w:pPr>
              <w:spacing w:after="0"/>
              <w:rPr>
                <w:sz w:val="15"/>
                <w:szCs w:val="15"/>
                <w:color w:val="auto"/>
              </w:rPr>
            </w:pPr>
          </w:p>
        </w:tc>
        <w:tc>
          <w:tcPr>
            <w:tcW w:w="1120" w:type="dxa"/>
            <w:vAlign w:val="bottom"/>
            <w:tcBorders>
              <w:bottom w:val="single" w:sz="8" w:color="121212"/>
            </w:tcBorders>
          </w:tcPr>
          <w:p>
            <w:pPr>
              <w:jc w:val="right"/>
              <w:ind w:right="585"/>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71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Unvested restricted common stock</w:t>
            </w:r>
          </w:p>
        </w:tc>
        <w:tc>
          <w:tcPr>
            <w:tcW w:w="1600" w:type="dxa"/>
            <w:vAlign w:val="bottom"/>
            <w:shd w:val="clear" w:color="auto" w:fill="E0E0E0"/>
          </w:tcPr>
          <w:p>
            <w:pPr>
              <w:jc w:val="right"/>
              <w:ind w:right="8"/>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120" w:type="dxa"/>
            <w:vAlign w:val="bottom"/>
            <w:shd w:val="clear" w:color="auto" w:fill="E0E0E0"/>
          </w:tcPr>
          <w:p>
            <w:pPr>
              <w:spacing w:after="0"/>
              <w:rPr>
                <w:sz w:val="19"/>
                <w:szCs w:val="19"/>
                <w:color w:val="auto"/>
              </w:rPr>
            </w:pPr>
          </w:p>
        </w:tc>
        <w:tc>
          <w:tcPr>
            <w:tcW w:w="480" w:type="dxa"/>
            <w:vAlign w:val="bottom"/>
            <w:shd w:val="clear" w:color="auto" w:fill="E0E0E0"/>
          </w:tcPr>
          <w:p>
            <w:pPr>
              <w:spacing w:after="0"/>
              <w:rPr>
                <w:sz w:val="19"/>
                <w:szCs w:val="19"/>
                <w:color w:val="auto"/>
              </w:rPr>
            </w:pPr>
          </w:p>
        </w:tc>
        <w:tc>
          <w:tcPr>
            <w:tcW w:w="1120" w:type="dxa"/>
            <w:vAlign w:val="bottom"/>
            <w:shd w:val="clear" w:color="auto" w:fill="E0E0E0"/>
          </w:tcPr>
          <w:p>
            <w:pPr>
              <w:jc w:val="right"/>
              <w:ind w:right="5"/>
              <w:spacing w:after="0" w:line="220" w:lineRule="exact"/>
              <w:rPr>
                <w:sz w:val="20"/>
                <w:szCs w:val="20"/>
                <w:color w:val="auto"/>
              </w:rPr>
            </w:pPr>
            <w:r>
              <w:rPr>
                <w:rFonts w:ascii="Times New Roman" w:cs="Times New Roman" w:eastAsia="Times New Roman" w:hAnsi="Times New Roman"/>
                <w:sz w:val="20"/>
                <w:szCs w:val="20"/>
                <w:color w:val="121212"/>
              </w:rPr>
              <w:t>1,916</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20"/>
                <w:szCs w:val="20"/>
                <w:color w:val="121212"/>
              </w:rPr>
              <w:t>Options to purchase common stock</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121212"/>
              </w:rPr>
              <w:t>2,459,037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2,640,590</w:t>
            </w:r>
          </w:p>
        </w:tc>
      </w:tr>
      <w:tr>
        <w:trPr>
          <w:trHeight w:val="230"/>
        </w:trPr>
        <w:tc>
          <w:tcPr>
            <w:tcW w:w="71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Employee stock purchase program</w:t>
            </w:r>
          </w:p>
        </w:tc>
        <w:tc>
          <w:tcPr>
            <w:tcW w:w="1600" w:type="dxa"/>
            <w:vAlign w:val="bottom"/>
            <w:shd w:val="clear" w:color="auto" w:fill="E0E0E0"/>
          </w:tcPr>
          <w:p>
            <w:pPr>
              <w:jc w:val="right"/>
              <w:ind w:right="8"/>
              <w:spacing w:after="0"/>
              <w:rPr>
                <w:sz w:val="20"/>
                <w:szCs w:val="20"/>
                <w:color w:val="auto"/>
              </w:rPr>
            </w:pPr>
            <w:r>
              <w:rPr>
                <w:rFonts w:ascii="Times New Roman" w:cs="Times New Roman" w:eastAsia="Times New Roman" w:hAnsi="Times New Roman"/>
                <w:sz w:val="20"/>
                <w:szCs w:val="20"/>
                <w:color w:val="121212"/>
              </w:rPr>
              <w:t>4,878</w:t>
            </w:r>
          </w:p>
        </w:tc>
        <w:tc>
          <w:tcPr>
            <w:tcW w:w="120" w:type="dxa"/>
            <w:vAlign w:val="bottom"/>
            <w:shd w:val="clear" w:color="auto" w:fill="E0E0E0"/>
          </w:tcPr>
          <w:p>
            <w:pPr>
              <w:spacing w:after="0"/>
              <w:rPr>
                <w:sz w:val="19"/>
                <w:szCs w:val="19"/>
                <w:color w:val="auto"/>
              </w:rPr>
            </w:pPr>
          </w:p>
        </w:tc>
        <w:tc>
          <w:tcPr>
            <w:tcW w:w="480" w:type="dxa"/>
            <w:vAlign w:val="bottom"/>
            <w:shd w:val="clear" w:color="auto" w:fill="E0E0E0"/>
          </w:tcPr>
          <w:p>
            <w:pPr>
              <w:spacing w:after="0"/>
              <w:rPr>
                <w:sz w:val="19"/>
                <w:szCs w:val="19"/>
                <w:color w:val="auto"/>
              </w:rPr>
            </w:pPr>
          </w:p>
        </w:tc>
        <w:tc>
          <w:tcPr>
            <w:tcW w:w="112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w:t>
            </w:r>
          </w:p>
        </w:tc>
      </w:tr>
    </w:tbl>
    <w:p>
      <w:pPr>
        <w:spacing w:after="0" w:line="355" w:lineRule="exact"/>
        <w:rPr>
          <w:sz w:val="20"/>
          <w:szCs w:val="20"/>
          <w:color w:val="auto"/>
        </w:rPr>
      </w:pPr>
    </w:p>
    <w:p>
      <w:pPr>
        <w:ind w:left="7" w:right="7340" w:hanging="7"/>
        <w:spacing w:after="0" w:line="386" w:lineRule="auto"/>
        <w:tabs>
          <w:tab w:leader="none" w:pos="307" w:val="left"/>
        </w:tabs>
        <w:numPr>
          <w:ilvl w:val="0"/>
          <w:numId w:val="57"/>
        </w:numPr>
        <w:rPr>
          <w:rFonts w:ascii="Times New Roman" w:cs="Times New Roman" w:eastAsia="Times New Roman" w:hAnsi="Times New Roman"/>
          <w:sz w:val="19"/>
          <w:szCs w:val="19"/>
          <w:b w:val="1"/>
          <w:bCs w:val="1"/>
          <w:color w:val="121212"/>
        </w:rPr>
      </w:pPr>
      <w:r>
        <w:rPr>
          <w:rFonts w:ascii="Times New Roman" w:cs="Times New Roman" w:eastAsia="Times New Roman" w:hAnsi="Times New Roman"/>
          <w:sz w:val="19"/>
          <w:szCs w:val="19"/>
          <w:b w:val="1"/>
          <w:bCs w:val="1"/>
          <w:color w:val="121212"/>
        </w:rPr>
        <w:t xml:space="preserve">Commitments and Contingencies </w:t>
      </w:r>
      <w:r>
        <w:rPr>
          <w:rFonts w:ascii="Times New Roman" w:cs="Times New Roman" w:eastAsia="Times New Roman" w:hAnsi="Times New Roman"/>
          <w:sz w:val="19"/>
          <w:szCs w:val="19"/>
          <w:b w:val="1"/>
          <w:bCs w:val="1"/>
          <w:i w:val="1"/>
          <w:iCs w:val="1"/>
          <w:color w:val="121212"/>
        </w:rPr>
        <w:t>Indemnification Agreements</w:t>
      </w:r>
    </w:p>
    <w:p>
      <w:pPr>
        <w:spacing w:after="0" w:line="1" w:lineRule="exact"/>
        <w:rPr>
          <w:sz w:val="20"/>
          <w:szCs w:val="20"/>
          <w:color w:val="auto"/>
        </w:rPr>
      </w:pPr>
    </w:p>
    <w:p>
      <w:pPr>
        <w:ind w:left="7" w:right="60" w:firstLine="490"/>
        <w:spacing w:after="0" w:line="245" w:lineRule="auto"/>
        <w:rPr>
          <w:sz w:val="20"/>
          <w:szCs w:val="20"/>
          <w:color w:val="auto"/>
        </w:rPr>
      </w:pPr>
      <w:r>
        <w:rPr>
          <w:rFonts w:ascii="Times New Roman" w:cs="Times New Roman" w:eastAsia="Times New Roman" w:hAnsi="Times New Roman"/>
          <w:sz w:val="20"/>
          <w:szCs w:val="20"/>
          <w:color w:val="121212"/>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ectPr>
          <w:pgSz w:w="12240" w:h="15840" w:orient="portrait"/>
          <w:cols w:equalWidth="0" w:num="1">
            <w:col w:w="10467"/>
          </w:cols>
          <w:pgMar w:left="893" w:top="930" w:right="8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121212"/>
        </w:rPr>
        <w:t>130</w:t>
      </w:r>
    </w:p>
    <w:p>
      <w:pPr>
        <w:sectPr>
          <w:pgSz w:w="12240" w:h="15840" w:orient="portrait"/>
          <w:cols w:equalWidth="0" w:num="1">
            <w:col w:w="10467"/>
          </w:cols>
          <w:pgMar w:left="893" w:top="930" w:right="880" w:bottom="175"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i w:val="1"/>
          <w:iCs w:val="1"/>
          <w:color w:val="121212"/>
        </w:rPr>
        <w:t>Legal Proceedings</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121212"/>
        </w:rPr>
        <w:t>The Company, from time to time, may be party to litigation arising in the ordinary course of business. The Company was not subject to any material legal proceedings during the twelve months ended December 31, 2023 and 2022 and, to the best of its knowledge, no material legal proceedings are currently pending or threatened.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Payments Upon Termination</w:t>
      </w:r>
    </w:p>
    <w:p>
      <w:pPr>
        <w:spacing w:after="0" w:line="12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21212"/>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15. Leases</w:t>
      </w:r>
    </w:p>
    <w:p>
      <w:pPr>
        <w:spacing w:after="0" w:line="124" w:lineRule="exact"/>
        <w:rPr>
          <w:sz w:val="20"/>
          <w:szCs w:val="20"/>
          <w:color w:val="auto"/>
        </w:rPr>
      </w:pPr>
    </w:p>
    <w:p>
      <w:pPr>
        <w:jc w:val="both"/>
        <w:ind w:firstLine="490"/>
        <w:spacing w:after="0" w:line="260" w:lineRule="auto"/>
        <w:rPr>
          <w:sz w:val="20"/>
          <w:szCs w:val="20"/>
          <w:color w:val="auto"/>
        </w:rPr>
      </w:pPr>
      <w:r>
        <w:rPr>
          <w:rFonts w:ascii="Times New Roman" w:cs="Times New Roman" w:eastAsia="Times New Roman" w:hAnsi="Times New Roman"/>
          <w:sz w:val="19"/>
          <w:szCs w:val="19"/>
          <w:color w:val="121212"/>
        </w:rPr>
        <w:t>In October 2021, Private Disc entered into a five-year lease through November 2026 of 7,566 square feet of office space located at 321 Arsenal Street, Watertown, Massachusetts to be used as its corporate headquarters. In June 2023, the lease was amended to allow the landlord to perform certain maintenance activities expected to be completed by the end of 2023 and to provide rent abatement of $0.2 million. The amendment was accounted for as a modification resulting in a new incremental borrowing rate and a reduction to the right-of-use asset and lease liability of $0.2 million. In September 2023, the Company recognized a reassessment event which was accounted for as a modification resulting in a new incremental borrowing rate and a reduction to the right-of-use asset and lease liability of an additional $0.2 million. In November 2023, the Company recognized another reassessment event which was accounted for as a modification resulting in an increase to the right-of-use asset and lease liability of $0.1 million.</w:t>
      </w:r>
    </w:p>
    <w:p>
      <w:pPr>
        <w:spacing w:after="0" w:line="67" w:lineRule="exact"/>
        <w:rPr>
          <w:sz w:val="20"/>
          <w:szCs w:val="20"/>
          <w:color w:val="auto"/>
        </w:rPr>
      </w:pPr>
    </w:p>
    <w:p>
      <w:pPr>
        <w:jc w:val="both"/>
        <w:ind w:firstLine="490"/>
        <w:spacing w:after="0" w:line="265" w:lineRule="auto"/>
        <w:rPr>
          <w:sz w:val="20"/>
          <w:szCs w:val="20"/>
          <w:color w:val="auto"/>
        </w:rPr>
      </w:pPr>
      <w:r>
        <w:rPr>
          <w:rFonts w:ascii="Times New Roman" w:cs="Times New Roman" w:eastAsia="Times New Roman" w:hAnsi="Times New Roman"/>
          <w:sz w:val="19"/>
          <w:szCs w:val="19"/>
          <w:color w:val="121212"/>
        </w:rPr>
        <w:t>In June 2023, the Company entered into a sublease for a term of approximately three and a half years through November 2026, consisting of 9,281 square feet of office space on the second floor of the corporate headquarters in Watertown, Massachusetts. Fixed lease payments include base rent, subject to annual rent increases, and a management fee. Variable lease payments include the Company’s allocated share of costs incurred for real estate taxes, utilities, and other operating expenses applicable to the leased premises. Pursuant to the lease, the Company is also obligated to pay for certain administrative costs, taxes and operating expenses.</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The components of lease expense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121212"/>
              </w:rPr>
              <w:t>Year Ended</w:t>
            </w:r>
          </w:p>
        </w:tc>
        <w:tc>
          <w:tcPr>
            <w:tcW w:w="1100" w:type="dxa"/>
            <w:vAlign w:val="bottom"/>
          </w:tcPr>
          <w:p>
            <w:pPr>
              <w:spacing w:after="0"/>
              <w:rPr>
                <w:sz w:val="16"/>
                <w:szCs w:val="16"/>
                <w:color w:val="auto"/>
              </w:rPr>
            </w:pPr>
          </w:p>
        </w:tc>
      </w:tr>
      <w:tr>
        <w:trPr>
          <w:trHeight w:val="203"/>
        </w:trPr>
        <w:tc>
          <w:tcPr>
            <w:tcW w:w="44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0" w:type="dxa"/>
            <w:vAlign w:val="bottom"/>
            <w:tcBorders>
              <w:bottom w:val="single" w:sz="8" w:color="121212"/>
            </w:tcBorders>
          </w:tcPr>
          <w:p>
            <w:pPr>
              <w:spacing w:after="0"/>
              <w:rPr>
                <w:sz w:val="17"/>
                <w:szCs w:val="17"/>
                <w:color w:val="auto"/>
              </w:rPr>
            </w:pPr>
          </w:p>
        </w:tc>
        <w:tc>
          <w:tcPr>
            <w:tcW w:w="1180" w:type="dxa"/>
            <w:vAlign w:val="bottom"/>
            <w:tcBorders>
              <w:bottom w:val="single" w:sz="8" w:color="121212"/>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100" w:type="dxa"/>
            <w:vAlign w:val="bottom"/>
            <w:tcBorders>
              <w:bottom w:val="single" w:sz="8" w:color="121212"/>
            </w:tcBorders>
          </w:tcPr>
          <w:p>
            <w:pPr>
              <w:spacing w:after="0"/>
              <w:rPr>
                <w:sz w:val="17"/>
                <w:szCs w:val="17"/>
                <w:color w:val="auto"/>
              </w:rPr>
            </w:pPr>
          </w:p>
        </w:tc>
      </w:tr>
      <w:tr>
        <w:trPr>
          <w:trHeight w:val="174"/>
        </w:trPr>
        <w:tc>
          <w:tcPr>
            <w:tcW w:w="4420" w:type="dxa"/>
            <w:vAlign w:val="bottom"/>
            <w:tcBorders>
              <w:bottom w:val="single" w:sz="8" w:color="E0E0E0"/>
            </w:tcBorders>
          </w:tcPr>
          <w:p>
            <w:pPr>
              <w:spacing w:after="0"/>
              <w:rPr>
                <w:sz w:val="15"/>
                <w:szCs w:val="15"/>
                <w:color w:val="auto"/>
              </w:rPr>
            </w:pPr>
          </w:p>
        </w:tc>
        <w:tc>
          <w:tcPr>
            <w:tcW w:w="2740" w:type="dxa"/>
            <w:vAlign w:val="bottom"/>
            <w:tcBorders>
              <w:bottom w:val="single" w:sz="8" w:color="E0E0E0"/>
            </w:tcBorders>
          </w:tcPr>
          <w:p>
            <w:pPr>
              <w:spacing w:after="0"/>
              <w:rPr>
                <w:sz w:val="15"/>
                <w:szCs w:val="15"/>
                <w:color w:val="auto"/>
              </w:rPr>
            </w:pPr>
          </w:p>
        </w:tc>
        <w:tc>
          <w:tcPr>
            <w:tcW w:w="1000" w:type="dxa"/>
            <w:vAlign w:val="bottom"/>
            <w:tcBorders>
              <w:bottom w:val="single" w:sz="8" w:color="121212"/>
            </w:tcBorders>
          </w:tcPr>
          <w:p>
            <w:pPr>
              <w:jc w:val="right"/>
              <w:ind w:right="7"/>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560" w:type="dxa"/>
            <w:vAlign w:val="bottom"/>
            <w:tcBorders>
              <w:bottom w:val="single" w:sz="8" w:color="121212"/>
            </w:tcBorders>
          </w:tcPr>
          <w:p>
            <w:pPr>
              <w:spacing w:after="0"/>
              <w:rPr>
                <w:sz w:val="15"/>
                <w:szCs w:val="15"/>
                <w:color w:val="auto"/>
              </w:rPr>
            </w:pPr>
          </w:p>
        </w:tc>
        <w:tc>
          <w:tcPr>
            <w:tcW w:w="180" w:type="dxa"/>
            <w:vAlign w:val="bottom"/>
            <w:tcBorders>
              <w:bottom w:val="single" w:sz="8" w:color="E0E0E0"/>
            </w:tcBorders>
          </w:tcPr>
          <w:p>
            <w:pPr>
              <w:spacing w:after="0"/>
              <w:rPr>
                <w:sz w:val="15"/>
                <w:szCs w:val="15"/>
                <w:color w:val="auto"/>
              </w:rPr>
            </w:pPr>
          </w:p>
        </w:tc>
        <w:tc>
          <w:tcPr>
            <w:tcW w:w="440" w:type="dxa"/>
            <w:vAlign w:val="bottom"/>
            <w:tcBorders>
              <w:bottom w:val="single" w:sz="8" w:color="121212"/>
            </w:tcBorders>
          </w:tcPr>
          <w:p>
            <w:pPr>
              <w:spacing w:after="0"/>
              <w:rPr>
                <w:sz w:val="15"/>
                <w:szCs w:val="15"/>
                <w:color w:val="auto"/>
              </w:rPr>
            </w:pPr>
          </w:p>
        </w:tc>
        <w:tc>
          <w:tcPr>
            <w:tcW w:w="1100" w:type="dxa"/>
            <w:vAlign w:val="bottom"/>
            <w:tcBorders>
              <w:bottom w:val="single" w:sz="8" w:color="121212"/>
            </w:tcBorders>
          </w:tcPr>
          <w:p>
            <w:pPr>
              <w:jc w:val="right"/>
              <w:ind w:right="565"/>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44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Operating lease costs</w:t>
            </w:r>
          </w:p>
        </w:tc>
        <w:tc>
          <w:tcPr>
            <w:tcW w:w="2740" w:type="dxa"/>
            <w:vAlign w:val="bottom"/>
            <w:shd w:val="clear" w:color="auto" w:fill="E0E0E0"/>
          </w:tcPr>
          <w:p>
            <w:pPr>
              <w:spacing w:after="0"/>
              <w:rPr>
                <w:sz w:val="19"/>
                <w:szCs w:val="19"/>
                <w:color w:val="auto"/>
              </w:rPr>
            </w:pPr>
          </w:p>
        </w:tc>
        <w:tc>
          <w:tcPr>
            <w:tcW w:w="1000" w:type="dxa"/>
            <w:vAlign w:val="bottom"/>
            <w:shd w:val="clear" w:color="auto" w:fill="E0E0E0"/>
          </w:tcPr>
          <w:p>
            <w:pPr>
              <w:jc w:val="right"/>
              <w:ind w:right="807"/>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560" w:type="dxa"/>
            <w:vAlign w:val="bottom"/>
            <w:shd w:val="clear" w:color="auto" w:fill="E0E0E0"/>
          </w:tcPr>
          <w:p>
            <w:pPr>
              <w:jc w:val="right"/>
              <w:ind w:right="8"/>
              <w:spacing w:after="0" w:line="220" w:lineRule="exact"/>
              <w:rPr>
                <w:sz w:val="20"/>
                <w:szCs w:val="20"/>
                <w:color w:val="auto"/>
              </w:rPr>
            </w:pPr>
            <w:r>
              <w:rPr>
                <w:rFonts w:ascii="Times New Roman" w:cs="Times New Roman" w:eastAsia="Times New Roman" w:hAnsi="Times New Roman"/>
                <w:sz w:val="20"/>
                <w:szCs w:val="20"/>
                <w:color w:val="121212"/>
              </w:rPr>
              <w:t>422</w:t>
            </w:r>
          </w:p>
        </w:tc>
        <w:tc>
          <w:tcPr>
            <w:tcW w:w="180" w:type="dxa"/>
            <w:vAlign w:val="bottom"/>
            <w:shd w:val="clear" w:color="auto" w:fill="E0E0E0"/>
          </w:tcPr>
          <w:p>
            <w:pPr>
              <w:spacing w:after="0"/>
              <w:rPr>
                <w:sz w:val="19"/>
                <w:szCs w:val="19"/>
                <w:color w:val="auto"/>
              </w:rPr>
            </w:pPr>
          </w:p>
        </w:tc>
        <w:tc>
          <w:tcPr>
            <w:tcW w:w="440" w:type="dxa"/>
            <w:vAlign w:val="bottom"/>
            <w:shd w:val="clear" w:color="auto" w:fill="E0E0E0"/>
          </w:tcPr>
          <w:p>
            <w:pPr>
              <w:jc w:val="right"/>
              <w:ind w:right="24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shd w:val="clear" w:color="auto" w:fill="E0E0E0"/>
          </w:tcPr>
          <w:p>
            <w:pPr>
              <w:jc w:val="right"/>
              <w:ind w:right="5"/>
              <w:spacing w:after="0" w:line="220" w:lineRule="exact"/>
              <w:rPr>
                <w:sz w:val="20"/>
                <w:szCs w:val="20"/>
                <w:color w:val="auto"/>
              </w:rPr>
            </w:pPr>
            <w:r>
              <w:rPr>
                <w:rFonts w:ascii="Times New Roman" w:cs="Times New Roman" w:eastAsia="Times New Roman" w:hAnsi="Times New Roman"/>
                <w:sz w:val="20"/>
                <w:szCs w:val="20"/>
                <w:color w:val="121212"/>
              </w:rPr>
              <w:t>422</w:t>
            </w:r>
          </w:p>
        </w:tc>
      </w:tr>
      <w:tr>
        <w:trPr>
          <w:trHeight w:val="230"/>
        </w:trPr>
        <w:tc>
          <w:tcPr>
            <w:tcW w:w="44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121212"/>
              </w:rPr>
              <w:t>Variable lease costs</w:t>
            </w:r>
          </w:p>
        </w:tc>
        <w:tc>
          <w:tcPr>
            <w:tcW w:w="2740" w:type="dxa"/>
            <w:vAlign w:val="bottom"/>
            <w:tcBorders>
              <w:bottom w:val="single" w:sz="8" w:color="E0E0E0"/>
            </w:tcBorders>
          </w:tcPr>
          <w:p>
            <w:pPr>
              <w:spacing w:after="0"/>
              <w:rPr>
                <w:sz w:val="19"/>
                <w:szCs w:val="19"/>
                <w:color w:val="auto"/>
              </w:rPr>
            </w:pPr>
          </w:p>
        </w:tc>
        <w:tc>
          <w:tcPr>
            <w:tcW w:w="1000" w:type="dxa"/>
            <w:vAlign w:val="bottom"/>
            <w:tcBorders>
              <w:bottom w:val="single" w:sz="8" w:color="121212"/>
            </w:tcBorders>
          </w:tcPr>
          <w:p>
            <w:pPr>
              <w:spacing w:after="0"/>
              <w:rPr>
                <w:sz w:val="19"/>
                <w:szCs w:val="19"/>
                <w:color w:val="auto"/>
              </w:rPr>
            </w:pPr>
          </w:p>
        </w:tc>
        <w:tc>
          <w:tcPr>
            <w:tcW w:w="560" w:type="dxa"/>
            <w:vAlign w:val="bottom"/>
            <w:tcBorders>
              <w:bottom w:val="single" w:sz="8" w:color="121212"/>
            </w:tcBorders>
          </w:tcPr>
          <w:p>
            <w:pPr>
              <w:jc w:val="right"/>
              <w:ind w:right="8"/>
              <w:spacing w:after="0"/>
              <w:rPr>
                <w:sz w:val="20"/>
                <w:szCs w:val="20"/>
                <w:color w:val="auto"/>
              </w:rPr>
            </w:pPr>
            <w:r>
              <w:rPr>
                <w:rFonts w:ascii="Times New Roman" w:cs="Times New Roman" w:eastAsia="Times New Roman" w:hAnsi="Times New Roman"/>
                <w:sz w:val="20"/>
                <w:szCs w:val="20"/>
                <w:color w:val="121212"/>
              </w:rPr>
              <w:t>159</w:t>
            </w:r>
          </w:p>
        </w:tc>
        <w:tc>
          <w:tcPr>
            <w:tcW w:w="180" w:type="dxa"/>
            <w:vAlign w:val="bottom"/>
            <w:tcBorders>
              <w:bottom w:val="single" w:sz="8" w:color="E0E0E0"/>
            </w:tcBorders>
          </w:tcPr>
          <w:p>
            <w:pPr>
              <w:spacing w:after="0"/>
              <w:rPr>
                <w:sz w:val="19"/>
                <w:szCs w:val="19"/>
                <w:color w:val="auto"/>
              </w:rPr>
            </w:pPr>
          </w:p>
        </w:tc>
        <w:tc>
          <w:tcPr>
            <w:tcW w:w="440" w:type="dxa"/>
            <w:vAlign w:val="bottom"/>
            <w:tcBorders>
              <w:bottom w:val="single" w:sz="8" w:color="121212"/>
            </w:tcBorders>
          </w:tcPr>
          <w:p>
            <w:pPr>
              <w:spacing w:after="0"/>
              <w:rPr>
                <w:sz w:val="19"/>
                <w:szCs w:val="19"/>
                <w:color w:val="auto"/>
              </w:rPr>
            </w:pPr>
          </w:p>
        </w:tc>
        <w:tc>
          <w:tcPr>
            <w:tcW w:w="1100" w:type="dxa"/>
            <w:vAlign w:val="bottom"/>
            <w:tcBorders>
              <w:bottom w:val="single" w:sz="8" w:color="121212"/>
            </w:tcBorders>
          </w:tcPr>
          <w:p>
            <w:pPr>
              <w:jc w:val="right"/>
              <w:ind w:right="5"/>
              <w:spacing w:after="0"/>
              <w:rPr>
                <w:sz w:val="20"/>
                <w:szCs w:val="20"/>
                <w:color w:val="auto"/>
              </w:rPr>
            </w:pPr>
            <w:r>
              <w:rPr>
                <w:rFonts w:ascii="Times New Roman" w:cs="Times New Roman" w:eastAsia="Times New Roman" w:hAnsi="Times New Roman"/>
                <w:sz w:val="20"/>
                <w:szCs w:val="20"/>
                <w:color w:val="121212"/>
              </w:rPr>
              <w:t>177</w:t>
            </w:r>
          </w:p>
        </w:tc>
      </w:tr>
      <w:tr>
        <w:trPr>
          <w:trHeight w:val="220"/>
        </w:trPr>
        <w:tc>
          <w:tcPr>
            <w:tcW w:w="44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Total lease expense</w:t>
            </w:r>
          </w:p>
        </w:tc>
        <w:tc>
          <w:tcPr>
            <w:tcW w:w="2740" w:type="dxa"/>
            <w:vAlign w:val="bottom"/>
            <w:shd w:val="clear" w:color="auto" w:fill="E0E0E0"/>
          </w:tcPr>
          <w:p>
            <w:pPr>
              <w:spacing w:after="0"/>
              <w:rPr>
                <w:sz w:val="19"/>
                <w:szCs w:val="19"/>
                <w:color w:val="auto"/>
              </w:rPr>
            </w:pPr>
          </w:p>
        </w:tc>
        <w:tc>
          <w:tcPr>
            <w:tcW w:w="1000" w:type="dxa"/>
            <w:vAlign w:val="bottom"/>
            <w:tcBorders>
              <w:bottom w:val="single" w:sz="8" w:color="121212"/>
            </w:tcBorders>
            <w:shd w:val="clear" w:color="auto" w:fill="E0E0E0"/>
          </w:tcPr>
          <w:p>
            <w:pPr>
              <w:jc w:val="right"/>
              <w:ind w:right="807"/>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560" w:type="dxa"/>
            <w:vAlign w:val="bottom"/>
            <w:tcBorders>
              <w:bottom w:val="single" w:sz="8" w:color="121212"/>
            </w:tcBorders>
            <w:shd w:val="clear" w:color="auto" w:fill="E0E0E0"/>
          </w:tcPr>
          <w:p>
            <w:pPr>
              <w:jc w:val="right"/>
              <w:ind w:right="8"/>
              <w:spacing w:after="0" w:line="220" w:lineRule="exact"/>
              <w:rPr>
                <w:sz w:val="20"/>
                <w:szCs w:val="20"/>
                <w:color w:val="auto"/>
              </w:rPr>
            </w:pPr>
            <w:r>
              <w:rPr>
                <w:rFonts w:ascii="Times New Roman" w:cs="Times New Roman" w:eastAsia="Times New Roman" w:hAnsi="Times New Roman"/>
                <w:sz w:val="20"/>
                <w:szCs w:val="20"/>
                <w:color w:val="121212"/>
              </w:rPr>
              <w:t>581</w:t>
            </w:r>
          </w:p>
        </w:tc>
        <w:tc>
          <w:tcPr>
            <w:tcW w:w="180" w:type="dxa"/>
            <w:vAlign w:val="bottom"/>
            <w:shd w:val="clear" w:color="auto" w:fill="E0E0E0"/>
          </w:tcPr>
          <w:p>
            <w:pPr>
              <w:spacing w:after="0"/>
              <w:rPr>
                <w:sz w:val="19"/>
                <w:szCs w:val="19"/>
                <w:color w:val="auto"/>
              </w:rPr>
            </w:pPr>
          </w:p>
        </w:tc>
        <w:tc>
          <w:tcPr>
            <w:tcW w:w="440" w:type="dxa"/>
            <w:vAlign w:val="bottom"/>
            <w:tcBorders>
              <w:bottom w:val="single" w:sz="8" w:color="121212"/>
            </w:tcBorders>
            <w:shd w:val="clear" w:color="auto" w:fill="E0E0E0"/>
          </w:tcPr>
          <w:p>
            <w:pPr>
              <w:jc w:val="right"/>
              <w:ind w:right="24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100" w:type="dxa"/>
            <w:vAlign w:val="bottom"/>
            <w:tcBorders>
              <w:bottom w:val="single" w:sz="8" w:color="121212"/>
            </w:tcBorders>
            <w:shd w:val="clear" w:color="auto" w:fill="E0E0E0"/>
          </w:tcPr>
          <w:p>
            <w:pPr>
              <w:jc w:val="right"/>
              <w:ind w:right="5"/>
              <w:spacing w:after="0" w:line="220" w:lineRule="exact"/>
              <w:rPr>
                <w:sz w:val="20"/>
                <w:szCs w:val="20"/>
                <w:color w:val="auto"/>
              </w:rPr>
            </w:pPr>
            <w:r>
              <w:rPr>
                <w:rFonts w:ascii="Times New Roman" w:cs="Times New Roman" w:eastAsia="Times New Roman" w:hAnsi="Times New Roman"/>
                <w:sz w:val="20"/>
                <w:szCs w:val="20"/>
                <w:color w:val="121212"/>
              </w:rPr>
              <w:t>599</w:t>
            </w:r>
          </w:p>
        </w:tc>
      </w:tr>
      <w:tr>
        <w:trPr>
          <w:trHeight w:val="20"/>
        </w:trPr>
        <w:tc>
          <w:tcPr>
            <w:tcW w:w="4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Borders>
              <w:bottom w:val="single" w:sz="8" w:color="121212"/>
            </w:tcBorders>
          </w:tcPr>
          <w:p>
            <w:pPr>
              <w:spacing w:after="0" w:line="20" w:lineRule="exact"/>
              <w:rPr>
                <w:sz w:val="1"/>
                <w:szCs w:val="1"/>
                <w:color w:val="auto"/>
              </w:rPr>
            </w:pPr>
          </w:p>
        </w:tc>
        <w:tc>
          <w:tcPr>
            <w:tcW w:w="560" w:type="dxa"/>
            <w:vAlign w:val="bottom"/>
            <w:tcBorders>
              <w:bottom w:val="single" w:sz="8" w:color="12121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121212"/>
            </w:tcBorders>
          </w:tcPr>
          <w:p>
            <w:pPr>
              <w:spacing w:after="0" w:line="20" w:lineRule="exact"/>
              <w:rPr>
                <w:sz w:val="1"/>
                <w:szCs w:val="1"/>
                <w:color w:val="auto"/>
              </w:rPr>
            </w:pPr>
          </w:p>
        </w:tc>
        <w:tc>
          <w:tcPr>
            <w:tcW w:w="1100" w:type="dxa"/>
            <w:vAlign w:val="bottom"/>
            <w:tcBorders>
              <w:bottom w:val="single" w:sz="8" w:color="121212"/>
            </w:tcBorders>
          </w:tcPr>
          <w:p>
            <w:pPr>
              <w:spacing w:after="0" w:line="20" w:lineRule="exact"/>
              <w:rPr>
                <w:sz w:val="1"/>
                <w:szCs w:val="1"/>
                <w:color w:val="auto"/>
              </w:rPr>
            </w:pPr>
          </w:p>
        </w:tc>
      </w:tr>
    </w:tbl>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21212"/>
        </w:rPr>
        <w:t>Other information related to the Company’s leases is as follows (in thousands, except term and discount rate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center"/>
              <w:ind w:left="550"/>
              <w:spacing w:after="0"/>
              <w:rPr>
                <w:sz w:val="20"/>
                <w:szCs w:val="20"/>
                <w:color w:val="auto"/>
              </w:rPr>
            </w:pPr>
            <w:r>
              <w:rPr>
                <w:rFonts w:ascii="Times New Roman" w:cs="Times New Roman" w:eastAsia="Times New Roman" w:hAnsi="Times New Roman"/>
                <w:sz w:val="16"/>
                <w:szCs w:val="16"/>
                <w:b w:val="1"/>
                <w:bCs w:val="1"/>
                <w:color w:val="121212"/>
                <w:w w:val="99"/>
              </w:rPr>
              <w:t>Year Ended</w:t>
            </w:r>
          </w:p>
        </w:tc>
        <w:tc>
          <w:tcPr>
            <w:tcW w:w="1140" w:type="dxa"/>
            <w:vAlign w:val="bottom"/>
          </w:tcPr>
          <w:p>
            <w:pPr>
              <w:spacing w:after="0"/>
              <w:rPr>
                <w:sz w:val="16"/>
                <w:szCs w:val="16"/>
                <w:color w:val="auto"/>
              </w:rPr>
            </w:pPr>
          </w:p>
        </w:tc>
      </w:tr>
      <w:tr>
        <w:trPr>
          <w:trHeight w:val="203"/>
        </w:trPr>
        <w:tc>
          <w:tcPr>
            <w:tcW w:w="6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Borders>
              <w:bottom w:val="single" w:sz="8" w:color="121212"/>
            </w:tcBorders>
          </w:tcPr>
          <w:p>
            <w:pPr>
              <w:spacing w:after="0"/>
              <w:rPr>
                <w:sz w:val="17"/>
                <w:szCs w:val="17"/>
                <w:color w:val="auto"/>
              </w:rPr>
            </w:pPr>
          </w:p>
        </w:tc>
        <w:tc>
          <w:tcPr>
            <w:tcW w:w="1820" w:type="dxa"/>
            <w:vAlign w:val="bottom"/>
            <w:tcBorders>
              <w:bottom w:val="single" w:sz="8" w:color="121212"/>
            </w:tcBorders>
            <w:gridSpan w:val="3"/>
          </w:tcPr>
          <w:p>
            <w:pPr>
              <w:jc w:val="center"/>
              <w:ind w:left="550"/>
              <w:spacing w:after="0"/>
              <w:rPr>
                <w:sz w:val="20"/>
                <w:szCs w:val="20"/>
                <w:color w:val="auto"/>
              </w:rPr>
            </w:pPr>
            <w:r>
              <w:rPr>
                <w:rFonts w:ascii="Times New Roman" w:cs="Times New Roman" w:eastAsia="Times New Roman" w:hAnsi="Times New Roman"/>
                <w:sz w:val="16"/>
                <w:szCs w:val="16"/>
                <w:b w:val="1"/>
                <w:bCs w:val="1"/>
                <w:color w:val="121212"/>
              </w:rPr>
              <w:t>December 31,</w:t>
            </w:r>
          </w:p>
        </w:tc>
        <w:tc>
          <w:tcPr>
            <w:tcW w:w="1140" w:type="dxa"/>
            <w:vAlign w:val="bottom"/>
            <w:tcBorders>
              <w:bottom w:val="single" w:sz="8" w:color="121212"/>
            </w:tcBorders>
          </w:tcPr>
          <w:p>
            <w:pPr>
              <w:spacing w:after="0"/>
              <w:rPr>
                <w:sz w:val="17"/>
                <w:szCs w:val="17"/>
                <w:color w:val="auto"/>
              </w:rPr>
            </w:pPr>
          </w:p>
        </w:tc>
      </w:tr>
      <w:tr>
        <w:trPr>
          <w:trHeight w:val="174"/>
        </w:trPr>
        <w:tc>
          <w:tcPr>
            <w:tcW w:w="6420" w:type="dxa"/>
            <w:vAlign w:val="bottom"/>
            <w:tcBorders>
              <w:bottom w:val="single" w:sz="8" w:color="E0E0E0"/>
            </w:tcBorders>
          </w:tcPr>
          <w:p>
            <w:pPr>
              <w:spacing w:after="0"/>
              <w:rPr>
                <w:sz w:val="15"/>
                <w:szCs w:val="15"/>
                <w:color w:val="auto"/>
              </w:rPr>
            </w:pPr>
          </w:p>
        </w:tc>
        <w:tc>
          <w:tcPr>
            <w:tcW w:w="740" w:type="dxa"/>
            <w:vAlign w:val="bottom"/>
            <w:tcBorders>
              <w:bottom w:val="single" w:sz="8" w:color="E0E0E0"/>
            </w:tcBorders>
          </w:tcPr>
          <w:p>
            <w:pPr>
              <w:spacing w:after="0"/>
              <w:rPr>
                <w:sz w:val="15"/>
                <w:szCs w:val="15"/>
                <w:color w:val="auto"/>
              </w:rPr>
            </w:pPr>
          </w:p>
        </w:tc>
        <w:tc>
          <w:tcPr>
            <w:tcW w:w="320" w:type="dxa"/>
            <w:vAlign w:val="bottom"/>
            <w:tcBorders>
              <w:bottom w:val="single" w:sz="8" w:color="121212"/>
            </w:tcBorders>
          </w:tcPr>
          <w:p>
            <w:pPr>
              <w:spacing w:after="0"/>
              <w:rPr>
                <w:sz w:val="15"/>
                <w:szCs w:val="15"/>
                <w:color w:val="auto"/>
              </w:rPr>
            </w:pPr>
          </w:p>
        </w:tc>
        <w:tc>
          <w:tcPr>
            <w:tcW w:w="1240" w:type="dxa"/>
            <w:vAlign w:val="bottom"/>
            <w:tcBorders>
              <w:bottom w:val="single" w:sz="8" w:color="121212"/>
            </w:tcBorders>
          </w:tcPr>
          <w:p>
            <w:pPr>
              <w:jc w:val="right"/>
              <w:ind w:right="610"/>
              <w:spacing w:after="0" w:line="174" w:lineRule="exact"/>
              <w:rPr>
                <w:sz w:val="20"/>
                <w:szCs w:val="20"/>
                <w:color w:val="auto"/>
              </w:rPr>
            </w:pPr>
            <w:r>
              <w:rPr>
                <w:rFonts w:ascii="Times New Roman" w:cs="Times New Roman" w:eastAsia="Times New Roman" w:hAnsi="Times New Roman"/>
                <w:sz w:val="16"/>
                <w:szCs w:val="16"/>
                <w:b w:val="1"/>
                <w:bCs w:val="1"/>
                <w:color w:val="121212"/>
              </w:rPr>
              <w:t>2023</w:t>
            </w:r>
          </w:p>
        </w:tc>
        <w:tc>
          <w:tcPr>
            <w:tcW w:w="180" w:type="dxa"/>
            <w:vAlign w:val="bottom"/>
            <w:tcBorders>
              <w:bottom w:val="single" w:sz="8" w:color="E0E0E0"/>
            </w:tcBorders>
          </w:tcPr>
          <w:p>
            <w:pPr>
              <w:spacing w:after="0"/>
              <w:rPr>
                <w:sz w:val="15"/>
                <w:szCs w:val="15"/>
                <w:color w:val="auto"/>
              </w:rPr>
            </w:pPr>
          </w:p>
        </w:tc>
        <w:tc>
          <w:tcPr>
            <w:tcW w:w="400" w:type="dxa"/>
            <w:vAlign w:val="bottom"/>
            <w:tcBorders>
              <w:bottom w:val="single" w:sz="8" w:color="121212"/>
            </w:tcBorders>
          </w:tcPr>
          <w:p>
            <w:pPr>
              <w:spacing w:after="0"/>
              <w:rPr>
                <w:sz w:val="15"/>
                <w:szCs w:val="15"/>
                <w:color w:val="auto"/>
              </w:rPr>
            </w:pPr>
          </w:p>
        </w:tc>
        <w:tc>
          <w:tcPr>
            <w:tcW w:w="1140" w:type="dxa"/>
            <w:vAlign w:val="bottom"/>
            <w:tcBorders>
              <w:bottom w:val="single" w:sz="8" w:color="121212"/>
            </w:tcBorders>
          </w:tcPr>
          <w:p>
            <w:pPr>
              <w:jc w:val="right"/>
              <w:ind w:right="605"/>
              <w:spacing w:after="0" w:line="174" w:lineRule="exact"/>
              <w:rPr>
                <w:sz w:val="20"/>
                <w:szCs w:val="20"/>
                <w:color w:val="auto"/>
              </w:rPr>
            </w:pPr>
            <w:r>
              <w:rPr>
                <w:rFonts w:ascii="Times New Roman" w:cs="Times New Roman" w:eastAsia="Times New Roman" w:hAnsi="Times New Roman"/>
                <w:sz w:val="16"/>
                <w:szCs w:val="16"/>
                <w:b w:val="1"/>
                <w:bCs w:val="1"/>
                <w:color w:val="121212"/>
              </w:rPr>
              <w:t>2022</w:t>
            </w:r>
          </w:p>
        </w:tc>
      </w:tr>
      <w:tr>
        <w:trPr>
          <w:trHeight w:val="220"/>
        </w:trPr>
        <w:tc>
          <w:tcPr>
            <w:tcW w:w="642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Weighted average remaining lease term</w:t>
            </w:r>
          </w:p>
        </w:tc>
        <w:tc>
          <w:tcPr>
            <w:tcW w:w="74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240" w:type="dxa"/>
            <w:vAlign w:val="bottom"/>
            <w:shd w:val="clear" w:color="auto" w:fill="E0E0E0"/>
          </w:tcPr>
          <w:p>
            <w:pPr>
              <w:jc w:val="right"/>
              <w:ind w:right="90"/>
              <w:spacing w:after="0" w:line="220" w:lineRule="exact"/>
              <w:rPr>
                <w:sz w:val="20"/>
                <w:szCs w:val="20"/>
                <w:color w:val="auto"/>
              </w:rPr>
            </w:pPr>
            <w:r>
              <w:rPr>
                <w:rFonts w:ascii="Times New Roman" w:cs="Times New Roman" w:eastAsia="Times New Roman" w:hAnsi="Times New Roman"/>
                <w:sz w:val="20"/>
                <w:szCs w:val="20"/>
                <w:color w:val="121212"/>
              </w:rPr>
              <w:t>2.92 years</w:t>
            </w:r>
          </w:p>
        </w:tc>
        <w:tc>
          <w:tcPr>
            <w:tcW w:w="180" w:type="dxa"/>
            <w:vAlign w:val="bottom"/>
            <w:shd w:val="clear" w:color="auto" w:fill="E0E0E0"/>
          </w:tcPr>
          <w:p>
            <w:pPr>
              <w:spacing w:after="0"/>
              <w:rPr>
                <w:sz w:val="19"/>
                <w:szCs w:val="19"/>
                <w:color w:val="auto"/>
              </w:rPr>
            </w:pPr>
          </w:p>
        </w:tc>
        <w:tc>
          <w:tcPr>
            <w:tcW w:w="400" w:type="dxa"/>
            <w:vAlign w:val="bottom"/>
            <w:shd w:val="clear" w:color="auto" w:fill="E0E0E0"/>
          </w:tcPr>
          <w:p>
            <w:pPr>
              <w:spacing w:after="0"/>
              <w:rPr>
                <w:sz w:val="19"/>
                <w:szCs w:val="19"/>
                <w:color w:val="auto"/>
              </w:rPr>
            </w:pPr>
          </w:p>
        </w:tc>
        <w:tc>
          <w:tcPr>
            <w:tcW w:w="1140" w:type="dxa"/>
            <w:vAlign w:val="bottom"/>
            <w:shd w:val="clear" w:color="auto" w:fill="E0E0E0"/>
          </w:tcPr>
          <w:p>
            <w:pPr>
              <w:jc w:val="right"/>
              <w:ind w:right="85"/>
              <w:spacing w:after="0" w:line="220" w:lineRule="exact"/>
              <w:rPr>
                <w:sz w:val="20"/>
                <w:szCs w:val="20"/>
                <w:color w:val="auto"/>
              </w:rPr>
            </w:pPr>
            <w:r>
              <w:rPr>
                <w:rFonts w:ascii="Times New Roman" w:cs="Times New Roman" w:eastAsia="Times New Roman" w:hAnsi="Times New Roman"/>
                <w:sz w:val="20"/>
                <w:szCs w:val="20"/>
                <w:color w:val="121212"/>
              </w:rPr>
              <w:t>3.91 years</w:t>
            </w: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121212"/>
              </w:rPr>
              <w:t>Weighted average discount rate</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10.0%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5.5%</w:t>
            </w:r>
          </w:p>
        </w:tc>
      </w:tr>
      <w:tr>
        <w:trPr>
          <w:trHeight w:val="230"/>
        </w:trPr>
        <w:tc>
          <w:tcPr>
            <w:tcW w:w="64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Cash paid for amounts included in the measurement of lease liabilities:</w:t>
            </w:r>
          </w:p>
        </w:tc>
        <w:tc>
          <w:tcPr>
            <w:tcW w:w="740" w:type="dxa"/>
            <w:vAlign w:val="bottom"/>
            <w:shd w:val="clear" w:color="auto" w:fill="E0E0E0"/>
          </w:tcPr>
          <w:p>
            <w:pPr>
              <w:spacing w:after="0"/>
              <w:rPr>
                <w:sz w:val="19"/>
                <w:szCs w:val="19"/>
                <w:color w:val="auto"/>
              </w:rPr>
            </w:pPr>
          </w:p>
        </w:tc>
        <w:tc>
          <w:tcPr>
            <w:tcW w:w="320" w:type="dxa"/>
            <w:vAlign w:val="bottom"/>
            <w:shd w:val="clear" w:color="auto" w:fill="E0E0E0"/>
          </w:tcPr>
          <w:p>
            <w:pPr>
              <w:spacing w:after="0"/>
              <w:rPr>
                <w:sz w:val="19"/>
                <w:szCs w:val="19"/>
                <w:color w:val="auto"/>
              </w:rPr>
            </w:pPr>
          </w:p>
        </w:tc>
        <w:tc>
          <w:tcPr>
            <w:tcW w:w="124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40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r>
      <w:tr>
        <w:trPr>
          <w:trHeight w:val="23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121212"/>
              </w:rPr>
              <w:t>Operating cash flows used in operating leases</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121212"/>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20"/>
                <w:szCs w:val="20"/>
                <w:color w:val="121212"/>
              </w:rPr>
              <w:t>186</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121212"/>
              </w:rPr>
              <w:t>$</w:t>
            </w:r>
          </w:p>
        </w:tc>
        <w:tc>
          <w:tcPr>
            <w:tcW w:w="114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121212"/>
              </w:rPr>
              <w:t>480</w:t>
            </w:r>
          </w:p>
        </w:tc>
      </w:tr>
    </w:tbl>
    <w:p>
      <w:pPr>
        <w:ind w:right="160" w:firstLine="490"/>
        <w:spacing w:after="0" w:line="244" w:lineRule="auto"/>
        <w:rPr>
          <w:sz w:val="20"/>
          <w:szCs w:val="20"/>
          <w:color w:val="auto"/>
        </w:rPr>
      </w:pPr>
      <w:r>
        <w:rPr>
          <w:rFonts w:ascii="Times New Roman" w:cs="Times New Roman" w:eastAsia="Times New Roman" w:hAnsi="Times New Roman"/>
          <w:sz w:val="20"/>
          <w:szCs w:val="20"/>
          <w:color w:val="121212"/>
        </w:rPr>
        <w:t>A maturity analysis of the annual undiscounted cash flows reconciled to the carrying value of the operating lease liabilities as of December 31, 2023, reflective of the Company’s election to account for lease and non-lease components together, is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80" w:type="dxa"/>
            <w:vAlign w:val="bottom"/>
            <w:tcBorders>
              <w:bottom w:val="single" w:sz="8" w:color="121212"/>
            </w:tcBorders>
          </w:tcPr>
          <w:p>
            <w:pPr>
              <w:spacing w:after="0"/>
              <w:rPr>
                <w:sz w:val="20"/>
                <w:szCs w:val="20"/>
                <w:color w:val="auto"/>
              </w:rPr>
            </w:pPr>
            <w:r>
              <w:rPr>
                <w:rFonts w:ascii="Times New Roman" w:cs="Times New Roman" w:eastAsia="Times New Roman" w:hAnsi="Times New Roman"/>
                <w:sz w:val="16"/>
                <w:szCs w:val="16"/>
                <w:b w:val="1"/>
                <w:bCs w:val="1"/>
                <w:color w:val="121212"/>
              </w:rPr>
              <w:t>Year Ending December 31,</w:t>
            </w:r>
          </w:p>
        </w:tc>
        <w:tc>
          <w:tcPr>
            <w:tcW w:w="20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180" w:type="dxa"/>
            <w:vAlign w:val="bottom"/>
            <w:tcBorders>
              <w:bottom w:val="single" w:sz="8" w:color="121212"/>
            </w:tcBorders>
          </w:tcPr>
          <w:p>
            <w:pPr>
              <w:spacing w:after="0"/>
              <w:rPr>
                <w:sz w:val="17"/>
                <w:szCs w:val="17"/>
                <w:color w:val="auto"/>
              </w:rPr>
            </w:pPr>
          </w:p>
        </w:tc>
        <w:tc>
          <w:tcPr>
            <w:tcW w:w="1660" w:type="dxa"/>
            <w:vAlign w:val="bottom"/>
            <w:tcBorders>
              <w:bottom w:val="single" w:sz="8" w:color="121212"/>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121212"/>
              </w:rPr>
              <w:t>Operating Leases</w:t>
            </w:r>
          </w:p>
        </w:tc>
      </w:tr>
      <w:tr>
        <w:trPr>
          <w:trHeight w:val="220"/>
        </w:trPr>
        <w:tc>
          <w:tcPr>
            <w:tcW w:w="838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2024</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660" w:type="dxa"/>
            <w:vAlign w:val="bottom"/>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845</w:t>
            </w:r>
          </w:p>
        </w:tc>
      </w:tr>
      <w:tr>
        <w:trPr>
          <w:trHeight w:val="230"/>
        </w:trPr>
        <w:tc>
          <w:tcPr>
            <w:tcW w:w="8380" w:type="dxa"/>
            <w:vAlign w:val="bottom"/>
          </w:tcPr>
          <w:p>
            <w:pPr>
              <w:spacing w:after="0"/>
              <w:rPr>
                <w:sz w:val="20"/>
                <w:szCs w:val="20"/>
                <w:color w:val="auto"/>
              </w:rPr>
            </w:pPr>
            <w:r>
              <w:rPr>
                <w:rFonts w:ascii="Times New Roman" w:cs="Times New Roman" w:eastAsia="Times New Roman" w:hAnsi="Times New Roman"/>
                <w:sz w:val="20"/>
                <w:szCs w:val="20"/>
                <w:color w:val="121212"/>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850</w:t>
            </w:r>
          </w:p>
        </w:tc>
      </w:tr>
      <w:tr>
        <w:trPr>
          <w:trHeight w:val="230"/>
        </w:trPr>
        <w:tc>
          <w:tcPr>
            <w:tcW w:w="83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2026</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tcBorders>
              <w:bottom w:val="single" w:sz="8" w:color="121212"/>
            </w:tcBorders>
            <w:shd w:val="clear" w:color="auto" w:fill="E0E0E0"/>
          </w:tcPr>
          <w:p>
            <w:pPr>
              <w:spacing w:after="0"/>
              <w:rPr>
                <w:sz w:val="19"/>
                <w:szCs w:val="19"/>
                <w:color w:val="auto"/>
              </w:rPr>
            </w:pPr>
          </w:p>
        </w:tc>
        <w:tc>
          <w:tcPr>
            <w:tcW w:w="1660" w:type="dxa"/>
            <w:vAlign w:val="bottom"/>
            <w:tcBorders>
              <w:bottom w:val="single" w:sz="8" w:color="121212"/>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729</w:t>
            </w:r>
          </w:p>
        </w:tc>
      </w:tr>
      <w:tr>
        <w:trPr>
          <w:trHeight w:val="220"/>
        </w:trPr>
        <w:tc>
          <w:tcPr>
            <w:tcW w:w="8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21212"/>
              </w:rPr>
              <w:t>Total minimum lease payments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2,424</w:t>
            </w:r>
          </w:p>
        </w:tc>
      </w:tr>
      <w:tr>
        <w:trPr>
          <w:trHeight w:val="230"/>
        </w:trPr>
        <w:tc>
          <w:tcPr>
            <w:tcW w:w="838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Less imputed interest</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tcBorders>
              <w:bottom w:val="single" w:sz="8" w:color="121212"/>
            </w:tcBorders>
            <w:shd w:val="clear" w:color="auto" w:fill="E0E0E0"/>
          </w:tcPr>
          <w:p>
            <w:pPr>
              <w:spacing w:after="0"/>
              <w:rPr>
                <w:sz w:val="19"/>
                <w:szCs w:val="19"/>
                <w:color w:val="auto"/>
              </w:rPr>
            </w:pPr>
          </w:p>
        </w:tc>
        <w:tc>
          <w:tcPr>
            <w:tcW w:w="1660" w:type="dxa"/>
            <w:vAlign w:val="bottom"/>
            <w:tcBorders>
              <w:bottom w:val="single" w:sz="8" w:color="121212"/>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(323)</w:t>
            </w:r>
          </w:p>
        </w:tc>
      </w:tr>
      <w:tr>
        <w:trPr>
          <w:trHeight w:val="220"/>
        </w:trPr>
        <w:tc>
          <w:tcPr>
            <w:tcW w:w="83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121212"/>
              </w:rPr>
              <w:t>Present value of lease liabilities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121212"/>
            </w:tcBorders>
          </w:tcPr>
          <w:p>
            <w:pPr>
              <w:jc w:val="right"/>
              <w:ind w:right="15"/>
              <w:spacing w:after="0"/>
              <w:rPr>
                <w:sz w:val="20"/>
                <w:szCs w:val="20"/>
                <w:color w:val="auto"/>
              </w:rPr>
            </w:pPr>
            <w:r>
              <w:rPr>
                <w:rFonts w:ascii="Times New Roman" w:cs="Times New Roman" w:eastAsia="Times New Roman" w:hAnsi="Times New Roman"/>
                <w:sz w:val="17"/>
                <w:szCs w:val="17"/>
                <w:color w:val="121212"/>
                <w:w w:val="70"/>
              </w:rPr>
              <w:t>$</w:t>
            </w:r>
          </w:p>
        </w:tc>
        <w:tc>
          <w:tcPr>
            <w:tcW w:w="1660" w:type="dxa"/>
            <w:vAlign w:val="bottom"/>
            <w:tcBorders>
              <w:bottom w:val="single" w:sz="8" w:color="121212"/>
            </w:tcBorders>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2,101</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121212"/>
            </w:tcBorders>
          </w:tcPr>
          <w:p>
            <w:pPr>
              <w:spacing w:after="0" w:line="20" w:lineRule="exact"/>
              <w:rPr>
                <w:sz w:val="1"/>
                <w:szCs w:val="1"/>
                <w:color w:val="auto"/>
              </w:rPr>
            </w:pPr>
          </w:p>
        </w:tc>
        <w:tc>
          <w:tcPr>
            <w:tcW w:w="180" w:type="dxa"/>
            <w:vAlign w:val="bottom"/>
            <w:tcBorders>
              <w:bottom w:val="single" w:sz="8" w:color="121212"/>
            </w:tcBorders>
          </w:tcPr>
          <w:p>
            <w:pPr>
              <w:spacing w:after="0" w:line="20" w:lineRule="exact"/>
              <w:rPr>
                <w:sz w:val="1"/>
                <w:szCs w:val="1"/>
                <w:color w:val="auto"/>
              </w:rPr>
            </w:pPr>
          </w:p>
        </w:tc>
        <w:tc>
          <w:tcPr>
            <w:tcW w:w="1660" w:type="dxa"/>
            <w:vAlign w:val="bottom"/>
            <w:tcBorders>
              <w:bottom w:val="single" w:sz="8" w:color="121212"/>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460"/>
          </w:cols>
          <w:pgMar w:left="900" w:top="930" w:right="880" w:bottom="175"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131</w:t>
      </w:r>
    </w:p>
    <w:p>
      <w:pPr>
        <w:sectPr>
          <w:pgSz w:w="12240" w:h="15840" w:orient="portrait"/>
          <w:cols w:equalWidth="0" w:num="1">
            <w:col w:w="10460"/>
          </w:cols>
          <w:pgMar w:left="900" w:top="930" w:right="880" w:bottom="175"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121212"/>
        </w:rPr>
        <w:t>16. Related Party Transactions</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121212"/>
        </w:rPr>
        <w:t>The landlord of the Company’s leased office space in Watertown, Massachusetts is a related party of the Company due to its equity ownership.</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In February 2023, certain existing investors participated in the Company’s registered direct offering (see Note 10).</w:t>
      </w:r>
    </w:p>
    <w:p>
      <w:pPr>
        <w:spacing w:after="0" w:line="12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121212"/>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In June 2023, an existing investor participated in the Company’s follow-on offering (see Note 10).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17. Subsequent Events</w:t>
      </w:r>
    </w:p>
    <w:p>
      <w:pPr>
        <w:spacing w:after="0" w:line="12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21212"/>
        </w:rPr>
        <w:t>The Company has completed an evaluation of all subsequent events after the audited consolidated balance sheet date of December 31, 2023 through the date these consolidated financial statements were issued to ensure that these consolidated financial statements include appropriate disclosure of events both recognized in the consolidated financial statements as of December 31, 2023, and events which occurred subsequently but were not recognized in the consolidated financial statements. Non-recognizable subsequent events are summarized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ATM Program</w:t>
      </w:r>
    </w:p>
    <w:p>
      <w:pPr>
        <w:spacing w:after="0" w:line="12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21212"/>
        </w:rPr>
        <w:t>As of March 21, 2024, the issuance date of these consolidated financial statements, the Company has sold an aggregate of 234,449 shares of common stock in ATM offerings under the November 2023 Shelf and pursuant to the ATM Agreement for aggregate gross proceeds of $15.3 million.</w:t>
      </w:r>
    </w:p>
    <w:p>
      <w:pPr>
        <w:sectPr>
          <w:pgSz w:w="12240" w:h="15840" w:orient="portrait"/>
          <w:cols w:equalWidth="0" w:num="1">
            <w:col w:w="10240"/>
          </w:cols>
          <w:pgMar w:left="900" w:top="1184" w:right="11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121212"/>
        </w:rPr>
        <w:t>132</w:t>
      </w:r>
    </w:p>
    <w:p>
      <w:pPr>
        <w:sectPr>
          <w:pgSz w:w="12240" w:h="15840" w:orient="portrait"/>
          <w:cols w:equalWidth="0" w:num="1">
            <w:col w:w="10240"/>
          </w:cols>
          <w:pgMar w:left="900" w:top="1184" w:right="1100" w:bottom="175" w:gutter="0" w:footer="0" w:header="0"/>
          <w:type w:val="continuous"/>
        </w:sectPr>
      </w:pPr>
    </w:p>
    <w:bookmarkStart w:id="142" w:name="page143"/>
    <w:bookmarkEnd w:id="142"/>
    <w:p>
      <w:pPr>
        <w:ind w:left="1100" w:right="6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121212"/>
        </w:rPr>
        <w:t>ITEM 9.</w:t>
      </w:r>
      <w:r>
        <w:rPr>
          <w:sz w:val="20"/>
          <w:szCs w:val="20"/>
          <w:color w:val="auto"/>
        </w:rPr>
        <w:tab/>
      </w:r>
      <w:r>
        <w:rPr>
          <w:rFonts w:ascii="Times New Roman" w:cs="Times New Roman" w:eastAsia="Times New Roman" w:hAnsi="Times New Roman"/>
          <w:sz w:val="20"/>
          <w:szCs w:val="20"/>
          <w:b w:val="1"/>
          <w:bCs w:val="1"/>
          <w:color w:val="121212"/>
        </w:rPr>
        <w:t>CHANGES IN AND DISAGREEMENTS WITH ACCOUNTANTS ON ACCOUNTING AND FINANCIAL DISCLOSURE</w:t>
      </w:r>
    </w:p>
    <w:p>
      <w:pPr>
        <w:spacing w:after="0" w:line="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None.</w:t>
      </w:r>
    </w:p>
    <w:p>
      <w:pPr>
        <w:spacing w:after="0" w:line="23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121212"/>
        </w:rPr>
        <w:t>ITEM 9A.</w:t>
      </w:r>
      <w:r>
        <w:rPr>
          <w:sz w:val="20"/>
          <w:szCs w:val="20"/>
          <w:color w:val="auto"/>
        </w:rPr>
        <w:tab/>
      </w:r>
      <w:r>
        <w:rPr>
          <w:rFonts w:ascii="Times New Roman" w:cs="Times New Roman" w:eastAsia="Times New Roman" w:hAnsi="Times New Roman"/>
          <w:sz w:val="19"/>
          <w:szCs w:val="19"/>
          <w:b w:val="1"/>
          <w:bCs w:val="1"/>
          <w:color w:val="121212"/>
        </w:rPr>
        <w:t>CONTROLS AND PROCEDURES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Evaluation of Disclosure Controls and Procedures</w:t>
      </w:r>
    </w:p>
    <w:p>
      <w:pPr>
        <w:spacing w:after="0" w:line="124"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121212"/>
        </w:rPr>
        <w:t>Our management, under the supervision and with the participation of our Principal Executive Officer (our Chief Executive Officer) and Principal Financial Officer (our Chief Financial Officer), has evaluated the effectiveness of our disclosure controls and procedures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82"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121212"/>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Principal Executive Officer and Principal Financial Officer concluded that, as of such date, our disclosure controls and procedures were effective at the reasonable assurance level.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Management’s Report on Internal Control Over Financial Reporting</w:t>
      </w:r>
    </w:p>
    <w:p>
      <w:pPr>
        <w:spacing w:after="0" w:line="12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Management is responsible for establishing and maintaining adequate internal control over financial reporting, as such term is defined in Rule 13a-15(f) under the Exchange Act. We maintain a system of internal control that is designed to provide reasonable assurance regarding the reliability of our financial reporting and the preparation of consolidated financial statements for external purposes in accordance with generally accepted accounting principles.</w:t>
      </w:r>
    </w:p>
    <w:p>
      <w:pPr>
        <w:spacing w:after="0" w:line="7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Management assessed the effectiveness of our internal control over financial reporting as of December 31, 2023. In making this assessment, it used the criteria established in Internal Control—Integrated Framework (2013) issued by the Committee of Sponsoring Organizations of the Treadway Commission (COSO). Based on such assessment, management has concluded that our internal control over financial reporting was effective as of December 31, 2023.</w:t>
      </w:r>
    </w:p>
    <w:p>
      <w:pPr>
        <w:spacing w:after="0" w:line="74"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121212"/>
        </w:rPr>
        <w:t>This Annual Report on Form 10 -K does not include an attestation report of our independent registered public accounting firm on internal control over financial reporting due to an exemption established by the JOBS Act for “emerging growth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Changes in Internal Control Over Financial Reporting</w:t>
      </w:r>
    </w:p>
    <w:p>
      <w:pPr>
        <w:spacing w:after="0" w:line="120"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color w:val="121212"/>
        </w:rPr>
        <w:t>Other than as discussed above, there have not been any changes in our internal control over financial reporting (as defined in Rules 13a-15(f) and 15d-15(f) under the Exchange Act) occurred during the twelve months ended December 31, 2023 that has materially affected, or is reasonably likely to materially affect, our internal control over financial reporting.</w:t>
      </w:r>
    </w:p>
    <w:p>
      <w:pPr>
        <w:sectPr>
          <w:pgSz w:w="12240" w:h="15840" w:orient="portrait"/>
          <w:cols w:equalWidth="0" w:num="1">
            <w:col w:w="10380"/>
          </w:cols>
          <w:pgMar w:left="900" w:top="926" w:right="9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21212"/>
        </w:rPr>
        <w:t>133</w:t>
      </w:r>
    </w:p>
    <w:p>
      <w:pPr>
        <w:sectPr>
          <w:pgSz w:w="12240" w:h="15840" w:orient="portrait"/>
          <w:cols w:equalWidth="0" w:num="1">
            <w:col w:w="10380"/>
          </w:cols>
          <w:pgMar w:left="900" w:top="926" w:right="960" w:bottom="175" w:gutter="0" w:footer="0" w:header="0"/>
          <w:type w:val="continuous"/>
        </w:sectPr>
      </w:pPr>
    </w:p>
    <w:bookmarkStart w:id="143" w:name="page144"/>
    <w:bookmarkEnd w:id="143"/>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121212"/>
        </w:rPr>
        <w:t>ITEM 9B.</w:t>
      </w:r>
      <w:r>
        <w:rPr>
          <w:sz w:val="20"/>
          <w:szCs w:val="20"/>
          <w:color w:val="auto"/>
        </w:rPr>
        <w:tab/>
      </w:r>
      <w:r>
        <w:rPr>
          <w:rFonts w:ascii="Times New Roman" w:cs="Times New Roman" w:eastAsia="Times New Roman" w:hAnsi="Times New Roman"/>
          <w:sz w:val="19"/>
          <w:szCs w:val="19"/>
          <w:b w:val="1"/>
          <w:bCs w:val="1"/>
          <w:color w:val="121212"/>
        </w:rPr>
        <w:t>OTHER INFORMATION</w:t>
      </w:r>
    </w:p>
    <w:p>
      <w:pPr>
        <w:spacing w:after="0" w:line="124"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121212"/>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December 31,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121212"/>
                <w:w w:val="99"/>
              </w:rPr>
              <w:t>Aggregate</w:t>
            </w:r>
          </w:p>
        </w:tc>
        <w:tc>
          <w:tcPr>
            <w:tcW w:w="14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Description of</w:t>
            </w: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21212"/>
              </w:rPr>
              <w:t>Action Taken</w:t>
            </w:r>
          </w:p>
        </w:tc>
        <w:tc>
          <w:tcPr>
            <w:tcW w:w="16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21212"/>
                <w:w w:val="98"/>
              </w:rPr>
              <w:t>Duration or End</w:t>
            </w:r>
          </w:p>
        </w:tc>
        <w:tc>
          <w:tcPr>
            <w:tcW w:w="100" w:type="dxa"/>
            <w:vAlign w:val="bottom"/>
          </w:tcPr>
          <w:p>
            <w:pPr>
              <w:spacing w:after="0"/>
              <w:rPr>
                <w:sz w:val="15"/>
                <w:szCs w:val="15"/>
                <w:color w:val="auto"/>
              </w:rPr>
            </w:pPr>
          </w:p>
        </w:tc>
        <w:tc>
          <w:tcPr>
            <w:tcW w:w="13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121212"/>
                <w:w w:val="99"/>
              </w:rPr>
              <w:t>Number of</w:t>
            </w: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21212"/>
              </w:rPr>
              <w:t>Name and Title</w:t>
            </w:r>
          </w:p>
        </w:tc>
        <w:tc>
          <w:tcPr>
            <w:tcW w:w="140" w:type="dxa"/>
            <w:vAlign w:val="bottom"/>
          </w:tcPr>
          <w:p>
            <w:pPr>
              <w:spacing w:after="0"/>
              <w:rPr>
                <w:sz w:val="15"/>
                <w:szCs w:val="15"/>
                <w:color w:val="auto"/>
              </w:rPr>
            </w:pPr>
          </w:p>
        </w:tc>
        <w:tc>
          <w:tcPr>
            <w:tcW w:w="2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21212"/>
              </w:rPr>
              <w:t>Type of Trading Arrangement</w:t>
            </w:r>
          </w:p>
        </w:tc>
        <w:tc>
          <w:tcPr>
            <w:tcW w:w="1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121212"/>
                <w:w w:val="99"/>
              </w:rPr>
              <w:t>Securities to be</w:t>
            </w:r>
          </w:p>
        </w:tc>
        <w:tc>
          <w:tcPr>
            <w:tcW w:w="1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Trading</w:t>
            </w:r>
          </w:p>
        </w:tc>
        <w:tc>
          <w:tcPr>
            <w:tcW w:w="0" w:type="dxa"/>
            <w:vAlign w:val="bottom"/>
          </w:tcPr>
          <w:p>
            <w:pPr>
              <w:spacing w:after="0"/>
              <w:rPr>
                <w:sz w:val="1"/>
                <w:szCs w:val="1"/>
                <w:color w:val="auto"/>
              </w:rPr>
            </w:pPr>
          </w:p>
        </w:tc>
      </w:tr>
      <w:tr>
        <w:trPr>
          <w:trHeight w:val="203"/>
        </w:trPr>
        <w:tc>
          <w:tcPr>
            <w:tcW w:w="1500" w:type="dxa"/>
            <w:vAlign w:val="bottom"/>
            <w:tcBorders>
              <w:bottom w:val="single" w:sz="8" w:color="121212"/>
            </w:tcBorders>
            <w:vMerge w:val="continue"/>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2760" w:type="dxa"/>
            <w:vAlign w:val="bottom"/>
            <w:tcBorders>
              <w:bottom w:val="single" w:sz="8" w:color="121212"/>
            </w:tcBorders>
            <w:vMerge w:val="continue"/>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1500" w:type="dxa"/>
            <w:vAlign w:val="bottom"/>
            <w:tcBorders>
              <w:bottom w:val="single" w:sz="8" w:color="121212"/>
            </w:tcBorders>
          </w:tcPr>
          <w:p>
            <w:pPr>
              <w:jc w:val="center"/>
              <w:spacing w:after="0"/>
              <w:rPr>
                <w:sz w:val="20"/>
                <w:szCs w:val="20"/>
                <w:color w:val="auto"/>
              </w:rPr>
            </w:pPr>
            <w:r>
              <w:rPr>
                <w:rFonts w:ascii="Times New Roman" w:cs="Times New Roman" w:eastAsia="Times New Roman" w:hAnsi="Times New Roman"/>
                <w:sz w:val="16"/>
                <w:szCs w:val="16"/>
                <w:b w:val="1"/>
                <w:bCs w:val="1"/>
                <w:color w:val="121212"/>
              </w:rPr>
              <w:t>(Date of Action)</w:t>
            </w:r>
          </w:p>
        </w:tc>
        <w:tc>
          <w:tcPr>
            <w:tcW w:w="160" w:type="dxa"/>
            <w:vAlign w:val="bottom"/>
            <w:tcBorders>
              <w:bottom w:val="single" w:sz="8" w:color="E0E0E0"/>
            </w:tcBorders>
          </w:tcPr>
          <w:p>
            <w:pPr>
              <w:spacing w:after="0"/>
              <w:rPr>
                <w:sz w:val="17"/>
                <w:szCs w:val="17"/>
                <w:color w:val="auto"/>
              </w:rPr>
            </w:pPr>
          </w:p>
        </w:tc>
        <w:tc>
          <w:tcPr>
            <w:tcW w:w="1440" w:type="dxa"/>
            <w:vAlign w:val="bottom"/>
            <w:tcBorders>
              <w:bottom w:val="single" w:sz="8" w:color="121212"/>
            </w:tcBorders>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Date</w:t>
            </w:r>
          </w:p>
        </w:tc>
        <w:tc>
          <w:tcPr>
            <w:tcW w:w="100" w:type="dxa"/>
            <w:vAlign w:val="bottom"/>
            <w:tcBorders>
              <w:bottom w:val="single" w:sz="8" w:color="E0E0E0"/>
            </w:tcBorders>
          </w:tcPr>
          <w:p>
            <w:pPr>
              <w:spacing w:after="0"/>
              <w:rPr>
                <w:sz w:val="17"/>
                <w:szCs w:val="17"/>
                <w:color w:val="auto"/>
              </w:rPr>
            </w:pPr>
          </w:p>
        </w:tc>
        <w:tc>
          <w:tcPr>
            <w:tcW w:w="1340" w:type="dxa"/>
            <w:vAlign w:val="bottom"/>
            <w:tcBorders>
              <w:bottom w:val="single" w:sz="8" w:color="121212"/>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121212"/>
                <w:w w:val="99"/>
              </w:rPr>
              <w:t>Sold</w:t>
            </w:r>
          </w:p>
        </w:tc>
        <w:tc>
          <w:tcPr>
            <w:tcW w:w="140" w:type="dxa"/>
            <w:vAlign w:val="bottom"/>
            <w:tcBorders>
              <w:bottom w:val="single" w:sz="8" w:color="E0E0E0"/>
            </w:tcBorders>
          </w:tcPr>
          <w:p>
            <w:pPr>
              <w:spacing w:after="0"/>
              <w:rPr>
                <w:sz w:val="17"/>
                <w:szCs w:val="17"/>
                <w:color w:val="auto"/>
              </w:rPr>
            </w:pPr>
          </w:p>
        </w:tc>
        <w:tc>
          <w:tcPr>
            <w:tcW w:w="1220" w:type="dxa"/>
            <w:vAlign w:val="bottom"/>
            <w:tcBorders>
              <w:bottom w:val="single" w:sz="8" w:color="121212"/>
            </w:tcBorders>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Arrangement</w:t>
            </w:r>
          </w:p>
        </w:tc>
        <w:tc>
          <w:tcPr>
            <w:tcW w:w="0" w:type="dxa"/>
            <w:vAlign w:val="bottom"/>
          </w:tcPr>
          <w:p>
            <w:pPr>
              <w:spacing w:after="0"/>
              <w:rPr>
                <w:sz w:val="1"/>
                <w:szCs w:val="1"/>
                <w:color w:val="auto"/>
              </w:rPr>
            </w:pPr>
          </w:p>
        </w:tc>
      </w:tr>
      <w:tr>
        <w:trPr>
          <w:trHeight w:val="201"/>
        </w:trPr>
        <w:tc>
          <w:tcPr>
            <w:tcW w:w="150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20"/>
                <w:szCs w:val="20"/>
                <w:color w:val="121212"/>
              </w:rPr>
              <w:t>William White</w:t>
            </w:r>
          </w:p>
        </w:tc>
        <w:tc>
          <w:tcPr>
            <w:tcW w:w="140" w:type="dxa"/>
            <w:vAlign w:val="bottom"/>
            <w:shd w:val="clear" w:color="auto" w:fill="E0E0E0"/>
          </w:tcPr>
          <w:p>
            <w:pPr>
              <w:spacing w:after="0"/>
              <w:rPr>
                <w:sz w:val="17"/>
                <w:szCs w:val="17"/>
                <w:color w:val="auto"/>
              </w:rPr>
            </w:pPr>
          </w:p>
        </w:tc>
        <w:tc>
          <w:tcPr>
            <w:tcW w:w="276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20"/>
                <w:szCs w:val="20"/>
                <w:color w:val="121212"/>
              </w:rPr>
              <w:t>Trading plan intended to satisfy</w:t>
            </w:r>
          </w:p>
        </w:tc>
        <w:tc>
          <w:tcPr>
            <w:tcW w:w="140" w:type="dxa"/>
            <w:vAlign w:val="bottom"/>
            <w:shd w:val="clear" w:color="auto" w:fill="E0E0E0"/>
          </w:tcPr>
          <w:p>
            <w:pPr>
              <w:spacing w:after="0"/>
              <w:rPr>
                <w:sz w:val="17"/>
                <w:szCs w:val="17"/>
                <w:color w:val="auto"/>
              </w:rPr>
            </w:pPr>
          </w:p>
        </w:tc>
        <w:tc>
          <w:tcPr>
            <w:tcW w:w="150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20"/>
                <w:szCs w:val="20"/>
                <w:color w:val="121212"/>
              </w:rPr>
              <w:t>Adoption</w:t>
            </w:r>
          </w:p>
        </w:tc>
        <w:tc>
          <w:tcPr>
            <w:tcW w:w="160" w:type="dxa"/>
            <w:vAlign w:val="bottom"/>
            <w:shd w:val="clear" w:color="auto" w:fill="E0E0E0"/>
          </w:tcPr>
          <w:p>
            <w:pPr>
              <w:spacing w:after="0"/>
              <w:rPr>
                <w:sz w:val="17"/>
                <w:szCs w:val="17"/>
                <w:color w:val="auto"/>
              </w:rPr>
            </w:pPr>
          </w:p>
        </w:tc>
        <w:tc>
          <w:tcPr>
            <w:tcW w:w="144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20"/>
                <w:szCs w:val="20"/>
                <w:color w:val="121212"/>
              </w:rPr>
              <w:t>End Date</w:t>
            </w:r>
          </w:p>
        </w:tc>
        <w:tc>
          <w:tcPr>
            <w:tcW w:w="100" w:type="dxa"/>
            <w:vAlign w:val="bottom"/>
            <w:shd w:val="clear" w:color="auto" w:fill="E0E0E0"/>
          </w:tcPr>
          <w:p>
            <w:pPr>
              <w:spacing w:after="0"/>
              <w:rPr>
                <w:sz w:val="17"/>
                <w:szCs w:val="17"/>
                <w:color w:val="auto"/>
              </w:rPr>
            </w:pPr>
          </w:p>
        </w:tc>
        <w:tc>
          <w:tcPr>
            <w:tcW w:w="1340" w:type="dxa"/>
            <w:vAlign w:val="bottom"/>
            <w:shd w:val="clear" w:color="auto" w:fill="E0E0E0"/>
          </w:tcPr>
          <w:p>
            <w:pPr>
              <w:jc w:val="right"/>
              <w:ind w:right="33"/>
              <w:spacing w:after="0" w:line="201" w:lineRule="exact"/>
              <w:rPr>
                <w:sz w:val="20"/>
                <w:szCs w:val="20"/>
                <w:color w:val="auto"/>
              </w:rPr>
            </w:pPr>
            <w:r>
              <w:rPr>
                <w:rFonts w:ascii="Times New Roman" w:cs="Times New Roman" w:eastAsia="Times New Roman" w:hAnsi="Times New Roman"/>
                <w:sz w:val="20"/>
                <w:szCs w:val="20"/>
                <w:color w:val="121212"/>
              </w:rPr>
              <w:t>16,572</w:t>
            </w:r>
          </w:p>
        </w:tc>
        <w:tc>
          <w:tcPr>
            <w:tcW w:w="140" w:type="dxa"/>
            <w:vAlign w:val="bottom"/>
            <w:shd w:val="clear" w:color="auto" w:fill="E0E0E0"/>
          </w:tcPr>
          <w:p>
            <w:pPr>
              <w:spacing w:after="0"/>
              <w:rPr>
                <w:sz w:val="17"/>
                <w:szCs w:val="17"/>
                <w:color w:val="auto"/>
              </w:rPr>
            </w:pPr>
          </w:p>
        </w:tc>
        <w:tc>
          <w:tcPr>
            <w:tcW w:w="122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20"/>
                <w:szCs w:val="20"/>
                <w:color w:val="121212"/>
                <w:w w:val="98"/>
              </w:rPr>
              <w:t>Sale</w:t>
            </w:r>
          </w:p>
        </w:tc>
        <w:tc>
          <w:tcPr>
            <w:tcW w:w="0" w:type="dxa"/>
            <w:vAlign w:val="bottom"/>
          </w:tcPr>
          <w:p>
            <w:pPr>
              <w:spacing w:after="0"/>
              <w:rPr>
                <w:sz w:val="1"/>
                <w:szCs w:val="1"/>
                <w:color w:val="auto"/>
              </w:rPr>
            </w:pPr>
          </w:p>
        </w:tc>
      </w:tr>
      <w:tr>
        <w:trPr>
          <w:trHeight w:val="230"/>
        </w:trPr>
        <w:tc>
          <w:tcPr>
            <w:tcW w:w="15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i w:val="1"/>
                <w:iCs w:val="1"/>
                <w:color w:val="121212"/>
              </w:rPr>
              <w:t>Director</w:t>
            </w:r>
          </w:p>
        </w:tc>
        <w:tc>
          <w:tcPr>
            <w:tcW w:w="140" w:type="dxa"/>
            <w:vAlign w:val="bottom"/>
            <w:shd w:val="clear" w:color="auto" w:fill="E0E0E0"/>
          </w:tcPr>
          <w:p>
            <w:pPr>
              <w:spacing w:after="0"/>
              <w:rPr>
                <w:sz w:val="20"/>
                <w:szCs w:val="20"/>
                <w:color w:val="auto"/>
              </w:rPr>
            </w:pPr>
          </w:p>
        </w:tc>
        <w:tc>
          <w:tcPr>
            <w:tcW w:w="2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the affirmative defense conditions</w:t>
            </w:r>
          </w:p>
        </w:tc>
        <w:tc>
          <w:tcPr>
            <w:tcW w:w="140" w:type="dxa"/>
            <w:vAlign w:val="bottom"/>
            <w:shd w:val="clear" w:color="auto" w:fill="E0E0E0"/>
          </w:tcPr>
          <w:p>
            <w:pPr>
              <w:spacing w:after="0"/>
              <w:rPr>
                <w:sz w:val="20"/>
                <w:szCs w:val="20"/>
                <w:color w:val="auto"/>
              </w:rPr>
            </w:pPr>
          </w:p>
        </w:tc>
        <w:tc>
          <w:tcPr>
            <w:tcW w:w="15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121212"/>
                <w:w w:val="99"/>
              </w:rPr>
              <w:t>(December 13,</w:t>
            </w:r>
          </w:p>
        </w:tc>
        <w:tc>
          <w:tcPr>
            <w:tcW w:w="160" w:type="dxa"/>
            <w:vAlign w:val="bottom"/>
            <w:shd w:val="clear" w:color="auto" w:fill="E0E0E0"/>
          </w:tcPr>
          <w:p>
            <w:pPr>
              <w:spacing w:after="0"/>
              <w:rPr>
                <w:sz w:val="20"/>
                <w:szCs w:val="20"/>
                <w:color w:val="auto"/>
              </w:rPr>
            </w:pPr>
          </w:p>
        </w:tc>
        <w:tc>
          <w:tcPr>
            <w:tcW w:w="144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121212"/>
              </w:rPr>
              <w:t>(December 31,</w:t>
            </w:r>
          </w:p>
        </w:tc>
        <w:tc>
          <w:tcPr>
            <w:tcW w:w="100" w:type="dxa"/>
            <w:vAlign w:val="bottom"/>
            <w:shd w:val="clear" w:color="auto" w:fill="E0E0E0"/>
          </w:tcPr>
          <w:p>
            <w:pPr>
              <w:spacing w:after="0"/>
              <w:rPr>
                <w:sz w:val="20"/>
                <w:szCs w:val="20"/>
                <w:color w:val="auto"/>
              </w:rPr>
            </w:pPr>
          </w:p>
        </w:tc>
        <w:tc>
          <w:tcPr>
            <w:tcW w:w="134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2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of Securities Exchange Act Rule</w:t>
            </w:r>
          </w:p>
        </w:tc>
        <w:tc>
          <w:tcPr>
            <w:tcW w:w="140" w:type="dxa"/>
            <w:vAlign w:val="bottom"/>
            <w:shd w:val="clear" w:color="auto" w:fill="E0E0E0"/>
          </w:tcPr>
          <w:p>
            <w:pPr>
              <w:spacing w:after="0"/>
              <w:rPr>
                <w:sz w:val="20"/>
                <w:szCs w:val="20"/>
                <w:color w:val="auto"/>
              </w:rPr>
            </w:pPr>
          </w:p>
        </w:tc>
        <w:tc>
          <w:tcPr>
            <w:tcW w:w="150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121212"/>
                <w:w w:val="98"/>
              </w:rPr>
              <w:t>2023)</w:t>
            </w:r>
          </w:p>
        </w:tc>
        <w:tc>
          <w:tcPr>
            <w:tcW w:w="160" w:type="dxa"/>
            <w:vAlign w:val="bottom"/>
            <w:shd w:val="clear" w:color="auto" w:fill="E0E0E0"/>
          </w:tcPr>
          <w:p>
            <w:pPr>
              <w:spacing w:after="0"/>
              <w:rPr>
                <w:sz w:val="20"/>
                <w:szCs w:val="20"/>
                <w:color w:val="auto"/>
              </w:rPr>
            </w:pPr>
          </w:p>
        </w:tc>
        <w:tc>
          <w:tcPr>
            <w:tcW w:w="144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121212"/>
              </w:rPr>
              <w:t>2024)</w:t>
            </w:r>
          </w:p>
        </w:tc>
        <w:tc>
          <w:tcPr>
            <w:tcW w:w="100" w:type="dxa"/>
            <w:vAlign w:val="bottom"/>
            <w:shd w:val="clear" w:color="auto" w:fill="E0E0E0"/>
          </w:tcPr>
          <w:p>
            <w:pPr>
              <w:spacing w:after="0"/>
              <w:rPr>
                <w:sz w:val="20"/>
                <w:szCs w:val="20"/>
                <w:color w:val="auto"/>
              </w:rPr>
            </w:pPr>
          </w:p>
        </w:tc>
        <w:tc>
          <w:tcPr>
            <w:tcW w:w="134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50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27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10b5-1(c)</w:t>
            </w:r>
          </w:p>
        </w:tc>
        <w:tc>
          <w:tcPr>
            <w:tcW w:w="140" w:type="dxa"/>
            <w:vAlign w:val="bottom"/>
            <w:shd w:val="clear" w:color="auto" w:fill="E0E0E0"/>
          </w:tcPr>
          <w:p>
            <w:pPr>
              <w:spacing w:after="0"/>
              <w:rPr>
                <w:sz w:val="21"/>
                <w:szCs w:val="21"/>
                <w:color w:val="auto"/>
              </w:rPr>
            </w:pPr>
          </w:p>
        </w:tc>
        <w:tc>
          <w:tcPr>
            <w:tcW w:w="150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4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3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22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5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121212"/>
              </w:rPr>
              <w:t>William Savage</w:t>
            </w:r>
          </w:p>
        </w:tc>
        <w:tc>
          <w:tcPr>
            <w:tcW w:w="140" w:type="dxa"/>
            <w:vAlign w:val="bottom"/>
          </w:tcPr>
          <w:p>
            <w:pPr>
              <w:spacing w:after="0"/>
              <w:rPr>
                <w:sz w:val="18"/>
                <w:szCs w:val="18"/>
                <w:color w:val="auto"/>
              </w:rPr>
            </w:pPr>
          </w:p>
        </w:tc>
        <w:tc>
          <w:tcPr>
            <w:tcW w:w="27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121212"/>
              </w:rPr>
              <w:t>Trading plan intended to satisfy</w:t>
            </w:r>
          </w:p>
        </w:tc>
        <w:tc>
          <w:tcPr>
            <w:tcW w:w="140" w:type="dxa"/>
            <w:vAlign w:val="bottom"/>
          </w:tcPr>
          <w:p>
            <w:pPr>
              <w:spacing w:after="0"/>
              <w:rPr>
                <w:sz w:val="18"/>
                <w:szCs w:val="18"/>
                <w:color w:val="auto"/>
              </w:rPr>
            </w:pPr>
          </w:p>
        </w:tc>
        <w:tc>
          <w:tcPr>
            <w:tcW w:w="150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121212"/>
              </w:rPr>
              <w:t>Adoption</w:t>
            </w:r>
          </w:p>
        </w:tc>
        <w:tc>
          <w:tcPr>
            <w:tcW w:w="160" w:type="dxa"/>
            <w:vAlign w:val="bottom"/>
          </w:tcPr>
          <w:p>
            <w:pPr>
              <w:spacing w:after="0"/>
              <w:rPr>
                <w:sz w:val="18"/>
                <w:szCs w:val="18"/>
                <w:color w:val="auto"/>
              </w:rPr>
            </w:pPr>
          </w:p>
        </w:tc>
        <w:tc>
          <w:tcPr>
            <w:tcW w:w="144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121212"/>
              </w:rPr>
              <w:t>End Date</w:t>
            </w:r>
          </w:p>
        </w:tc>
        <w:tc>
          <w:tcPr>
            <w:tcW w:w="100" w:type="dxa"/>
            <w:vAlign w:val="bottom"/>
          </w:tcPr>
          <w:p>
            <w:pPr>
              <w:spacing w:after="0"/>
              <w:rPr>
                <w:sz w:val="18"/>
                <w:szCs w:val="18"/>
                <w:color w:val="auto"/>
              </w:rPr>
            </w:pPr>
          </w:p>
        </w:tc>
        <w:tc>
          <w:tcPr>
            <w:tcW w:w="1340" w:type="dxa"/>
            <w:vAlign w:val="bottom"/>
          </w:tcPr>
          <w:p>
            <w:pPr>
              <w:jc w:val="right"/>
              <w:ind w:right="33"/>
              <w:spacing w:after="0" w:line="210" w:lineRule="exact"/>
              <w:rPr>
                <w:sz w:val="20"/>
                <w:szCs w:val="20"/>
                <w:color w:val="auto"/>
              </w:rPr>
            </w:pPr>
            <w:r>
              <w:rPr>
                <w:rFonts w:ascii="Times New Roman" w:cs="Times New Roman" w:eastAsia="Times New Roman" w:hAnsi="Times New Roman"/>
                <w:sz w:val="20"/>
                <w:szCs w:val="20"/>
                <w:color w:val="121212"/>
              </w:rPr>
              <w:t>23,341</w:t>
            </w:r>
          </w:p>
        </w:tc>
        <w:tc>
          <w:tcPr>
            <w:tcW w:w="140" w:type="dxa"/>
            <w:vAlign w:val="bottom"/>
          </w:tcPr>
          <w:p>
            <w:pPr>
              <w:spacing w:after="0"/>
              <w:rPr>
                <w:sz w:val="18"/>
                <w:szCs w:val="18"/>
                <w:color w:val="auto"/>
              </w:rPr>
            </w:pPr>
          </w:p>
        </w:tc>
        <w:tc>
          <w:tcPr>
            <w:tcW w:w="122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121212"/>
                <w:w w:val="98"/>
              </w:rPr>
              <w:t>Sale</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i w:val="1"/>
                <w:iCs w:val="1"/>
                <w:color w:val="121212"/>
              </w:rPr>
              <w:t>Chief Medical</w:t>
            </w: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20"/>
                <w:szCs w:val="20"/>
                <w:color w:val="121212"/>
              </w:rPr>
              <w:t>the affirmative defense conditions</w:t>
            </w:r>
          </w:p>
        </w:tc>
        <w:tc>
          <w:tcPr>
            <w:tcW w:w="1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121212"/>
                <w:w w:val="99"/>
              </w:rPr>
              <w:t>(December 20,</w:t>
            </w:r>
          </w:p>
        </w:tc>
        <w:tc>
          <w:tcPr>
            <w:tcW w:w="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121212"/>
              </w:rPr>
              <w:t>(August 30,</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i w:val="1"/>
                <w:iCs w:val="1"/>
                <w:color w:val="121212"/>
              </w:rPr>
              <w:t>Officer</w:t>
            </w: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20"/>
                <w:szCs w:val="20"/>
                <w:color w:val="121212"/>
              </w:rPr>
              <w:t>of Securities Exchange Act Rule</w:t>
            </w:r>
          </w:p>
        </w:tc>
        <w:tc>
          <w:tcPr>
            <w:tcW w:w="164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121212"/>
                <w:w w:val="98"/>
              </w:rPr>
              <w:t>2023)</w:t>
            </w:r>
          </w:p>
        </w:tc>
        <w:tc>
          <w:tcPr>
            <w:tcW w:w="160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121212"/>
              </w:rPr>
              <w:t>2024)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20"/>
                <w:szCs w:val="20"/>
                <w:color w:val="121212"/>
              </w:rPr>
              <w:t>10b5-1(c)</w:t>
            </w: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121212"/>
        </w:rPr>
        <w:t>ITEM 9C.</w:t>
      </w:r>
      <w:r>
        <w:rPr>
          <w:sz w:val="20"/>
          <w:szCs w:val="20"/>
          <w:color w:val="auto"/>
        </w:rPr>
        <w:tab/>
      </w:r>
      <w:r>
        <w:rPr>
          <w:rFonts w:ascii="Times New Roman" w:cs="Times New Roman" w:eastAsia="Times New Roman" w:hAnsi="Times New Roman"/>
          <w:sz w:val="19"/>
          <w:szCs w:val="19"/>
          <w:b w:val="1"/>
          <w:bCs w:val="1"/>
          <w:color w:val="121212"/>
        </w:rPr>
        <w:t>DISCLOSURE REGARDING FOREIGN JURISDICTIONS THAT PREVENT INSPECTIONS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Not applicable.</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134</w:t>
      </w:r>
    </w:p>
    <w:p>
      <w:pPr>
        <w:sectPr>
          <w:pgSz w:w="12240" w:h="15840" w:orient="portrait"/>
          <w:cols w:equalWidth="0" w:num="1">
            <w:col w:w="10440"/>
          </w:cols>
          <w:pgMar w:left="900" w:top="926" w:right="900" w:bottom="175" w:gutter="0" w:footer="0" w:header="0"/>
          <w:type w:val="continuous"/>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20"/>
          <w:szCs w:val="20"/>
          <w:b w:val="1"/>
          <w:bCs w:val="1"/>
          <w:color w:val="121212"/>
        </w:rPr>
        <w:t>PART III</w:t>
      </w:r>
    </w:p>
    <w:p>
      <w:pPr>
        <w:spacing w:after="0" w:line="24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121212"/>
        </w:rPr>
        <w:t>ITEM 10.</w:t>
      </w:r>
      <w:r>
        <w:rPr>
          <w:sz w:val="20"/>
          <w:szCs w:val="20"/>
          <w:color w:val="auto"/>
        </w:rPr>
        <w:tab/>
      </w:r>
      <w:r>
        <w:rPr>
          <w:rFonts w:ascii="Times New Roman" w:cs="Times New Roman" w:eastAsia="Times New Roman" w:hAnsi="Times New Roman"/>
          <w:sz w:val="19"/>
          <w:szCs w:val="19"/>
          <w:b w:val="1"/>
          <w:bCs w:val="1"/>
          <w:color w:val="121212"/>
        </w:rPr>
        <w:t>DIRECTORS, EXECUTIVE OFFICERS AND CORPORATE GOVERNANCE</w:t>
      </w:r>
    </w:p>
    <w:p>
      <w:pPr>
        <w:spacing w:after="0" w:line="124"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121212"/>
        </w:rPr>
        <w:t>The following table sets forth the name, age and position of each of the individuals who serve as executives and directors of our company as of February 29,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121212"/>
              </w:rPr>
              <w:t>Name</w:t>
            </w:r>
          </w:p>
        </w:tc>
        <w:tc>
          <w:tcPr>
            <w:tcW w:w="2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rPr>
              <w:t>Age</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121212"/>
              </w:rPr>
              <w:t>Position</w:t>
            </w:r>
          </w:p>
        </w:tc>
      </w:tr>
      <w:tr>
        <w:trPr>
          <w:trHeight w:val="220"/>
        </w:trPr>
        <w:tc>
          <w:tcPr>
            <w:tcW w:w="5660" w:type="dxa"/>
            <w:vAlign w:val="bottom"/>
            <w:tcBorders>
              <w:top w:val="single" w:sz="8" w:color="121212"/>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i w:val="1"/>
                <w:iCs w:val="1"/>
                <w:color w:val="121212"/>
              </w:rPr>
              <w:t>Executive Officers:</w:t>
            </w:r>
          </w:p>
        </w:tc>
        <w:tc>
          <w:tcPr>
            <w:tcW w:w="200" w:type="dxa"/>
            <w:vAlign w:val="bottom"/>
            <w:tcBorders>
              <w:top w:val="single" w:sz="8" w:color="E0E0E0"/>
            </w:tcBorders>
            <w:shd w:val="clear" w:color="auto" w:fill="E0E0E0"/>
          </w:tcPr>
          <w:p>
            <w:pPr>
              <w:spacing w:after="0"/>
              <w:rPr>
                <w:sz w:val="19"/>
                <w:szCs w:val="19"/>
                <w:color w:val="auto"/>
              </w:rPr>
            </w:pPr>
          </w:p>
        </w:tc>
        <w:tc>
          <w:tcPr>
            <w:tcW w:w="960" w:type="dxa"/>
            <w:vAlign w:val="bottom"/>
            <w:tcBorders>
              <w:top w:val="single" w:sz="8" w:color="121212"/>
            </w:tcBorders>
            <w:shd w:val="clear" w:color="auto" w:fill="E0E0E0"/>
          </w:tcPr>
          <w:p>
            <w:pPr>
              <w:spacing w:after="0"/>
              <w:rPr>
                <w:sz w:val="19"/>
                <w:szCs w:val="19"/>
                <w:color w:val="auto"/>
              </w:rPr>
            </w:pPr>
          </w:p>
        </w:tc>
        <w:tc>
          <w:tcPr>
            <w:tcW w:w="200" w:type="dxa"/>
            <w:vAlign w:val="bottom"/>
            <w:tcBorders>
              <w:top w:val="single" w:sz="8" w:color="E0E0E0"/>
            </w:tcBorders>
            <w:shd w:val="clear" w:color="auto" w:fill="E0E0E0"/>
          </w:tcPr>
          <w:p>
            <w:pPr>
              <w:spacing w:after="0"/>
              <w:rPr>
                <w:sz w:val="19"/>
                <w:szCs w:val="19"/>
                <w:color w:val="auto"/>
              </w:rPr>
            </w:pPr>
          </w:p>
        </w:tc>
        <w:tc>
          <w:tcPr>
            <w:tcW w:w="3420" w:type="dxa"/>
            <w:vAlign w:val="bottom"/>
            <w:tcBorders>
              <w:top w:val="single" w:sz="8" w:color="121212"/>
            </w:tcBorders>
            <w:shd w:val="clear" w:color="auto" w:fill="E0E0E0"/>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121212"/>
              </w:rPr>
              <w:t>John Quisel, J.D., Ph.D.</w:t>
            </w:r>
          </w:p>
        </w:tc>
        <w:tc>
          <w:tcPr>
            <w:tcW w:w="2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121212"/>
                <w:w w:val="99"/>
              </w:rPr>
              <w:t>52</w:t>
            </w:r>
          </w:p>
        </w:tc>
        <w:tc>
          <w:tcPr>
            <w:tcW w:w="2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20"/>
                <w:szCs w:val="20"/>
                <w:color w:val="121212"/>
              </w:rPr>
              <w:t>Chief Executive Officer and Director</w:t>
            </w:r>
          </w:p>
        </w:tc>
      </w:tr>
      <w:tr>
        <w:trPr>
          <w:trHeight w:val="230"/>
        </w:trPr>
        <w:tc>
          <w:tcPr>
            <w:tcW w:w="5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Jean Franchi</w:t>
            </w:r>
          </w:p>
        </w:tc>
        <w:tc>
          <w:tcPr>
            <w:tcW w:w="1160" w:type="dxa"/>
            <w:vAlign w:val="bottom"/>
            <w:gridSpan w:val="2"/>
            <w:shd w:val="clear" w:color="auto" w:fill="E0E0E0"/>
          </w:tcPr>
          <w:p>
            <w:pPr>
              <w:jc w:val="center"/>
              <w:ind w:left="100"/>
              <w:spacing w:after="0"/>
              <w:rPr>
                <w:sz w:val="20"/>
                <w:szCs w:val="20"/>
                <w:color w:val="auto"/>
              </w:rPr>
            </w:pPr>
            <w:r>
              <w:rPr>
                <w:rFonts w:ascii="Times New Roman" w:cs="Times New Roman" w:eastAsia="Times New Roman" w:hAnsi="Times New Roman"/>
                <w:sz w:val="20"/>
                <w:szCs w:val="20"/>
                <w:color w:val="121212"/>
                <w:w w:val="99"/>
              </w:rPr>
              <w:t>57</w:t>
            </w:r>
          </w:p>
        </w:tc>
        <w:tc>
          <w:tcPr>
            <w:tcW w:w="362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Chief Financial Officer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121212"/>
              </w:rPr>
              <w:t>Jonathan Yu, MBA</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121212"/>
                <w:w w:val="99"/>
              </w:rPr>
              <w:t>43</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21212"/>
              </w:rPr>
              <w:t>Chief Operating Officer</w:t>
            </w:r>
          </w:p>
        </w:tc>
      </w:tr>
      <w:tr>
        <w:trPr>
          <w:trHeight w:val="230"/>
        </w:trPr>
        <w:tc>
          <w:tcPr>
            <w:tcW w:w="5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William Savage, MD, Ph.D.</w:t>
            </w:r>
          </w:p>
        </w:tc>
        <w:tc>
          <w:tcPr>
            <w:tcW w:w="1160" w:type="dxa"/>
            <w:vAlign w:val="bottom"/>
            <w:gridSpan w:val="2"/>
            <w:shd w:val="clear" w:color="auto" w:fill="E0E0E0"/>
          </w:tcPr>
          <w:p>
            <w:pPr>
              <w:jc w:val="center"/>
              <w:ind w:left="100"/>
              <w:spacing w:after="0"/>
              <w:rPr>
                <w:sz w:val="20"/>
                <w:szCs w:val="20"/>
                <w:color w:val="auto"/>
              </w:rPr>
            </w:pPr>
            <w:r>
              <w:rPr>
                <w:rFonts w:ascii="Times New Roman" w:cs="Times New Roman" w:eastAsia="Times New Roman" w:hAnsi="Times New Roman"/>
                <w:sz w:val="20"/>
                <w:szCs w:val="20"/>
                <w:color w:val="121212"/>
                <w:w w:val="99"/>
              </w:rPr>
              <w:t>49</w:t>
            </w:r>
          </w:p>
        </w:tc>
        <w:tc>
          <w:tcPr>
            <w:tcW w:w="362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Chief Medical Officer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121212"/>
              </w:rPr>
              <w:t>Pamela Stephenson, MPH</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121212"/>
                <w:w w:val="99"/>
              </w:rPr>
              <w:t>56</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21212"/>
              </w:rPr>
              <w:t>Chief Commercial Officer</w:t>
            </w:r>
          </w:p>
        </w:tc>
      </w:tr>
      <w:tr>
        <w:trPr>
          <w:trHeight w:val="230"/>
        </w:trPr>
        <w:tc>
          <w:tcPr>
            <w:tcW w:w="5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Rahul Khara, Pharm.D., J.D.</w:t>
            </w:r>
          </w:p>
        </w:tc>
        <w:tc>
          <w:tcPr>
            <w:tcW w:w="1160" w:type="dxa"/>
            <w:vAlign w:val="bottom"/>
            <w:gridSpan w:val="2"/>
            <w:shd w:val="clear" w:color="auto" w:fill="E0E0E0"/>
          </w:tcPr>
          <w:p>
            <w:pPr>
              <w:jc w:val="center"/>
              <w:ind w:left="100"/>
              <w:spacing w:after="0"/>
              <w:rPr>
                <w:sz w:val="20"/>
                <w:szCs w:val="20"/>
                <w:color w:val="auto"/>
              </w:rPr>
            </w:pPr>
            <w:r>
              <w:rPr>
                <w:rFonts w:ascii="Times New Roman" w:cs="Times New Roman" w:eastAsia="Times New Roman" w:hAnsi="Times New Roman"/>
                <w:sz w:val="20"/>
                <w:szCs w:val="20"/>
                <w:color w:val="121212"/>
                <w:w w:val="99"/>
              </w:rPr>
              <w:t>42</w:t>
            </w:r>
          </w:p>
        </w:tc>
        <w:tc>
          <w:tcPr>
            <w:tcW w:w="362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General Counsel</w:t>
            </w:r>
          </w:p>
        </w:tc>
      </w:tr>
      <w:tr>
        <w:trPr>
          <w:trHeight w:val="230"/>
        </w:trPr>
        <w:tc>
          <w:tcPr>
            <w:tcW w:w="5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30"/>
        </w:trPr>
        <w:tc>
          <w:tcPr>
            <w:tcW w:w="5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i w:val="1"/>
                <w:iCs w:val="1"/>
                <w:color w:val="121212"/>
              </w:rPr>
              <w:t>Non-Employee Directors:</w:t>
            </w:r>
          </w:p>
        </w:tc>
        <w:tc>
          <w:tcPr>
            <w:tcW w:w="200" w:type="dxa"/>
            <w:vAlign w:val="bottom"/>
            <w:shd w:val="clear" w:color="auto" w:fill="E0E0E0"/>
          </w:tcPr>
          <w:p>
            <w:pPr>
              <w:spacing w:after="0"/>
              <w:rPr>
                <w:sz w:val="19"/>
                <w:szCs w:val="19"/>
                <w:color w:val="auto"/>
              </w:rPr>
            </w:pPr>
          </w:p>
        </w:tc>
        <w:tc>
          <w:tcPr>
            <w:tcW w:w="9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3420" w:type="dxa"/>
            <w:vAlign w:val="bottom"/>
            <w:shd w:val="clear" w:color="auto" w:fill="E0E0E0"/>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121212"/>
              </w:rPr>
              <w:t>Donald Nicholson, Ph.D.</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121212"/>
                <w:w w:val="99"/>
              </w:rPr>
              <w:t>66</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21212"/>
              </w:rPr>
              <w:t>Executive Chairman and Director</w:t>
            </w:r>
          </w:p>
        </w:tc>
      </w:tr>
      <w:tr>
        <w:trPr>
          <w:trHeight w:val="230"/>
        </w:trPr>
        <w:tc>
          <w:tcPr>
            <w:tcW w:w="5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Mona Ashiya, Ph.D.</w:t>
            </w:r>
          </w:p>
        </w:tc>
        <w:tc>
          <w:tcPr>
            <w:tcW w:w="1160" w:type="dxa"/>
            <w:vAlign w:val="bottom"/>
            <w:gridSpan w:val="2"/>
            <w:shd w:val="clear" w:color="auto" w:fill="E0E0E0"/>
          </w:tcPr>
          <w:p>
            <w:pPr>
              <w:jc w:val="center"/>
              <w:ind w:left="100"/>
              <w:spacing w:after="0"/>
              <w:rPr>
                <w:sz w:val="20"/>
                <w:szCs w:val="20"/>
                <w:color w:val="auto"/>
              </w:rPr>
            </w:pPr>
            <w:r>
              <w:rPr>
                <w:rFonts w:ascii="Times New Roman" w:cs="Times New Roman" w:eastAsia="Times New Roman" w:hAnsi="Times New Roman"/>
                <w:sz w:val="20"/>
                <w:szCs w:val="20"/>
                <w:color w:val="121212"/>
                <w:w w:val="99"/>
              </w:rPr>
              <w:t>55</w:t>
            </w:r>
          </w:p>
        </w:tc>
        <w:tc>
          <w:tcPr>
            <w:tcW w:w="362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Director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121212"/>
              </w:rPr>
              <w:t>Kevin Bitterman, Ph.D.</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121212"/>
                <w:w w:val="99"/>
              </w:rPr>
              <w:t>47</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21212"/>
              </w:rPr>
              <w:t>Director</w:t>
            </w:r>
          </w:p>
        </w:tc>
      </w:tr>
      <w:tr>
        <w:trPr>
          <w:trHeight w:val="230"/>
        </w:trPr>
        <w:tc>
          <w:tcPr>
            <w:tcW w:w="5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Mark Chin, MS, MBA</w:t>
            </w:r>
          </w:p>
        </w:tc>
        <w:tc>
          <w:tcPr>
            <w:tcW w:w="1160" w:type="dxa"/>
            <w:vAlign w:val="bottom"/>
            <w:gridSpan w:val="2"/>
            <w:shd w:val="clear" w:color="auto" w:fill="E0E0E0"/>
          </w:tcPr>
          <w:p>
            <w:pPr>
              <w:jc w:val="center"/>
              <w:ind w:left="100"/>
              <w:spacing w:after="0"/>
              <w:rPr>
                <w:sz w:val="20"/>
                <w:szCs w:val="20"/>
                <w:color w:val="auto"/>
              </w:rPr>
            </w:pPr>
            <w:r>
              <w:rPr>
                <w:rFonts w:ascii="Times New Roman" w:cs="Times New Roman" w:eastAsia="Times New Roman" w:hAnsi="Times New Roman"/>
                <w:sz w:val="20"/>
                <w:szCs w:val="20"/>
                <w:color w:val="121212"/>
                <w:w w:val="99"/>
              </w:rPr>
              <w:t>41</w:t>
            </w:r>
          </w:p>
        </w:tc>
        <w:tc>
          <w:tcPr>
            <w:tcW w:w="362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Director</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121212"/>
              </w:rPr>
              <w:t>Georges Gemayel, Ph.D.</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121212"/>
                <w:w w:val="99"/>
              </w:rPr>
              <w:t>63</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21212"/>
              </w:rPr>
              <w:t>Director</w:t>
            </w:r>
          </w:p>
        </w:tc>
      </w:tr>
      <w:tr>
        <w:trPr>
          <w:trHeight w:val="230"/>
        </w:trPr>
        <w:tc>
          <w:tcPr>
            <w:tcW w:w="56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Liam Ratcliffe, MD, Ph.D.</w:t>
            </w:r>
          </w:p>
        </w:tc>
        <w:tc>
          <w:tcPr>
            <w:tcW w:w="1160" w:type="dxa"/>
            <w:vAlign w:val="bottom"/>
            <w:gridSpan w:val="2"/>
            <w:shd w:val="clear" w:color="auto" w:fill="E0E0E0"/>
          </w:tcPr>
          <w:p>
            <w:pPr>
              <w:jc w:val="center"/>
              <w:ind w:left="100"/>
              <w:spacing w:after="0"/>
              <w:rPr>
                <w:sz w:val="20"/>
                <w:szCs w:val="20"/>
                <w:color w:val="auto"/>
              </w:rPr>
            </w:pPr>
            <w:r>
              <w:rPr>
                <w:rFonts w:ascii="Times New Roman" w:cs="Times New Roman" w:eastAsia="Times New Roman" w:hAnsi="Times New Roman"/>
                <w:sz w:val="20"/>
                <w:szCs w:val="20"/>
                <w:color w:val="121212"/>
                <w:w w:val="99"/>
              </w:rPr>
              <w:t>60</w:t>
            </w:r>
          </w:p>
        </w:tc>
        <w:tc>
          <w:tcPr>
            <w:tcW w:w="362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0"/>
                <w:szCs w:val="20"/>
                <w:color w:val="121212"/>
              </w:rPr>
              <w:t>Director</w:t>
            </w:r>
          </w:p>
        </w:tc>
      </w:tr>
      <w:tr>
        <w:trPr>
          <w:trHeight w:val="266"/>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121212"/>
              </w:rPr>
              <w:t>William White, MPP, J.D.</w:t>
            </w:r>
          </w:p>
        </w:tc>
        <w:tc>
          <w:tcPr>
            <w:tcW w:w="11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121212"/>
                <w:w w:val="99"/>
              </w:rPr>
              <w:t>51</w:t>
            </w: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121212"/>
              </w:rPr>
              <w:t>Director</w:t>
            </w:r>
          </w:p>
        </w:tc>
      </w:tr>
    </w:tbl>
    <w:p>
      <w:pPr>
        <w:spacing w:after="0" w:line="82"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121212"/>
        </w:rPr>
        <w:t>Each executive officer serves at the discretion of the board and will hold office until his or her successor is duly elected and qualified or until his or her earlier resignation or removal. There are no family relationships among any of our directors or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Executive Officers</w:t>
      </w:r>
    </w:p>
    <w:p>
      <w:pPr>
        <w:spacing w:after="0" w:line="120" w:lineRule="exact"/>
        <w:rPr>
          <w:sz w:val="20"/>
          <w:szCs w:val="20"/>
          <w:color w:val="auto"/>
        </w:rPr>
      </w:pPr>
    </w:p>
    <w:p>
      <w:pPr>
        <w:jc w:val="both"/>
        <w:ind w:right="20" w:firstLine="490"/>
        <w:spacing w:after="0" w:line="245"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John Quisel, J.D., Ph.D. </w:t>
      </w:r>
      <w:r>
        <w:rPr>
          <w:rFonts w:ascii="Times New Roman" w:cs="Times New Roman" w:eastAsia="Times New Roman" w:hAnsi="Times New Roman"/>
          <w:sz w:val="20"/>
          <w:szCs w:val="20"/>
          <w:color w:val="121212"/>
        </w:rPr>
        <w:t>has served as our President, Chief Executive Officer and as a member of our board of directors</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since February 2020. Previously, from October 2006 through February 2020, Dr. Quisel served in various positions at Acceleron Pharma Inc., or Acceleron, a biopharmaceutical company, most recently as Chief Business Officer. Prior to joining Acceleron, Dr. Quisel worked as an associate at the law firms of Ropes &amp; Gray and Foley Hoag. Since November 2023, Dr. Quisel serves as a board member of Gossamer Bio, Inc. (Nasdaq: GOSS). Dr. Quisel holds an A.B. from Harvard University, an M.S. from Stanford University, a Ph.D. from the Massachusetts Institute of Technology, and a J.D. from Harvard Law School. Dr. Quisel is qualified to serve as a member of our board because of his significant scientific industry and management experience, including the experience gained from prior service as a Chief Business Officer.</w:t>
      </w:r>
    </w:p>
    <w:p>
      <w:pPr>
        <w:spacing w:after="0" w:line="82" w:lineRule="exact"/>
        <w:rPr>
          <w:sz w:val="20"/>
          <w:szCs w:val="20"/>
          <w:color w:val="auto"/>
        </w:rPr>
      </w:pPr>
    </w:p>
    <w:p>
      <w:pPr>
        <w:jc w:val="both"/>
        <w:ind w:firstLine="490"/>
        <w:spacing w:after="0" w:line="244"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Jean Franchi </w:t>
      </w:r>
      <w:r>
        <w:rPr>
          <w:rFonts w:ascii="Times New Roman" w:cs="Times New Roman" w:eastAsia="Times New Roman" w:hAnsi="Times New Roman"/>
          <w:sz w:val="20"/>
          <w:szCs w:val="20"/>
          <w:color w:val="121212"/>
        </w:rPr>
        <w:t>has served as our Chief Financial Officer since February 2024. Previously, Ms. Franchi served as the Chief</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Financial Officer of Replimune Group, Inc. (Nasdaq: REPL), a biotechnology company, from December 2019 to June 2023. From August 2017 to May 2019, Ms. Franchi served as the Chief Financial Officer of Merrimack Pharmaceuticals, Inc., a biopharmaceutical company. From August 2015 to July 2017, she served as Chief Financial Officer, Treasurer and Secretary at Dimension Therapeutics, Inc., a biotechnology company. From February 2012 to July 2015, Ms. Franchi served as Chief Financial Officer at Good Start Genetics, Inc., a molecular genetics information company. From 1995 to 2011, Ms. Franchi held various positions at Sanofi S.A., including Senior Vice President of Corporate Finance, Senior Vice President of Business Unit Finance, and Vice President of Finance and Controller, Product Line and International Group. Ms. Franchi holds a B.B.A. from Hofstra University.</w:t>
      </w:r>
    </w:p>
    <w:p>
      <w:pPr>
        <w:spacing w:after="0" w:line="86" w:lineRule="exact"/>
        <w:rPr>
          <w:sz w:val="20"/>
          <w:szCs w:val="20"/>
          <w:color w:val="auto"/>
        </w:rPr>
      </w:pPr>
    </w:p>
    <w:p>
      <w:pPr>
        <w:jc w:val="both"/>
        <w:ind w:firstLine="490"/>
        <w:spacing w:after="0" w:line="245"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Jonathan Yu, MBA </w:t>
      </w:r>
      <w:r>
        <w:rPr>
          <w:rFonts w:ascii="Times New Roman" w:cs="Times New Roman" w:eastAsia="Times New Roman" w:hAnsi="Times New Roman"/>
          <w:sz w:val="20"/>
          <w:szCs w:val="20"/>
          <w:color w:val="121212"/>
        </w:rPr>
        <w:t>has served as our Chief Operating Officer since February 2024, and was previously our Chief Business</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Officer from August 2021 to February 2024, and our Senior Vice President of Corporate Development from July 2020 to August 2021. Previously, Mr. Yu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and Johnson &amp; Johnson, spanning commercial planning and assessment, business development and finance. Mr. Yu holds an A.B. from Harvard College and an M.B.A. from the Wharton School of the University of Pennsylvania.</w:t>
      </w:r>
    </w:p>
    <w:p>
      <w:pPr>
        <w:spacing w:after="0" w:line="82" w:lineRule="exact"/>
        <w:rPr>
          <w:sz w:val="20"/>
          <w:szCs w:val="20"/>
          <w:color w:val="auto"/>
        </w:rPr>
      </w:pPr>
    </w:p>
    <w:p>
      <w:pPr>
        <w:ind w:right="80" w:firstLine="490"/>
        <w:spacing w:after="0" w:line="278" w:lineRule="auto"/>
        <w:rPr>
          <w:sz w:val="20"/>
          <w:szCs w:val="20"/>
          <w:color w:val="auto"/>
        </w:rPr>
      </w:pPr>
      <w:r>
        <w:rPr>
          <w:rFonts w:ascii="Times New Roman" w:cs="Times New Roman" w:eastAsia="Times New Roman" w:hAnsi="Times New Roman"/>
          <w:sz w:val="19"/>
          <w:szCs w:val="19"/>
          <w:b w:val="1"/>
          <w:bCs w:val="1"/>
          <w:i w:val="1"/>
          <w:iCs w:val="1"/>
          <w:color w:val="121212"/>
        </w:rPr>
        <w:t xml:space="preserve">William Savage, M.D., Ph.D. </w:t>
      </w:r>
      <w:r>
        <w:rPr>
          <w:rFonts w:ascii="Times New Roman" w:cs="Times New Roman" w:eastAsia="Times New Roman" w:hAnsi="Times New Roman"/>
          <w:sz w:val="19"/>
          <w:szCs w:val="19"/>
          <w:color w:val="121212"/>
        </w:rPr>
        <w:t>has served as our Chief Medical Officer since August 2021 and was previously our Vice</w:t>
      </w:r>
      <w:r>
        <w:rPr>
          <w:rFonts w:ascii="Times New Roman" w:cs="Times New Roman" w:eastAsia="Times New Roman" w:hAnsi="Times New Roman"/>
          <w:sz w:val="19"/>
          <w:szCs w:val="19"/>
          <w:b w:val="1"/>
          <w:bCs w:val="1"/>
          <w:i w:val="1"/>
          <w:iCs w:val="1"/>
          <w:color w:val="121212"/>
        </w:rPr>
        <w:t xml:space="preserve"> </w:t>
      </w:r>
      <w:r>
        <w:rPr>
          <w:rFonts w:ascii="Times New Roman" w:cs="Times New Roman" w:eastAsia="Times New Roman" w:hAnsi="Times New Roman"/>
          <w:sz w:val="19"/>
          <w:szCs w:val="19"/>
          <w:color w:val="121212"/>
        </w:rPr>
        <w:t>President, Head of Clinical Development from August 2020 to August 2021. Previously, he served as Senior Medical Director at Magenta Therapeutics, a biotechnology company, from July 2019 to July 2020. Prior to Magenta Therapeutics, he was the Global</w:t>
      </w:r>
    </w:p>
    <w:p>
      <w:pPr>
        <w:sectPr>
          <w:pgSz w:w="12240" w:h="15840" w:orient="portrait"/>
          <w:cols w:equalWidth="0" w:num="1">
            <w:col w:w="10460"/>
          </w:cols>
          <w:pgMar w:left="900" w:top="926" w:right="880" w:bottom="175"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21212"/>
        </w:rPr>
        <w:t>135</w:t>
      </w:r>
    </w:p>
    <w:p>
      <w:pPr>
        <w:sectPr>
          <w:pgSz w:w="12240" w:h="15840" w:orient="portrait"/>
          <w:cols w:equalWidth="0" w:num="1">
            <w:col w:w="10460"/>
          </w:cols>
          <w:pgMar w:left="900" w:top="926" w:right="880" w:bottom="175" w:gutter="0" w:footer="0" w:header="0"/>
          <w:type w:val="continuous"/>
        </w:sectPr>
      </w:pPr>
    </w:p>
    <w:bookmarkStart w:id="145" w:name="page146"/>
    <w:bookmarkEnd w:id="145"/>
    <w:p>
      <w:pPr>
        <w:spacing w:after="0" w:line="247" w:lineRule="auto"/>
        <w:rPr>
          <w:sz w:val="20"/>
          <w:szCs w:val="20"/>
          <w:color w:val="auto"/>
        </w:rPr>
      </w:pPr>
      <w:r>
        <w:rPr>
          <w:rFonts w:ascii="Times New Roman" w:cs="Times New Roman" w:eastAsia="Times New Roman" w:hAnsi="Times New Roman"/>
          <w:sz w:val="20"/>
          <w:szCs w:val="20"/>
          <w:color w:val="121212"/>
        </w:rPr>
        <w:t>Clinical Development Lead in Hematology at Shire plc and Takeda Pharmaceutical Company, following its acquisition of Shire, both pharmaceutical companies, from January 2017 to July 2019. Dr. Savage was also an Assistant Professor of Pathology at Harvard Medical School/Brigham and Women’s Hospital from July 2012 to January 2017. Dr. Savage started his career at Johns Hopkins University School of Medicine, where he was Associate Medical Director, Transfusion Medicine and Assistant Professor of Pediatric Hematology. Dr. Savage holds a B.A. from Columbia University, an M.D. with honors in research from Weill Cornell Medical College and a Ph.D. from the Johns Hopkins Bloomberg School of Public Health.</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Pamela Stephenson, MPH </w:t>
      </w:r>
      <w:r>
        <w:rPr>
          <w:rFonts w:ascii="Times New Roman" w:cs="Times New Roman" w:eastAsia="Times New Roman" w:hAnsi="Times New Roman"/>
          <w:sz w:val="20"/>
          <w:szCs w:val="20"/>
          <w:color w:val="121212"/>
        </w:rPr>
        <w:t>has served as our Chief Commercial Officer since February 2024. Previously, Ms. Stephenson</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served as Chief Commercial Officer at Albireo Pharma, Inc., a biopharmaceutical company, from March 2019 to April 2023. Prior to that, she served as a Vice President at Vertex Pharmaceuticals, Inc. (Nasdaq:VRTX), a biotechnology company, from July 2008 to March 2019. Prior to Vertex, she held roles of increasing strategic importance at Pfizer Inc. (Nasdaq: PFE), a pharmaceutical company, from October 1998 to June 2008. Ms. Stephenson holds a B.A. from Brown University and an M.P.H. from Boston University School of Public Health.</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Rahul Khara, Pharm.D., J.D., </w:t>
      </w:r>
      <w:r>
        <w:rPr>
          <w:rFonts w:ascii="Times New Roman" w:cs="Times New Roman" w:eastAsia="Times New Roman" w:hAnsi="Times New Roman"/>
          <w:sz w:val="20"/>
          <w:szCs w:val="20"/>
          <w:color w:val="121212"/>
        </w:rPr>
        <w:t>has served as our General Counsel since December 2021 and as our Compliance Officer and</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Secretary since December 2022. Dr. Khara previously served as Vice President, Legal and Chief Compliance Officer at Acceleron from August 2018 to December 2021. Prior to joining Acceleron, Dr. Khara was a Senior Associate at the law firm Arnold &amp; Porter LLP from March 2015 to August 2018. Prior to that, Dr. Khara was a Senior Associate at the law firm Sidley Austin LLP from September 2008 to March 2015. Dr. Khara received his J.D. from the University of Michigan Law School and earned a Pharm.D. from Rutgers University.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Non-Employee Directors</w:t>
      </w:r>
    </w:p>
    <w:p>
      <w:pPr>
        <w:spacing w:after="0" w:line="120" w:lineRule="exact"/>
        <w:rPr>
          <w:sz w:val="20"/>
          <w:szCs w:val="20"/>
          <w:color w:val="auto"/>
        </w:rPr>
      </w:pPr>
    </w:p>
    <w:p>
      <w:pPr>
        <w:ind w:right="280" w:firstLine="490"/>
        <w:spacing w:after="0" w:line="268" w:lineRule="auto"/>
        <w:rPr>
          <w:sz w:val="20"/>
          <w:szCs w:val="20"/>
          <w:color w:val="auto"/>
        </w:rPr>
      </w:pPr>
      <w:r>
        <w:rPr>
          <w:rFonts w:ascii="Times New Roman" w:cs="Times New Roman" w:eastAsia="Times New Roman" w:hAnsi="Times New Roman"/>
          <w:sz w:val="19"/>
          <w:szCs w:val="19"/>
          <w:b w:val="1"/>
          <w:bCs w:val="1"/>
          <w:i w:val="1"/>
          <w:iCs w:val="1"/>
          <w:color w:val="121212"/>
        </w:rPr>
        <w:t xml:space="preserve">Donald Nicholson, Ph.D. </w:t>
      </w:r>
      <w:r>
        <w:rPr>
          <w:rFonts w:ascii="Times New Roman" w:cs="Times New Roman" w:eastAsia="Times New Roman" w:hAnsi="Times New Roman"/>
          <w:sz w:val="19"/>
          <w:szCs w:val="19"/>
          <w:color w:val="121212"/>
        </w:rPr>
        <w:t>has served as Executive Chairman of our board of directors since April 2019. Dr. Nicholson is</w:t>
      </w:r>
      <w:r>
        <w:rPr>
          <w:rFonts w:ascii="Times New Roman" w:cs="Times New Roman" w:eastAsia="Times New Roman" w:hAnsi="Times New Roman"/>
          <w:sz w:val="19"/>
          <w:szCs w:val="19"/>
          <w:b w:val="1"/>
          <w:bCs w:val="1"/>
          <w:i w:val="1"/>
          <w:iCs w:val="1"/>
          <w:color w:val="121212"/>
        </w:rPr>
        <w:t xml:space="preserve"> </w:t>
      </w:r>
      <w:r>
        <w:rPr>
          <w:rFonts w:ascii="Times New Roman" w:cs="Times New Roman" w:eastAsia="Times New Roman" w:hAnsi="Times New Roman"/>
          <w:sz w:val="19"/>
          <w:szCs w:val="19"/>
          <w:color w:val="121212"/>
        </w:rPr>
        <w:t>the former chief executive officer of Nimbus Therapeutics, LLC, or Nimbus, a biotechnology company, serving from August</w:t>
      </w:r>
    </w:p>
    <w:p>
      <w:pPr>
        <w:spacing w:after="0"/>
        <w:rPr>
          <w:sz w:val="20"/>
          <w:szCs w:val="20"/>
          <w:color w:val="auto"/>
        </w:rPr>
      </w:pPr>
      <w:r>
        <w:rPr>
          <w:rFonts w:ascii="Times New Roman" w:cs="Times New Roman" w:eastAsia="Times New Roman" w:hAnsi="Times New Roman"/>
          <w:sz w:val="20"/>
          <w:szCs w:val="20"/>
          <w:color w:val="121212"/>
        </w:rPr>
        <w:t>2014 to October 2018. Prior to joining Nimbus, Dr. Nicholson held various strategic, leadership and operational roles in diverse therapeutic areas, including respiratory, inflammation, immunology, bone, endocrine, urology, infectious disease and neurosciences at Merck from April 1998 to July 2013. Dr. Nicholson has co-authored more than 150 publications in peer-reviewed scientific and medical journals and is internationally recognized for his contributions to the field of apoptotic cell death. He also serves as a member on the board of directors of Generation Bio (Nasdaq: GBIO), Jnana Therapeutics, Muna Therapeutics, Matchpoint Therapeutics and NodThera. Dr. Nicholson previously served on the board of directors of Kymera Therapeutics, Inc. (Nasdaq: KYMR) from November 2017 to November 2022. Dr. Nicholson received his Ph.D. and an Honors B.Sc. degree in Biochemistry from the University of Western Ontario, and trained as a Medical Research Council postdoctoral fellow at the University of Munich in Germany. Dr. Nicholson is qualified to serve as a member of our board of directors due to his extensive experience in leadership positions throughout the life sciences industry and his strong scientific background.</w:t>
      </w:r>
    </w:p>
    <w:p>
      <w:pPr>
        <w:spacing w:after="0" w:line="9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Mona Ashiya, Ph.D. </w:t>
      </w:r>
      <w:r>
        <w:rPr>
          <w:rFonts w:ascii="Times New Roman" w:cs="Times New Roman" w:eastAsia="Times New Roman" w:hAnsi="Times New Roman"/>
          <w:sz w:val="20"/>
          <w:szCs w:val="20"/>
          <w:color w:val="121212"/>
        </w:rPr>
        <w:t>has served as a member of our board of directors since September 2021. Dr. Ashiya is currently a</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Partner at OrbiMed Advisors LLC, an investment firm, where she has been employed since October 2010. Dr. Ashiya currently serves on the board of directors of several private companies. Dr. Ashiya also previously served on the board of directors of Prevail Therapeutics Inc. (Nasdaq: PRVL), from October 2017 to March 2019, and Sierra Oncology, Inc. (Nasdaq: SRRA), from November 2019 to July 2022. Dr. Ashiya received her B.A. from the University of California, Berkeley and her Ph.D. in Cellular, Molecular and Developmental Biology from the University of Pittsburgh. Dr. Ashiya is qualified to serve on our board of directors based on her roles on public and private boards of directors as well as her extensive experience in investing in healthcare companies.</w:t>
      </w:r>
    </w:p>
    <w:p>
      <w:pPr>
        <w:spacing w:after="0" w:line="8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Kevin Bitterman, Ph.D. </w:t>
      </w:r>
      <w:r>
        <w:rPr>
          <w:rFonts w:ascii="Times New Roman" w:cs="Times New Roman" w:eastAsia="Times New Roman" w:hAnsi="Times New Roman"/>
          <w:sz w:val="20"/>
          <w:szCs w:val="20"/>
          <w:color w:val="121212"/>
        </w:rPr>
        <w:t>has served as a member of our board of directors since November 2017. Dr. Bitterman currently</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serves as a partner at venture firm Atlas Venture Life Science Advisors, LLC, or Atlas, a venture capital firm, where he has been employed since June 2017 and where he focuses on investments in life science companies. Prior to joining Atlas, Dr. Bitterman was a partner at Polaris Partners, an investment firm, as a member of the healthcare team from July 2004 to May 2017. Dr. Bitterman serves on the boards of Resonance Medicine, Nvelop Therapeutics, Judo Bio, Kinaset Therapeutics, Mariana Oncology, and Remix Therapeutics. He is board chair at Chroma Medicine and at Vedere Bio II following Novartis’ acquisition of Vedere Bio. Dr. Bitterman was the founding CEO of Editas Medicine (Nasdaq: EDIT), Morphic Therapeutics (Nasdaq: MORF) and Wisterra (acquired by Otsuka), and co-founded Genocea Biosciences (Nasdaq: GNCA). Dr. Bitterman previously served as a director of Akero Therapeutics, Inc. (Nasdaq: AKRO), Kala Pharmaceuticals, Inc. (Nasdaq: KALA) and Taris Biomedical (acquired by Johnson &amp; Johnson) among other ventures. Dr. Bitterman also serves as board chair of the New England Venture Capital Association. Dr. Bitterman received a B.A. in biology from Rutgers College and a Ph.D. in genetics from Harvard Medical School. Dr. Bitterman is qualified to serve on our board of directors due to his extensive experience investing in, guiding, and leading start-up and early phase companies, as well as his experience as a director of other companies.</w:t>
      </w:r>
    </w:p>
    <w:p>
      <w:pPr>
        <w:spacing w:after="0" w:line="83"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Mark Chin, M.S., M.B.A. </w:t>
      </w:r>
      <w:r>
        <w:rPr>
          <w:rFonts w:ascii="Times New Roman" w:cs="Times New Roman" w:eastAsia="Times New Roman" w:hAnsi="Times New Roman"/>
          <w:sz w:val="20"/>
          <w:szCs w:val="20"/>
          <w:color w:val="121212"/>
        </w:rPr>
        <w:t>has served as a member of our board of directors since September 2021. Mr. Chin has served as</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partner at Avoro Capital, a biotechnology -focused investment firm, since November 2023. From April 2020 to November 2023 and August 2016 to April 2020, Mr. Chin served as a managing director and, an investment director, respectively, at Arix</w:t>
      </w:r>
    </w:p>
    <w:p>
      <w:pPr>
        <w:sectPr>
          <w:pgSz w:w="12240" w:h="15840" w:orient="portrait"/>
          <w:cols w:equalWidth="0" w:num="1">
            <w:col w:w="10440"/>
          </w:cols>
          <w:pgMar w:left="900" w:top="930" w:right="900" w:bottom="175"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136</w:t>
      </w:r>
    </w:p>
    <w:p>
      <w:pPr>
        <w:sectPr>
          <w:pgSz w:w="12240" w:h="15840" w:orient="portrait"/>
          <w:cols w:equalWidth="0" w:num="1">
            <w:col w:w="10440"/>
          </w:cols>
          <w:pgMar w:left="900" w:top="930" w:right="900" w:bottom="175" w:gutter="0" w:footer="0" w:header="0"/>
          <w:type w:val="continuous"/>
        </w:sectPr>
      </w:pPr>
    </w:p>
    <w:bookmarkStart w:id="146" w:name="page147"/>
    <w:bookmarkEnd w:id="146"/>
    <w:p>
      <w:pPr>
        <w:ind w:right="20"/>
        <w:spacing w:after="0" w:line="243" w:lineRule="auto"/>
        <w:rPr>
          <w:sz w:val="20"/>
          <w:szCs w:val="20"/>
          <w:color w:val="auto"/>
        </w:rPr>
      </w:pPr>
      <w:r>
        <w:rPr>
          <w:rFonts w:ascii="Times New Roman" w:cs="Times New Roman" w:eastAsia="Times New Roman" w:hAnsi="Times New Roman"/>
          <w:sz w:val="20"/>
          <w:szCs w:val="20"/>
          <w:color w:val="121212"/>
        </w:rPr>
        <w:t>Bioscience PLC, or Arix Bioscience, a biotechnology-focused venture capital firm. Prior to Arix Bioscience, Mr. Chin was a principal at Longitude Capital, a healthcare venture capital firm, from September 2012 to August 2016, where he focused on investments in both private and public biotechnology and medical technology companies. Prior to Longitude Capital, Mr. Chin was a consultant at the Boston Consulting Group, a global management consulting firm, from January 2011 to September 2012, where he managed strategy and corporate development projects for pharmaceutical and biotechnology companies, and prior to Boston Consulting Group, he worked in corporate development at Gilead Sciences, a biotechnology company, and in market planning at Genentech, a biotechnology company. Mr. Chin currently serves as a member of the boards of directors of Imara Inc. (Nasdaq: IMRA) and a number of private biotechnology companies. Mr. Chin received a B.S. from the University of California at San Diego, a M.S. from the University of Pennsylvania, and a M.B.A. from The Wharton School at the University of Pennsylvania. We believe Mr. Chin is qualified to serve on our board of directors based on his extensive experience investing in, guiding, and leading start-up and early phase companies, as well as his experience as a director of other companies.</w:t>
      </w:r>
    </w:p>
    <w:p>
      <w:pPr>
        <w:spacing w:after="0" w:line="8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Georges Gemayel, Ph.D. </w:t>
      </w:r>
      <w:r>
        <w:rPr>
          <w:rFonts w:ascii="Times New Roman" w:cs="Times New Roman" w:eastAsia="Times New Roman" w:hAnsi="Times New Roman"/>
          <w:sz w:val="20"/>
          <w:szCs w:val="20"/>
          <w:color w:val="121212"/>
        </w:rPr>
        <w:t>has served as a member of our board of directors since December 2022. Prior to that, Dr. Gemayel</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served as Gemini Therapeutics’ Interim President and Chief Executive Officer from February 2022 to December 2022, Executive Chairperson of the Board from November 2021 to December 2022 and Chairperson of the Board from May 2021 to November 2021. Dr. Gemayel has over 30 years of experience in the pharmaceutical industry, including management and executive positions in the U.S., Europe and the Middle East. Dr. Gemayel currently serves on the board of directors of Supernus Pharmaceuticals, Inc., and is the chair of the boards of Flamingo, Enterome SA, and GlycoEra. Previously, Dr. Gemayel served as Executive Chair of FoldRx Pharmaceuticals and of Syndexa Pharmaceuticals, as Chair of Oxthera AB, Dimension Therapeutics, Orphazyme A/S, Epitherapeutics and Dynacure, and as Director of Prosensa, Raptor Pharmaceuticals, NPS Pharma, Momenta Pharmaceuticals and Adolor. From 2008 to 2009, Dr. Gemayel was President and Chief Executive Officer of Altus Pharmaceuticals Inc., a publicly traded pharmaceutical company. From 2003 to 2008, Dr. Gemayel was Executive Vice President at Genzyme Corporation where he was responsible for the company’s global therapeutics, transplant, renal and biosurgery businesses. From 1998 to 2003, Dr. Gemayel held progressively senior roles at Hoffmann Ltd. and Roche Labs, most recently as Vice President, National Specialty Care, responsible for its U.S. business for dermatology, oncology, transplantation, hepatitis and HIV. Dr. Gemayel completed his doctorate in pharmacy at St. Joseph University in Beirut, Lebanon, and earned a Ph.D. in pharmacology at University in Paris, France. Our board of directors has concluded that Dr. Gemayel possesses the expertise and extensive professional experience and knowledge that qualifies him to serve as a member of our board.</w:t>
      </w:r>
    </w:p>
    <w:p>
      <w:pPr>
        <w:spacing w:after="0" w:line="9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Liam Ratcliffe, M.D., Ph.D. </w:t>
      </w:r>
      <w:r>
        <w:rPr>
          <w:rFonts w:ascii="Times New Roman" w:cs="Times New Roman" w:eastAsia="Times New Roman" w:hAnsi="Times New Roman"/>
          <w:sz w:val="20"/>
          <w:szCs w:val="20"/>
          <w:color w:val="121212"/>
        </w:rPr>
        <w:t>has served as a member of our board of directors since September 2019. Dr. Ratcliffe has</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served as Head of Biotechnology at Access Industries, a privately held industrial group, since April 2019. Previously, Dr. Ratcliffe spent 10 years at New Leaf Venture Partners, a venture capital firm, from September 2008 through March 2019, culminating his career there as Managing Director, where he focused on investing in therapeutic and therapeutic platform companies. Prior to joining New Leaf Venture Partners, Dr. Ratcliffe was Worldwide Head of Clinical Research and Development at Pfizer Inc. (Nasdaq: PFE), where he spent 12 years of his career. Dr. Ratcliffe currently serves as a member of the boards of directors of Arvinas Inc. (Nasdaq: ARVN) since October 2015, Passage Bio Inc. (Nasdaq: PASG) since September 2019, Recludix Pharma, Inc. since December 2019, and Eliem Therapeutics Inc. (Nasdaq: ELYM) since October 2019. Previously, Dr. Ratcliffe served as a board member at Edge Therapeutics, Inc. (now PDS Biotechnology Corp., Nasdaq: PDSB) from October 2015 to November 2018, Unum Therapeutics Inc. (formerly listed on Nasdaq) from March 2018 to April 2019, Deciphera Pharmaceuticals Inc. (Nasdaq: DCPH) from September 2017 to March 2019, Aptinyx Inc. (Nasdaq: APTX) from June 2018 to April 2019, and RallyBio Corporation (Nasdaq: RLYB) from April 2018 to March 2019. Dr. Ratcliffe received a M.B.Ch.B. and a Ph.D. in immunology from University of Cape Town and an M.B.A. from the University of Michigan. Dr. Ratcliffe is qualified to serve on our board of directors because of his extensive clinical development and venture capital experience in the life sciences industry.</w:t>
      </w:r>
    </w:p>
    <w:p>
      <w:pPr>
        <w:spacing w:after="0" w:line="9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b w:val="1"/>
          <w:bCs w:val="1"/>
          <w:i w:val="1"/>
          <w:iCs w:val="1"/>
          <w:color w:val="121212"/>
        </w:rPr>
        <w:t xml:space="preserve">William White, M.P.P., J.D., </w:t>
      </w:r>
      <w:r>
        <w:rPr>
          <w:rFonts w:ascii="Times New Roman" w:cs="Times New Roman" w:eastAsia="Times New Roman" w:hAnsi="Times New Roman"/>
          <w:sz w:val="20"/>
          <w:szCs w:val="20"/>
          <w:color w:val="121212"/>
        </w:rPr>
        <w:t>has served as a member of our board of directors since December 2020. Mr. White has served</w:t>
      </w:r>
      <w:r>
        <w:rPr>
          <w:rFonts w:ascii="Times New Roman" w:cs="Times New Roman" w:eastAsia="Times New Roman" w:hAnsi="Times New Roman"/>
          <w:sz w:val="20"/>
          <w:szCs w:val="20"/>
          <w:b w:val="1"/>
          <w:bCs w:val="1"/>
          <w:i w:val="1"/>
          <w:iCs w:val="1"/>
          <w:color w:val="121212"/>
        </w:rPr>
        <w:t xml:space="preserve"> </w:t>
      </w:r>
      <w:r>
        <w:rPr>
          <w:rFonts w:ascii="Times New Roman" w:cs="Times New Roman" w:eastAsia="Times New Roman" w:hAnsi="Times New Roman"/>
          <w:sz w:val="20"/>
          <w:szCs w:val="20"/>
          <w:color w:val="121212"/>
        </w:rPr>
        <w:t>as the Executive Vice President, Chief Financial Officer and Head of Corporate Development and Treasurer at Akero Therapeutics, Inc. (Nasdaq: AKRO), a biotechnology company, since April 2019. Previously, Mr. White served as a Managing Director and Head of US Life Sciences Investment Banking at Deutsche Bank, a financial service provider, from September 2017 to March 2019. Prior to that, Mr. White was a Managing Director in Healthcare Investment Banking at Citigroup from May 2006 to September 2017. Previously, Mr. White served as an associate and later as a Vice President in Healthcare Investment Banking at Goldman, Sachs &amp; Co. from November 2000 to March 2006. Mr. White also serves as a member of the board of directors and Chair of the Audit Committee of Ventyx Bioscience (Nasdaq: VTYX). Mr. White received an A.B. from Princeton University, an M.P.P. from Harvard University and a J.D. from Columbia University. Mr. White is qualified to serve on our board of directors because of his extensive financial and investment experience in the life sciences industry.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Corporate Governance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Corporate Governance Guidelines</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137</w:t>
      </w:r>
    </w:p>
    <w:p>
      <w:pPr>
        <w:sectPr>
          <w:pgSz w:w="12240" w:h="15840" w:orient="portrait"/>
          <w:cols w:equalWidth="0" w:num="1">
            <w:col w:w="10440"/>
          </w:cols>
          <w:pgMar w:left="900" w:top="930" w:right="900" w:bottom="175" w:gutter="0" w:footer="0" w:header="0"/>
          <w:type w:val="continuous"/>
        </w:sectPr>
      </w:pPr>
    </w:p>
    <w:bookmarkStart w:id="147" w:name="page148"/>
    <w:bookmarkEnd w:id="147"/>
    <w:p>
      <w:pPr>
        <w:ind w:right="60" w:firstLine="490"/>
        <w:spacing w:after="0" w:line="258" w:lineRule="auto"/>
        <w:rPr>
          <w:sz w:val="20"/>
          <w:szCs w:val="20"/>
          <w:color w:val="auto"/>
        </w:rPr>
      </w:pPr>
      <w:r>
        <w:rPr>
          <w:rFonts w:ascii="Times New Roman" w:cs="Times New Roman" w:eastAsia="Times New Roman" w:hAnsi="Times New Roman"/>
          <w:sz w:val="20"/>
          <w:szCs w:val="20"/>
          <w:color w:val="121212"/>
        </w:rPr>
        <w:t>Our corporate governance guidelines assist our board of directors in the exercise of its duties and responsibilities and to serve the best interests of our company and our stockholders. These guidelines, which provide a framework for the conduct of our board’s business, provide that:</w:t>
      </w:r>
    </w:p>
    <w:p>
      <w:pPr>
        <w:spacing w:after="0" w:line="83" w:lineRule="exact"/>
        <w:rPr>
          <w:sz w:val="20"/>
          <w:szCs w:val="20"/>
          <w:color w:val="auto"/>
        </w:rPr>
      </w:pPr>
    </w:p>
    <w:p>
      <w:pPr>
        <w:ind w:left="720" w:hanging="367"/>
        <w:spacing w:after="0"/>
        <w:tabs>
          <w:tab w:leader="none" w:pos="720" w:val="left"/>
        </w:tabs>
        <w:numPr>
          <w:ilvl w:val="0"/>
          <w:numId w:val="58"/>
        </w:numPr>
        <w:rPr>
          <w:rFonts w:ascii="Arial" w:cs="Arial" w:eastAsia="Arial" w:hAnsi="Arial"/>
          <w:sz w:val="20"/>
          <w:szCs w:val="20"/>
          <w:color w:val="121212"/>
        </w:rPr>
      </w:pPr>
      <w:r>
        <w:rPr>
          <w:rFonts w:ascii="Times New Roman" w:cs="Times New Roman" w:eastAsia="Times New Roman" w:hAnsi="Times New Roman"/>
          <w:sz w:val="20"/>
          <w:szCs w:val="20"/>
          <w:color w:val="121212"/>
        </w:rPr>
        <w:t>the principal responsibility of the directors is to oversee our management;</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8"/>
        </w:numPr>
        <w:rPr>
          <w:rFonts w:ascii="Arial" w:cs="Arial" w:eastAsia="Arial" w:hAnsi="Arial"/>
          <w:sz w:val="20"/>
          <w:szCs w:val="20"/>
          <w:color w:val="121212"/>
        </w:rPr>
      </w:pPr>
      <w:r>
        <w:rPr>
          <w:rFonts w:ascii="Times New Roman" w:cs="Times New Roman" w:eastAsia="Times New Roman" w:hAnsi="Times New Roman"/>
          <w:sz w:val="20"/>
          <w:szCs w:val="20"/>
          <w:color w:val="121212"/>
        </w:rPr>
        <w:t>a majority of the members of the board shall be independent directors, unless otherwise permitted by Nasdaq rules;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8"/>
        </w:numPr>
        <w:rPr>
          <w:rFonts w:ascii="Arial" w:cs="Arial" w:eastAsia="Arial" w:hAnsi="Arial"/>
          <w:sz w:val="20"/>
          <w:szCs w:val="20"/>
          <w:color w:val="121212"/>
        </w:rPr>
      </w:pPr>
      <w:r>
        <w:rPr>
          <w:rFonts w:ascii="Times New Roman" w:cs="Times New Roman" w:eastAsia="Times New Roman" w:hAnsi="Times New Roman"/>
          <w:sz w:val="20"/>
          <w:szCs w:val="20"/>
          <w:color w:val="121212"/>
        </w:rPr>
        <w:t>the independent directors meet at least once a year;</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8"/>
        </w:numPr>
        <w:rPr>
          <w:rFonts w:ascii="Arial" w:cs="Arial" w:eastAsia="Arial" w:hAnsi="Arial"/>
          <w:sz w:val="20"/>
          <w:szCs w:val="20"/>
          <w:color w:val="121212"/>
        </w:rPr>
      </w:pPr>
      <w:r>
        <w:rPr>
          <w:rFonts w:ascii="Times New Roman" w:cs="Times New Roman" w:eastAsia="Times New Roman" w:hAnsi="Times New Roman"/>
          <w:sz w:val="20"/>
          <w:szCs w:val="20"/>
          <w:color w:val="121212"/>
        </w:rPr>
        <w:t>directors have full and free access to management and, as necessary and appropriate, independent advisors; and</w:t>
      </w:r>
    </w:p>
    <w:p>
      <w:pPr>
        <w:spacing w:after="0" w:line="133" w:lineRule="exact"/>
        <w:rPr>
          <w:rFonts w:ascii="Arial" w:cs="Arial" w:eastAsia="Arial" w:hAnsi="Arial"/>
          <w:sz w:val="20"/>
          <w:szCs w:val="20"/>
          <w:color w:val="121212"/>
        </w:rPr>
      </w:pPr>
    </w:p>
    <w:p>
      <w:pPr>
        <w:ind w:left="720" w:right="200" w:hanging="367"/>
        <w:spacing w:after="0" w:line="276" w:lineRule="auto"/>
        <w:tabs>
          <w:tab w:leader="none" w:pos="720" w:val="left"/>
        </w:tabs>
        <w:numPr>
          <w:ilvl w:val="0"/>
          <w:numId w:val="58"/>
        </w:numPr>
        <w:rPr>
          <w:rFonts w:ascii="Arial" w:cs="Arial" w:eastAsia="Arial" w:hAnsi="Arial"/>
          <w:sz w:val="20"/>
          <w:szCs w:val="20"/>
          <w:color w:val="121212"/>
        </w:rPr>
      </w:pPr>
      <w:r>
        <w:rPr>
          <w:rFonts w:ascii="Times New Roman" w:cs="Times New Roman" w:eastAsia="Times New Roman" w:hAnsi="Times New Roman"/>
          <w:sz w:val="20"/>
          <w:szCs w:val="20"/>
          <w:color w:val="121212"/>
        </w:rPr>
        <w:t>at least annually, the nominating and corporate governance committee oversees a self-evaluation by the board to assess the effectiveness of the board and its committees.</w:t>
      </w:r>
    </w:p>
    <w:p>
      <w:pPr>
        <w:spacing w:after="0" w:line="50"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121212"/>
        </w:rPr>
        <w:t>Our board of directors is responsible for managing or supervising the management of our business and affairs. This includes appointing our chief executive officer, advising management on strategic issues, approving our business and other plans and monitoring our performance against those plans and against our operating and capital budgets. In addition, our board of directors also receives and considers recommendations from our various committees with respect to matters such as the following:</w:t>
      </w:r>
    </w:p>
    <w:p>
      <w:pPr>
        <w:spacing w:after="0" w:line="71" w:lineRule="exact"/>
        <w:rPr>
          <w:sz w:val="20"/>
          <w:szCs w:val="20"/>
          <w:color w:val="auto"/>
        </w:rPr>
      </w:pPr>
    </w:p>
    <w:p>
      <w:pPr>
        <w:ind w:left="720" w:hanging="367"/>
        <w:spacing w:after="0"/>
        <w:tabs>
          <w:tab w:leader="none" w:pos="720" w:val="left"/>
        </w:tabs>
        <w:numPr>
          <w:ilvl w:val="0"/>
          <w:numId w:val="59"/>
        </w:numPr>
        <w:rPr>
          <w:rFonts w:ascii="Arial" w:cs="Arial" w:eastAsia="Arial" w:hAnsi="Arial"/>
          <w:sz w:val="20"/>
          <w:szCs w:val="20"/>
          <w:color w:val="121212"/>
        </w:rPr>
      </w:pPr>
      <w:r>
        <w:rPr>
          <w:rFonts w:ascii="Times New Roman" w:cs="Times New Roman" w:eastAsia="Times New Roman" w:hAnsi="Times New Roman"/>
          <w:sz w:val="20"/>
          <w:szCs w:val="20"/>
          <w:color w:val="121212"/>
        </w:rPr>
        <w:t>the compensation of our directors;</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9"/>
        </w:numPr>
        <w:rPr>
          <w:rFonts w:ascii="Arial" w:cs="Arial" w:eastAsia="Arial" w:hAnsi="Arial"/>
          <w:sz w:val="20"/>
          <w:szCs w:val="20"/>
          <w:color w:val="121212"/>
        </w:rPr>
      </w:pPr>
      <w:r>
        <w:rPr>
          <w:rFonts w:ascii="Times New Roman" w:cs="Times New Roman" w:eastAsia="Times New Roman" w:hAnsi="Times New Roman"/>
          <w:sz w:val="20"/>
          <w:szCs w:val="20"/>
          <w:color w:val="121212"/>
        </w:rPr>
        <w:t>criteria for board and committee membership;</w:t>
      </w:r>
    </w:p>
    <w:p>
      <w:pPr>
        <w:spacing w:after="0" w:line="133" w:lineRule="exact"/>
        <w:rPr>
          <w:rFonts w:ascii="Arial" w:cs="Arial" w:eastAsia="Arial" w:hAnsi="Arial"/>
          <w:sz w:val="20"/>
          <w:szCs w:val="20"/>
          <w:color w:val="121212"/>
        </w:rPr>
      </w:pPr>
    </w:p>
    <w:p>
      <w:pPr>
        <w:ind w:left="720" w:hanging="367"/>
        <w:spacing w:after="0"/>
        <w:tabs>
          <w:tab w:leader="none" w:pos="720" w:val="left"/>
        </w:tabs>
        <w:numPr>
          <w:ilvl w:val="0"/>
          <w:numId w:val="59"/>
        </w:numPr>
        <w:rPr>
          <w:rFonts w:ascii="Arial" w:cs="Arial" w:eastAsia="Arial" w:hAnsi="Arial"/>
          <w:sz w:val="20"/>
          <w:szCs w:val="20"/>
          <w:color w:val="121212"/>
        </w:rPr>
      </w:pPr>
      <w:r>
        <w:rPr>
          <w:rFonts w:ascii="Times New Roman" w:cs="Times New Roman" w:eastAsia="Times New Roman" w:hAnsi="Times New Roman"/>
          <w:sz w:val="20"/>
          <w:szCs w:val="20"/>
          <w:color w:val="121212"/>
        </w:rPr>
        <w:t>persons to be nominated for election as directors and to each of the board of director’s committees; and</w:t>
      </w:r>
    </w:p>
    <w:p>
      <w:pPr>
        <w:spacing w:after="0" w:line="133" w:lineRule="exact"/>
        <w:rPr>
          <w:rFonts w:ascii="Arial" w:cs="Arial" w:eastAsia="Arial" w:hAnsi="Arial"/>
          <w:sz w:val="20"/>
          <w:szCs w:val="20"/>
          <w:color w:val="121212"/>
        </w:rPr>
      </w:pPr>
    </w:p>
    <w:p>
      <w:pPr>
        <w:ind w:left="720" w:right="180" w:hanging="367"/>
        <w:spacing w:after="0" w:line="276" w:lineRule="auto"/>
        <w:tabs>
          <w:tab w:leader="none" w:pos="720" w:val="left"/>
        </w:tabs>
        <w:numPr>
          <w:ilvl w:val="0"/>
          <w:numId w:val="59"/>
        </w:numPr>
        <w:rPr>
          <w:rFonts w:ascii="Arial" w:cs="Arial" w:eastAsia="Arial" w:hAnsi="Arial"/>
          <w:sz w:val="20"/>
          <w:szCs w:val="20"/>
          <w:color w:val="121212"/>
        </w:rPr>
      </w:pPr>
      <w:r>
        <w:rPr>
          <w:rFonts w:ascii="Times New Roman" w:cs="Times New Roman" w:eastAsia="Times New Roman" w:hAnsi="Times New Roman"/>
          <w:sz w:val="20"/>
          <w:szCs w:val="20"/>
          <w:color w:val="121212"/>
        </w:rPr>
        <w:t>matters relating to our code of business conduct and ethics and corporate governance guidelines. Our board of directors does not have a written mandate.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Code of Business Conduct and Ethics</w:t>
      </w:r>
    </w:p>
    <w:p>
      <w:pPr>
        <w:spacing w:after="0" w:line="12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21212"/>
        </w:rPr>
        <w:t xml:space="preserve">We have also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“Investors &amp; Media— Corporate Governance” section of our website, which is located at </w:t>
      </w:r>
      <w:r>
        <w:rPr>
          <w:rFonts w:ascii="Times New Roman" w:cs="Times New Roman" w:eastAsia="Times New Roman" w:hAnsi="Times New Roman"/>
          <w:sz w:val="20"/>
          <w:szCs w:val="20"/>
          <w:b w:val="1"/>
          <w:bCs w:val="1"/>
          <w:i w:val="1"/>
          <w:iCs w:val="1"/>
          <w:color w:val="121212"/>
        </w:rPr>
        <w:t>www.discmedicine.com</w:t>
      </w:r>
      <w:r>
        <w:rPr>
          <w:rFonts w:ascii="Times New Roman" w:cs="Times New Roman" w:eastAsia="Times New Roman" w:hAnsi="Times New Roman"/>
          <w:sz w:val="20"/>
          <w:szCs w:val="20"/>
          <w:color w:val="121212"/>
        </w:rPr>
        <w:t>. If we make any substantive amendments to, or grant any waivers from, the code of business conduct and ethics for any officer or director, we will disclose the nature of such amendment or waiver on our website or in a Current Report on Form 8-K to be filed with the SEC. Employees are required to annually certify compliance with the code.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Determination of Independence</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Our common stock is listed on The Nasdaq Global Market, or Nasdaq.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 3 under the Securities Exchange Act of 1934, as amended, or the Exchange Act, and compensation committee members must also satisfy the independence criteria set forth in Rule 10C 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121212"/>
        </w:rPr>
        <w:t>In order to be considered independent for purposes of Rule 10A 3 under the Exchange Act,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other than compensation for board of directors service; or (2) be an affiliated person of the listed company or any of its subsidiaries. In order to be considered independent for purposes of Rule 10C 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82"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121212"/>
        </w:rPr>
        <w:t>Our board of directors has determined that each of our directors, with the exception of Dr. Quisel, who serves as our Chief Executive Officer, and Georges Gemayel, who served as the chief executive officer of Gemini prior to our merger with Gemini, is an “independent director” within the meaning of the director independence standards established by the SEC and Nasdaq. Our</w:t>
      </w:r>
    </w:p>
    <w:p>
      <w:pPr>
        <w:sectPr>
          <w:pgSz w:w="12240" w:h="15840" w:orient="portrait"/>
          <w:cols w:equalWidth="0" w:num="1">
            <w:col w:w="10440"/>
          </w:cols>
          <w:pgMar w:left="900" w:top="930" w:right="900" w:bottom="175"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138</w:t>
      </w:r>
    </w:p>
    <w:p>
      <w:pPr>
        <w:sectPr>
          <w:pgSz w:w="12240" w:h="15840" w:orient="portrait"/>
          <w:cols w:equalWidth="0" w:num="1">
            <w:col w:w="10440"/>
          </w:cols>
          <w:pgMar w:left="900" w:top="930" w:right="900" w:bottom="175" w:gutter="0" w:footer="0" w:header="0"/>
          <w:type w:val="continuous"/>
        </w:sectPr>
      </w:pPr>
    </w:p>
    <w:bookmarkStart w:id="148" w:name="page149"/>
    <w:bookmarkEnd w:id="148"/>
    <w:p>
      <w:pPr>
        <w:ind w:right="60"/>
        <w:spacing w:after="0" w:line="246" w:lineRule="auto"/>
        <w:rPr>
          <w:sz w:val="20"/>
          <w:szCs w:val="20"/>
          <w:color w:val="auto"/>
        </w:rPr>
      </w:pPr>
      <w:r>
        <w:rPr>
          <w:rFonts w:ascii="Times New Roman" w:cs="Times New Roman" w:eastAsia="Times New Roman" w:hAnsi="Times New Roman"/>
          <w:sz w:val="20"/>
          <w:szCs w:val="20"/>
          <w:color w:val="121212"/>
        </w:rPr>
        <w:t>board of directors also determined that Mark Chin, Liam Ratcliffe and William White who comprise our audit committee, Mona Ashiya, Kevin Bitterman and Donald Nicholson, who comprise our compensation committee, and Mona Ashiya, Kevin Bitterman, Donald Nicholson and Liam Ratcliffe, who comprise our nominating and corporate governance committee, satisfy the independence standards for such committees established by the SEC and Nasdaq, as applicable. In making such determinations, our board of directors evaluated, and will evaluate at least on an annual basis, all relationships that each such non-employee director has with our company in light of all facts and circumstances our board of directors deemed relevant in determining independence, including the beneficial ownership of our capital stock by each non-employee director.</w:t>
      </w:r>
    </w:p>
    <w:p>
      <w:pPr>
        <w:spacing w:after="0" w:line="8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121212"/>
        </w:rPr>
        <w:t>The non-management directors meet at regularly scheduled executive sessions without management participation, and at least once each year an executive session with only independent directors present is held. In 2023, there were four executive sessions at which only the independent directors were present.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Board Self-Assessment; Director Candidates; and Criteria</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21212"/>
        </w:rPr>
        <w:t>Our board of directors performs an annual self-assessment. During this self-assessment, the board of directors considers many factors, including, but not limited to, the expertise of existing board of director members and the expertise of directors we need in our transition from a clinical development stage company to becoming a commercial enterprise. The board of director’s annual self-assessment is conducted by a survey in which each director is asked to comment on the effectiveness and contribution of the board of directors as a whole.</w:t>
      </w:r>
    </w:p>
    <w:p>
      <w:pPr>
        <w:spacing w:after="0" w:line="7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121212"/>
        </w:rPr>
        <w:t>Our board of directors is responsible for selecting its own members. The board of directors delegates the selection and nomination process to our nominating and corporate governance committee, with the expectation that other members of the board of directors, and of management, will be requested to take part in the process as appropriate.</w:t>
      </w:r>
    </w:p>
    <w:p>
      <w:pPr>
        <w:spacing w:after="0" w:line="6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121212"/>
        </w:rPr>
        <w:t>Our nominating and corporate governance committee identifies candidates for director nominees in consultation with management, through the use of independent director search firms, through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the minimum qualifications for director nominees set forth in the nominating and corporate governance committee charter. These criteria include, among other things, the skills of the candidate, his or her depth and breadth of business experience and other background characteristics, his or her independence and the needs of the board of directors.</w:t>
      </w:r>
    </w:p>
    <w:p>
      <w:pPr>
        <w:spacing w:after="0" w:line="7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121212"/>
        </w:rPr>
        <w:t>The nominating and corporate governance committee may gather information about the candidates through questionnaires or background checks to evaluate biographical information and background material relating to potential candidates, and interviews of selected candidates by members of the committee and our board of directors.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as nominees for election to the board of directors.</w:t>
      </w:r>
    </w:p>
    <w:p>
      <w:pPr>
        <w:spacing w:after="0" w:line="80"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121212"/>
        </w:rPr>
        <w:t>The board of directors does not believe that limits on the number of consecutive terms a director may serve or on the directors’ ages are appropriate for the company at this time. Instead, each director’s performance and their continued service is assessed by the nominating and corporate governance committee in light of the needs of the board of directors and other relevant factors.</w:t>
      </w:r>
    </w:p>
    <w:p>
      <w:pPr>
        <w:spacing w:after="0" w:line="7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121212"/>
        </w:rPr>
        <w:t>Stockholders may recommend individuals to our nominating and corporate governance committee for consideration as potential director candidates by providing timely notice and meeting the other requirements set forth in our by-laws, including our advanced notice provision, and the rules and regulations of the SEC. Assuming such requirements have been met, the nominating and corporate governance committee will evaluate stockholder-recommended candidates by following substantially the same process, and applying substantially the same criteria, as it follows for candidates submitted by others. If the board of directors determines to nominate a stockholder-recommended candidate and recommends his or her election, then his or her name will be included in our proxy card for the next annual meeting.</w:t>
      </w:r>
    </w:p>
    <w:p>
      <w:pPr>
        <w:spacing w:after="0" w:line="80"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19"/>
          <w:szCs w:val="19"/>
          <w:color w:val="121212"/>
        </w:rPr>
        <w:t>The company conducts an orientation program for each new director, which generally includes conversations with individual members of management. The orientation is designed to familiarize the new director with the company’s business and strategic plans, key policies and practices, principal officers and management structure, auditing and compliance processes and its code of business conduct and ethics. New directors have access to historical published information about the company, its articles and by-laws, the corporate governance guidelines and the charters of the board of director’s committees and other relevant information. The nominating and corporate governance committee is responsible for providing materials or briefing sessions for continuing directors on topics that will assist them in discharging their duties. In addition, management makes regular presentations to the board of directors on the main areas of the company’s business and new developments in the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Communication from Stockholders</w:t>
      </w:r>
    </w:p>
    <w:p>
      <w:pPr>
        <w:sectPr>
          <w:pgSz w:w="12240" w:h="15840" w:orient="portrait"/>
          <w:cols w:equalWidth="0" w:num="1">
            <w:col w:w="10400"/>
          </w:cols>
          <w:pgMar w:left="900" w:top="930" w:right="940" w:bottom="175" w:gutter="0" w:footer="0" w:header="0"/>
        </w:sect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21212"/>
        </w:rPr>
        <w:t>139</w:t>
      </w:r>
    </w:p>
    <w:p>
      <w:pPr>
        <w:sectPr>
          <w:pgSz w:w="12240" w:h="15840" w:orient="portrait"/>
          <w:cols w:equalWidth="0" w:num="1">
            <w:col w:w="10400"/>
          </w:cols>
          <w:pgMar w:left="900" w:top="930" w:right="940" w:bottom="175" w:gutter="0" w:footer="0" w:header="0"/>
          <w:type w:val="continuous"/>
        </w:sectPr>
      </w:pPr>
    </w:p>
    <w:bookmarkStart w:id="149" w:name="page150"/>
    <w:bookmarkEnd w:id="149"/>
    <w:p>
      <w:pPr>
        <w:ind w:right="20" w:firstLine="490"/>
        <w:spacing w:after="0" w:line="258" w:lineRule="auto"/>
        <w:rPr>
          <w:sz w:val="20"/>
          <w:szCs w:val="20"/>
          <w:color w:val="auto"/>
        </w:rPr>
      </w:pPr>
      <w:r>
        <w:rPr>
          <w:rFonts w:ascii="Times New Roman" w:cs="Times New Roman" w:eastAsia="Times New Roman" w:hAnsi="Times New Roman"/>
          <w:sz w:val="20"/>
          <w:szCs w:val="20"/>
          <w:color w:val="121212"/>
        </w:rPr>
        <w:t>The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68"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121212"/>
        </w:rPr>
        <w:t>Communications are forwarded to all directors if they relate to important substantive matters and include suggestions or comments that the chairman of the board of directors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Composition of the Board of Directors</w:t>
      </w:r>
    </w:p>
    <w:p>
      <w:pPr>
        <w:spacing w:after="0" w:line="124"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121212"/>
        </w:rPr>
        <w:t>Our board of directors currently consists of eight members, divided into three staggered classes, with one class to be elected at each annual meeting to serve for a three-year term.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Board Diversity</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121212"/>
        </w:rPr>
        <w:t>Our nominating and corporate governance committee has a written board diversity policy and believes that our board of directors, taken as a whole, should embody a diverse set of skills, experience, knowledge and backgrounds, including an appropriate number of women directors. The board of directors has not adopted targets for the number or proportion of directors who are female or other designated groups, as the company is committed to a merit-based system for board composition, which reflects a diverse and inclusive culture where directors believe that their views are heard, their concerns are attended to and they serve in an environment where bias, discrimination and harassment on any matter are not tolerated. When identifying suitable candidates for appointment to the board of directors, the company considers candidates on merit against objective criteria and the needs of the board of directors. When recruiting new candidates for appointment, search protocols will go beyond the networks of existing board of director members and will incorporate diversity, including identification of female candidates, as a component. Any search firm engaged to assist the board of directors or the nominating and corporate governance committee in identifying candidates for appointment to the board of directors shall be directed to include women candidates and women candidates will be included in the board of director’s evergreen list of potential board of director nominees.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The below board diversity matrix reports self-identified diversity statistics for the board of directors.</w:t>
      </w:r>
    </w:p>
    <w:p>
      <w:pPr>
        <w:spacing w:after="0" w:line="1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121212"/>
        </w:rPr>
        <w:t>Board Diversity Matrix (As of February 29, 2024)</w:t>
      </w:r>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4300" w:type="dxa"/>
            <w:vAlign w:val="bottom"/>
            <w:tcBorders>
              <w:top w:val="single" w:sz="8" w:color="121212"/>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b w:val="1"/>
                <w:bCs w:val="1"/>
                <w:color w:val="121212"/>
              </w:rPr>
              <w:t>Total Number of Directors</w:t>
            </w:r>
          </w:p>
        </w:tc>
        <w:tc>
          <w:tcPr>
            <w:tcW w:w="1560" w:type="dxa"/>
            <w:vAlign w:val="bottom"/>
            <w:tcBorders>
              <w:top w:val="single" w:sz="8" w:color="121212"/>
              <w:bottom w:val="single" w:sz="8" w:color="121212"/>
            </w:tcBorders>
          </w:tcPr>
          <w:p>
            <w:pPr>
              <w:spacing w:after="0"/>
              <w:rPr>
                <w:sz w:val="22"/>
                <w:szCs w:val="22"/>
                <w:color w:val="auto"/>
              </w:rPr>
            </w:pPr>
          </w:p>
        </w:tc>
        <w:tc>
          <w:tcPr>
            <w:tcW w:w="1220" w:type="dxa"/>
            <w:vAlign w:val="bottom"/>
            <w:tcBorders>
              <w:top w:val="single" w:sz="8" w:color="121212"/>
              <w:bottom w:val="single" w:sz="8" w:color="121212"/>
            </w:tcBorders>
          </w:tcPr>
          <w:p>
            <w:pPr>
              <w:spacing w:after="0"/>
              <w:rPr>
                <w:sz w:val="22"/>
                <w:szCs w:val="22"/>
                <w:color w:val="auto"/>
              </w:rPr>
            </w:pPr>
          </w:p>
        </w:tc>
        <w:tc>
          <w:tcPr>
            <w:tcW w:w="340" w:type="dxa"/>
            <w:vAlign w:val="bottom"/>
            <w:tcBorders>
              <w:top w:val="single" w:sz="8" w:color="121212"/>
              <w:bottom w:val="single" w:sz="8" w:color="121212"/>
            </w:tcBorders>
          </w:tcPr>
          <w:p>
            <w:pPr>
              <w:jc w:val="right"/>
              <w:spacing w:after="0"/>
              <w:rPr>
                <w:sz w:val="20"/>
                <w:szCs w:val="20"/>
                <w:color w:val="auto"/>
              </w:rPr>
            </w:pPr>
            <w:r>
              <w:rPr>
                <w:rFonts w:ascii="Times New Roman" w:cs="Times New Roman" w:eastAsia="Times New Roman" w:hAnsi="Times New Roman"/>
                <w:sz w:val="20"/>
                <w:szCs w:val="20"/>
                <w:b w:val="1"/>
                <w:bCs w:val="1"/>
                <w:color w:val="121212"/>
              </w:rPr>
              <w:t>8</w:t>
            </w:r>
          </w:p>
        </w:tc>
        <w:tc>
          <w:tcPr>
            <w:tcW w:w="1580" w:type="dxa"/>
            <w:vAlign w:val="bottom"/>
            <w:tcBorders>
              <w:top w:val="single" w:sz="8" w:color="121212"/>
              <w:bottom w:val="single" w:sz="8" w:color="121212"/>
            </w:tcBorders>
          </w:tcPr>
          <w:p>
            <w:pPr>
              <w:spacing w:after="0"/>
              <w:rPr>
                <w:sz w:val="22"/>
                <w:szCs w:val="22"/>
                <w:color w:val="auto"/>
              </w:rPr>
            </w:pPr>
          </w:p>
        </w:tc>
        <w:tc>
          <w:tcPr>
            <w:tcW w:w="1460" w:type="dxa"/>
            <w:vAlign w:val="bottom"/>
            <w:tcBorders>
              <w:top w:val="single" w:sz="8" w:color="121212"/>
              <w:bottom w:val="single" w:sz="8" w:color="121212"/>
              <w:right w:val="single" w:sz="8" w:color="121212"/>
            </w:tcBorders>
          </w:tcPr>
          <w:p>
            <w:pPr>
              <w:spacing w:after="0"/>
              <w:rPr>
                <w:sz w:val="22"/>
                <w:szCs w:val="22"/>
                <w:color w:val="auto"/>
              </w:rPr>
            </w:pPr>
          </w:p>
        </w:tc>
      </w:tr>
      <w:tr>
        <w:trPr>
          <w:trHeight w:val="211"/>
        </w:trPr>
        <w:tc>
          <w:tcPr>
            <w:tcW w:w="4300" w:type="dxa"/>
            <w:vAlign w:val="bottom"/>
            <w:tcBorders>
              <w:left w:val="single" w:sz="8" w:color="121212"/>
              <w:right w:val="single" w:sz="8" w:color="121212"/>
            </w:tcBorders>
          </w:tcPr>
          <w:p>
            <w:pPr>
              <w:spacing w:after="0"/>
              <w:rPr>
                <w:sz w:val="18"/>
                <w:szCs w:val="18"/>
                <w:color w:val="auto"/>
              </w:rPr>
            </w:pPr>
          </w:p>
        </w:tc>
        <w:tc>
          <w:tcPr>
            <w:tcW w:w="1560" w:type="dxa"/>
            <w:vAlign w:val="bottom"/>
            <w:tcBorders>
              <w:right w:val="single" w:sz="8" w:color="121212"/>
            </w:tcBorders>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Borders>
              <w:right w:val="single" w:sz="8" w:color="121212"/>
            </w:tcBorders>
          </w:tcPr>
          <w:p>
            <w:pPr>
              <w:spacing w:after="0"/>
              <w:rPr>
                <w:sz w:val="18"/>
                <w:szCs w:val="18"/>
                <w:color w:val="auto"/>
              </w:rPr>
            </w:pPr>
          </w:p>
        </w:tc>
        <w:tc>
          <w:tcPr>
            <w:tcW w:w="1580" w:type="dxa"/>
            <w:vAlign w:val="bottom"/>
            <w:tcBorders>
              <w:right w:val="single" w:sz="8" w:color="121212"/>
            </w:tcBorders>
          </w:tcPr>
          <w:p>
            <w:pPr>
              <w:spacing w:after="0"/>
              <w:rPr>
                <w:sz w:val="18"/>
                <w:szCs w:val="18"/>
                <w:color w:val="auto"/>
              </w:rPr>
            </w:pPr>
          </w:p>
        </w:tc>
        <w:tc>
          <w:tcPr>
            <w:tcW w:w="1460" w:type="dxa"/>
            <w:vAlign w:val="bottom"/>
            <w:tcBorders>
              <w:right w:val="single" w:sz="8" w:color="121212"/>
            </w:tcBorders>
          </w:tcPr>
          <w:p>
            <w:pPr>
              <w:jc w:val="center"/>
              <w:spacing w:after="0" w:line="211" w:lineRule="exact"/>
              <w:rPr>
                <w:sz w:val="20"/>
                <w:szCs w:val="20"/>
                <w:color w:val="auto"/>
              </w:rPr>
            </w:pPr>
            <w:r>
              <w:rPr>
                <w:rFonts w:ascii="Times New Roman" w:cs="Times New Roman" w:eastAsia="Times New Roman" w:hAnsi="Times New Roman"/>
                <w:sz w:val="20"/>
                <w:szCs w:val="20"/>
                <w:b w:val="1"/>
                <w:bCs w:val="1"/>
                <w:color w:val="121212"/>
              </w:rPr>
              <w:t>Did Not Disclose</w:t>
            </w:r>
          </w:p>
        </w:tc>
      </w:tr>
      <w:tr>
        <w:trPr>
          <w:trHeight w:val="253"/>
        </w:trPr>
        <w:tc>
          <w:tcPr>
            <w:tcW w:w="4300" w:type="dxa"/>
            <w:vAlign w:val="bottom"/>
            <w:tcBorders>
              <w:left w:val="single" w:sz="8" w:color="121212"/>
              <w:bottom w:val="single" w:sz="8" w:color="121212"/>
              <w:right w:val="single" w:sz="8" w:color="121212"/>
            </w:tcBorders>
          </w:tcPr>
          <w:p>
            <w:pPr>
              <w:spacing w:after="0"/>
              <w:rPr>
                <w:sz w:val="21"/>
                <w:szCs w:val="21"/>
                <w:color w:val="auto"/>
              </w:rPr>
            </w:pPr>
          </w:p>
        </w:tc>
        <w:tc>
          <w:tcPr>
            <w:tcW w:w="1560" w:type="dxa"/>
            <w:vAlign w:val="bottom"/>
            <w:tcBorders>
              <w:bottom w:val="single" w:sz="8" w:color="121212"/>
              <w:right w:val="single" w:sz="8" w:color="121212"/>
            </w:tcBorders>
          </w:tcPr>
          <w:p>
            <w:pPr>
              <w:jc w:val="center"/>
              <w:spacing w:after="0"/>
              <w:rPr>
                <w:sz w:val="20"/>
                <w:szCs w:val="20"/>
                <w:color w:val="auto"/>
              </w:rPr>
            </w:pPr>
            <w:r>
              <w:rPr>
                <w:rFonts w:ascii="Times New Roman" w:cs="Times New Roman" w:eastAsia="Times New Roman" w:hAnsi="Times New Roman"/>
                <w:sz w:val="20"/>
                <w:szCs w:val="20"/>
                <w:b w:val="1"/>
                <w:bCs w:val="1"/>
                <w:color w:val="121212"/>
              </w:rPr>
              <w:t>Female</w:t>
            </w:r>
          </w:p>
        </w:tc>
        <w:tc>
          <w:tcPr>
            <w:tcW w:w="1220" w:type="dxa"/>
            <w:vAlign w:val="bottom"/>
            <w:tcBorders>
              <w:bottom w:val="single" w:sz="8" w:color="121212"/>
            </w:tcBorders>
          </w:tcPr>
          <w:p>
            <w:pPr>
              <w:jc w:val="center"/>
              <w:ind w:left="220"/>
              <w:spacing w:after="0"/>
              <w:rPr>
                <w:sz w:val="20"/>
                <w:szCs w:val="20"/>
                <w:color w:val="auto"/>
              </w:rPr>
            </w:pPr>
            <w:r>
              <w:rPr>
                <w:rFonts w:ascii="Times New Roman" w:cs="Times New Roman" w:eastAsia="Times New Roman" w:hAnsi="Times New Roman"/>
                <w:sz w:val="20"/>
                <w:szCs w:val="20"/>
                <w:b w:val="1"/>
                <w:bCs w:val="1"/>
                <w:color w:val="121212"/>
                <w:w w:val="96"/>
              </w:rPr>
              <w:t>Male</w:t>
            </w:r>
          </w:p>
        </w:tc>
        <w:tc>
          <w:tcPr>
            <w:tcW w:w="340" w:type="dxa"/>
            <w:vAlign w:val="bottom"/>
            <w:tcBorders>
              <w:bottom w:val="single" w:sz="8" w:color="121212"/>
              <w:right w:val="single" w:sz="8" w:color="121212"/>
            </w:tcBorders>
          </w:tcPr>
          <w:p>
            <w:pPr>
              <w:spacing w:after="0"/>
              <w:rPr>
                <w:sz w:val="21"/>
                <w:szCs w:val="21"/>
                <w:color w:val="auto"/>
              </w:rPr>
            </w:pPr>
          </w:p>
        </w:tc>
        <w:tc>
          <w:tcPr>
            <w:tcW w:w="1580" w:type="dxa"/>
            <w:vAlign w:val="bottom"/>
            <w:tcBorders>
              <w:bottom w:val="single" w:sz="8" w:color="121212"/>
              <w:right w:val="single" w:sz="8" w:color="121212"/>
            </w:tcBorders>
          </w:tcPr>
          <w:p>
            <w:pPr>
              <w:ind w:left="260"/>
              <w:spacing w:after="0"/>
              <w:rPr>
                <w:sz w:val="20"/>
                <w:szCs w:val="20"/>
                <w:color w:val="auto"/>
              </w:rPr>
            </w:pPr>
            <w:r>
              <w:rPr>
                <w:rFonts w:ascii="Times New Roman" w:cs="Times New Roman" w:eastAsia="Times New Roman" w:hAnsi="Times New Roman"/>
                <w:sz w:val="20"/>
                <w:szCs w:val="20"/>
                <w:b w:val="1"/>
                <w:bCs w:val="1"/>
                <w:color w:val="121212"/>
              </w:rPr>
              <w:t>Non-Binary</w:t>
            </w:r>
          </w:p>
        </w:tc>
        <w:tc>
          <w:tcPr>
            <w:tcW w:w="1460" w:type="dxa"/>
            <w:vAlign w:val="bottom"/>
            <w:tcBorders>
              <w:bottom w:val="single" w:sz="8" w:color="121212"/>
              <w:right w:val="single" w:sz="8" w:color="121212"/>
            </w:tcBorders>
          </w:tcPr>
          <w:p>
            <w:pPr>
              <w:jc w:val="center"/>
              <w:spacing w:after="0"/>
              <w:rPr>
                <w:sz w:val="20"/>
                <w:szCs w:val="20"/>
                <w:color w:val="auto"/>
              </w:rPr>
            </w:pPr>
            <w:r>
              <w:rPr>
                <w:rFonts w:ascii="Times New Roman" w:cs="Times New Roman" w:eastAsia="Times New Roman" w:hAnsi="Times New Roman"/>
                <w:sz w:val="20"/>
                <w:szCs w:val="20"/>
                <w:b w:val="1"/>
                <w:bCs w:val="1"/>
                <w:color w:val="121212"/>
              </w:rPr>
              <w:t>Gender</w:t>
            </w: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b w:val="1"/>
                <w:bCs w:val="1"/>
                <w:color w:val="121212"/>
              </w:rPr>
              <w:t>Part I: Gender Identity</w:t>
            </w:r>
          </w:p>
        </w:tc>
        <w:tc>
          <w:tcPr>
            <w:tcW w:w="1560" w:type="dxa"/>
            <w:vAlign w:val="bottom"/>
            <w:tcBorders>
              <w:bottom w:val="single" w:sz="8" w:color="121212"/>
              <w:right w:val="single" w:sz="8" w:color="121212"/>
            </w:tcBorders>
          </w:tcPr>
          <w:p>
            <w:pPr>
              <w:spacing w:after="0"/>
              <w:rPr>
                <w:sz w:val="20"/>
                <w:szCs w:val="20"/>
                <w:color w:val="auto"/>
              </w:rPr>
            </w:pPr>
          </w:p>
        </w:tc>
        <w:tc>
          <w:tcPr>
            <w:tcW w:w="1220" w:type="dxa"/>
            <w:vAlign w:val="bottom"/>
            <w:tcBorders>
              <w:bottom w:val="single" w:sz="8" w:color="121212"/>
            </w:tcBorders>
          </w:tcPr>
          <w:p>
            <w:pPr>
              <w:spacing w:after="0"/>
              <w:rPr>
                <w:sz w:val="20"/>
                <w:szCs w:val="20"/>
                <w:color w:val="auto"/>
              </w:rPr>
            </w:pP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Directors</w:t>
            </w:r>
          </w:p>
        </w:tc>
        <w:tc>
          <w:tcPr>
            <w:tcW w:w="1560" w:type="dxa"/>
            <w:vAlign w:val="bottom"/>
            <w:tcBorders>
              <w:bottom w:val="single" w:sz="8" w:color="121212"/>
              <w:right w:val="single" w:sz="8" w:color="121212"/>
            </w:tcBorders>
          </w:tcPr>
          <w:p>
            <w:pPr>
              <w:jc w:val="center"/>
              <w:spacing w:after="0"/>
              <w:rPr>
                <w:sz w:val="20"/>
                <w:szCs w:val="20"/>
                <w:color w:val="auto"/>
              </w:rPr>
            </w:pPr>
            <w:r>
              <w:rPr>
                <w:rFonts w:ascii="Times New Roman" w:cs="Times New Roman" w:eastAsia="Times New Roman" w:hAnsi="Times New Roman"/>
                <w:sz w:val="20"/>
                <w:szCs w:val="20"/>
                <w:color w:val="121212"/>
                <w:w w:val="99"/>
              </w:rPr>
              <w:t>1</w:t>
            </w:r>
          </w:p>
        </w:tc>
        <w:tc>
          <w:tcPr>
            <w:tcW w:w="1220" w:type="dxa"/>
            <w:vAlign w:val="bottom"/>
            <w:tcBorders>
              <w:bottom w:val="single" w:sz="8" w:color="121212"/>
            </w:tcBorders>
          </w:tcPr>
          <w:p>
            <w:pPr>
              <w:jc w:val="center"/>
              <w:ind w:left="220"/>
              <w:spacing w:after="0"/>
              <w:rPr>
                <w:sz w:val="20"/>
                <w:szCs w:val="20"/>
                <w:color w:val="auto"/>
              </w:rPr>
            </w:pPr>
            <w:r>
              <w:rPr>
                <w:rFonts w:ascii="Times New Roman" w:cs="Times New Roman" w:eastAsia="Times New Roman" w:hAnsi="Times New Roman"/>
                <w:sz w:val="20"/>
                <w:szCs w:val="20"/>
                <w:color w:val="121212"/>
                <w:w w:val="99"/>
              </w:rPr>
              <w:t>7</w:t>
            </w: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b w:val="1"/>
                <w:bCs w:val="1"/>
                <w:color w:val="121212"/>
              </w:rPr>
              <w:t>Part II: Demographic Background</w:t>
            </w:r>
          </w:p>
        </w:tc>
        <w:tc>
          <w:tcPr>
            <w:tcW w:w="1560" w:type="dxa"/>
            <w:vAlign w:val="bottom"/>
            <w:tcBorders>
              <w:bottom w:val="single" w:sz="8" w:color="121212"/>
              <w:right w:val="single" w:sz="8" w:color="121212"/>
            </w:tcBorders>
          </w:tcPr>
          <w:p>
            <w:pPr>
              <w:spacing w:after="0"/>
              <w:rPr>
                <w:sz w:val="20"/>
                <w:szCs w:val="20"/>
                <w:color w:val="auto"/>
              </w:rPr>
            </w:pPr>
          </w:p>
        </w:tc>
        <w:tc>
          <w:tcPr>
            <w:tcW w:w="1220" w:type="dxa"/>
            <w:vAlign w:val="bottom"/>
            <w:tcBorders>
              <w:bottom w:val="single" w:sz="8" w:color="121212"/>
            </w:tcBorders>
          </w:tcPr>
          <w:p>
            <w:pPr>
              <w:spacing w:after="0"/>
              <w:rPr>
                <w:sz w:val="20"/>
                <w:szCs w:val="20"/>
                <w:color w:val="auto"/>
              </w:rPr>
            </w:pP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African American or Black</w:t>
            </w:r>
          </w:p>
        </w:tc>
        <w:tc>
          <w:tcPr>
            <w:tcW w:w="1560" w:type="dxa"/>
            <w:vAlign w:val="bottom"/>
            <w:tcBorders>
              <w:bottom w:val="single" w:sz="8" w:color="121212"/>
              <w:right w:val="single" w:sz="8" w:color="121212"/>
            </w:tcBorders>
          </w:tcPr>
          <w:p>
            <w:pPr>
              <w:spacing w:after="0"/>
              <w:rPr>
                <w:sz w:val="20"/>
                <w:szCs w:val="20"/>
                <w:color w:val="auto"/>
              </w:rPr>
            </w:pPr>
          </w:p>
        </w:tc>
        <w:tc>
          <w:tcPr>
            <w:tcW w:w="1220" w:type="dxa"/>
            <w:vAlign w:val="bottom"/>
            <w:tcBorders>
              <w:bottom w:val="single" w:sz="8" w:color="121212"/>
            </w:tcBorders>
          </w:tcPr>
          <w:p>
            <w:pPr>
              <w:spacing w:after="0"/>
              <w:rPr>
                <w:sz w:val="20"/>
                <w:szCs w:val="20"/>
                <w:color w:val="auto"/>
              </w:rPr>
            </w:pP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Alaskan Native or Native American</w:t>
            </w:r>
          </w:p>
        </w:tc>
        <w:tc>
          <w:tcPr>
            <w:tcW w:w="1560" w:type="dxa"/>
            <w:vAlign w:val="bottom"/>
            <w:tcBorders>
              <w:bottom w:val="single" w:sz="8" w:color="121212"/>
              <w:right w:val="single" w:sz="8" w:color="121212"/>
            </w:tcBorders>
          </w:tcPr>
          <w:p>
            <w:pPr>
              <w:spacing w:after="0"/>
              <w:rPr>
                <w:sz w:val="20"/>
                <w:szCs w:val="20"/>
                <w:color w:val="auto"/>
              </w:rPr>
            </w:pPr>
          </w:p>
        </w:tc>
        <w:tc>
          <w:tcPr>
            <w:tcW w:w="1220" w:type="dxa"/>
            <w:vAlign w:val="bottom"/>
            <w:tcBorders>
              <w:bottom w:val="single" w:sz="8" w:color="121212"/>
            </w:tcBorders>
          </w:tcPr>
          <w:p>
            <w:pPr>
              <w:spacing w:after="0"/>
              <w:rPr>
                <w:sz w:val="20"/>
                <w:szCs w:val="20"/>
                <w:color w:val="auto"/>
              </w:rPr>
            </w:pP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Asian</w:t>
            </w:r>
          </w:p>
        </w:tc>
        <w:tc>
          <w:tcPr>
            <w:tcW w:w="1560" w:type="dxa"/>
            <w:vAlign w:val="bottom"/>
            <w:tcBorders>
              <w:bottom w:val="single" w:sz="8" w:color="121212"/>
              <w:right w:val="single" w:sz="8" w:color="121212"/>
            </w:tcBorders>
          </w:tcPr>
          <w:p>
            <w:pPr>
              <w:jc w:val="center"/>
              <w:spacing w:after="0"/>
              <w:rPr>
                <w:sz w:val="20"/>
                <w:szCs w:val="20"/>
                <w:color w:val="auto"/>
              </w:rPr>
            </w:pPr>
            <w:r>
              <w:rPr>
                <w:rFonts w:ascii="Times New Roman" w:cs="Times New Roman" w:eastAsia="Times New Roman" w:hAnsi="Times New Roman"/>
                <w:sz w:val="20"/>
                <w:szCs w:val="20"/>
                <w:color w:val="121212"/>
                <w:w w:val="99"/>
              </w:rPr>
              <w:t>1</w:t>
            </w:r>
          </w:p>
        </w:tc>
        <w:tc>
          <w:tcPr>
            <w:tcW w:w="1220" w:type="dxa"/>
            <w:vAlign w:val="bottom"/>
            <w:tcBorders>
              <w:bottom w:val="single" w:sz="8" w:color="121212"/>
            </w:tcBorders>
          </w:tcPr>
          <w:p>
            <w:pPr>
              <w:jc w:val="center"/>
              <w:ind w:left="220"/>
              <w:spacing w:after="0"/>
              <w:rPr>
                <w:sz w:val="20"/>
                <w:szCs w:val="20"/>
                <w:color w:val="auto"/>
              </w:rPr>
            </w:pPr>
            <w:r>
              <w:rPr>
                <w:rFonts w:ascii="Times New Roman" w:cs="Times New Roman" w:eastAsia="Times New Roman" w:hAnsi="Times New Roman"/>
                <w:sz w:val="20"/>
                <w:szCs w:val="20"/>
                <w:color w:val="121212"/>
                <w:w w:val="99"/>
              </w:rPr>
              <w:t>1</w:t>
            </w: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Hispanic or Latinx</w:t>
            </w:r>
          </w:p>
        </w:tc>
        <w:tc>
          <w:tcPr>
            <w:tcW w:w="1560" w:type="dxa"/>
            <w:vAlign w:val="bottom"/>
            <w:tcBorders>
              <w:bottom w:val="single" w:sz="8" w:color="121212"/>
              <w:right w:val="single" w:sz="8" w:color="121212"/>
            </w:tcBorders>
          </w:tcPr>
          <w:p>
            <w:pPr>
              <w:spacing w:after="0"/>
              <w:rPr>
                <w:sz w:val="20"/>
                <w:szCs w:val="20"/>
                <w:color w:val="auto"/>
              </w:rPr>
            </w:pPr>
          </w:p>
        </w:tc>
        <w:tc>
          <w:tcPr>
            <w:tcW w:w="1220" w:type="dxa"/>
            <w:vAlign w:val="bottom"/>
            <w:tcBorders>
              <w:bottom w:val="single" w:sz="8" w:color="121212"/>
            </w:tcBorders>
          </w:tcPr>
          <w:p>
            <w:pPr>
              <w:spacing w:after="0"/>
              <w:rPr>
                <w:sz w:val="20"/>
                <w:szCs w:val="20"/>
                <w:color w:val="auto"/>
              </w:rPr>
            </w:pP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Native Hawaiian or Pacific Islander</w:t>
            </w:r>
          </w:p>
        </w:tc>
        <w:tc>
          <w:tcPr>
            <w:tcW w:w="1560" w:type="dxa"/>
            <w:vAlign w:val="bottom"/>
            <w:tcBorders>
              <w:bottom w:val="single" w:sz="8" w:color="121212"/>
              <w:right w:val="single" w:sz="8" w:color="121212"/>
            </w:tcBorders>
          </w:tcPr>
          <w:p>
            <w:pPr>
              <w:spacing w:after="0"/>
              <w:rPr>
                <w:sz w:val="20"/>
                <w:szCs w:val="20"/>
                <w:color w:val="auto"/>
              </w:rPr>
            </w:pPr>
          </w:p>
        </w:tc>
        <w:tc>
          <w:tcPr>
            <w:tcW w:w="1220" w:type="dxa"/>
            <w:vAlign w:val="bottom"/>
            <w:tcBorders>
              <w:bottom w:val="single" w:sz="8" w:color="121212"/>
            </w:tcBorders>
          </w:tcPr>
          <w:p>
            <w:pPr>
              <w:spacing w:after="0"/>
              <w:rPr>
                <w:sz w:val="20"/>
                <w:szCs w:val="20"/>
                <w:color w:val="auto"/>
              </w:rPr>
            </w:pP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White</w:t>
            </w:r>
          </w:p>
        </w:tc>
        <w:tc>
          <w:tcPr>
            <w:tcW w:w="1560" w:type="dxa"/>
            <w:vAlign w:val="bottom"/>
            <w:tcBorders>
              <w:bottom w:val="single" w:sz="8" w:color="121212"/>
              <w:right w:val="single" w:sz="8" w:color="121212"/>
            </w:tcBorders>
          </w:tcPr>
          <w:p>
            <w:pPr>
              <w:spacing w:after="0"/>
              <w:rPr>
                <w:sz w:val="20"/>
                <w:szCs w:val="20"/>
                <w:color w:val="auto"/>
              </w:rPr>
            </w:pPr>
          </w:p>
        </w:tc>
        <w:tc>
          <w:tcPr>
            <w:tcW w:w="1220" w:type="dxa"/>
            <w:vAlign w:val="bottom"/>
            <w:tcBorders>
              <w:bottom w:val="single" w:sz="8" w:color="121212"/>
            </w:tcBorders>
          </w:tcPr>
          <w:p>
            <w:pPr>
              <w:jc w:val="center"/>
              <w:ind w:left="220"/>
              <w:spacing w:after="0"/>
              <w:rPr>
                <w:sz w:val="20"/>
                <w:szCs w:val="20"/>
                <w:color w:val="auto"/>
              </w:rPr>
            </w:pPr>
            <w:r>
              <w:rPr>
                <w:rFonts w:ascii="Times New Roman" w:cs="Times New Roman" w:eastAsia="Times New Roman" w:hAnsi="Times New Roman"/>
                <w:sz w:val="20"/>
                <w:szCs w:val="20"/>
                <w:color w:val="121212"/>
                <w:w w:val="99"/>
              </w:rPr>
              <w:t>6</w:t>
            </w: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Two or More Races or Ethnicities</w:t>
            </w:r>
          </w:p>
        </w:tc>
        <w:tc>
          <w:tcPr>
            <w:tcW w:w="1560" w:type="dxa"/>
            <w:vAlign w:val="bottom"/>
            <w:tcBorders>
              <w:bottom w:val="single" w:sz="8" w:color="121212"/>
              <w:right w:val="single" w:sz="8" w:color="121212"/>
            </w:tcBorders>
          </w:tcPr>
          <w:p>
            <w:pPr>
              <w:spacing w:after="0"/>
              <w:rPr>
                <w:sz w:val="20"/>
                <w:szCs w:val="20"/>
                <w:color w:val="auto"/>
              </w:rPr>
            </w:pPr>
          </w:p>
        </w:tc>
        <w:tc>
          <w:tcPr>
            <w:tcW w:w="1220" w:type="dxa"/>
            <w:vAlign w:val="bottom"/>
            <w:tcBorders>
              <w:bottom w:val="single" w:sz="8" w:color="121212"/>
            </w:tcBorders>
          </w:tcPr>
          <w:p>
            <w:pPr>
              <w:spacing w:after="0"/>
              <w:rPr>
                <w:sz w:val="20"/>
                <w:szCs w:val="20"/>
                <w:color w:val="auto"/>
              </w:rPr>
            </w:pPr>
          </w:p>
        </w:tc>
        <w:tc>
          <w:tcPr>
            <w:tcW w:w="340" w:type="dxa"/>
            <w:vAlign w:val="bottom"/>
            <w:tcBorders>
              <w:bottom w:val="single" w:sz="8" w:color="121212"/>
              <w:right w:val="single" w:sz="8" w:color="121212"/>
            </w:tcBorders>
          </w:tcPr>
          <w:p>
            <w:pPr>
              <w:spacing w:after="0"/>
              <w:rPr>
                <w:sz w:val="20"/>
                <w:szCs w:val="20"/>
                <w:color w:val="auto"/>
              </w:rPr>
            </w:pPr>
          </w:p>
        </w:tc>
        <w:tc>
          <w:tcPr>
            <w:tcW w:w="1580" w:type="dxa"/>
            <w:vAlign w:val="bottom"/>
            <w:tcBorders>
              <w:bottom w:val="single" w:sz="8" w:color="121212"/>
              <w:right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LGBTQ+</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Borders>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Persons with disabilities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Borders>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Visible minorities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Borders>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Indigenous peoples</w:t>
            </w:r>
          </w:p>
        </w:tc>
        <w:tc>
          <w:tcPr>
            <w:tcW w:w="1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Borders>
              <w:right w:val="single" w:sz="8" w:color="121212"/>
            </w:tcBorders>
          </w:tcPr>
          <w:p>
            <w:pPr>
              <w:spacing w:after="0"/>
              <w:rPr>
                <w:sz w:val="20"/>
                <w:szCs w:val="20"/>
                <w:color w:val="auto"/>
              </w:rPr>
            </w:pPr>
          </w:p>
        </w:tc>
      </w:tr>
      <w:tr>
        <w:trPr>
          <w:trHeight w:val="234"/>
        </w:trPr>
        <w:tc>
          <w:tcPr>
            <w:tcW w:w="4300" w:type="dxa"/>
            <w:vAlign w:val="bottom"/>
            <w:tcBorders>
              <w:left w:val="single" w:sz="8" w:color="121212"/>
              <w:bottom w:val="single" w:sz="8" w:color="121212"/>
              <w:right w:val="single" w:sz="8" w:color="121212"/>
            </w:tcBorders>
          </w:tcPr>
          <w:p>
            <w:pPr>
              <w:ind w:left="140"/>
              <w:spacing w:after="0"/>
              <w:rPr>
                <w:sz w:val="20"/>
                <w:szCs w:val="20"/>
                <w:color w:val="auto"/>
              </w:rPr>
            </w:pPr>
            <w:r>
              <w:rPr>
                <w:rFonts w:ascii="Times New Roman" w:cs="Times New Roman" w:eastAsia="Times New Roman" w:hAnsi="Times New Roman"/>
                <w:sz w:val="20"/>
                <w:szCs w:val="20"/>
                <w:color w:val="121212"/>
              </w:rPr>
              <w:t>Did Not Disclose Demographic Background</w:t>
            </w:r>
          </w:p>
        </w:tc>
        <w:tc>
          <w:tcPr>
            <w:tcW w:w="1560" w:type="dxa"/>
            <w:vAlign w:val="bottom"/>
            <w:tcBorders>
              <w:bottom w:val="single" w:sz="8" w:color="121212"/>
            </w:tcBorders>
          </w:tcPr>
          <w:p>
            <w:pPr>
              <w:spacing w:after="0"/>
              <w:rPr>
                <w:sz w:val="20"/>
                <w:szCs w:val="20"/>
                <w:color w:val="auto"/>
              </w:rPr>
            </w:pPr>
          </w:p>
        </w:tc>
        <w:tc>
          <w:tcPr>
            <w:tcW w:w="1220" w:type="dxa"/>
            <w:vAlign w:val="bottom"/>
            <w:tcBorders>
              <w:bottom w:val="single" w:sz="8" w:color="121212"/>
            </w:tcBorders>
          </w:tcPr>
          <w:p>
            <w:pPr>
              <w:spacing w:after="0"/>
              <w:rPr>
                <w:sz w:val="20"/>
                <w:szCs w:val="20"/>
                <w:color w:val="auto"/>
              </w:rPr>
            </w:pPr>
          </w:p>
        </w:tc>
        <w:tc>
          <w:tcPr>
            <w:tcW w:w="340" w:type="dxa"/>
            <w:vAlign w:val="bottom"/>
            <w:tcBorders>
              <w:bottom w:val="single" w:sz="8" w:color="121212"/>
            </w:tcBorders>
          </w:tcPr>
          <w:p>
            <w:pPr>
              <w:spacing w:after="0"/>
              <w:rPr>
                <w:sz w:val="20"/>
                <w:szCs w:val="20"/>
                <w:color w:val="auto"/>
              </w:rPr>
            </w:pPr>
          </w:p>
        </w:tc>
        <w:tc>
          <w:tcPr>
            <w:tcW w:w="1580" w:type="dxa"/>
            <w:vAlign w:val="bottom"/>
            <w:tcBorders>
              <w:bottom w:val="single" w:sz="8" w:color="121212"/>
            </w:tcBorders>
          </w:tcPr>
          <w:p>
            <w:pPr>
              <w:spacing w:after="0"/>
              <w:rPr>
                <w:sz w:val="20"/>
                <w:szCs w:val="20"/>
                <w:color w:val="auto"/>
              </w:rPr>
            </w:pPr>
          </w:p>
        </w:tc>
        <w:tc>
          <w:tcPr>
            <w:tcW w:w="1460" w:type="dxa"/>
            <w:vAlign w:val="bottom"/>
            <w:tcBorders>
              <w:bottom w:val="single" w:sz="8" w:color="121212"/>
              <w:right w:val="single" w:sz="8" w:color="121212"/>
            </w:tcBorders>
          </w:tcPr>
          <w:p>
            <w:pPr>
              <w:spacing w:after="0"/>
              <w:rPr>
                <w:sz w:val="20"/>
                <w:szCs w:val="20"/>
                <w:color w:val="auto"/>
              </w:rPr>
            </w:pPr>
          </w:p>
        </w:tc>
      </w:tr>
    </w:tbl>
    <w:p>
      <w:pPr>
        <w:spacing w:after="0" w:line="119"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121212"/>
        </w:rPr>
        <w:t>The company does not consider the level of representation of women or other designated groups in executive officer positions and has not adopted targets for the number or proportion of executive officers who are female or members of other designated groups as the company seeks to promote individuals solely based on merit. Currently two of the executive officers are women, two of the executive officers are visible minorities and none of the executive officers are Indigenous peoples or persons with a disability.</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140</w:t>
      </w:r>
    </w:p>
    <w:p>
      <w:pPr>
        <w:sectPr>
          <w:pgSz w:w="12240" w:h="15840" w:orient="portrait"/>
          <w:cols w:equalWidth="0" w:num="1">
            <w:col w:w="10440"/>
          </w:cols>
          <w:pgMar w:left="900" w:top="930" w:right="900" w:bottom="175"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b w:val="1"/>
          <w:bCs w:val="1"/>
          <w:color w:val="121212"/>
        </w:rPr>
        <w:t>Board and Committee Meetings</w:t>
      </w:r>
    </w:p>
    <w:p>
      <w:pPr>
        <w:spacing w:after="0" w:line="12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121212"/>
        </w:rPr>
        <w:t>The Disc board of directors held 10 meetings during 2023. During 2023, each of the Disc directors then in office attended at least 75% of the aggregate of all meetings of the board of directors and all meetings of the committees of the board of directors on which such director then served. A director’s attendance rate is considered by the nominating and corporate governance committee when making recommendations for re-appointment of the director. Continuing directors and nominees for election as directors in a given year are required to attend the annual meeting of stockholders, barring significant commitments or special circumstances.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Committees of the Board of Directors</w:t>
      </w:r>
    </w:p>
    <w:p>
      <w:pPr>
        <w:spacing w:after="0" w:line="12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121212"/>
        </w:rPr>
        <w:t xml:space="preserve">Our board of directors has established an audit committee, a compensation committee and a nominating and corporate governance committee. Each of these committees operates under a charter that has been approved by our board of directors. We believe that the composition and functioning of all of our committees comply with the applicable requirements of Nasdaq, the Sarbanes-Oxley Act of 2002 and SEC rules and regulations that are applicable to us. We intend to comply with future requirements to the extent they become applicable to us. A copy of each charter can be found under the “Investors &amp; Media— Corporate Governance” section of our website, which is located at </w:t>
      </w:r>
      <w:r>
        <w:rPr>
          <w:rFonts w:ascii="Times New Roman" w:cs="Times New Roman" w:eastAsia="Times New Roman" w:hAnsi="Times New Roman"/>
          <w:sz w:val="20"/>
          <w:szCs w:val="20"/>
          <w:b w:val="1"/>
          <w:bCs w:val="1"/>
          <w:i w:val="1"/>
          <w:iCs w:val="1"/>
          <w:color w:val="121212"/>
        </w:rPr>
        <w:t>www</w:t>
      </w:r>
      <w:r>
        <w:rPr>
          <w:rFonts w:ascii="Times New Roman" w:cs="Times New Roman" w:eastAsia="Times New Roman" w:hAnsi="Times New Roman"/>
          <w:sz w:val="20"/>
          <w:szCs w:val="20"/>
          <w:color w:val="121212"/>
        </w:rPr>
        <w:t>.</w:t>
      </w:r>
      <w:r>
        <w:rPr>
          <w:rFonts w:ascii="Times New Roman" w:cs="Times New Roman" w:eastAsia="Times New Roman" w:hAnsi="Times New Roman"/>
          <w:sz w:val="20"/>
          <w:szCs w:val="20"/>
          <w:b w:val="1"/>
          <w:bCs w:val="1"/>
          <w:i w:val="1"/>
          <w:iCs w:val="1"/>
          <w:color w:val="121212"/>
        </w:rPr>
        <w:t>discmedicine</w:t>
      </w:r>
      <w:r>
        <w:rPr>
          <w:rFonts w:ascii="Times New Roman" w:cs="Times New Roman" w:eastAsia="Times New Roman" w:hAnsi="Times New Roman"/>
          <w:sz w:val="20"/>
          <w:szCs w:val="20"/>
          <w:color w:val="121212"/>
        </w:rPr>
        <w:t>.</w:t>
      </w:r>
      <w:r>
        <w:rPr>
          <w:rFonts w:ascii="Times New Roman" w:cs="Times New Roman" w:eastAsia="Times New Roman" w:hAnsi="Times New Roman"/>
          <w:sz w:val="20"/>
          <w:szCs w:val="20"/>
          <w:b w:val="1"/>
          <w:bCs w:val="1"/>
          <w:i w:val="1"/>
          <w:iCs w:val="1"/>
          <w:color w:val="121212"/>
        </w:rPr>
        <w:t>com</w:t>
      </w:r>
      <w:r>
        <w:rPr>
          <w:rFonts w:ascii="Times New Roman" w:cs="Times New Roman" w:eastAsia="Times New Roman" w:hAnsi="Times New Roman"/>
          <w:sz w:val="20"/>
          <w:szCs w:val="20"/>
          <w:color w:val="121212"/>
        </w:rPr>
        <w:t>. The board of directors has not adopted position descriptions for the chairperson of each committee. However, each committee chairperson understands that the responsibilities of the committee chairperson include responsibility for providing leadership to the committee, including chairing meetings in a manner that facilitates open discussions and expressions of competing views, and reporting to the board of directors on the work of the committee and any recommendations for approval by the board of directors. The committee chairperson also ensures that the committee receives the information required for the performance of its responsibilities. The board of directors may also establish other committees from time to time to assist the company and the board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Audit Committee</w:t>
      </w:r>
    </w:p>
    <w:p>
      <w:pPr>
        <w:spacing w:after="0" w:line="118" w:lineRule="exact"/>
        <w:rPr>
          <w:sz w:val="20"/>
          <w:szCs w:val="20"/>
          <w:color w:val="auto"/>
        </w:rPr>
      </w:pPr>
    </w:p>
    <w:p>
      <w:pPr>
        <w:ind w:firstLine="490"/>
        <w:spacing w:after="0" w:line="305" w:lineRule="auto"/>
        <w:rPr>
          <w:sz w:val="20"/>
          <w:szCs w:val="20"/>
          <w:color w:val="auto"/>
        </w:rPr>
      </w:pPr>
      <w:r>
        <w:rPr>
          <w:rFonts w:ascii="Times New Roman" w:cs="Times New Roman" w:eastAsia="Times New Roman" w:hAnsi="Times New Roman"/>
          <w:sz w:val="19"/>
          <w:szCs w:val="19"/>
          <w:color w:val="121212"/>
        </w:rPr>
        <w:t>The primary purpose of our audit committee is to discharge the responsibilities of the board of directors with respect to our accounting, financial, and other reporting and internal control practices and to oversee our independent registered accounting firm.</w:t>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Specific responsibilities of our audit committee include:</w:t>
      </w:r>
    </w:p>
    <w:p>
      <w:pPr>
        <w:spacing w:after="0" w:line="134" w:lineRule="exact"/>
        <w:rPr>
          <w:sz w:val="20"/>
          <w:szCs w:val="20"/>
          <w:color w:val="auto"/>
        </w:rPr>
      </w:pPr>
    </w:p>
    <w:p>
      <w:pPr>
        <w:ind w:left="980" w:right="820" w:hanging="498"/>
        <w:spacing w:after="0" w:line="276" w:lineRule="auto"/>
        <w:tabs>
          <w:tab w:leader="none" w:pos="980" w:val="left"/>
        </w:tabs>
        <w:numPr>
          <w:ilvl w:val="0"/>
          <w:numId w:val="60"/>
        </w:numPr>
        <w:rPr>
          <w:rFonts w:ascii="Arial" w:cs="Arial" w:eastAsia="Arial" w:hAnsi="Arial"/>
          <w:sz w:val="20"/>
          <w:szCs w:val="20"/>
          <w:color w:val="121212"/>
        </w:rPr>
      </w:pPr>
      <w:r>
        <w:rPr>
          <w:rFonts w:ascii="Times New Roman" w:cs="Times New Roman" w:eastAsia="Times New Roman" w:hAnsi="Times New Roman"/>
          <w:sz w:val="20"/>
          <w:szCs w:val="20"/>
          <w:color w:val="121212"/>
        </w:rPr>
        <w:t>selecting a qualified firm to serve as the independent registered public accounting firm to audit our financial statements</w:t>
      </w:r>
    </w:p>
    <w:p>
      <w:pPr>
        <w:spacing w:after="0" w:line="64" w:lineRule="exact"/>
        <w:rPr>
          <w:rFonts w:ascii="Arial" w:cs="Arial" w:eastAsia="Arial" w:hAnsi="Arial"/>
          <w:sz w:val="20"/>
          <w:szCs w:val="20"/>
          <w:color w:val="121212"/>
        </w:rPr>
      </w:pPr>
    </w:p>
    <w:p>
      <w:pPr>
        <w:ind w:left="980" w:hanging="498"/>
        <w:spacing w:after="0"/>
        <w:tabs>
          <w:tab w:leader="none" w:pos="980" w:val="left"/>
        </w:tabs>
        <w:numPr>
          <w:ilvl w:val="0"/>
          <w:numId w:val="60"/>
        </w:numPr>
        <w:rPr>
          <w:rFonts w:ascii="Arial" w:cs="Arial" w:eastAsia="Arial" w:hAnsi="Arial"/>
          <w:sz w:val="20"/>
          <w:szCs w:val="20"/>
          <w:color w:val="121212"/>
        </w:rPr>
      </w:pPr>
      <w:r>
        <w:rPr>
          <w:rFonts w:ascii="Times New Roman" w:cs="Times New Roman" w:eastAsia="Times New Roman" w:hAnsi="Times New Roman"/>
          <w:sz w:val="20"/>
          <w:szCs w:val="20"/>
          <w:color w:val="121212"/>
        </w:rPr>
        <w:t>helping to ensure the independence and performance of the independent registered public accounting firm;</w:t>
      </w:r>
    </w:p>
    <w:p>
      <w:pPr>
        <w:spacing w:after="0" w:line="133" w:lineRule="exact"/>
        <w:rPr>
          <w:rFonts w:ascii="Arial" w:cs="Arial" w:eastAsia="Arial" w:hAnsi="Arial"/>
          <w:sz w:val="20"/>
          <w:szCs w:val="20"/>
          <w:color w:val="121212"/>
        </w:rPr>
      </w:pPr>
    </w:p>
    <w:p>
      <w:pPr>
        <w:ind w:left="980" w:right="240" w:hanging="498"/>
        <w:spacing w:after="0" w:line="276" w:lineRule="auto"/>
        <w:tabs>
          <w:tab w:leader="none" w:pos="980" w:val="left"/>
        </w:tabs>
        <w:numPr>
          <w:ilvl w:val="0"/>
          <w:numId w:val="60"/>
        </w:numPr>
        <w:rPr>
          <w:rFonts w:ascii="Arial" w:cs="Arial" w:eastAsia="Arial" w:hAnsi="Arial"/>
          <w:sz w:val="20"/>
          <w:szCs w:val="20"/>
          <w:color w:val="121212"/>
        </w:rPr>
      </w:pPr>
      <w:r>
        <w:rPr>
          <w:rFonts w:ascii="Times New Roman" w:cs="Times New Roman" w:eastAsia="Times New Roman" w:hAnsi="Times New Roman"/>
          <w:sz w:val="20"/>
          <w:szCs w:val="20"/>
          <w:color w:val="121212"/>
        </w:rPr>
        <w:t>discussing the scope and results of the audit with the independent registered public accounting firm, and reviewing, with management and the independent accountants, our interim and year-end operating results;</w:t>
      </w:r>
    </w:p>
    <w:p>
      <w:pPr>
        <w:spacing w:after="0" w:line="64" w:lineRule="exact"/>
        <w:rPr>
          <w:rFonts w:ascii="Arial" w:cs="Arial" w:eastAsia="Arial" w:hAnsi="Arial"/>
          <w:sz w:val="20"/>
          <w:szCs w:val="20"/>
          <w:color w:val="121212"/>
        </w:rPr>
      </w:pPr>
    </w:p>
    <w:p>
      <w:pPr>
        <w:ind w:left="980" w:right="620" w:hanging="498"/>
        <w:spacing w:after="0" w:line="276" w:lineRule="auto"/>
        <w:tabs>
          <w:tab w:leader="none" w:pos="980" w:val="left"/>
        </w:tabs>
        <w:numPr>
          <w:ilvl w:val="0"/>
          <w:numId w:val="60"/>
        </w:numPr>
        <w:rPr>
          <w:rFonts w:ascii="Arial" w:cs="Arial" w:eastAsia="Arial" w:hAnsi="Arial"/>
          <w:sz w:val="20"/>
          <w:szCs w:val="20"/>
          <w:color w:val="121212"/>
        </w:rPr>
      </w:pPr>
      <w:r>
        <w:rPr>
          <w:rFonts w:ascii="Times New Roman" w:cs="Times New Roman" w:eastAsia="Times New Roman" w:hAnsi="Times New Roman"/>
          <w:sz w:val="20"/>
          <w:szCs w:val="20"/>
          <w:color w:val="121212"/>
        </w:rPr>
        <w:t>developing procedures for employees to submit concerns anonymously about questionable accounting or audit matters;</w:t>
      </w:r>
    </w:p>
    <w:p>
      <w:pPr>
        <w:spacing w:after="0" w:line="64" w:lineRule="exact"/>
        <w:rPr>
          <w:rFonts w:ascii="Arial" w:cs="Arial" w:eastAsia="Arial" w:hAnsi="Arial"/>
          <w:sz w:val="20"/>
          <w:szCs w:val="20"/>
          <w:color w:val="121212"/>
        </w:rPr>
      </w:pPr>
    </w:p>
    <w:p>
      <w:pPr>
        <w:ind w:left="980" w:hanging="498"/>
        <w:spacing w:after="0"/>
        <w:tabs>
          <w:tab w:leader="none" w:pos="980" w:val="left"/>
        </w:tabs>
        <w:numPr>
          <w:ilvl w:val="0"/>
          <w:numId w:val="60"/>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policies on risk assessment and risk management;</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60"/>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related party transactions;</w:t>
      </w:r>
    </w:p>
    <w:p>
      <w:pPr>
        <w:spacing w:after="0" w:line="133" w:lineRule="exact"/>
        <w:rPr>
          <w:rFonts w:ascii="Arial" w:cs="Arial" w:eastAsia="Arial" w:hAnsi="Arial"/>
          <w:sz w:val="20"/>
          <w:szCs w:val="20"/>
          <w:color w:val="121212"/>
        </w:rPr>
      </w:pPr>
    </w:p>
    <w:p>
      <w:pPr>
        <w:jc w:val="both"/>
        <w:ind w:left="980" w:hanging="498"/>
        <w:spacing w:after="0" w:line="258" w:lineRule="auto"/>
        <w:tabs>
          <w:tab w:leader="none" w:pos="980" w:val="left"/>
        </w:tabs>
        <w:numPr>
          <w:ilvl w:val="0"/>
          <w:numId w:val="60"/>
        </w:numPr>
        <w:rPr>
          <w:rFonts w:ascii="Arial" w:cs="Arial" w:eastAsia="Arial" w:hAnsi="Arial"/>
          <w:sz w:val="20"/>
          <w:szCs w:val="20"/>
          <w:color w:val="121212"/>
        </w:rPr>
      </w:pPr>
      <w:r>
        <w:rPr>
          <w:rFonts w:ascii="Times New Roman" w:cs="Times New Roman" w:eastAsia="Times New Roman" w:hAnsi="Times New Roman"/>
          <w:sz w:val="20"/>
          <w:szCs w:val="20"/>
          <w:color w:val="121212"/>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81" w:lineRule="exact"/>
        <w:rPr>
          <w:rFonts w:ascii="Arial" w:cs="Arial" w:eastAsia="Arial" w:hAnsi="Arial"/>
          <w:sz w:val="20"/>
          <w:szCs w:val="20"/>
          <w:color w:val="121212"/>
        </w:rPr>
      </w:pPr>
    </w:p>
    <w:p>
      <w:pPr>
        <w:ind w:left="980" w:right="420" w:hanging="498"/>
        <w:spacing w:after="0" w:line="276" w:lineRule="auto"/>
        <w:tabs>
          <w:tab w:leader="none" w:pos="980" w:val="left"/>
        </w:tabs>
        <w:numPr>
          <w:ilvl w:val="0"/>
          <w:numId w:val="60"/>
        </w:numPr>
        <w:rPr>
          <w:rFonts w:ascii="Arial" w:cs="Arial" w:eastAsia="Arial" w:hAnsi="Arial"/>
          <w:sz w:val="20"/>
          <w:szCs w:val="20"/>
          <w:color w:val="121212"/>
        </w:rPr>
      </w:pPr>
      <w:r>
        <w:rPr>
          <w:rFonts w:ascii="Times New Roman" w:cs="Times New Roman" w:eastAsia="Times New Roman" w:hAnsi="Times New Roman"/>
          <w:sz w:val="20"/>
          <w:szCs w:val="20"/>
          <w:color w:val="121212"/>
        </w:rPr>
        <w:t>approving (or, as permitted, pre-approving) all audit and all permissible non-audit service to be performed by the independent registered public accounting firm.</w:t>
      </w:r>
    </w:p>
    <w:p>
      <w:pPr>
        <w:spacing w:after="0" w:line="5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121212"/>
        </w:rPr>
        <w:t>The members of the Audit Committee are William White, Liam Ratcliffe and Mark Chin. William White is the chair of the Audit Committee and our board of directors has determined that he qualifies as an “audit committee financial expert” within the meaning of SEC regulations. To qualify as independent to serve on our audit committee, listing standards of Nasdaq and the applicable SEC rules require that a director not accept any consulting, advisory or other compensatory fee from us, other than for service as a director, or be an affiliated person of the company. During the fiscal year ended December 31, 2023, the Disc audit committee met four times. We believe that the composition of the audit committee complies with the applicable requirements of the rules and regulations of Nasdaq and the SEC.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Compensation Committee</w:t>
      </w: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141</w:t>
      </w:r>
    </w:p>
    <w:p>
      <w:pPr>
        <w:sectPr>
          <w:pgSz w:w="12240" w:h="15840" w:orient="portrait"/>
          <w:cols w:equalWidth="0" w:num="1">
            <w:col w:w="10440"/>
          </w:cols>
          <w:pgMar w:left="900" w:top="926" w:right="900" w:bottom="175" w:gutter="0" w:footer="0" w:header="0"/>
          <w:type w:val="continuous"/>
        </w:sectPr>
      </w:pPr>
    </w:p>
    <w:bookmarkStart w:id="151" w:name="page152"/>
    <w:bookmarkEnd w:id="151"/>
    <w:p>
      <w:pPr>
        <w:jc w:val="both"/>
        <w:ind w:right="20" w:firstLine="490"/>
        <w:spacing w:after="0" w:line="258" w:lineRule="auto"/>
        <w:rPr>
          <w:sz w:val="20"/>
          <w:szCs w:val="20"/>
          <w:color w:val="auto"/>
        </w:rPr>
      </w:pPr>
      <w:r>
        <w:rPr>
          <w:rFonts w:ascii="Times New Roman" w:cs="Times New Roman" w:eastAsia="Times New Roman" w:hAnsi="Times New Roman"/>
          <w:sz w:val="20"/>
          <w:szCs w:val="20"/>
          <w:color w:val="121212"/>
        </w:rPr>
        <w:t>The primary purpose of our compensation committee is to discharge the responsibilities of the board of directors to oversee our compensation policies, plans and programs and to review and determine the compensation to be paid to our executive officers, directors and other senior management, as appropriate.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Specific responsibilities of our compensation committee include:</w:t>
      </w:r>
    </w:p>
    <w:p>
      <w:pPr>
        <w:spacing w:after="0" w:line="134" w:lineRule="exact"/>
        <w:rPr>
          <w:sz w:val="20"/>
          <w:szCs w:val="20"/>
          <w:color w:val="auto"/>
        </w:rPr>
      </w:pPr>
    </w:p>
    <w:p>
      <w:pPr>
        <w:ind w:left="980" w:right="280" w:hanging="498"/>
        <w:spacing w:after="0" w:line="276" w:lineRule="auto"/>
        <w:tabs>
          <w:tab w:leader="none" w:pos="980" w:val="left"/>
        </w:tabs>
        <w:numPr>
          <w:ilvl w:val="0"/>
          <w:numId w:val="61"/>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and approving, or recommending that the board of directors approve, the compensation of our executive officers;</w:t>
      </w:r>
    </w:p>
    <w:p>
      <w:pPr>
        <w:spacing w:after="0" w:line="64" w:lineRule="exact"/>
        <w:rPr>
          <w:rFonts w:ascii="Arial" w:cs="Arial" w:eastAsia="Arial" w:hAnsi="Arial"/>
          <w:sz w:val="20"/>
          <w:szCs w:val="20"/>
          <w:color w:val="121212"/>
        </w:rPr>
      </w:pPr>
    </w:p>
    <w:p>
      <w:pPr>
        <w:ind w:left="980" w:hanging="498"/>
        <w:spacing w:after="0"/>
        <w:tabs>
          <w:tab w:leader="none" w:pos="980" w:val="left"/>
        </w:tabs>
        <w:numPr>
          <w:ilvl w:val="0"/>
          <w:numId w:val="61"/>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and recommending to our board of directors the compensation of our directors;</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61"/>
        </w:numPr>
        <w:rPr>
          <w:rFonts w:ascii="Arial" w:cs="Arial" w:eastAsia="Arial" w:hAnsi="Arial"/>
          <w:sz w:val="20"/>
          <w:szCs w:val="20"/>
          <w:color w:val="121212"/>
        </w:rPr>
      </w:pPr>
      <w:r>
        <w:rPr>
          <w:rFonts w:ascii="Times New Roman" w:cs="Times New Roman" w:eastAsia="Times New Roman" w:hAnsi="Times New Roman"/>
          <w:sz w:val="20"/>
          <w:szCs w:val="20"/>
          <w:color w:val="121212"/>
        </w:rPr>
        <w:t>administering our stock and equity incentive plans;</w:t>
      </w:r>
    </w:p>
    <w:p>
      <w:pPr>
        <w:spacing w:after="0" w:line="133" w:lineRule="exact"/>
        <w:rPr>
          <w:rFonts w:ascii="Arial" w:cs="Arial" w:eastAsia="Arial" w:hAnsi="Arial"/>
          <w:sz w:val="20"/>
          <w:szCs w:val="20"/>
          <w:color w:val="121212"/>
        </w:rPr>
      </w:pPr>
    </w:p>
    <w:p>
      <w:pPr>
        <w:ind w:left="980" w:right="160" w:hanging="498"/>
        <w:spacing w:after="0" w:line="276" w:lineRule="auto"/>
        <w:tabs>
          <w:tab w:leader="none" w:pos="980" w:val="left"/>
        </w:tabs>
        <w:numPr>
          <w:ilvl w:val="0"/>
          <w:numId w:val="61"/>
        </w:numPr>
        <w:rPr>
          <w:rFonts w:ascii="Arial" w:cs="Arial" w:eastAsia="Arial" w:hAnsi="Arial"/>
          <w:sz w:val="20"/>
          <w:szCs w:val="20"/>
          <w:color w:val="121212"/>
        </w:rPr>
      </w:pPr>
      <w:r>
        <w:rPr>
          <w:rFonts w:ascii="Times New Roman" w:cs="Times New Roman" w:eastAsia="Times New Roman" w:hAnsi="Times New Roman"/>
          <w:sz w:val="20"/>
          <w:szCs w:val="20"/>
          <w:color w:val="121212"/>
        </w:rPr>
        <w:t>selecting independent compensation consultants and assessing whether there are any conflicts of interest with any of the committee’s compensation advisors;</w:t>
      </w:r>
    </w:p>
    <w:p>
      <w:pPr>
        <w:spacing w:after="0" w:line="64" w:lineRule="exact"/>
        <w:rPr>
          <w:rFonts w:ascii="Arial" w:cs="Arial" w:eastAsia="Arial" w:hAnsi="Arial"/>
          <w:sz w:val="20"/>
          <w:szCs w:val="20"/>
          <w:color w:val="121212"/>
        </w:rPr>
      </w:pPr>
    </w:p>
    <w:p>
      <w:pPr>
        <w:ind w:left="980" w:right="260" w:hanging="498"/>
        <w:spacing w:after="0" w:line="258" w:lineRule="auto"/>
        <w:tabs>
          <w:tab w:leader="none" w:pos="980" w:val="left"/>
        </w:tabs>
        <w:numPr>
          <w:ilvl w:val="0"/>
          <w:numId w:val="61"/>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and approving, or recommending that the board of directors approve, incentive compensation and equity plans, severance agreements, change-of-control protections and any other compensatory arrangements for our executive officers and other senior management, as appropriate;</w:t>
      </w:r>
    </w:p>
    <w:p>
      <w:pPr>
        <w:spacing w:after="0" w:line="81" w:lineRule="exact"/>
        <w:rPr>
          <w:rFonts w:ascii="Arial" w:cs="Arial" w:eastAsia="Arial" w:hAnsi="Arial"/>
          <w:sz w:val="20"/>
          <w:szCs w:val="20"/>
          <w:color w:val="121212"/>
        </w:rPr>
      </w:pPr>
    </w:p>
    <w:p>
      <w:pPr>
        <w:ind w:left="980" w:hanging="498"/>
        <w:spacing w:after="0"/>
        <w:tabs>
          <w:tab w:leader="none" w:pos="980" w:val="left"/>
        </w:tabs>
        <w:numPr>
          <w:ilvl w:val="0"/>
          <w:numId w:val="61"/>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and establishing general policies relating to compensation and benefits of our employees; and</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61"/>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our overall compensation philosophy.</w:t>
      </w:r>
    </w:p>
    <w:p>
      <w:pPr>
        <w:spacing w:after="0" w:line="119"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21212"/>
        </w:rPr>
        <w:t>The members of the Compensation Committee are Donald Nicholson, Mona Ashiya and Kevin Bitterman. Dr. Nicholson is the chair of the Compensation Committee. Each member of our compensation committee will be a “non-employee” director within the meaning of Rule 16b-3 of the rules promulgated under the Exchange Act and independent within the meaning of the independent director guidelines of Nasdaq. During the fiscal year ended December 31, 2023, the Disc compensation committee met four times. We believe that the composition of the compensation committee complies with the applicable requirements of the rules and regulations of Nasdaq and the SEC.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Compensation Consultants</w:t>
      </w:r>
    </w:p>
    <w:p>
      <w:pPr>
        <w:spacing w:after="0" w:line="118"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121212"/>
        </w:rPr>
        <w:t>In fiscal year 2023, our compensation committee engaged Pearl Meyer &amp; Partners, LLC, or Pearl Meyer, to provide compensation consulting services. During fiscal year 2023, Pearl Meyer’s services included advising on equity compensation programs and the development of the Company’s peer group and providing support and analysis regarding executive and director compensation. Our compensation committee has assessed the independence of Pearl Meyer consistent with SEC rules and Nasdaq listing standards and has concluded that the engagement of Pearl Meyer does not raise any conflict of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Nominating and Corporate Governance Committee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Specific responsibilities of our nominating and corporate governance committee include:</w:t>
      </w:r>
    </w:p>
    <w:p>
      <w:pPr>
        <w:spacing w:after="0" w:line="134" w:lineRule="exact"/>
        <w:rPr>
          <w:sz w:val="20"/>
          <w:szCs w:val="20"/>
          <w:color w:val="auto"/>
        </w:rPr>
      </w:pPr>
    </w:p>
    <w:p>
      <w:pPr>
        <w:ind w:left="980" w:right="180" w:hanging="498"/>
        <w:spacing w:after="0" w:line="276" w:lineRule="auto"/>
        <w:tabs>
          <w:tab w:leader="none" w:pos="980" w:val="left"/>
        </w:tabs>
        <w:numPr>
          <w:ilvl w:val="0"/>
          <w:numId w:val="62"/>
        </w:numPr>
        <w:rPr>
          <w:rFonts w:ascii="Arial" w:cs="Arial" w:eastAsia="Arial" w:hAnsi="Arial"/>
          <w:sz w:val="20"/>
          <w:szCs w:val="20"/>
          <w:color w:val="121212"/>
        </w:rPr>
      </w:pPr>
      <w:r>
        <w:rPr>
          <w:rFonts w:ascii="Times New Roman" w:cs="Times New Roman" w:eastAsia="Times New Roman" w:hAnsi="Times New Roman"/>
          <w:sz w:val="20"/>
          <w:szCs w:val="20"/>
          <w:color w:val="121212"/>
        </w:rPr>
        <w:t>identifying, evaluating and selecting, or recommending that the board of directors approve, nominees for election to the board of directors;</w:t>
      </w:r>
    </w:p>
    <w:p>
      <w:pPr>
        <w:spacing w:after="0" w:line="64" w:lineRule="exact"/>
        <w:rPr>
          <w:rFonts w:ascii="Arial" w:cs="Arial" w:eastAsia="Arial" w:hAnsi="Arial"/>
          <w:sz w:val="20"/>
          <w:szCs w:val="20"/>
          <w:color w:val="121212"/>
        </w:rPr>
      </w:pPr>
    </w:p>
    <w:p>
      <w:pPr>
        <w:ind w:left="980" w:hanging="498"/>
        <w:spacing w:after="0"/>
        <w:tabs>
          <w:tab w:leader="none" w:pos="980" w:val="left"/>
        </w:tabs>
        <w:numPr>
          <w:ilvl w:val="0"/>
          <w:numId w:val="62"/>
        </w:numPr>
        <w:rPr>
          <w:rFonts w:ascii="Arial" w:cs="Arial" w:eastAsia="Arial" w:hAnsi="Arial"/>
          <w:sz w:val="20"/>
          <w:szCs w:val="20"/>
          <w:color w:val="121212"/>
        </w:rPr>
      </w:pPr>
      <w:r>
        <w:rPr>
          <w:rFonts w:ascii="Times New Roman" w:cs="Times New Roman" w:eastAsia="Times New Roman" w:hAnsi="Times New Roman"/>
          <w:sz w:val="20"/>
          <w:szCs w:val="20"/>
          <w:color w:val="121212"/>
        </w:rPr>
        <w:t>evaluating the performance of the board of directors and of individual directors;</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62"/>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developments in corporate governance practices;</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62"/>
        </w:numPr>
        <w:rPr>
          <w:rFonts w:ascii="Arial" w:cs="Arial" w:eastAsia="Arial" w:hAnsi="Arial"/>
          <w:sz w:val="20"/>
          <w:szCs w:val="20"/>
          <w:color w:val="121212"/>
        </w:rPr>
      </w:pPr>
      <w:r>
        <w:rPr>
          <w:rFonts w:ascii="Times New Roman" w:cs="Times New Roman" w:eastAsia="Times New Roman" w:hAnsi="Times New Roman"/>
          <w:sz w:val="20"/>
          <w:szCs w:val="20"/>
          <w:color w:val="121212"/>
        </w:rPr>
        <w:t>evaluating the adequacy of our corporate governance practices and reporting;</w:t>
      </w:r>
    </w:p>
    <w:p>
      <w:pPr>
        <w:spacing w:after="0" w:line="133" w:lineRule="exact"/>
        <w:rPr>
          <w:rFonts w:ascii="Arial" w:cs="Arial" w:eastAsia="Arial" w:hAnsi="Arial"/>
          <w:sz w:val="20"/>
          <w:szCs w:val="20"/>
          <w:color w:val="121212"/>
        </w:rPr>
      </w:pPr>
    </w:p>
    <w:p>
      <w:pPr>
        <w:ind w:left="980" w:hanging="498"/>
        <w:spacing w:after="0"/>
        <w:tabs>
          <w:tab w:leader="none" w:pos="980" w:val="left"/>
        </w:tabs>
        <w:numPr>
          <w:ilvl w:val="0"/>
          <w:numId w:val="62"/>
        </w:numPr>
        <w:rPr>
          <w:rFonts w:ascii="Arial" w:cs="Arial" w:eastAsia="Arial" w:hAnsi="Arial"/>
          <w:sz w:val="20"/>
          <w:szCs w:val="20"/>
          <w:color w:val="121212"/>
        </w:rPr>
      </w:pPr>
      <w:r>
        <w:rPr>
          <w:rFonts w:ascii="Times New Roman" w:cs="Times New Roman" w:eastAsia="Times New Roman" w:hAnsi="Times New Roman"/>
          <w:sz w:val="20"/>
          <w:szCs w:val="20"/>
          <w:color w:val="121212"/>
        </w:rPr>
        <w:t>reviewing management succession plans; and</w:t>
      </w:r>
    </w:p>
    <w:p>
      <w:pPr>
        <w:spacing w:after="0" w:line="133" w:lineRule="exact"/>
        <w:rPr>
          <w:rFonts w:ascii="Arial" w:cs="Arial" w:eastAsia="Arial" w:hAnsi="Arial"/>
          <w:sz w:val="20"/>
          <w:szCs w:val="20"/>
          <w:color w:val="121212"/>
        </w:rPr>
      </w:pPr>
    </w:p>
    <w:p>
      <w:pPr>
        <w:ind w:left="980" w:right="340" w:hanging="498"/>
        <w:spacing w:after="0" w:line="276" w:lineRule="auto"/>
        <w:tabs>
          <w:tab w:leader="none" w:pos="980" w:val="left"/>
        </w:tabs>
        <w:numPr>
          <w:ilvl w:val="0"/>
          <w:numId w:val="62"/>
        </w:numPr>
        <w:rPr>
          <w:rFonts w:ascii="Arial" w:cs="Arial" w:eastAsia="Arial" w:hAnsi="Arial"/>
          <w:sz w:val="20"/>
          <w:szCs w:val="20"/>
          <w:color w:val="121212"/>
        </w:rPr>
      </w:pPr>
      <w:r>
        <w:rPr>
          <w:rFonts w:ascii="Times New Roman" w:cs="Times New Roman" w:eastAsia="Times New Roman" w:hAnsi="Times New Roman"/>
          <w:sz w:val="20"/>
          <w:szCs w:val="20"/>
          <w:color w:val="121212"/>
        </w:rPr>
        <w:t>developing and making recommendations to the board of directors regarding corporate governance guidelines and matters.</w:t>
      </w:r>
    </w:p>
    <w:p>
      <w:pPr>
        <w:spacing w:after="0" w:line="5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121212"/>
        </w:rPr>
        <w:t>The members of the Nominating and Corporate Governance Committee are Kevin Bitterman, Mona Ashiya, Donald Nicholson and Liam Ratcliffe. Dr. Bitterman is the chair of the Nominating and Corporate Governance Committee. During the fiscal year ended December 31, 2023, the Disc nominating and corporate governance committee did not meet. We believe that the composition the nominating and corporate governance committee meets the requirements for independence under, and the functioning of such nominating and corporate governance committee complies with, any applicable requirements of the rules and regulations of Nasdaq and the SEC.</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142</w:t>
      </w:r>
    </w:p>
    <w:p>
      <w:pPr>
        <w:sectPr>
          <w:pgSz w:w="12240" w:h="15840" w:orient="portrait"/>
          <w:cols w:equalWidth="0" w:num="1">
            <w:col w:w="10440"/>
          </w:cols>
          <w:pgMar w:left="900" w:top="930" w:right="900" w:bottom="175"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b w:val="1"/>
          <w:bCs w:val="1"/>
          <w:color w:val="121212"/>
        </w:rPr>
        <w:t>Policy on Trading, Pledging and Hedging of Company Stock</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21212"/>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employees, consultants and designated contractors. Our insider trading policy expressly prohibits purchases of any derivative securities that provide the economic equivalent of ownership.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Compensation Committee Interlocks and Insider Participation</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121212"/>
        </w:rPr>
        <w:t>Each member of the compensation committee is a “non-employee” director within the meaning of Rule 16b-3 of the rules promulgated under the Exchange Act and independent within the meaning of the independent director guidelines of Nasdaq. None of our executive officers serves as a member of the board of directors or compensation committee of any entity that has one or more executive officers who serves on our board of directors or compensation committee.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Board Leadership Structure</w:t>
      </w:r>
    </w:p>
    <w:p>
      <w:pPr>
        <w:spacing w:after="0" w:line="12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121212"/>
        </w:rPr>
        <w:t>Our board of directors is currently chaired by Donald Nicholson, an independent director. Currently, the role of chairman of the board of directors is separated from the role of chief executive officer. Separating these positions allows our chief executive officer to focus on our day-to-day business, while allowing the chairperson of the board of directors to lead the board of directors in its fundamental role of providing advice to and independent oversight of management. The board of directors has not adopted a position description for the chairperson. However, there is a shared understanding on the board of directors of the chairperson’s responsibilities. The chairperson’s primary role is to provide leadership to the board of directors and its committees, including chairing meetings in a manner that facilitates open discussions and expressions of competing views. The chairperson is also responsible for, among other things, assisting the board of directors in obtaining information required for the performance of their duties, retaining appropriately qualified and independent advisors as needed, working with the board to support board development and to ensure a proper committee structure is in place, providing a link between the board of directors and management and acting in an advisory capacity to the chief executive officer in all matters concerning the interests and management of the company. Our board of directors recognizes the time, effort and energy that the chief executive officer must devote to his position in the current business environment, as well as the commitment required to serve as the chairperson of the board of directors,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chairperson of the board and chief executive officer positions to be separate, our board of directors believes that having separate positions is the appropriate leadership structure for us at this time. The board of directors has not adopted a separate position description for our chief executive officer. The role and responsibilities of the chief executive officer is delineated by frequent discussion and interaction between the board chairperson and the chief executive officer.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Oversight of Risk</w:t>
      </w:r>
    </w:p>
    <w:p>
      <w:pPr>
        <w:spacing w:after="0" w:line="12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121212"/>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under “Risk Factors” in this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121212"/>
        </w:rPr>
        <w:t>Our board of directors regularly discusses with management our major risk exposures, the potential impact of these risks on our business and the steps we take to manage them. The risk oversight process includes receiving regular reports from board of director committees and members of senior management to enable our board of directors to understand the company’s risk identification, risk management and risk mitigation strategies with respect to areas of potential material risk, including operations, finance, legal, regulatory, strategic and reputational risk.</w:t>
      </w:r>
    </w:p>
    <w:p>
      <w:pPr>
        <w:spacing w:after="0" w:line="7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121212"/>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w:t>
      </w:r>
    </w:p>
    <w:p>
      <w:pPr>
        <w:sectPr>
          <w:pgSz w:w="12240" w:h="15840" w:orient="portrait"/>
          <w:cols w:equalWidth="0" w:num="1">
            <w:col w:w="10420"/>
          </w:cols>
          <w:pgMar w:left="900" w:top="926" w:right="920" w:bottom="175"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21212"/>
        </w:rPr>
        <w:t>143</w:t>
      </w:r>
    </w:p>
    <w:p>
      <w:pPr>
        <w:sectPr>
          <w:pgSz w:w="12240" w:h="15840" w:orient="portrait"/>
          <w:cols w:equalWidth="0" w:num="1">
            <w:col w:w="10420"/>
          </w:cols>
          <w:pgMar w:left="900" w:top="926" w:right="920" w:bottom="175" w:gutter="0" w:footer="0" w:header="0"/>
          <w:type w:val="continuous"/>
        </w:sectPr>
      </w:pPr>
    </w:p>
    <w:bookmarkStart w:id="153" w:name="page154"/>
    <w:bookmarkEnd w:id="153"/>
    <w:p>
      <w:pPr>
        <w:ind w:right="60"/>
        <w:spacing w:after="0" w:line="246" w:lineRule="auto"/>
        <w:rPr>
          <w:sz w:val="20"/>
          <w:szCs w:val="20"/>
          <w:color w:val="auto"/>
        </w:rPr>
      </w:pPr>
      <w:r>
        <w:rPr>
          <w:rFonts w:ascii="Times New Roman" w:cs="Times New Roman" w:eastAsia="Times New Roman" w:hAnsi="Times New Roman"/>
          <w:sz w:val="20"/>
          <w:szCs w:val="20"/>
          <w:color w:val="121212"/>
        </w:rPr>
        <w:t>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 -taking.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as a whole.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Section 16(a) Beneficial Ownership Reporting Compliance</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21212"/>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The SEC has designated specific deadlines for these reports, and we must identify those persons who did not file these reports when due. To our knowledge, based solely on a review of copies of such forms furnished to us, and written representations made by our directors and officers regarding their filing obligations, we believe all Section 16(a) filing requirements were satisfied on a timely basis with respect to the year ended December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Ownership of Our Common Stock</w:t>
      </w:r>
    </w:p>
    <w:p>
      <w:pPr>
        <w:spacing w:after="0" w:line="120"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121212"/>
        </w:rPr>
        <w:t>The information in this section is set forth below in “Item 12. Security Ownership of Certain Beneficial Owners and Management and Related Shareholder Matters”.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Policy for Recoupment of Incentive Company (Clawback Policy)</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On September 19, 2023, we adopted a policy for recoupment of incentive compensation (the “Clawback Policy”) in compliance with the requirements of the Dodd-Frank Wall Street Reform and Consumer Protection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 In addition, under our Clawback Policy, in the event that we are required to restate our financial statements due to material noncompliance with any financial reporting requirement under securities laws, we must use reasonable efforts to recover (i) any cash or equity incentive compensation received by any other current or former employee of the Company in the three years prior to the date we are required to restate our financial statements that is in excess of the amount that would have been received based on the restated financial statements if we determine that the employee committed certain acts or omissions that materially contributed to the circumstances requiring the restatement and (ii) up to 100% of the cash and equity incentive compensation received by any current or former employee in the three years prior to the date we are required to restate our financial statements if we determine that the employee committed certain acts or omissions that materially contributed to the circumstances requiring the restatement.</w:t>
      </w:r>
    </w:p>
    <w:p>
      <w:pPr>
        <w:spacing w:after="0" w:line="20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121212"/>
        </w:rPr>
        <w:t>ITEM 11.</w:t>
      </w:r>
      <w:r>
        <w:rPr>
          <w:sz w:val="20"/>
          <w:szCs w:val="20"/>
          <w:color w:val="auto"/>
        </w:rPr>
        <w:tab/>
      </w:r>
      <w:r>
        <w:rPr>
          <w:rFonts w:ascii="Times New Roman" w:cs="Times New Roman" w:eastAsia="Times New Roman" w:hAnsi="Times New Roman"/>
          <w:sz w:val="20"/>
          <w:szCs w:val="20"/>
          <w:b w:val="1"/>
          <w:bCs w:val="1"/>
          <w:color w:val="121212"/>
        </w:rPr>
        <w:t>EXECUTIVE COMPENSATION</w:t>
      </w:r>
    </w:p>
    <w:p>
      <w:pPr>
        <w:spacing w:after="0" w:line="12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121212"/>
        </w:rPr>
        <w:t>Our executive compensation programs are designed to attract, motivate, incentivize and retain our executive officers, who contribute to our long-term success. Pay that is competitive, rewards performance and effectively aligns the interests of our executive officers with those of our long-term stockholders is key to our compensation program design and decisions. We structure our executive compensation programs to be heavily weighted towards long-term equity incentives that correlate with the growth of sustainable long-term value for our stockholders.</w:t>
      </w:r>
    </w:p>
    <w:p>
      <w:pPr>
        <w:spacing w:after="0" w:line="77"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121212"/>
        </w:rPr>
        <w:t>The compensation provided to our named executive officers for the fiscal years ended December 31, 2023 and 2022, as applicable, is detailed in the 2023 Summary Compensation Table and accompanying footnotes and narrative that follow. Our named executive officers for the fiscal year ended December 31, 2023, which consisted of our Chief Executive Officer and our two most highly compensated executive officers other than the Chief Executive Officer, were:</w:t>
      </w:r>
    </w:p>
    <w:p>
      <w:pPr>
        <w:spacing w:after="0" w:line="74" w:lineRule="exact"/>
        <w:rPr>
          <w:sz w:val="20"/>
          <w:szCs w:val="20"/>
          <w:color w:val="auto"/>
        </w:rPr>
      </w:pPr>
    </w:p>
    <w:p>
      <w:pPr>
        <w:ind w:left="720" w:hanging="367"/>
        <w:spacing w:after="0"/>
        <w:tabs>
          <w:tab w:leader="none" w:pos="720" w:val="left"/>
        </w:tabs>
        <w:numPr>
          <w:ilvl w:val="0"/>
          <w:numId w:val="63"/>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John Quisel, J.D., Ph.D., Chief Executive Officer</w:t>
      </w:r>
    </w:p>
    <w:p>
      <w:pPr>
        <w:spacing w:after="0" w:line="120" w:lineRule="exact"/>
        <w:rPr>
          <w:rFonts w:ascii="Times New Roman" w:cs="Times New Roman" w:eastAsia="Times New Roman" w:hAnsi="Times New Roman"/>
          <w:sz w:val="20"/>
          <w:szCs w:val="20"/>
          <w:color w:val="121212"/>
        </w:rPr>
      </w:pPr>
    </w:p>
    <w:p>
      <w:pPr>
        <w:ind w:left="720" w:hanging="367"/>
        <w:spacing w:after="0"/>
        <w:tabs>
          <w:tab w:leader="none" w:pos="720" w:val="left"/>
        </w:tabs>
        <w:numPr>
          <w:ilvl w:val="0"/>
          <w:numId w:val="63"/>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William Savage, MD, Ph.D., Chief Medical Officer</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144</w:t>
      </w:r>
    </w:p>
    <w:p>
      <w:pPr>
        <w:sectPr>
          <w:pgSz w:w="12240" w:h="15840" w:orient="portrait"/>
          <w:cols w:equalWidth="0" w:num="1">
            <w:col w:w="10440"/>
          </w:cols>
          <w:pgMar w:left="900" w:top="930" w:right="900" w:bottom="175" w:gutter="0" w:footer="0" w:header="0"/>
          <w:type w:val="continuous"/>
        </w:sectPr>
      </w:pPr>
    </w:p>
    <w:bookmarkStart w:id="154" w:name="page155"/>
    <w:bookmarkEnd w:id="154"/>
    <w:p>
      <w:pPr>
        <w:ind w:left="727" w:right="20" w:hanging="367"/>
        <w:spacing w:after="0" w:line="277" w:lineRule="auto"/>
        <w:tabs>
          <w:tab w:leader="none" w:pos="727" w:val="left"/>
        </w:tabs>
        <w:numPr>
          <w:ilvl w:val="0"/>
          <w:numId w:val="64"/>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Joanne Bryce, CPA, Chief Financial Officer (who departed from her role as Chief Financial Officer effective February 7, 2024)</w:t>
      </w:r>
    </w:p>
    <w:p>
      <w:pPr>
        <w:spacing w:after="0" w:line="16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21212"/>
        </w:rPr>
        <w:t>2023 Summary Compensation Table</w:t>
      </w:r>
    </w:p>
    <w:p>
      <w:pPr>
        <w:spacing w:after="0" w:line="124" w:lineRule="exact"/>
        <w:rPr>
          <w:sz w:val="20"/>
          <w:szCs w:val="20"/>
          <w:color w:val="auto"/>
        </w:rPr>
      </w:pPr>
    </w:p>
    <w:p>
      <w:pPr>
        <w:ind w:left="7" w:right="260" w:firstLine="490"/>
        <w:spacing w:after="0" w:line="258" w:lineRule="auto"/>
        <w:rPr>
          <w:sz w:val="20"/>
          <w:szCs w:val="20"/>
          <w:color w:val="auto"/>
        </w:rPr>
      </w:pPr>
      <w:r>
        <w:rPr>
          <w:rFonts w:ascii="Times New Roman" w:cs="Times New Roman" w:eastAsia="Times New Roman" w:hAnsi="Times New Roman"/>
          <w:sz w:val="20"/>
          <w:szCs w:val="20"/>
          <w:color w:val="121212"/>
        </w:rPr>
        <w:t>The following table provides information regarding the total compensation awarded to, earned by, and paid to our named executive officers for services rendered to us in all capacities for the fiscal years ended December 31, 2023 and 2022, as applicable.</w:t>
      </w:r>
    </w:p>
    <w:p>
      <w:pPr>
        <w:spacing w:after="0" w:line="6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b w:val="1"/>
                <w:bCs w:val="1"/>
                <w:color w:val="121212"/>
                <w:w w:val="99"/>
              </w:rPr>
              <w:t>Option</w:t>
            </w:r>
          </w:p>
        </w:tc>
        <w:tc>
          <w:tcPr>
            <w:tcW w:w="2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Non-Equity</w:t>
            </w:r>
          </w:p>
        </w:tc>
        <w:tc>
          <w:tcPr>
            <w:tcW w:w="120" w:type="dxa"/>
            <w:vAlign w:val="bottom"/>
          </w:tcPr>
          <w:p>
            <w:pPr>
              <w:spacing w:after="0"/>
              <w:rPr>
                <w:sz w:val="16"/>
                <w:szCs w:val="16"/>
                <w:color w:val="auto"/>
              </w:rPr>
            </w:pPr>
          </w:p>
        </w:tc>
        <w:tc>
          <w:tcPr>
            <w:tcW w:w="1280" w:type="dxa"/>
            <w:vAlign w:val="bottom"/>
            <w:vMerge w:val="restart"/>
          </w:tcPr>
          <w:p>
            <w:pPr>
              <w:jc w:val="center"/>
              <w:ind w:right="27"/>
              <w:spacing w:after="0"/>
              <w:rPr>
                <w:sz w:val="20"/>
                <w:szCs w:val="20"/>
                <w:color w:val="auto"/>
              </w:rPr>
            </w:pPr>
            <w:r>
              <w:rPr>
                <w:rFonts w:ascii="Times New Roman" w:cs="Times New Roman" w:eastAsia="Times New Roman" w:hAnsi="Times New Roman"/>
                <w:sz w:val="16"/>
                <w:szCs w:val="16"/>
                <w:b w:val="1"/>
                <w:bCs w:val="1"/>
                <w:color w:val="121212"/>
                <w:w w:val="97"/>
              </w:rPr>
              <w:t>All Other</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121212"/>
              </w:rPr>
              <w:t>Salary</w:t>
            </w:r>
          </w:p>
        </w:tc>
        <w:tc>
          <w:tcPr>
            <w:tcW w:w="120" w:type="dxa"/>
            <w:vAlign w:val="bottom"/>
          </w:tcPr>
          <w:p>
            <w:pPr>
              <w:spacing w:after="0"/>
              <w:rPr>
                <w:sz w:val="15"/>
                <w:szCs w:val="15"/>
                <w:color w:val="auto"/>
              </w:rPr>
            </w:pPr>
          </w:p>
        </w:tc>
        <w:tc>
          <w:tcPr>
            <w:tcW w:w="68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b w:val="1"/>
                <w:bCs w:val="1"/>
                <w:color w:val="121212"/>
              </w:rPr>
              <w:t>Bonus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121212"/>
                <w:w w:val="99"/>
              </w:rPr>
              <w:t>Incentive Plan</w:t>
            </w:r>
          </w:p>
        </w:tc>
        <w:tc>
          <w:tcPr>
            <w:tcW w:w="1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right"/>
              <w:ind w:right="327"/>
              <w:spacing w:after="0"/>
              <w:rPr>
                <w:sz w:val="20"/>
                <w:szCs w:val="20"/>
                <w:color w:val="auto"/>
              </w:rPr>
            </w:pPr>
            <w:r>
              <w:rPr>
                <w:rFonts w:ascii="Times New Roman" w:cs="Times New Roman" w:eastAsia="Times New Roman" w:hAnsi="Times New Roman"/>
                <w:sz w:val="16"/>
                <w:szCs w:val="16"/>
                <w:b w:val="1"/>
                <w:bCs w:val="1"/>
                <w:color w:val="121212"/>
              </w:rPr>
              <w:t>Total</w:t>
            </w:r>
          </w:p>
        </w:tc>
        <w:tc>
          <w:tcPr>
            <w:tcW w:w="0" w:type="dxa"/>
            <w:vAlign w:val="bottom"/>
          </w:tcPr>
          <w:p>
            <w:pPr>
              <w:spacing w:after="0"/>
              <w:rPr>
                <w:sz w:val="1"/>
                <w:szCs w:val="1"/>
                <w:color w:val="auto"/>
              </w:rPr>
            </w:pPr>
          </w:p>
        </w:tc>
      </w:tr>
      <w:tr>
        <w:trPr>
          <w:trHeight w:val="184"/>
        </w:trPr>
        <w:tc>
          <w:tcPr>
            <w:tcW w:w="2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21212"/>
              </w:rPr>
              <w:t>Name and Principal Position</w:t>
            </w:r>
          </w:p>
        </w:tc>
        <w:tc>
          <w:tcPr>
            <w:tcW w:w="120" w:type="dxa"/>
            <w:vAlign w:val="bottom"/>
          </w:tcPr>
          <w:p>
            <w:pPr>
              <w:spacing w:after="0"/>
              <w:rPr>
                <w:sz w:val="15"/>
                <w:szCs w:val="1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21212"/>
              </w:rPr>
              <w:t>Year</w:t>
            </w: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121212"/>
                <w:w w:val="97"/>
              </w:rPr>
              <w:t>Awards</w:t>
            </w:r>
          </w:p>
        </w:tc>
        <w:tc>
          <w:tcPr>
            <w:tcW w:w="280" w:type="dxa"/>
            <w:vAlign w:val="bottom"/>
          </w:tcPr>
          <w:p>
            <w:pPr>
              <w:spacing w:after="0"/>
              <w:rPr>
                <w:sz w:val="15"/>
                <w:szCs w:val="15"/>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121212"/>
                <w:w w:val="99"/>
              </w:rPr>
              <w:t>Compensation</w:t>
            </w:r>
          </w:p>
        </w:tc>
        <w:tc>
          <w:tcPr>
            <w:tcW w:w="120" w:type="dxa"/>
            <w:vAlign w:val="bottom"/>
          </w:tcPr>
          <w:p>
            <w:pPr>
              <w:spacing w:after="0"/>
              <w:rPr>
                <w:sz w:val="15"/>
                <w:szCs w:val="15"/>
                <w:color w:val="auto"/>
              </w:rPr>
            </w:pPr>
          </w:p>
        </w:tc>
        <w:tc>
          <w:tcPr>
            <w:tcW w:w="12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121212"/>
              </w:rPr>
              <w:t>Compensation</w:t>
            </w: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980" w:type="dxa"/>
            <w:vAlign w:val="bottom"/>
            <w:gridSpan w:val="2"/>
          </w:tcPr>
          <w:p>
            <w:pPr>
              <w:jc w:val="right"/>
              <w:ind w:right="247"/>
              <w:spacing w:after="0"/>
              <w:rPr>
                <w:sz w:val="20"/>
                <w:szCs w:val="20"/>
                <w:color w:val="auto"/>
              </w:rPr>
            </w:pPr>
            <w:r>
              <w:rPr>
                <w:rFonts w:ascii="Times New Roman" w:cs="Times New Roman" w:eastAsia="Times New Roman" w:hAnsi="Times New Roman"/>
                <w:sz w:val="16"/>
                <w:szCs w:val="16"/>
                <w:b w:val="1"/>
                <w:bCs w:val="1"/>
                <w:color w:val="121212"/>
              </w:rPr>
              <w:t>($)</w:t>
            </w:r>
            <w:r>
              <w:rPr>
                <w:rFonts w:ascii="Times New Roman" w:cs="Times New Roman" w:eastAsia="Times New Roman" w:hAnsi="Times New Roman"/>
                <w:sz w:val="10"/>
                <w:szCs w:val="10"/>
                <w:b w:val="1"/>
                <w:bCs w:val="1"/>
                <w:color w:val="121212"/>
              </w:rPr>
              <w:t>(1)</w:t>
            </w:r>
          </w:p>
        </w:tc>
        <w:tc>
          <w:tcPr>
            <w:tcW w:w="80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b w:val="1"/>
                <w:bCs w:val="1"/>
                <w:color w:val="121212"/>
              </w:rPr>
              <w:t>($)</w:t>
            </w:r>
          </w:p>
        </w:tc>
        <w:tc>
          <w:tcPr>
            <w:tcW w:w="1320" w:type="dxa"/>
            <w:vAlign w:val="bottom"/>
            <w:gridSpan w:val="3"/>
          </w:tcPr>
          <w:p>
            <w:pPr>
              <w:jc w:val="center"/>
              <w:ind w:left="25"/>
              <w:spacing w:after="0"/>
              <w:rPr>
                <w:sz w:val="20"/>
                <w:szCs w:val="20"/>
                <w:color w:val="auto"/>
              </w:rPr>
            </w:pPr>
            <w:r>
              <w:rPr>
                <w:rFonts w:ascii="Times New Roman" w:cs="Times New Roman" w:eastAsia="Times New Roman" w:hAnsi="Times New Roman"/>
                <w:sz w:val="16"/>
                <w:szCs w:val="16"/>
                <w:b w:val="1"/>
                <w:bCs w:val="1"/>
                <w:color w:val="121212"/>
              </w:rPr>
              <w:t>($)</w:t>
            </w:r>
            <w:r>
              <w:rPr>
                <w:rFonts w:ascii="Times New Roman" w:cs="Times New Roman" w:eastAsia="Times New Roman" w:hAnsi="Times New Roman"/>
                <w:sz w:val="10"/>
                <w:szCs w:val="10"/>
                <w:b w:val="1"/>
                <w:bCs w:val="1"/>
                <w:color w:val="121212"/>
              </w:rPr>
              <w:t>(2)</w:t>
            </w:r>
          </w:p>
        </w:tc>
        <w:tc>
          <w:tcPr>
            <w:tcW w:w="280" w:type="dxa"/>
            <w:vAlign w:val="bottom"/>
          </w:tcPr>
          <w:p>
            <w:pPr>
              <w:spacing w:after="0"/>
              <w:rPr>
                <w:sz w:val="17"/>
                <w:szCs w:val="17"/>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121212"/>
                <w:w w:val="98"/>
              </w:rPr>
              <w:t>($)</w:t>
            </w:r>
            <w:r>
              <w:rPr>
                <w:rFonts w:ascii="Times New Roman" w:cs="Times New Roman" w:eastAsia="Times New Roman" w:hAnsi="Times New Roman"/>
                <w:sz w:val="10"/>
                <w:szCs w:val="10"/>
                <w:b w:val="1"/>
                <w:bCs w:val="1"/>
                <w:color w:val="121212"/>
                <w:w w:val="98"/>
              </w:rPr>
              <w:t>(3)</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21212"/>
              </w:rPr>
              <w:t>($)</w:t>
            </w:r>
            <w:r>
              <w:rPr>
                <w:rFonts w:ascii="Times New Roman" w:cs="Times New Roman" w:eastAsia="Times New Roman" w:hAnsi="Times New Roman"/>
                <w:sz w:val="10"/>
                <w:szCs w:val="10"/>
                <w:b w:val="1"/>
                <w:bCs w:val="1"/>
                <w:color w:val="121212"/>
              </w:rPr>
              <w:t>(4)</w:t>
            </w:r>
          </w:p>
        </w:tc>
        <w:tc>
          <w:tcPr>
            <w:tcW w:w="1200" w:type="dxa"/>
            <w:vAlign w:val="bottom"/>
            <w:gridSpan w:val="2"/>
          </w:tcPr>
          <w:p>
            <w:pPr>
              <w:jc w:val="right"/>
              <w:ind w:right="407"/>
              <w:spacing w:after="0"/>
              <w:rPr>
                <w:sz w:val="20"/>
                <w:szCs w:val="20"/>
                <w:color w:val="auto"/>
              </w:rPr>
            </w:pPr>
            <w:r>
              <w:rPr>
                <w:rFonts w:ascii="Times New Roman" w:cs="Times New Roman" w:eastAsia="Times New Roman" w:hAnsi="Times New Roman"/>
                <w:sz w:val="16"/>
                <w:szCs w:val="16"/>
                <w:b w:val="1"/>
                <w:bCs w:val="1"/>
                <w:color w:val="121212"/>
              </w:rPr>
              <w:t>($)</w:t>
            </w:r>
          </w:p>
        </w:tc>
        <w:tc>
          <w:tcPr>
            <w:tcW w:w="0" w:type="dxa"/>
            <w:vAlign w:val="bottom"/>
          </w:tcPr>
          <w:p>
            <w:pPr>
              <w:spacing w:after="0"/>
              <w:rPr>
                <w:sz w:val="1"/>
                <w:szCs w:val="1"/>
                <w:color w:val="auto"/>
              </w:rPr>
            </w:pPr>
          </w:p>
        </w:tc>
      </w:tr>
      <w:tr>
        <w:trPr>
          <w:trHeight w:val="220"/>
        </w:trPr>
        <w:tc>
          <w:tcPr>
            <w:tcW w:w="2620" w:type="dxa"/>
            <w:vAlign w:val="bottom"/>
            <w:tcBorders>
              <w:top w:val="single" w:sz="8" w:color="121212"/>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John Quisel, J.D., Ph.D.</w:t>
            </w:r>
          </w:p>
        </w:tc>
        <w:tc>
          <w:tcPr>
            <w:tcW w:w="120" w:type="dxa"/>
            <w:vAlign w:val="bottom"/>
            <w:tcBorders>
              <w:top w:val="single" w:sz="8" w:color="E0E0E0"/>
            </w:tcBorders>
            <w:shd w:val="clear" w:color="auto" w:fill="E0E0E0"/>
          </w:tcPr>
          <w:p>
            <w:pPr>
              <w:spacing w:after="0"/>
              <w:rPr>
                <w:sz w:val="19"/>
                <w:szCs w:val="19"/>
                <w:color w:val="auto"/>
              </w:rPr>
            </w:pPr>
          </w:p>
        </w:tc>
        <w:tc>
          <w:tcPr>
            <w:tcW w:w="440" w:type="dxa"/>
            <w:vAlign w:val="bottom"/>
            <w:tcBorders>
              <w:top w:val="single" w:sz="8" w:color="121212"/>
            </w:tcBorders>
            <w:shd w:val="clear" w:color="auto" w:fill="E0E0E0"/>
          </w:tcPr>
          <w:p>
            <w:pPr>
              <w:jc w:val="center"/>
              <w:spacing w:after="0" w:line="220" w:lineRule="exact"/>
              <w:rPr>
                <w:sz w:val="20"/>
                <w:szCs w:val="20"/>
                <w:color w:val="auto"/>
              </w:rPr>
            </w:pPr>
            <w:r>
              <w:rPr>
                <w:rFonts w:ascii="Times New Roman" w:cs="Times New Roman" w:eastAsia="Times New Roman" w:hAnsi="Times New Roman"/>
                <w:sz w:val="20"/>
                <w:szCs w:val="20"/>
                <w:color w:val="121212"/>
                <w:w w:val="99"/>
                <w:shd w:val="clear" w:color="auto" w:fill="E0E0E0"/>
              </w:rPr>
              <w:t>2023</w:t>
            </w:r>
          </w:p>
        </w:tc>
        <w:tc>
          <w:tcPr>
            <w:tcW w:w="100" w:type="dxa"/>
            <w:vAlign w:val="bottom"/>
            <w:tcBorders>
              <w:top w:val="single" w:sz="8" w:color="E0E0E0"/>
            </w:tcBorders>
            <w:shd w:val="clear" w:color="auto" w:fill="E0E0E0"/>
          </w:tcPr>
          <w:p>
            <w:pPr>
              <w:spacing w:after="0"/>
              <w:rPr>
                <w:sz w:val="19"/>
                <w:szCs w:val="19"/>
                <w:color w:val="auto"/>
              </w:rPr>
            </w:pPr>
          </w:p>
        </w:tc>
        <w:tc>
          <w:tcPr>
            <w:tcW w:w="880" w:type="dxa"/>
            <w:vAlign w:val="bottom"/>
            <w:tcBorders>
              <w:top w:val="single" w:sz="8" w:color="121212"/>
            </w:tcBorders>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562,000</w:t>
            </w:r>
          </w:p>
        </w:tc>
        <w:tc>
          <w:tcPr>
            <w:tcW w:w="120" w:type="dxa"/>
            <w:vAlign w:val="bottom"/>
            <w:tcBorders>
              <w:top w:val="single" w:sz="8" w:color="E0E0E0"/>
            </w:tcBorders>
            <w:shd w:val="clear" w:color="auto" w:fill="E0E0E0"/>
          </w:tcPr>
          <w:p>
            <w:pPr>
              <w:spacing w:after="0"/>
              <w:rPr>
                <w:sz w:val="19"/>
                <w:szCs w:val="19"/>
                <w:color w:val="auto"/>
              </w:rPr>
            </w:pPr>
          </w:p>
        </w:tc>
        <w:tc>
          <w:tcPr>
            <w:tcW w:w="680" w:type="dxa"/>
            <w:vAlign w:val="bottom"/>
            <w:tcBorders>
              <w:top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120" w:type="dxa"/>
            <w:vAlign w:val="bottom"/>
            <w:tcBorders>
              <w:top w:val="single" w:sz="8" w:color="121212"/>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1100" w:type="dxa"/>
            <w:vAlign w:val="bottom"/>
            <w:tcBorders>
              <w:top w:val="single" w:sz="8" w:color="121212"/>
            </w:tcBorders>
            <w:shd w:val="clear" w:color="auto" w:fill="E0E0E0"/>
          </w:tcPr>
          <w:p>
            <w:pPr>
              <w:jc w:val="right"/>
              <w:ind w:right="8"/>
              <w:spacing w:after="0" w:line="220" w:lineRule="exact"/>
              <w:rPr>
                <w:sz w:val="20"/>
                <w:szCs w:val="20"/>
                <w:color w:val="auto"/>
              </w:rPr>
            </w:pPr>
            <w:r>
              <w:rPr>
                <w:rFonts w:ascii="Times New Roman" w:cs="Times New Roman" w:eastAsia="Times New Roman" w:hAnsi="Times New Roman"/>
                <w:sz w:val="20"/>
                <w:szCs w:val="20"/>
                <w:color w:val="121212"/>
              </w:rPr>
              <w:t>—</w:t>
            </w:r>
          </w:p>
        </w:tc>
        <w:tc>
          <w:tcPr>
            <w:tcW w:w="280" w:type="dxa"/>
            <w:vAlign w:val="bottom"/>
            <w:tcBorders>
              <w:top w:val="single" w:sz="8" w:color="E0E0E0"/>
            </w:tcBorders>
            <w:shd w:val="clear" w:color="auto" w:fill="E0E0E0"/>
          </w:tcPr>
          <w:p>
            <w:pPr>
              <w:spacing w:after="0"/>
              <w:rPr>
                <w:sz w:val="19"/>
                <w:szCs w:val="19"/>
                <w:color w:val="auto"/>
              </w:rPr>
            </w:pPr>
          </w:p>
        </w:tc>
        <w:tc>
          <w:tcPr>
            <w:tcW w:w="1280" w:type="dxa"/>
            <w:vAlign w:val="bottom"/>
            <w:tcBorders>
              <w:top w:val="single" w:sz="8" w:color="121212"/>
            </w:tcBorders>
            <w:shd w:val="clear" w:color="auto" w:fill="E0E0E0"/>
          </w:tcPr>
          <w:p>
            <w:pPr>
              <w:jc w:val="right"/>
              <w:ind w:right="8"/>
              <w:spacing w:after="0" w:line="220" w:lineRule="exact"/>
              <w:rPr>
                <w:sz w:val="20"/>
                <w:szCs w:val="20"/>
                <w:color w:val="auto"/>
              </w:rPr>
            </w:pPr>
            <w:r>
              <w:rPr>
                <w:rFonts w:ascii="Times New Roman" w:cs="Times New Roman" w:eastAsia="Times New Roman" w:hAnsi="Times New Roman"/>
                <w:sz w:val="20"/>
                <w:szCs w:val="20"/>
                <w:color w:val="121212"/>
              </w:rPr>
              <w:t>337,200</w:t>
            </w:r>
          </w:p>
        </w:tc>
        <w:tc>
          <w:tcPr>
            <w:tcW w:w="120" w:type="dxa"/>
            <w:vAlign w:val="bottom"/>
            <w:tcBorders>
              <w:top w:val="single" w:sz="8" w:color="E0E0E0"/>
            </w:tcBorders>
            <w:shd w:val="clear" w:color="auto" w:fill="E0E0E0"/>
          </w:tcPr>
          <w:p>
            <w:pPr>
              <w:spacing w:after="0"/>
              <w:rPr>
                <w:sz w:val="19"/>
                <w:szCs w:val="19"/>
                <w:color w:val="auto"/>
              </w:rPr>
            </w:pPr>
          </w:p>
        </w:tc>
        <w:tc>
          <w:tcPr>
            <w:tcW w:w="1280" w:type="dxa"/>
            <w:vAlign w:val="bottom"/>
            <w:tcBorders>
              <w:top w:val="single" w:sz="8" w:color="121212"/>
            </w:tcBorders>
            <w:shd w:val="clear" w:color="auto" w:fill="E0E0E0"/>
          </w:tcPr>
          <w:p>
            <w:pPr>
              <w:jc w:val="right"/>
              <w:ind w:right="27"/>
              <w:spacing w:after="0" w:line="220" w:lineRule="exact"/>
              <w:rPr>
                <w:sz w:val="20"/>
                <w:szCs w:val="20"/>
                <w:color w:val="auto"/>
              </w:rPr>
            </w:pPr>
            <w:r>
              <w:rPr>
                <w:rFonts w:ascii="Times New Roman" w:cs="Times New Roman" w:eastAsia="Times New Roman" w:hAnsi="Times New Roman"/>
                <w:sz w:val="20"/>
                <w:szCs w:val="20"/>
                <w:color w:val="121212"/>
              </w:rPr>
              <w:t>4,261</w:t>
            </w:r>
          </w:p>
        </w:tc>
        <w:tc>
          <w:tcPr>
            <w:tcW w:w="100" w:type="dxa"/>
            <w:vAlign w:val="bottom"/>
            <w:tcBorders>
              <w:top w:val="single" w:sz="8" w:color="E0E0E0"/>
            </w:tcBorders>
            <w:shd w:val="clear" w:color="auto" w:fill="E0E0E0"/>
          </w:tcPr>
          <w:p>
            <w:pPr>
              <w:spacing w:after="0"/>
              <w:rPr>
                <w:sz w:val="19"/>
                <w:szCs w:val="19"/>
                <w:color w:val="auto"/>
              </w:rPr>
            </w:pPr>
          </w:p>
        </w:tc>
        <w:tc>
          <w:tcPr>
            <w:tcW w:w="1100" w:type="dxa"/>
            <w:vAlign w:val="bottom"/>
            <w:tcBorders>
              <w:top w:val="single" w:sz="8" w:color="121212"/>
            </w:tcBorders>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903,461</w:t>
            </w:r>
          </w:p>
        </w:tc>
        <w:tc>
          <w:tcPr>
            <w:tcW w:w="0" w:type="dxa"/>
            <w:vAlign w:val="bottom"/>
          </w:tcPr>
          <w:p>
            <w:pPr>
              <w:spacing w:after="0"/>
              <w:rPr>
                <w:sz w:val="1"/>
                <w:szCs w:val="1"/>
                <w:color w:val="auto"/>
              </w:rPr>
            </w:pPr>
          </w:p>
        </w:tc>
      </w:tr>
      <w:tr>
        <w:trPr>
          <w:trHeight w:val="230"/>
        </w:trPr>
        <w:tc>
          <w:tcPr>
            <w:tcW w:w="26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i w:val="1"/>
                <w:iCs w:val="1"/>
                <w:color w:val="121212"/>
              </w:rPr>
              <w:t>Chief Executive Officer</w:t>
            </w:r>
          </w:p>
        </w:tc>
        <w:tc>
          <w:tcPr>
            <w:tcW w:w="120" w:type="dxa"/>
            <w:vAlign w:val="bottom"/>
            <w:shd w:val="clear" w:color="auto" w:fill="E0E0E0"/>
          </w:tcPr>
          <w:p>
            <w:pPr>
              <w:spacing w:after="0"/>
              <w:rPr>
                <w:sz w:val="19"/>
                <w:szCs w:val="19"/>
                <w:color w:val="auto"/>
              </w:rPr>
            </w:pPr>
          </w:p>
        </w:tc>
        <w:tc>
          <w:tcPr>
            <w:tcW w:w="44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121212"/>
                <w:w w:val="99"/>
              </w:rPr>
              <w:t>2022</w:t>
            </w:r>
          </w:p>
        </w:tc>
        <w:tc>
          <w:tcPr>
            <w:tcW w:w="100" w:type="dxa"/>
            <w:vAlign w:val="bottom"/>
            <w:shd w:val="clear" w:color="auto" w:fill="E0E0E0"/>
          </w:tcPr>
          <w:p>
            <w:pPr>
              <w:spacing w:after="0"/>
              <w:rPr>
                <w:sz w:val="19"/>
                <w:szCs w:val="19"/>
                <w:color w:val="auto"/>
              </w:rPr>
            </w:pPr>
          </w:p>
        </w:tc>
        <w:tc>
          <w:tcPr>
            <w:tcW w:w="88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476,477</w:t>
            </w:r>
          </w:p>
        </w:tc>
        <w:tc>
          <w:tcPr>
            <w:tcW w:w="12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w:t>
            </w:r>
          </w:p>
        </w:tc>
        <w:tc>
          <w:tcPr>
            <w:tcW w:w="1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00" w:type="dxa"/>
            <w:vAlign w:val="bottom"/>
            <w:shd w:val="clear" w:color="auto" w:fill="E0E0E0"/>
          </w:tcPr>
          <w:p>
            <w:pPr>
              <w:jc w:val="right"/>
              <w:ind w:right="8"/>
              <w:spacing w:after="0"/>
              <w:rPr>
                <w:sz w:val="20"/>
                <w:szCs w:val="20"/>
                <w:color w:val="auto"/>
              </w:rPr>
            </w:pPr>
            <w:r>
              <w:rPr>
                <w:rFonts w:ascii="Times New Roman" w:cs="Times New Roman" w:eastAsia="Times New Roman" w:hAnsi="Times New Roman"/>
                <w:sz w:val="20"/>
                <w:szCs w:val="20"/>
                <w:color w:val="121212"/>
              </w:rPr>
              <w:t>1,081,150</w:t>
            </w:r>
          </w:p>
        </w:tc>
        <w:tc>
          <w:tcPr>
            <w:tcW w:w="280" w:type="dxa"/>
            <w:vAlign w:val="bottom"/>
            <w:shd w:val="clear" w:color="auto" w:fill="E0E0E0"/>
          </w:tcPr>
          <w:p>
            <w:pPr>
              <w:spacing w:after="0"/>
              <w:rPr>
                <w:sz w:val="19"/>
                <w:szCs w:val="19"/>
                <w:color w:val="auto"/>
              </w:rPr>
            </w:pPr>
          </w:p>
        </w:tc>
        <w:tc>
          <w:tcPr>
            <w:tcW w:w="1280" w:type="dxa"/>
            <w:vAlign w:val="bottom"/>
            <w:shd w:val="clear" w:color="auto" w:fill="E0E0E0"/>
          </w:tcPr>
          <w:p>
            <w:pPr>
              <w:jc w:val="right"/>
              <w:ind w:right="8"/>
              <w:spacing w:after="0"/>
              <w:rPr>
                <w:sz w:val="20"/>
                <w:szCs w:val="20"/>
                <w:color w:val="auto"/>
              </w:rPr>
            </w:pPr>
            <w:r>
              <w:rPr>
                <w:rFonts w:ascii="Times New Roman" w:cs="Times New Roman" w:eastAsia="Times New Roman" w:hAnsi="Times New Roman"/>
                <w:sz w:val="20"/>
                <w:szCs w:val="20"/>
                <w:color w:val="121212"/>
              </w:rPr>
              <w:t>273,638</w:t>
            </w:r>
          </w:p>
        </w:tc>
        <w:tc>
          <w:tcPr>
            <w:tcW w:w="120" w:type="dxa"/>
            <w:vAlign w:val="bottom"/>
            <w:shd w:val="clear" w:color="auto" w:fill="E0E0E0"/>
          </w:tcPr>
          <w:p>
            <w:pPr>
              <w:spacing w:after="0"/>
              <w:rPr>
                <w:sz w:val="19"/>
                <w:szCs w:val="19"/>
                <w:color w:val="auto"/>
              </w:rPr>
            </w:pPr>
          </w:p>
        </w:tc>
        <w:tc>
          <w:tcPr>
            <w:tcW w:w="1280" w:type="dxa"/>
            <w:vAlign w:val="bottom"/>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121212"/>
              </w:rPr>
              <w:t>—</w:t>
            </w:r>
          </w:p>
        </w:tc>
        <w:tc>
          <w:tcPr>
            <w:tcW w:w="100" w:type="dxa"/>
            <w:vAlign w:val="bottom"/>
            <w:shd w:val="clear" w:color="auto" w:fill="E0E0E0"/>
          </w:tcPr>
          <w:p>
            <w:pPr>
              <w:spacing w:after="0"/>
              <w:rPr>
                <w:sz w:val="19"/>
                <w:szCs w:val="19"/>
                <w:color w:val="auto"/>
              </w:rPr>
            </w:pPr>
          </w:p>
        </w:tc>
        <w:tc>
          <w:tcPr>
            <w:tcW w:w="110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1,831,265</w:t>
            </w:r>
          </w:p>
        </w:tc>
        <w:tc>
          <w:tcPr>
            <w:tcW w:w="0" w:type="dxa"/>
            <w:vAlign w:val="bottom"/>
          </w:tcPr>
          <w:p>
            <w:pPr>
              <w:spacing w:after="0"/>
              <w:rPr>
                <w:sz w:val="1"/>
                <w:szCs w:val="1"/>
                <w:color w:val="auto"/>
              </w:rPr>
            </w:pPr>
          </w:p>
        </w:tc>
      </w:tr>
      <w:tr>
        <w:trPr>
          <w:trHeight w:val="211"/>
        </w:trPr>
        <w:tc>
          <w:tcPr>
            <w:tcW w:w="26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121212"/>
              </w:rPr>
              <w:t>William Savage, MD, Ph.D.</w:t>
            </w:r>
          </w:p>
        </w:tc>
        <w:tc>
          <w:tcPr>
            <w:tcW w:w="560" w:type="dxa"/>
            <w:vAlign w:val="bottom"/>
            <w:gridSpan w:val="2"/>
          </w:tcPr>
          <w:p>
            <w:pPr>
              <w:jc w:val="center"/>
              <w:ind w:left="20"/>
              <w:spacing w:after="0" w:line="210" w:lineRule="exact"/>
              <w:rPr>
                <w:sz w:val="20"/>
                <w:szCs w:val="20"/>
                <w:color w:val="auto"/>
              </w:rPr>
            </w:pPr>
            <w:r>
              <w:rPr>
                <w:rFonts w:ascii="Times New Roman" w:cs="Times New Roman" w:eastAsia="Times New Roman" w:hAnsi="Times New Roman"/>
                <w:sz w:val="20"/>
                <w:szCs w:val="20"/>
                <w:color w:val="121212"/>
                <w:w w:val="99"/>
              </w:rPr>
              <w:t>2023</w:t>
            </w:r>
          </w:p>
        </w:tc>
        <w:tc>
          <w:tcPr>
            <w:tcW w:w="980" w:type="dxa"/>
            <w:vAlign w:val="bottom"/>
            <w:gridSpan w:val="2"/>
          </w:tcPr>
          <w:p>
            <w:pPr>
              <w:jc w:val="right"/>
              <w:ind w:right="7"/>
              <w:spacing w:after="0" w:line="210" w:lineRule="exact"/>
              <w:rPr>
                <w:sz w:val="20"/>
                <w:szCs w:val="20"/>
                <w:color w:val="auto"/>
              </w:rPr>
            </w:pPr>
            <w:r>
              <w:rPr>
                <w:rFonts w:ascii="Times New Roman" w:cs="Times New Roman" w:eastAsia="Times New Roman" w:hAnsi="Times New Roman"/>
                <w:sz w:val="20"/>
                <w:szCs w:val="20"/>
                <w:color w:val="121212"/>
              </w:rPr>
              <w:t>458,000</w:t>
            </w:r>
          </w:p>
        </w:tc>
        <w:tc>
          <w:tcPr>
            <w:tcW w:w="120" w:type="dxa"/>
            <w:vAlign w:val="bottom"/>
          </w:tcPr>
          <w:p>
            <w:pPr>
              <w:spacing w:after="0"/>
              <w:rPr>
                <w:sz w:val="18"/>
                <w:szCs w:val="18"/>
                <w:color w:val="auto"/>
              </w:rPr>
            </w:pPr>
          </w:p>
        </w:tc>
        <w:tc>
          <w:tcPr>
            <w:tcW w:w="6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121212"/>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8"/>
              <w:spacing w:after="0" w:line="210" w:lineRule="exact"/>
              <w:rPr>
                <w:sz w:val="20"/>
                <w:szCs w:val="20"/>
                <w:color w:val="auto"/>
              </w:rPr>
            </w:pPr>
            <w:r>
              <w:rPr>
                <w:rFonts w:ascii="Times New Roman" w:cs="Times New Roman" w:eastAsia="Times New Roman" w:hAnsi="Times New Roman"/>
                <w:sz w:val="20"/>
                <w:szCs w:val="20"/>
                <w:color w:val="121212"/>
              </w:rPr>
              <w:t>—</w:t>
            </w:r>
          </w:p>
        </w:tc>
        <w:tc>
          <w:tcPr>
            <w:tcW w:w="280" w:type="dxa"/>
            <w:vAlign w:val="bottom"/>
          </w:tcPr>
          <w:p>
            <w:pPr>
              <w:spacing w:after="0"/>
              <w:rPr>
                <w:sz w:val="18"/>
                <w:szCs w:val="18"/>
                <w:color w:val="auto"/>
              </w:rPr>
            </w:pPr>
          </w:p>
        </w:tc>
        <w:tc>
          <w:tcPr>
            <w:tcW w:w="1280" w:type="dxa"/>
            <w:vAlign w:val="bottom"/>
          </w:tcPr>
          <w:p>
            <w:pPr>
              <w:jc w:val="right"/>
              <w:ind w:right="8"/>
              <w:spacing w:after="0" w:line="210" w:lineRule="exact"/>
              <w:rPr>
                <w:sz w:val="20"/>
                <w:szCs w:val="20"/>
                <w:color w:val="auto"/>
              </w:rPr>
            </w:pPr>
            <w:r>
              <w:rPr>
                <w:rFonts w:ascii="Times New Roman" w:cs="Times New Roman" w:eastAsia="Times New Roman" w:hAnsi="Times New Roman"/>
                <w:sz w:val="20"/>
                <w:szCs w:val="20"/>
                <w:color w:val="121212"/>
              </w:rPr>
              <w:t>219,840</w:t>
            </w:r>
          </w:p>
        </w:tc>
        <w:tc>
          <w:tcPr>
            <w:tcW w:w="1400" w:type="dxa"/>
            <w:vAlign w:val="bottom"/>
            <w:gridSpan w:val="2"/>
          </w:tcPr>
          <w:p>
            <w:pPr>
              <w:jc w:val="right"/>
              <w:ind w:right="27"/>
              <w:spacing w:after="0" w:line="210" w:lineRule="exact"/>
              <w:rPr>
                <w:sz w:val="20"/>
                <w:szCs w:val="20"/>
                <w:color w:val="auto"/>
              </w:rPr>
            </w:pPr>
            <w:r>
              <w:rPr>
                <w:rFonts w:ascii="Times New Roman" w:cs="Times New Roman" w:eastAsia="Times New Roman" w:hAnsi="Times New Roman"/>
                <w:sz w:val="20"/>
                <w:szCs w:val="20"/>
                <w:color w:val="121212"/>
              </w:rPr>
              <w:t>9,900</w:t>
            </w:r>
          </w:p>
        </w:tc>
        <w:tc>
          <w:tcPr>
            <w:tcW w:w="1200" w:type="dxa"/>
            <w:vAlign w:val="bottom"/>
            <w:gridSpan w:val="2"/>
          </w:tcPr>
          <w:p>
            <w:pPr>
              <w:jc w:val="right"/>
              <w:ind w:right="7"/>
              <w:spacing w:after="0" w:line="210" w:lineRule="exact"/>
              <w:rPr>
                <w:sz w:val="20"/>
                <w:szCs w:val="20"/>
                <w:color w:val="auto"/>
              </w:rPr>
            </w:pPr>
            <w:r>
              <w:rPr>
                <w:rFonts w:ascii="Times New Roman" w:cs="Times New Roman" w:eastAsia="Times New Roman" w:hAnsi="Times New Roman"/>
                <w:sz w:val="20"/>
                <w:szCs w:val="20"/>
                <w:color w:val="121212"/>
              </w:rPr>
              <w:t>687,740</w:t>
            </w: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0"/>
                <w:szCs w:val="20"/>
                <w:color w:val="auto"/>
              </w:rPr>
            </w:pPr>
            <w:r>
              <w:rPr>
                <w:rFonts w:ascii="Times New Roman" w:cs="Times New Roman" w:eastAsia="Times New Roman" w:hAnsi="Times New Roman"/>
                <w:sz w:val="20"/>
                <w:szCs w:val="20"/>
                <w:i w:val="1"/>
                <w:iCs w:val="1"/>
                <w:color w:val="121212"/>
              </w:rPr>
              <w:t>Chief Medical Officer</w:t>
            </w:r>
          </w:p>
        </w:tc>
        <w:tc>
          <w:tcPr>
            <w:tcW w:w="5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121212"/>
                <w:w w:val="99"/>
              </w:rPr>
              <w:t>2022</w:t>
            </w:r>
          </w:p>
        </w:tc>
        <w:tc>
          <w:tcPr>
            <w:tcW w:w="9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21212"/>
              </w:rPr>
              <w:t>378,234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21212"/>
              </w:rPr>
              <w:t>20,000</w:t>
            </w:r>
          </w:p>
        </w:tc>
        <w:tc>
          <w:tcPr>
            <w:tcW w:w="1320" w:type="dxa"/>
            <w:vAlign w:val="bottom"/>
            <w:gridSpan w:val="3"/>
          </w:tcPr>
          <w:p>
            <w:pPr>
              <w:jc w:val="right"/>
              <w:ind w:right="8"/>
              <w:spacing w:after="0"/>
              <w:rPr>
                <w:sz w:val="20"/>
                <w:szCs w:val="20"/>
                <w:color w:val="auto"/>
              </w:rPr>
            </w:pPr>
            <w:r>
              <w:rPr>
                <w:rFonts w:ascii="Times New Roman" w:cs="Times New Roman" w:eastAsia="Times New Roman" w:hAnsi="Times New Roman"/>
                <w:sz w:val="20"/>
                <w:szCs w:val="20"/>
                <w:color w:val="121212"/>
              </w:rPr>
              <w:t>318,803</w:t>
            </w:r>
          </w:p>
        </w:tc>
        <w:tc>
          <w:tcPr>
            <w:tcW w:w="28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121212"/>
              </w:rPr>
              <w:t>173,719</w:t>
            </w:r>
          </w:p>
        </w:tc>
        <w:tc>
          <w:tcPr>
            <w:tcW w:w="120" w:type="dxa"/>
            <w:vAlign w:val="bottom"/>
          </w:tcPr>
          <w:p>
            <w:pPr>
              <w:spacing w:after="0"/>
              <w:rPr>
                <w:sz w:val="21"/>
                <w:szCs w:val="21"/>
                <w:color w:val="auto"/>
              </w:rPr>
            </w:pPr>
          </w:p>
        </w:tc>
        <w:tc>
          <w:tcPr>
            <w:tcW w:w="128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121212"/>
              </w:rPr>
              <w:t>—</w:t>
            </w:r>
          </w:p>
        </w:tc>
        <w:tc>
          <w:tcPr>
            <w:tcW w:w="120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21212"/>
              </w:rPr>
              <w:t>890,756</w:t>
            </w:r>
          </w:p>
        </w:tc>
        <w:tc>
          <w:tcPr>
            <w:tcW w:w="0" w:type="dxa"/>
            <w:vAlign w:val="bottom"/>
          </w:tcPr>
          <w:p>
            <w:pPr>
              <w:spacing w:after="0"/>
              <w:rPr>
                <w:sz w:val="1"/>
                <w:szCs w:val="1"/>
                <w:color w:val="auto"/>
              </w:rPr>
            </w:pPr>
          </w:p>
        </w:tc>
      </w:tr>
      <w:tr>
        <w:trPr>
          <w:trHeight w:val="230"/>
        </w:trPr>
        <w:tc>
          <w:tcPr>
            <w:tcW w:w="262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0"/>
                <w:szCs w:val="20"/>
                <w:color w:val="121212"/>
              </w:rPr>
              <w:t>Joanne Bryce, CPA</w:t>
            </w:r>
            <w:r>
              <w:rPr>
                <w:rFonts w:ascii="Times New Roman" w:cs="Times New Roman" w:eastAsia="Times New Roman" w:hAnsi="Times New Roman"/>
                <w:sz w:val="26"/>
                <w:szCs w:val="26"/>
                <w:color w:val="121212"/>
                <w:vertAlign w:val="superscript"/>
              </w:rPr>
              <w:t>(5)</w:t>
            </w:r>
          </w:p>
        </w:tc>
        <w:tc>
          <w:tcPr>
            <w:tcW w:w="560" w:type="dxa"/>
            <w:vAlign w:val="bottom"/>
            <w:gridSpan w:val="2"/>
            <w:shd w:val="clear" w:color="auto" w:fill="E0E0E0"/>
          </w:tcPr>
          <w:p>
            <w:pPr>
              <w:jc w:val="center"/>
              <w:ind w:left="20"/>
              <w:spacing w:after="0"/>
              <w:rPr>
                <w:sz w:val="20"/>
                <w:szCs w:val="20"/>
                <w:color w:val="auto"/>
              </w:rPr>
            </w:pPr>
            <w:r>
              <w:rPr>
                <w:rFonts w:ascii="Times New Roman" w:cs="Times New Roman" w:eastAsia="Times New Roman" w:hAnsi="Times New Roman"/>
                <w:sz w:val="20"/>
                <w:szCs w:val="20"/>
                <w:color w:val="121212"/>
                <w:w w:val="99"/>
              </w:rPr>
              <w:t>2023</w:t>
            </w:r>
          </w:p>
        </w:tc>
        <w:tc>
          <w:tcPr>
            <w:tcW w:w="98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419,000</w:t>
            </w:r>
          </w:p>
        </w:tc>
        <w:tc>
          <w:tcPr>
            <w:tcW w:w="120" w:type="dxa"/>
            <w:vAlign w:val="bottom"/>
            <w:shd w:val="clear" w:color="auto" w:fill="E0E0E0"/>
          </w:tcPr>
          <w:p>
            <w:pPr>
              <w:spacing w:after="0"/>
              <w:rPr>
                <w:sz w:val="20"/>
                <w:szCs w:val="20"/>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w:t>
            </w:r>
          </w:p>
        </w:tc>
        <w:tc>
          <w:tcPr>
            <w:tcW w:w="1320" w:type="dxa"/>
            <w:vAlign w:val="bottom"/>
            <w:gridSpan w:val="3"/>
            <w:shd w:val="clear" w:color="auto" w:fill="E0E0E0"/>
          </w:tcPr>
          <w:p>
            <w:pPr>
              <w:jc w:val="right"/>
              <w:ind w:right="8"/>
              <w:spacing w:after="0"/>
              <w:rPr>
                <w:sz w:val="20"/>
                <w:szCs w:val="20"/>
                <w:color w:val="auto"/>
              </w:rPr>
            </w:pPr>
            <w:r>
              <w:rPr>
                <w:rFonts w:ascii="Times New Roman" w:cs="Times New Roman" w:eastAsia="Times New Roman" w:hAnsi="Times New Roman"/>
                <w:sz w:val="20"/>
                <w:szCs w:val="20"/>
                <w:color w:val="121212"/>
              </w:rPr>
              <w:t>1,123,795</w:t>
            </w:r>
          </w:p>
        </w:tc>
        <w:tc>
          <w:tcPr>
            <w:tcW w:w="280" w:type="dxa"/>
            <w:vAlign w:val="bottom"/>
            <w:shd w:val="clear" w:color="auto" w:fill="E0E0E0"/>
          </w:tcPr>
          <w:p>
            <w:pPr>
              <w:jc w:val="right"/>
              <w:ind w:right="55"/>
              <w:spacing w:after="0"/>
              <w:rPr>
                <w:sz w:val="20"/>
                <w:szCs w:val="20"/>
                <w:color w:val="auto"/>
              </w:rPr>
            </w:pPr>
            <w:r>
              <w:rPr>
                <w:rFonts w:ascii="Times New Roman" w:cs="Times New Roman" w:eastAsia="Times New Roman" w:hAnsi="Times New Roman"/>
                <w:sz w:val="13"/>
                <w:szCs w:val="13"/>
                <w:color w:val="121212"/>
                <w:w w:val="92"/>
              </w:rPr>
              <w:t>(6)</w:t>
            </w:r>
          </w:p>
        </w:tc>
        <w:tc>
          <w:tcPr>
            <w:tcW w:w="1280" w:type="dxa"/>
            <w:vAlign w:val="bottom"/>
            <w:shd w:val="clear" w:color="auto" w:fill="E0E0E0"/>
          </w:tcPr>
          <w:p>
            <w:pPr>
              <w:jc w:val="right"/>
              <w:ind w:right="8"/>
              <w:spacing w:after="0"/>
              <w:rPr>
                <w:sz w:val="20"/>
                <w:szCs w:val="20"/>
                <w:color w:val="auto"/>
              </w:rPr>
            </w:pPr>
            <w:r>
              <w:rPr>
                <w:rFonts w:ascii="Times New Roman" w:cs="Times New Roman" w:eastAsia="Times New Roman" w:hAnsi="Times New Roman"/>
                <w:sz w:val="20"/>
                <w:szCs w:val="20"/>
                <w:color w:val="121212"/>
              </w:rPr>
              <w:t>201,120</w:t>
            </w:r>
          </w:p>
        </w:tc>
        <w:tc>
          <w:tcPr>
            <w:tcW w:w="1400" w:type="dxa"/>
            <w:vAlign w:val="bottom"/>
            <w:gridSpan w:val="2"/>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121212"/>
              </w:rPr>
              <w:t>8,847</w:t>
            </w:r>
          </w:p>
        </w:tc>
        <w:tc>
          <w:tcPr>
            <w:tcW w:w="120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1,752,762</w:t>
            </w:r>
          </w:p>
        </w:tc>
        <w:tc>
          <w:tcPr>
            <w:tcW w:w="0" w:type="dxa"/>
            <w:vAlign w:val="bottom"/>
          </w:tcPr>
          <w:p>
            <w:pPr>
              <w:spacing w:after="0"/>
              <w:rPr>
                <w:sz w:val="1"/>
                <w:szCs w:val="1"/>
                <w:color w:val="auto"/>
              </w:rPr>
            </w:pPr>
          </w:p>
        </w:tc>
      </w:tr>
      <w:tr>
        <w:trPr>
          <w:trHeight w:val="230"/>
        </w:trPr>
        <w:tc>
          <w:tcPr>
            <w:tcW w:w="262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i w:val="1"/>
                <w:iCs w:val="1"/>
                <w:color w:val="121212"/>
              </w:rPr>
              <w:t>Chief Financial Officer</w:t>
            </w:r>
          </w:p>
        </w:tc>
        <w:tc>
          <w:tcPr>
            <w:tcW w:w="560" w:type="dxa"/>
            <w:vAlign w:val="bottom"/>
            <w:gridSpan w:val="2"/>
            <w:shd w:val="clear" w:color="auto" w:fill="E0E0E0"/>
          </w:tcPr>
          <w:p>
            <w:pPr>
              <w:jc w:val="center"/>
              <w:ind w:left="20"/>
              <w:spacing w:after="0"/>
              <w:rPr>
                <w:sz w:val="20"/>
                <w:szCs w:val="20"/>
                <w:color w:val="auto"/>
              </w:rPr>
            </w:pPr>
            <w:r>
              <w:rPr>
                <w:rFonts w:ascii="Times New Roman" w:cs="Times New Roman" w:eastAsia="Times New Roman" w:hAnsi="Times New Roman"/>
                <w:sz w:val="20"/>
                <w:szCs w:val="20"/>
                <w:color w:val="121212"/>
                <w:w w:val="99"/>
              </w:rPr>
              <w:t>2022</w:t>
            </w:r>
          </w:p>
        </w:tc>
        <w:tc>
          <w:tcPr>
            <w:tcW w:w="98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355,884</w:t>
            </w:r>
          </w:p>
        </w:tc>
        <w:tc>
          <w:tcPr>
            <w:tcW w:w="8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20,000</w:t>
            </w:r>
          </w:p>
        </w:tc>
        <w:tc>
          <w:tcPr>
            <w:tcW w:w="1320" w:type="dxa"/>
            <w:vAlign w:val="bottom"/>
            <w:gridSpan w:val="3"/>
            <w:shd w:val="clear" w:color="auto" w:fill="E0E0E0"/>
          </w:tcPr>
          <w:p>
            <w:pPr>
              <w:jc w:val="right"/>
              <w:ind w:right="8"/>
              <w:spacing w:after="0"/>
              <w:rPr>
                <w:sz w:val="20"/>
                <w:szCs w:val="20"/>
                <w:color w:val="auto"/>
              </w:rPr>
            </w:pPr>
            <w:r>
              <w:rPr>
                <w:rFonts w:ascii="Times New Roman" w:cs="Times New Roman" w:eastAsia="Times New Roman" w:hAnsi="Times New Roman"/>
                <w:sz w:val="20"/>
                <w:szCs w:val="20"/>
                <w:color w:val="121212"/>
              </w:rPr>
              <w:t>277,221</w:t>
            </w:r>
          </w:p>
        </w:tc>
        <w:tc>
          <w:tcPr>
            <w:tcW w:w="280" w:type="dxa"/>
            <w:vAlign w:val="bottom"/>
            <w:shd w:val="clear" w:color="auto" w:fill="E0E0E0"/>
          </w:tcPr>
          <w:p>
            <w:pPr>
              <w:spacing w:after="0"/>
              <w:rPr>
                <w:sz w:val="20"/>
                <w:szCs w:val="20"/>
                <w:color w:val="auto"/>
              </w:rPr>
            </w:pPr>
          </w:p>
        </w:tc>
        <w:tc>
          <w:tcPr>
            <w:tcW w:w="1280" w:type="dxa"/>
            <w:vAlign w:val="bottom"/>
            <w:shd w:val="clear" w:color="auto" w:fill="E0E0E0"/>
          </w:tcPr>
          <w:p>
            <w:pPr>
              <w:jc w:val="right"/>
              <w:ind w:right="8"/>
              <w:spacing w:after="0"/>
              <w:rPr>
                <w:sz w:val="20"/>
                <w:szCs w:val="20"/>
                <w:color w:val="auto"/>
              </w:rPr>
            </w:pPr>
            <w:r>
              <w:rPr>
                <w:rFonts w:ascii="Times New Roman" w:cs="Times New Roman" w:eastAsia="Times New Roman" w:hAnsi="Times New Roman"/>
                <w:sz w:val="20"/>
                <w:szCs w:val="20"/>
                <w:color w:val="121212"/>
              </w:rPr>
              <w:t>163,438</w:t>
            </w:r>
          </w:p>
        </w:tc>
        <w:tc>
          <w:tcPr>
            <w:tcW w:w="120" w:type="dxa"/>
            <w:vAlign w:val="bottom"/>
            <w:shd w:val="clear" w:color="auto" w:fill="E0E0E0"/>
          </w:tcPr>
          <w:p>
            <w:pPr>
              <w:spacing w:after="0"/>
              <w:rPr>
                <w:sz w:val="20"/>
                <w:szCs w:val="20"/>
                <w:color w:val="auto"/>
              </w:rPr>
            </w:pPr>
          </w:p>
        </w:tc>
        <w:tc>
          <w:tcPr>
            <w:tcW w:w="1280" w:type="dxa"/>
            <w:vAlign w:val="bottom"/>
            <w:shd w:val="clear" w:color="auto" w:fill="E0E0E0"/>
          </w:tcPr>
          <w:p>
            <w:pPr>
              <w:jc w:val="right"/>
              <w:ind w:right="27"/>
              <w:spacing w:after="0"/>
              <w:rPr>
                <w:sz w:val="20"/>
                <w:szCs w:val="20"/>
                <w:color w:val="auto"/>
              </w:rPr>
            </w:pPr>
            <w:r>
              <w:rPr>
                <w:rFonts w:ascii="Times New Roman" w:cs="Times New Roman" w:eastAsia="Times New Roman" w:hAnsi="Times New Roman"/>
                <w:sz w:val="20"/>
                <w:szCs w:val="20"/>
                <w:color w:val="121212"/>
              </w:rPr>
              <w:t>—</w:t>
            </w:r>
          </w:p>
        </w:tc>
        <w:tc>
          <w:tcPr>
            <w:tcW w:w="120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816,543</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67" w:hanging="367"/>
        <w:spacing w:after="0"/>
        <w:tabs>
          <w:tab w:leader="none" w:pos="367" w:val="left"/>
        </w:tabs>
        <w:numPr>
          <w:ilvl w:val="0"/>
          <w:numId w:val="6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amounts reported reflect salaries earned by each named executive officer during the respective fiscal year.</w:t>
      </w:r>
    </w:p>
    <w:p>
      <w:pPr>
        <w:spacing w:after="0" w:line="120" w:lineRule="exact"/>
        <w:rPr>
          <w:rFonts w:ascii="Times New Roman" w:cs="Times New Roman" w:eastAsia="Times New Roman" w:hAnsi="Times New Roman"/>
          <w:sz w:val="16"/>
          <w:szCs w:val="16"/>
          <w:color w:val="121212"/>
        </w:rPr>
      </w:pPr>
    </w:p>
    <w:p>
      <w:pPr>
        <w:ind w:left="367" w:right="40" w:hanging="367"/>
        <w:spacing w:after="0" w:line="247" w:lineRule="auto"/>
        <w:tabs>
          <w:tab w:leader="none" w:pos="367" w:val="left"/>
        </w:tabs>
        <w:numPr>
          <w:ilvl w:val="0"/>
          <w:numId w:val="6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amounts reported represent the aggregate grant date fair value of the stock options awarded to our named executive officers during the 2023 and 2022 fiscal years, as applicable, calculated in accordance with Financial Accounting Standards Board, or FASB, Accounting Standards Codification, or ASC, Topic 718. Such grant date fair values do not take into account any estimated forfeitures. The assumptions used in calculating the grant date fair value of the stock options reported in this column are set forth in Note 2 to our consolidated financial statements included in this Annual Report on Form 10-K. The amounts reported in this column reflect the accounting cost for the stock options and do not correspond to the actual economic value that may be received by our named executive officers upon the exercise of the stock options or any sale of the common stock underlying such stock options.</w:t>
      </w:r>
    </w:p>
    <w:p>
      <w:pPr>
        <w:spacing w:after="0" w:line="87" w:lineRule="exact"/>
        <w:rPr>
          <w:rFonts w:ascii="Times New Roman" w:cs="Times New Roman" w:eastAsia="Times New Roman" w:hAnsi="Times New Roman"/>
          <w:sz w:val="16"/>
          <w:szCs w:val="16"/>
          <w:color w:val="121212"/>
        </w:rPr>
      </w:pPr>
    </w:p>
    <w:p>
      <w:pPr>
        <w:ind w:left="367" w:right="180" w:hanging="367"/>
        <w:spacing w:after="0" w:line="277" w:lineRule="auto"/>
        <w:tabs>
          <w:tab w:leader="none" w:pos="367" w:val="left"/>
        </w:tabs>
        <w:numPr>
          <w:ilvl w:val="0"/>
          <w:numId w:val="6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amounts represent bonuses earned as of December 31, 2023, upon the attainment of one or more pre-established performance goals established by our board of directors on an annual basis.</w:t>
      </w:r>
    </w:p>
    <w:p>
      <w:pPr>
        <w:spacing w:after="0" w:line="63" w:lineRule="exact"/>
        <w:rPr>
          <w:rFonts w:ascii="Times New Roman" w:cs="Times New Roman" w:eastAsia="Times New Roman" w:hAnsi="Times New Roman"/>
          <w:sz w:val="16"/>
          <w:szCs w:val="16"/>
          <w:color w:val="121212"/>
        </w:rPr>
      </w:pPr>
    </w:p>
    <w:p>
      <w:pPr>
        <w:ind w:left="367" w:hanging="367"/>
        <w:spacing w:after="0"/>
        <w:tabs>
          <w:tab w:leader="none" w:pos="367" w:val="left"/>
        </w:tabs>
        <w:numPr>
          <w:ilvl w:val="0"/>
          <w:numId w:val="6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amounts represent safe harbor matching contributions under our 401(k) plan to our named executive officers in 2023.</w:t>
      </w:r>
    </w:p>
    <w:p>
      <w:pPr>
        <w:spacing w:after="0" w:line="120" w:lineRule="exact"/>
        <w:rPr>
          <w:rFonts w:ascii="Times New Roman" w:cs="Times New Roman" w:eastAsia="Times New Roman" w:hAnsi="Times New Roman"/>
          <w:sz w:val="16"/>
          <w:szCs w:val="16"/>
          <w:color w:val="121212"/>
        </w:rPr>
      </w:pPr>
    </w:p>
    <w:p>
      <w:pPr>
        <w:ind w:left="367" w:right="40" w:hanging="367"/>
        <w:spacing w:after="0" w:line="277" w:lineRule="auto"/>
        <w:tabs>
          <w:tab w:leader="none" w:pos="367" w:val="left"/>
        </w:tabs>
        <w:numPr>
          <w:ilvl w:val="0"/>
          <w:numId w:val="6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Ms. Bryce was a consultant to us until September 14, 2021 when she transitioned to Chief Financial Officer. Effective February 7, 2024, Ms. Bryce departed from her role as Chief Financial Officer and transitioned to an independent contractor advisor.</w:t>
      </w:r>
    </w:p>
    <w:p>
      <w:pPr>
        <w:spacing w:after="0" w:line="63" w:lineRule="exact"/>
        <w:rPr>
          <w:rFonts w:ascii="Times New Roman" w:cs="Times New Roman" w:eastAsia="Times New Roman" w:hAnsi="Times New Roman"/>
          <w:sz w:val="16"/>
          <w:szCs w:val="16"/>
          <w:color w:val="121212"/>
        </w:rPr>
      </w:pPr>
    </w:p>
    <w:p>
      <w:pPr>
        <w:ind w:left="367" w:right="20" w:hanging="367"/>
        <w:spacing w:after="0" w:line="252" w:lineRule="auto"/>
        <w:tabs>
          <w:tab w:leader="none" w:pos="367" w:val="left"/>
        </w:tabs>
        <w:numPr>
          <w:ilvl w:val="0"/>
          <w:numId w:val="6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amount reported reflects an accounting charge relating to an amendment of the stock options held by Ms. Bryce of as November 27, 2023. In connection with the Bryce Separation Agreement (as defined below), our board of directors approved an extension of the post-termination exercise period relating to such stock options, such that the vested and outstanding shares subject to the stock options may be exercised until the earlier of (i) twelve months following the end of the Advisor Period (as defined below) and (ii) the original expiration date of the stock option.</w:t>
      </w:r>
    </w:p>
    <w:p>
      <w:pPr>
        <w:spacing w:after="0" w:line="18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21212"/>
        </w:rPr>
        <w:t>Narrative to Summary Compensation Table</w:t>
      </w:r>
    </w:p>
    <w:p>
      <w:pPr>
        <w:spacing w:after="0" w:line="1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Base Salaries</w:t>
      </w:r>
    </w:p>
    <w:p>
      <w:pPr>
        <w:spacing w:after="0" w:line="108" w:lineRule="exact"/>
        <w:rPr>
          <w:sz w:val="20"/>
          <w:szCs w:val="20"/>
          <w:color w:val="auto"/>
        </w:rPr>
      </w:pPr>
    </w:p>
    <w:p>
      <w:pPr>
        <w:ind w:left="7" w:firstLine="490"/>
        <w:spacing w:after="0" w:line="235" w:lineRule="auto"/>
        <w:rPr>
          <w:sz w:val="20"/>
          <w:szCs w:val="20"/>
          <w:color w:val="auto"/>
        </w:rPr>
      </w:pPr>
      <w:r>
        <w:rPr>
          <w:rFonts w:ascii="Times New Roman" w:cs="Times New Roman" w:eastAsia="Times New Roman" w:hAnsi="Times New Roman"/>
          <w:sz w:val="20"/>
          <w:szCs w:val="20"/>
          <w:color w:val="121212"/>
        </w:rPr>
        <w:t>Each named executive officer’s base salary is a fixed component of annual compensation for performing specific duties and functions, and has been established by our board of directors taking into account each individual’s role, responsibilities, skills, and expertise. Base salaries are reviewed annually, typically in connection with our annual performance review process, approved by our board of directors, and adjusted from time to time to realign salaries with market levels after taking into account individual responsibilities, performance and experience. The annual base salaries for Dr. Quisel, Dr. Savage, and Ms. Bryce were $ 562,000, $458,000 and $419,000, respectively during the fiscal year ended December 31, 2023. There were no annual base salary increases in 2023.</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Annual Bonuses</w:t>
      </w:r>
    </w:p>
    <w:p>
      <w:pPr>
        <w:spacing w:after="0" w:line="108" w:lineRule="exact"/>
        <w:rPr>
          <w:sz w:val="20"/>
          <w:szCs w:val="20"/>
          <w:color w:val="auto"/>
        </w:rPr>
      </w:pPr>
    </w:p>
    <w:p>
      <w:pPr>
        <w:ind w:left="7" w:right="40" w:firstLine="490"/>
        <w:spacing w:after="0" w:line="237" w:lineRule="auto"/>
        <w:rPr>
          <w:sz w:val="20"/>
          <w:szCs w:val="20"/>
          <w:color w:val="auto"/>
        </w:rPr>
      </w:pPr>
      <w:r>
        <w:rPr>
          <w:rFonts w:ascii="Times New Roman" w:cs="Times New Roman" w:eastAsia="Times New Roman" w:hAnsi="Times New Roman"/>
          <w:sz w:val="20"/>
          <w:szCs w:val="20"/>
          <w:color w:val="121212"/>
        </w:rPr>
        <w:t>For the fiscal year ended December 31, 2023, each named executive officer was eligible to earn an annual cash bonus based on the achievement of certain corporate performance metrics. Corporate objectives were primarily based on development goals for our product candidates financing and business development goals. The target annual bonus for Dr. Quisel, Dr. Savage, and Ms. Bryce for 2023 was 50%, 40%, and 40%, respectively, of their respective annual base salary as in effect on December 31, 2023.</w:t>
      </w:r>
    </w:p>
    <w:p>
      <w:pPr>
        <w:spacing w:after="0" w:line="1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Equity Compensation</w:t>
      </w:r>
    </w:p>
    <w:p>
      <w:pPr>
        <w:spacing w:after="0" w:line="108" w:lineRule="exact"/>
        <w:rPr>
          <w:sz w:val="20"/>
          <w:szCs w:val="20"/>
          <w:color w:val="auto"/>
        </w:rPr>
      </w:pPr>
    </w:p>
    <w:p>
      <w:pPr>
        <w:ind w:left="7" w:right="60" w:firstLine="490"/>
        <w:spacing w:after="0" w:line="236" w:lineRule="auto"/>
        <w:rPr>
          <w:sz w:val="20"/>
          <w:szCs w:val="20"/>
          <w:color w:val="auto"/>
        </w:rPr>
      </w:pPr>
      <w:r>
        <w:rPr>
          <w:rFonts w:ascii="Times New Roman" w:cs="Times New Roman" w:eastAsia="Times New Roman" w:hAnsi="Times New Roman"/>
          <w:sz w:val="20"/>
          <w:szCs w:val="20"/>
          <w:color w:val="121212"/>
        </w:rPr>
        <w:t>We believe that equity grants provide executives with a strong link to our long-term performance, create an ownership culture and help to align the interests of our executives and stockholders. In addition, we believe that equity grants promote executive retention because they incentivize executive officers to remain employed during the vesting period. During the fiscal year ended December 31, 2022, in connection with our merger with Gemini, we granted stock options to each of our named executive officers. As a result, during the fiscal year ended December 31, 2023, we did not grant any equity awards to our named executive officers. However, in connection with the Bryce Separation Agreement, our board of directors approved an amendment</w:t>
      </w:r>
    </w:p>
    <w:p>
      <w:pPr>
        <w:sectPr>
          <w:pgSz w:w="12240" w:h="15840" w:orient="portrait"/>
          <w:cols w:equalWidth="0" w:num="1">
            <w:col w:w="10447"/>
          </w:cols>
          <w:pgMar w:left="893" w:top="930" w:right="900" w:bottom="175" w:gutter="0" w:footer="0" w:header="0"/>
        </w:sectPr>
      </w:pPr>
    </w:p>
    <w:p>
      <w:pPr>
        <w:spacing w:after="0" w:line="23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21212"/>
        </w:rPr>
        <w:t>145</w:t>
      </w:r>
    </w:p>
    <w:p>
      <w:pPr>
        <w:sectPr>
          <w:pgSz w:w="12240" w:h="15840" w:orient="portrait"/>
          <w:cols w:equalWidth="0" w:num="1">
            <w:col w:w="10447"/>
          </w:cols>
          <w:pgMar w:left="893" w:top="930" w:right="900" w:bottom="175" w:gutter="0" w:footer="0" w:header="0"/>
          <w:type w:val="continuous"/>
        </w:sectPr>
      </w:pPr>
    </w:p>
    <w:bookmarkStart w:id="155" w:name="page156"/>
    <w:bookmarkEnd w:id="155"/>
    <w:p>
      <w:pPr>
        <w:ind w:left="7" w:right="20"/>
        <w:spacing w:after="0" w:line="237" w:lineRule="auto"/>
        <w:rPr>
          <w:sz w:val="20"/>
          <w:szCs w:val="20"/>
          <w:color w:val="auto"/>
        </w:rPr>
      </w:pPr>
      <w:r>
        <w:rPr>
          <w:rFonts w:ascii="Times New Roman" w:cs="Times New Roman" w:eastAsia="Times New Roman" w:hAnsi="Times New Roman"/>
          <w:sz w:val="20"/>
          <w:szCs w:val="20"/>
          <w:color w:val="121212"/>
        </w:rPr>
        <w:t>to the stock options held by Ms. Bryce of as November 27, 2023, pursuant to which the post-termination exercise period relating to such stock options was amended to provide that the vested and outstanding shares subject to the stock options may be exercised until the earlier of (i) twelve months following the end of the Advisor Period and (ii) the original expiration date of the stock option. For additional information regarding equity awards previously granted to our named executive officers, please see the table under “Outstanding Equity Awards at 2023 Fiscal Year-End” below.</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21212"/>
        </w:rPr>
        <w:t>Outstanding Equity Awards at Fiscal 2023 Year-End</w:t>
      </w:r>
    </w:p>
    <w:p>
      <w:pPr>
        <w:spacing w:after="0" w:line="112"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121212"/>
        </w:rPr>
        <w:t>The following table sets forth information regarding outstanding equity awards held by our named executive officers as of</w:t>
      </w:r>
    </w:p>
    <w:p>
      <w:pPr>
        <w:spacing w:after="0" w:line="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21212"/>
        </w:rPr>
        <w:t>December 31, 2023:</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bottom w:val="single" w:sz="8" w:color="121212"/>
            </w:tcBorders>
          </w:tcPr>
          <w:p>
            <w:pPr>
              <w:spacing w:after="0"/>
              <w:rPr>
                <w:sz w:val="17"/>
                <w:szCs w:val="17"/>
                <w:color w:val="auto"/>
              </w:rPr>
            </w:pPr>
          </w:p>
        </w:tc>
        <w:tc>
          <w:tcPr>
            <w:tcW w:w="160" w:type="dxa"/>
            <w:vAlign w:val="bottom"/>
            <w:tcBorders>
              <w:bottom w:val="single" w:sz="8" w:color="121212"/>
            </w:tcBorders>
          </w:tcPr>
          <w:p>
            <w:pPr>
              <w:spacing w:after="0"/>
              <w:rPr>
                <w:sz w:val="17"/>
                <w:szCs w:val="17"/>
                <w:color w:val="auto"/>
              </w:rPr>
            </w:pPr>
          </w:p>
        </w:tc>
        <w:tc>
          <w:tcPr>
            <w:tcW w:w="2120" w:type="dxa"/>
            <w:vAlign w:val="bottom"/>
            <w:tcBorders>
              <w:bottom w:val="single" w:sz="8" w:color="121212"/>
            </w:tcBorders>
            <w:gridSpan w:val="3"/>
          </w:tcPr>
          <w:p>
            <w:pPr>
              <w:jc w:val="right"/>
              <w:ind w:right="412"/>
              <w:spacing w:after="0"/>
              <w:rPr>
                <w:sz w:val="20"/>
                <w:szCs w:val="20"/>
                <w:color w:val="auto"/>
              </w:rPr>
            </w:pPr>
            <w:r>
              <w:rPr>
                <w:rFonts w:ascii="Times New Roman" w:cs="Times New Roman" w:eastAsia="Times New Roman" w:hAnsi="Times New Roman"/>
                <w:sz w:val="16"/>
                <w:szCs w:val="16"/>
                <w:b w:val="1"/>
                <w:bCs w:val="1"/>
                <w:color w:val="121212"/>
              </w:rPr>
              <w:t>Option Awards</w:t>
            </w:r>
            <w:r>
              <w:rPr>
                <w:rFonts w:ascii="Times New Roman" w:cs="Times New Roman" w:eastAsia="Times New Roman" w:hAnsi="Times New Roman"/>
                <w:sz w:val="10"/>
                <w:szCs w:val="10"/>
                <w:b w:val="1"/>
                <w:bCs w:val="1"/>
                <w:color w:val="121212"/>
              </w:rPr>
              <w:t>(1)</w:t>
            </w:r>
          </w:p>
        </w:tc>
        <w:tc>
          <w:tcPr>
            <w:tcW w:w="200" w:type="dxa"/>
            <w:vAlign w:val="bottom"/>
            <w:tcBorders>
              <w:bottom w:val="single" w:sz="8" w:color="121212"/>
            </w:tcBorders>
          </w:tcPr>
          <w:p>
            <w:pPr>
              <w:spacing w:after="0"/>
              <w:rPr>
                <w:sz w:val="17"/>
                <w:szCs w:val="17"/>
                <w:color w:val="auto"/>
              </w:rPr>
            </w:pPr>
          </w:p>
        </w:tc>
        <w:tc>
          <w:tcPr>
            <w:tcW w:w="1040" w:type="dxa"/>
            <w:vAlign w:val="bottom"/>
            <w:tcBorders>
              <w:bottom w:val="single" w:sz="8" w:color="121212"/>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121212"/>
                <w:w w:val="99"/>
              </w:rPr>
              <w:t>Number of</w:t>
            </w:r>
          </w:p>
        </w:tc>
        <w:tc>
          <w:tcPr>
            <w:tcW w:w="160" w:type="dxa"/>
            <w:vAlign w:val="bottom"/>
          </w:tcPr>
          <w:p>
            <w:pPr>
              <w:spacing w:after="0"/>
              <w:rPr>
                <w:sz w:val="13"/>
                <w:szCs w:val="13"/>
                <w:color w:val="auto"/>
              </w:rPr>
            </w:pPr>
          </w:p>
        </w:tc>
        <w:tc>
          <w:tcPr>
            <w:tcW w:w="114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6"/>
                <w:szCs w:val="16"/>
                <w:b w:val="1"/>
                <w:bCs w:val="1"/>
                <w:color w:val="121212"/>
                <w:w w:val="99"/>
              </w:rPr>
              <w:t>Number of</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121212"/>
              </w:rPr>
              <w:t>Securities</w:t>
            </w:r>
          </w:p>
        </w:tc>
        <w:tc>
          <w:tcPr>
            <w:tcW w:w="160" w:type="dxa"/>
            <w:vAlign w:val="bottom"/>
          </w:tcPr>
          <w:p>
            <w:pPr>
              <w:spacing w:after="0"/>
              <w:rPr>
                <w:sz w:val="16"/>
                <w:szCs w:val="16"/>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121212"/>
                <w:w w:val="98"/>
              </w:rPr>
              <w:t>Securities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121212"/>
                <w:w w:val="98"/>
              </w:rPr>
              <w:t>Underlying</w:t>
            </w:r>
          </w:p>
        </w:tc>
        <w:tc>
          <w:tcPr>
            <w:tcW w:w="160" w:type="dxa"/>
            <w:vAlign w:val="bottom"/>
          </w:tcPr>
          <w:p>
            <w:pPr>
              <w:spacing w:after="0"/>
              <w:rPr>
                <w:sz w:val="16"/>
                <w:szCs w:val="16"/>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121212"/>
              </w:rPr>
              <w:t>Underlying</w:t>
            </w:r>
          </w:p>
        </w:tc>
        <w:tc>
          <w:tcPr>
            <w:tcW w:w="14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Option</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121212"/>
              </w:rPr>
              <w:t>Vesting</w:t>
            </w:r>
          </w:p>
        </w:tc>
        <w:tc>
          <w:tcPr>
            <w:tcW w:w="114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121212"/>
              </w:rPr>
              <w:t>Unexercised</w:t>
            </w:r>
          </w:p>
        </w:tc>
        <w:tc>
          <w:tcPr>
            <w:tcW w:w="160" w:type="dxa"/>
            <w:vAlign w:val="bottom"/>
          </w:tcPr>
          <w:p>
            <w:pPr>
              <w:spacing w:after="0"/>
              <w:rPr>
                <w:sz w:val="15"/>
                <w:szCs w:val="15"/>
                <w:color w:val="auto"/>
              </w:rPr>
            </w:pP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121212"/>
              </w:rPr>
              <w:t>Unexercised</w:t>
            </w: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Option</w:t>
            </w: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Options</w:t>
            </w:r>
          </w:p>
        </w:tc>
        <w:tc>
          <w:tcPr>
            <w:tcW w:w="160" w:type="dxa"/>
            <w:vAlign w:val="bottom"/>
          </w:tcPr>
          <w:p>
            <w:pPr>
              <w:spacing w:after="0"/>
              <w:rPr>
                <w:sz w:val="15"/>
                <w:szCs w:val="15"/>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121212"/>
                <w:w w:val="99"/>
              </w:rPr>
              <w:t>Options</w:t>
            </w:r>
          </w:p>
        </w:tc>
        <w:tc>
          <w:tcPr>
            <w:tcW w:w="140" w:type="dxa"/>
            <w:vAlign w:val="bottom"/>
          </w:tcPr>
          <w:p>
            <w:pPr>
              <w:spacing w:after="0"/>
              <w:rPr>
                <w:sz w:val="15"/>
                <w:szCs w:val="15"/>
                <w:color w:val="auto"/>
              </w:rPr>
            </w:pP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121212"/>
              </w:rPr>
              <w:t>Exercise</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21212"/>
              </w:rPr>
              <w:t>Name</w:t>
            </w:r>
          </w:p>
        </w:tc>
        <w:tc>
          <w:tcPr>
            <w:tcW w:w="180" w:type="dxa"/>
            <w:vAlign w:val="bottom"/>
          </w:tcPr>
          <w:p>
            <w:pPr>
              <w:spacing w:after="0"/>
              <w:rPr>
                <w:sz w:val="16"/>
                <w:szCs w:val="16"/>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121212"/>
              </w:rPr>
              <w:t>Grant Date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121212"/>
              </w:rPr>
              <w:t>Commencement</w:t>
            </w:r>
          </w:p>
        </w:tc>
        <w:tc>
          <w:tcPr>
            <w:tcW w:w="114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121212"/>
              </w:rPr>
              <w: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21212"/>
                <w:w w:val="96"/>
              </w:rPr>
              <w:t>(#)</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rPr>
              <w:t>Price</w:t>
            </w:r>
          </w:p>
        </w:tc>
        <w:tc>
          <w:tcPr>
            <w:tcW w:w="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rPr>
              <w:t>Expiration</w:t>
            </w:r>
          </w:p>
        </w:tc>
        <w:tc>
          <w:tcPr>
            <w:tcW w:w="0" w:type="dxa"/>
            <w:vAlign w:val="bottom"/>
          </w:tcPr>
          <w:p>
            <w:pPr>
              <w:spacing w:after="0"/>
              <w:rPr>
                <w:sz w:val="1"/>
                <w:szCs w:val="1"/>
                <w:color w:val="auto"/>
              </w:rPr>
            </w:pPr>
          </w:p>
        </w:tc>
      </w:tr>
      <w:tr>
        <w:trPr>
          <w:trHeight w:val="203"/>
        </w:trPr>
        <w:tc>
          <w:tcPr>
            <w:tcW w:w="2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121212"/>
                <w:w w:val="99"/>
              </w:rPr>
              <w:t>Date</w:t>
            </w:r>
          </w:p>
        </w:tc>
        <w:tc>
          <w:tcPr>
            <w:tcW w:w="114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121212"/>
              </w:rPr>
              <w:t>Exercisable</w:t>
            </w:r>
          </w:p>
        </w:tc>
        <w:tc>
          <w:tcPr>
            <w:tcW w:w="16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121212"/>
                <w:w w:val="99"/>
              </w:rPr>
              <w:t>Unexercisable</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21212"/>
                <w:w w:val="96"/>
              </w:rPr>
              <w:t>($)</w:t>
            </w:r>
          </w:p>
        </w:tc>
        <w:tc>
          <w:tcPr>
            <w:tcW w:w="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w w:val="99"/>
              </w:rPr>
              <w:t>Date</w:t>
            </w:r>
          </w:p>
        </w:tc>
        <w:tc>
          <w:tcPr>
            <w:tcW w:w="0" w:type="dxa"/>
            <w:vAlign w:val="bottom"/>
          </w:tcPr>
          <w:p>
            <w:pPr>
              <w:spacing w:after="0"/>
              <w:rPr>
                <w:sz w:val="1"/>
                <w:szCs w:val="1"/>
                <w:color w:val="auto"/>
              </w:rPr>
            </w:pPr>
          </w:p>
        </w:tc>
      </w:tr>
      <w:tr>
        <w:trPr>
          <w:trHeight w:val="220"/>
        </w:trPr>
        <w:tc>
          <w:tcPr>
            <w:tcW w:w="2440" w:type="dxa"/>
            <w:vAlign w:val="bottom"/>
            <w:tcBorders>
              <w:top w:val="single" w:sz="8" w:color="121212"/>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John Quisel, J.D., Ph.D.</w:t>
            </w:r>
          </w:p>
        </w:tc>
        <w:tc>
          <w:tcPr>
            <w:tcW w:w="180" w:type="dxa"/>
            <w:vAlign w:val="bottom"/>
            <w:tcBorders>
              <w:top w:val="single" w:sz="8" w:color="E0E0E0"/>
            </w:tcBorders>
            <w:shd w:val="clear" w:color="auto" w:fill="E0E0E0"/>
          </w:tcPr>
          <w:p>
            <w:pPr>
              <w:spacing w:after="0"/>
              <w:rPr>
                <w:sz w:val="19"/>
                <w:szCs w:val="19"/>
                <w:color w:val="auto"/>
              </w:rPr>
            </w:pPr>
          </w:p>
        </w:tc>
        <w:tc>
          <w:tcPr>
            <w:tcW w:w="1100" w:type="dxa"/>
            <w:vAlign w:val="bottom"/>
            <w:tcBorders>
              <w:top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12/29/2022</w:t>
            </w:r>
          </w:p>
        </w:tc>
        <w:tc>
          <w:tcPr>
            <w:tcW w:w="240" w:type="dxa"/>
            <w:vAlign w:val="bottom"/>
            <w:tcBorders>
              <w:top w:val="single" w:sz="8" w:color="E0E0E0"/>
            </w:tcBorders>
            <w:shd w:val="clear" w:color="auto" w:fill="E0E0E0"/>
          </w:tcPr>
          <w:p>
            <w:pPr>
              <w:jc w:val="right"/>
              <w:ind w:right="15"/>
              <w:spacing w:after="0"/>
              <w:rPr>
                <w:sz w:val="20"/>
                <w:szCs w:val="20"/>
                <w:color w:val="auto"/>
              </w:rPr>
            </w:pPr>
            <w:r>
              <w:rPr>
                <w:rFonts w:ascii="Times New Roman" w:cs="Times New Roman" w:eastAsia="Times New Roman" w:hAnsi="Times New Roman"/>
                <w:sz w:val="13"/>
                <w:szCs w:val="13"/>
                <w:color w:val="121212"/>
                <w:w w:val="92"/>
              </w:rPr>
              <w:t>(2)</w:t>
            </w:r>
          </w:p>
        </w:tc>
        <w:tc>
          <w:tcPr>
            <w:tcW w:w="200" w:type="dxa"/>
            <w:vAlign w:val="bottom"/>
            <w:tcBorders>
              <w:top w:val="single" w:sz="8" w:color="E0E0E0"/>
            </w:tcBorders>
            <w:shd w:val="clear" w:color="auto" w:fill="E0E0E0"/>
          </w:tcPr>
          <w:p>
            <w:pPr>
              <w:spacing w:after="0"/>
              <w:rPr>
                <w:sz w:val="19"/>
                <w:szCs w:val="19"/>
                <w:color w:val="auto"/>
              </w:rPr>
            </w:pPr>
          </w:p>
        </w:tc>
        <w:tc>
          <w:tcPr>
            <w:tcW w:w="1480" w:type="dxa"/>
            <w:vAlign w:val="bottom"/>
            <w:tcBorders>
              <w:top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rPr>
              <w:t>12/29/2022</w:t>
            </w:r>
          </w:p>
        </w:tc>
        <w:tc>
          <w:tcPr>
            <w:tcW w:w="140" w:type="dxa"/>
            <w:vAlign w:val="bottom"/>
            <w:tcBorders>
              <w:top w:val="single" w:sz="8" w:color="E0E0E0"/>
            </w:tcBorders>
            <w:shd w:val="clear" w:color="auto" w:fill="E0E0E0"/>
          </w:tcPr>
          <w:p>
            <w:pPr>
              <w:spacing w:after="0"/>
              <w:rPr>
                <w:sz w:val="19"/>
                <w:szCs w:val="19"/>
                <w:color w:val="auto"/>
              </w:rPr>
            </w:pPr>
          </w:p>
        </w:tc>
        <w:tc>
          <w:tcPr>
            <w:tcW w:w="1140" w:type="dxa"/>
            <w:vAlign w:val="bottom"/>
            <w:tcBorders>
              <w:top w:val="single" w:sz="8" w:color="121212"/>
            </w:tcBorders>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33,000</w:t>
            </w:r>
          </w:p>
        </w:tc>
        <w:tc>
          <w:tcPr>
            <w:tcW w:w="160" w:type="dxa"/>
            <w:vAlign w:val="bottom"/>
            <w:tcBorders>
              <w:top w:val="single" w:sz="8" w:color="E0E0E0"/>
            </w:tcBorders>
            <w:shd w:val="clear" w:color="auto" w:fill="E0E0E0"/>
          </w:tcPr>
          <w:p>
            <w:pPr>
              <w:spacing w:after="0"/>
              <w:rPr>
                <w:sz w:val="19"/>
                <w:szCs w:val="19"/>
                <w:color w:val="auto"/>
              </w:rPr>
            </w:pPr>
          </w:p>
        </w:tc>
        <w:tc>
          <w:tcPr>
            <w:tcW w:w="1140" w:type="dxa"/>
            <w:vAlign w:val="bottom"/>
            <w:tcBorders>
              <w:top w:val="single" w:sz="8" w:color="121212"/>
            </w:tcBorders>
            <w:shd w:val="clear" w:color="auto" w:fill="E0E0E0"/>
          </w:tcPr>
          <w:p>
            <w:pPr>
              <w:jc w:val="right"/>
              <w:ind w:right="16"/>
              <w:spacing w:after="0" w:line="220" w:lineRule="exact"/>
              <w:rPr>
                <w:sz w:val="20"/>
                <w:szCs w:val="20"/>
                <w:color w:val="auto"/>
              </w:rPr>
            </w:pPr>
            <w:r>
              <w:rPr>
                <w:rFonts w:ascii="Times New Roman" w:cs="Times New Roman" w:eastAsia="Times New Roman" w:hAnsi="Times New Roman"/>
                <w:sz w:val="20"/>
                <w:szCs w:val="20"/>
                <w:color w:val="121212"/>
              </w:rPr>
              <w:t>99,002</w:t>
            </w:r>
          </w:p>
        </w:tc>
        <w:tc>
          <w:tcPr>
            <w:tcW w:w="140" w:type="dxa"/>
            <w:vAlign w:val="bottom"/>
            <w:tcBorders>
              <w:top w:val="single" w:sz="8" w:color="E0E0E0"/>
            </w:tcBorders>
            <w:shd w:val="clear" w:color="auto" w:fill="E0E0E0"/>
          </w:tcPr>
          <w:p>
            <w:pPr>
              <w:spacing w:after="0"/>
              <w:rPr>
                <w:sz w:val="19"/>
                <w:szCs w:val="19"/>
                <w:color w:val="auto"/>
              </w:rPr>
            </w:pPr>
          </w:p>
        </w:tc>
        <w:tc>
          <w:tcPr>
            <w:tcW w:w="840" w:type="dxa"/>
            <w:vAlign w:val="bottom"/>
            <w:tcBorders>
              <w:top w:val="single" w:sz="8" w:color="121212"/>
            </w:tcBorders>
            <w:shd w:val="clear" w:color="auto" w:fill="E0E0E0"/>
          </w:tcPr>
          <w:p>
            <w:pPr>
              <w:jc w:val="right"/>
              <w:ind w:right="12"/>
              <w:spacing w:after="0" w:line="220" w:lineRule="exact"/>
              <w:rPr>
                <w:sz w:val="20"/>
                <w:szCs w:val="20"/>
                <w:color w:val="auto"/>
              </w:rPr>
            </w:pPr>
            <w:r>
              <w:rPr>
                <w:rFonts w:ascii="Times New Roman" w:cs="Times New Roman" w:eastAsia="Times New Roman" w:hAnsi="Times New Roman"/>
                <w:sz w:val="20"/>
                <w:szCs w:val="20"/>
                <w:color w:val="121212"/>
              </w:rPr>
              <w:t>13.50</w:t>
            </w:r>
          </w:p>
        </w:tc>
        <w:tc>
          <w:tcPr>
            <w:tcW w:w="200" w:type="dxa"/>
            <w:vAlign w:val="bottom"/>
            <w:tcBorders>
              <w:top w:val="single" w:sz="8" w:color="E0E0E0"/>
            </w:tcBorders>
            <w:shd w:val="clear" w:color="auto" w:fill="E0E0E0"/>
          </w:tcPr>
          <w:p>
            <w:pPr>
              <w:spacing w:after="0"/>
              <w:rPr>
                <w:sz w:val="19"/>
                <w:szCs w:val="19"/>
                <w:color w:val="auto"/>
              </w:rPr>
            </w:pPr>
          </w:p>
        </w:tc>
        <w:tc>
          <w:tcPr>
            <w:tcW w:w="1040" w:type="dxa"/>
            <w:vAlign w:val="bottom"/>
            <w:tcBorders>
              <w:top w:val="single" w:sz="8" w:color="121212"/>
            </w:tcBorders>
            <w:shd w:val="clear" w:color="auto" w:fill="E0E0E0"/>
          </w:tcPr>
          <w:p>
            <w:pPr>
              <w:jc w:val="right"/>
              <w:spacing w:after="0" w:line="220" w:lineRule="exact"/>
              <w:rPr>
                <w:sz w:val="20"/>
                <w:szCs w:val="20"/>
                <w:color w:val="auto"/>
              </w:rPr>
            </w:pPr>
            <w:r>
              <w:rPr>
                <w:rFonts w:ascii="Times New Roman" w:cs="Times New Roman" w:eastAsia="Times New Roman" w:hAnsi="Times New Roman"/>
                <w:sz w:val="20"/>
                <w:szCs w:val="20"/>
                <w:color w:val="121212"/>
                <w:shd w:val="clear" w:color="auto" w:fill="E0E0E0"/>
              </w:rPr>
              <w:t>12/28/2032</w:t>
            </w:r>
          </w:p>
        </w:tc>
        <w:tc>
          <w:tcPr>
            <w:tcW w:w="0" w:type="dxa"/>
            <w:vAlign w:val="bottom"/>
          </w:tcPr>
          <w:p>
            <w:pPr>
              <w:spacing w:after="0"/>
              <w:rPr>
                <w:sz w:val="1"/>
                <w:szCs w:val="1"/>
                <w:color w:val="auto"/>
              </w:rPr>
            </w:pPr>
          </w:p>
        </w:tc>
      </w:tr>
      <w:tr>
        <w:trPr>
          <w:trHeight w:val="230"/>
        </w:trPr>
        <w:tc>
          <w:tcPr>
            <w:tcW w:w="2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i w:val="1"/>
                <w:iCs w:val="1"/>
                <w:color w:val="121212"/>
              </w:rPr>
              <w:t>Chief Executive Officer</w:t>
            </w:r>
          </w:p>
        </w:tc>
        <w:tc>
          <w:tcPr>
            <w:tcW w:w="180" w:type="dxa"/>
            <w:vAlign w:val="bottom"/>
            <w:shd w:val="clear" w:color="auto" w:fill="E0E0E0"/>
          </w:tcPr>
          <w:p>
            <w:pPr>
              <w:spacing w:after="0"/>
              <w:rPr>
                <w:sz w:val="20"/>
                <w:szCs w:val="20"/>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9/14/2021</w:t>
            </w:r>
          </w:p>
        </w:tc>
        <w:tc>
          <w:tcPr>
            <w:tcW w:w="24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3"/>
                <w:szCs w:val="13"/>
                <w:color w:val="121212"/>
                <w:w w:val="92"/>
              </w:rPr>
              <w:t>(2)</w:t>
            </w:r>
          </w:p>
        </w:tc>
        <w:tc>
          <w:tcPr>
            <w:tcW w:w="200" w:type="dxa"/>
            <w:vAlign w:val="bottom"/>
            <w:shd w:val="clear" w:color="auto" w:fill="E0E0E0"/>
          </w:tcPr>
          <w:p>
            <w:pPr>
              <w:spacing w:after="0"/>
              <w:rPr>
                <w:sz w:val="20"/>
                <w:szCs w:val="20"/>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9/1/2021</w:t>
            </w:r>
          </w:p>
        </w:tc>
        <w:tc>
          <w:tcPr>
            <w:tcW w:w="140" w:type="dxa"/>
            <w:vAlign w:val="bottom"/>
            <w:shd w:val="clear" w:color="auto" w:fill="E0E0E0"/>
          </w:tcPr>
          <w:p>
            <w:pPr>
              <w:spacing w:after="0"/>
              <w:rPr>
                <w:sz w:val="20"/>
                <w:szCs w:val="20"/>
                <w:color w:val="auto"/>
              </w:rPr>
            </w:pPr>
          </w:p>
        </w:tc>
        <w:tc>
          <w:tcPr>
            <w:tcW w:w="114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94,719</w:t>
            </w:r>
          </w:p>
        </w:tc>
        <w:tc>
          <w:tcPr>
            <w:tcW w:w="160" w:type="dxa"/>
            <w:vAlign w:val="bottom"/>
            <w:shd w:val="clear" w:color="auto" w:fill="E0E0E0"/>
          </w:tcPr>
          <w:p>
            <w:pPr>
              <w:spacing w:after="0"/>
              <w:rPr>
                <w:sz w:val="20"/>
                <w:szCs w:val="20"/>
                <w:color w:val="auto"/>
              </w:rPr>
            </w:pPr>
          </w:p>
        </w:tc>
        <w:tc>
          <w:tcPr>
            <w:tcW w:w="1140" w:type="dxa"/>
            <w:vAlign w:val="bottom"/>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73,668</w:t>
            </w:r>
          </w:p>
        </w:tc>
        <w:tc>
          <w:tcPr>
            <w:tcW w:w="140" w:type="dxa"/>
            <w:vAlign w:val="bottom"/>
            <w:shd w:val="clear" w:color="auto" w:fill="E0E0E0"/>
          </w:tcPr>
          <w:p>
            <w:pPr>
              <w:spacing w:after="0"/>
              <w:rPr>
                <w:sz w:val="20"/>
                <w:szCs w:val="20"/>
                <w:color w:val="auto"/>
              </w:rPr>
            </w:pPr>
          </w:p>
        </w:tc>
        <w:tc>
          <w:tcPr>
            <w:tcW w:w="840" w:type="dxa"/>
            <w:vAlign w:val="bottom"/>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9.86</w:t>
            </w:r>
          </w:p>
        </w:tc>
        <w:tc>
          <w:tcPr>
            <w:tcW w:w="200" w:type="dxa"/>
            <w:vAlign w:val="bottom"/>
            <w:shd w:val="clear" w:color="auto" w:fill="E0E0E0"/>
          </w:tcPr>
          <w:p>
            <w:pPr>
              <w:spacing w:after="0"/>
              <w:rPr>
                <w:sz w:val="20"/>
                <w:szCs w:val="20"/>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9/13/2031</w:t>
            </w:r>
          </w:p>
        </w:tc>
        <w:tc>
          <w:tcPr>
            <w:tcW w:w="0" w:type="dxa"/>
            <w:vAlign w:val="bottom"/>
          </w:tcPr>
          <w:p>
            <w:pPr>
              <w:spacing w:after="0"/>
              <w:rPr>
                <w:sz w:val="1"/>
                <w:szCs w:val="1"/>
                <w:color w:val="auto"/>
              </w:rPr>
            </w:pPr>
          </w:p>
        </w:tc>
      </w:tr>
      <w:tr>
        <w:trPr>
          <w:trHeight w:val="230"/>
        </w:trPr>
        <w:tc>
          <w:tcPr>
            <w:tcW w:w="2440" w:type="dxa"/>
            <w:vAlign w:val="bottom"/>
            <w:shd w:val="clear" w:color="auto" w:fill="E0E0E0"/>
          </w:tcPr>
          <w:p>
            <w:pPr>
              <w:spacing w:after="0"/>
              <w:rPr>
                <w:sz w:val="19"/>
                <w:szCs w:val="19"/>
                <w:color w:val="auto"/>
              </w:rPr>
            </w:pPr>
          </w:p>
        </w:tc>
        <w:tc>
          <w:tcPr>
            <w:tcW w:w="12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10/23/2020</w:t>
            </w:r>
          </w:p>
        </w:tc>
        <w:tc>
          <w:tcPr>
            <w:tcW w:w="24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3"/>
                <w:szCs w:val="13"/>
                <w:color w:val="121212"/>
                <w:w w:val="92"/>
              </w:rPr>
              <w:t>(3)</w:t>
            </w:r>
          </w:p>
        </w:tc>
        <w:tc>
          <w:tcPr>
            <w:tcW w:w="200" w:type="dxa"/>
            <w:vAlign w:val="bottom"/>
            <w:shd w:val="clear" w:color="auto" w:fill="E0E0E0"/>
          </w:tcPr>
          <w:p>
            <w:pPr>
              <w:spacing w:after="0"/>
              <w:rPr>
                <w:sz w:val="19"/>
                <w:szCs w:val="19"/>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10/7/2020</w:t>
            </w: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48,810</w:t>
            </w:r>
          </w:p>
        </w:tc>
        <w:tc>
          <w:tcPr>
            <w:tcW w:w="1300" w:type="dxa"/>
            <w:vAlign w:val="bottom"/>
            <w:gridSpan w:val="2"/>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12,840</w:t>
            </w:r>
          </w:p>
        </w:tc>
        <w:tc>
          <w:tcPr>
            <w:tcW w:w="980" w:type="dxa"/>
            <w:vAlign w:val="bottom"/>
            <w:gridSpan w:val="2"/>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2.65</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10/22/2030</w:t>
            </w:r>
          </w:p>
        </w:tc>
        <w:tc>
          <w:tcPr>
            <w:tcW w:w="0" w:type="dxa"/>
            <w:vAlign w:val="bottom"/>
          </w:tcPr>
          <w:p>
            <w:pPr>
              <w:spacing w:after="0"/>
              <w:rPr>
                <w:sz w:val="1"/>
                <w:szCs w:val="1"/>
                <w:color w:val="auto"/>
              </w:rPr>
            </w:pPr>
          </w:p>
        </w:tc>
      </w:tr>
      <w:tr>
        <w:trPr>
          <w:trHeight w:val="230"/>
        </w:trPr>
        <w:tc>
          <w:tcPr>
            <w:tcW w:w="2440" w:type="dxa"/>
            <w:vAlign w:val="bottom"/>
            <w:shd w:val="clear" w:color="auto" w:fill="E0E0E0"/>
          </w:tcPr>
          <w:p>
            <w:pPr>
              <w:spacing w:after="0"/>
              <w:rPr>
                <w:sz w:val="19"/>
                <w:szCs w:val="19"/>
                <w:color w:val="auto"/>
              </w:rPr>
            </w:pPr>
          </w:p>
        </w:tc>
        <w:tc>
          <w:tcPr>
            <w:tcW w:w="12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3/11/2020</w:t>
            </w:r>
          </w:p>
        </w:tc>
        <w:tc>
          <w:tcPr>
            <w:tcW w:w="24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3"/>
                <w:szCs w:val="13"/>
                <w:color w:val="121212"/>
                <w:w w:val="92"/>
              </w:rPr>
              <w:t>(4)</w:t>
            </w:r>
          </w:p>
        </w:tc>
        <w:tc>
          <w:tcPr>
            <w:tcW w:w="200" w:type="dxa"/>
            <w:vAlign w:val="bottom"/>
            <w:shd w:val="clear" w:color="auto" w:fill="E0E0E0"/>
          </w:tcPr>
          <w:p>
            <w:pPr>
              <w:spacing w:after="0"/>
              <w:rPr>
                <w:sz w:val="19"/>
                <w:szCs w:val="19"/>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2/25/2020</w:t>
            </w: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231,049</w:t>
            </w:r>
          </w:p>
        </w:tc>
        <w:tc>
          <w:tcPr>
            <w:tcW w:w="1300" w:type="dxa"/>
            <w:vAlign w:val="bottom"/>
            <w:gridSpan w:val="2"/>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10,162</w:t>
            </w:r>
          </w:p>
        </w:tc>
        <w:tc>
          <w:tcPr>
            <w:tcW w:w="980" w:type="dxa"/>
            <w:vAlign w:val="bottom"/>
            <w:gridSpan w:val="2"/>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1.01</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3/10/2030</w:t>
            </w:r>
          </w:p>
        </w:tc>
        <w:tc>
          <w:tcPr>
            <w:tcW w:w="0" w:type="dxa"/>
            <w:vAlign w:val="bottom"/>
          </w:tcPr>
          <w:p>
            <w:pPr>
              <w:spacing w:after="0"/>
              <w:rPr>
                <w:sz w:val="1"/>
                <w:szCs w:val="1"/>
                <w:color w:val="auto"/>
              </w:rPr>
            </w:pPr>
          </w:p>
        </w:tc>
      </w:tr>
      <w:tr>
        <w:trPr>
          <w:trHeight w:val="210"/>
        </w:trPr>
        <w:tc>
          <w:tcPr>
            <w:tcW w:w="24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121212"/>
              </w:rPr>
              <w:t>William Savage, MD, Ph.D.</w:t>
            </w:r>
          </w:p>
        </w:tc>
        <w:tc>
          <w:tcPr>
            <w:tcW w:w="128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121212"/>
              </w:rPr>
              <w:t>12/29/2022</w:t>
            </w:r>
          </w:p>
        </w:tc>
        <w:tc>
          <w:tcPr>
            <w:tcW w:w="2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121212"/>
                <w:w w:val="92"/>
              </w:rPr>
              <w:t>(2)</w:t>
            </w:r>
          </w:p>
        </w:tc>
        <w:tc>
          <w:tcPr>
            <w:tcW w:w="200" w:type="dxa"/>
            <w:vAlign w:val="bottom"/>
          </w:tcPr>
          <w:p>
            <w:pPr>
              <w:spacing w:after="0"/>
              <w:rPr>
                <w:sz w:val="18"/>
                <w:szCs w:val="18"/>
                <w:color w:val="auto"/>
              </w:rPr>
            </w:pPr>
          </w:p>
        </w:tc>
        <w:tc>
          <w:tcPr>
            <w:tcW w:w="14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121212"/>
              </w:rPr>
              <w:t>12/29/2022</w:t>
            </w:r>
          </w:p>
        </w:tc>
        <w:tc>
          <w:tcPr>
            <w:tcW w:w="140" w:type="dxa"/>
            <w:vAlign w:val="bottom"/>
          </w:tcPr>
          <w:p>
            <w:pPr>
              <w:spacing w:after="0"/>
              <w:rPr>
                <w:sz w:val="18"/>
                <w:szCs w:val="18"/>
                <w:color w:val="auto"/>
              </w:rPr>
            </w:pPr>
          </w:p>
        </w:tc>
        <w:tc>
          <w:tcPr>
            <w:tcW w:w="1140" w:type="dxa"/>
            <w:vAlign w:val="bottom"/>
          </w:tcPr>
          <w:p>
            <w:pPr>
              <w:jc w:val="right"/>
              <w:ind w:right="7"/>
              <w:spacing w:after="0" w:line="210" w:lineRule="exact"/>
              <w:rPr>
                <w:sz w:val="20"/>
                <w:szCs w:val="20"/>
                <w:color w:val="auto"/>
              </w:rPr>
            </w:pPr>
            <w:r>
              <w:rPr>
                <w:rFonts w:ascii="Times New Roman" w:cs="Times New Roman" w:eastAsia="Times New Roman" w:hAnsi="Times New Roman"/>
                <w:sz w:val="20"/>
                <w:szCs w:val="20"/>
                <w:color w:val="121212"/>
              </w:rPr>
              <w:t>9,731</w:t>
            </w:r>
          </w:p>
        </w:tc>
        <w:tc>
          <w:tcPr>
            <w:tcW w:w="1300" w:type="dxa"/>
            <w:vAlign w:val="bottom"/>
            <w:gridSpan w:val="2"/>
          </w:tcPr>
          <w:p>
            <w:pPr>
              <w:jc w:val="right"/>
              <w:ind w:right="16"/>
              <w:spacing w:after="0" w:line="210" w:lineRule="exact"/>
              <w:rPr>
                <w:sz w:val="20"/>
                <w:szCs w:val="20"/>
                <w:color w:val="auto"/>
              </w:rPr>
            </w:pPr>
            <w:r>
              <w:rPr>
                <w:rFonts w:ascii="Times New Roman" w:cs="Times New Roman" w:eastAsia="Times New Roman" w:hAnsi="Times New Roman"/>
                <w:sz w:val="20"/>
                <w:szCs w:val="20"/>
                <w:color w:val="121212"/>
              </w:rPr>
              <w:t>29,193</w:t>
            </w:r>
          </w:p>
        </w:tc>
        <w:tc>
          <w:tcPr>
            <w:tcW w:w="980" w:type="dxa"/>
            <w:vAlign w:val="bottom"/>
            <w:gridSpan w:val="2"/>
          </w:tcPr>
          <w:p>
            <w:pPr>
              <w:jc w:val="right"/>
              <w:ind w:right="12"/>
              <w:spacing w:after="0" w:line="210" w:lineRule="exact"/>
              <w:rPr>
                <w:sz w:val="20"/>
                <w:szCs w:val="20"/>
                <w:color w:val="auto"/>
              </w:rPr>
            </w:pPr>
            <w:r>
              <w:rPr>
                <w:rFonts w:ascii="Times New Roman" w:cs="Times New Roman" w:eastAsia="Times New Roman" w:hAnsi="Times New Roman"/>
                <w:sz w:val="20"/>
                <w:szCs w:val="20"/>
                <w:color w:val="121212"/>
              </w:rPr>
              <w:t>13.50</w:t>
            </w:r>
          </w:p>
        </w:tc>
        <w:tc>
          <w:tcPr>
            <w:tcW w:w="124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121212"/>
              </w:rPr>
              <w:t>12/28/2032</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20"/>
                <w:szCs w:val="20"/>
                <w:i w:val="1"/>
                <w:iCs w:val="1"/>
                <w:color w:val="121212"/>
              </w:rPr>
              <w:t>Chief Medical Officer</w:t>
            </w:r>
          </w:p>
        </w:tc>
        <w:tc>
          <w:tcPr>
            <w:tcW w:w="1520" w:type="dxa"/>
            <w:vAlign w:val="bottom"/>
            <w:gridSpan w:val="3"/>
          </w:tcPr>
          <w:p>
            <w:pPr>
              <w:jc w:val="right"/>
              <w:ind w:right="15"/>
              <w:spacing w:after="0" w:line="230" w:lineRule="exact"/>
              <w:rPr>
                <w:sz w:val="20"/>
                <w:szCs w:val="20"/>
                <w:color w:val="auto"/>
              </w:rPr>
            </w:pPr>
            <w:r>
              <w:rPr>
                <w:rFonts w:ascii="Times New Roman" w:cs="Times New Roman" w:eastAsia="Times New Roman" w:hAnsi="Times New Roman"/>
                <w:sz w:val="20"/>
                <w:szCs w:val="20"/>
                <w:color w:val="121212"/>
              </w:rPr>
              <w:t>9/14/2021</w:t>
            </w:r>
            <w:r>
              <w:rPr>
                <w:rFonts w:ascii="Times New Roman" w:cs="Times New Roman" w:eastAsia="Times New Roman" w:hAnsi="Times New Roman"/>
                <w:sz w:val="26"/>
                <w:szCs w:val="26"/>
                <w:color w:val="121212"/>
                <w:vertAlign w:val="superscript"/>
              </w:rPr>
              <w:t>(2)</w:t>
            </w:r>
          </w:p>
        </w:tc>
        <w:tc>
          <w:tcPr>
            <w:tcW w:w="20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21212"/>
              </w:rPr>
              <w:t>7/1/2021</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6,360</w:t>
            </w:r>
          </w:p>
        </w:tc>
        <w:tc>
          <w:tcPr>
            <w:tcW w:w="130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121212"/>
              </w:rPr>
              <w:t>4,161</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121212"/>
              </w:rPr>
              <w:t>9.86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21212"/>
              </w:rPr>
              <w:t>9/13/2031</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19"/>
                <w:szCs w:val="19"/>
                <w:color w:val="auto"/>
              </w:rPr>
            </w:pPr>
          </w:p>
        </w:tc>
        <w:tc>
          <w:tcPr>
            <w:tcW w:w="1520" w:type="dxa"/>
            <w:vAlign w:val="bottom"/>
            <w:gridSpan w:val="3"/>
          </w:tcPr>
          <w:p>
            <w:pPr>
              <w:jc w:val="right"/>
              <w:ind w:right="15"/>
              <w:spacing w:after="0" w:line="230" w:lineRule="exact"/>
              <w:rPr>
                <w:sz w:val="20"/>
                <w:szCs w:val="20"/>
                <w:color w:val="auto"/>
              </w:rPr>
            </w:pPr>
            <w:r>
              <w:rPr>
                <w:rFonts w:ascii="Times New Roman" w:cs="Times New Roman" w:eastAsia="Times New Roman" w:hAnsi="Times New Roman"/>
                <w:sz w:val="20"/>
                <w:szCs w:val="20"/>
                <w:color w:val="121212"/>
              </w:rPr>
              <w:t>9/14/2021</w:t>
            </w:r>
            <w:r>
              <w:rPr>
                <w:rFonts w:ascii="Times New Roman" w:cs="Times New Roman" w:eastAsia="Times New Roman" w:hAnsi="Times New Roman"/>
                <w:sz w:val="26"/>
                <w:szCs w:val="26"/>
                <w:color w:val="121212"/>
                <w:vertAlign w:val="superscript"/>
              </w:rPr>
              <w:t>(2)</w:t>
            </w:r>
          </w:p>
        </w:tc>
        <w:tc>
          <w:tcPr>
            <w:tcW w:w="20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21212"/>
              </w:rPr>
              <w:t>9/1/2021</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25,423</w:t>
            </w:r>
          </w:p>
        </w:tc>
        <w:tc>
          <w:tcPr>
            <w:tcW w:w="130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121212"/>
              </w:rPr>
              <w:t>19,769</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121212"/>
              </w:rPr>
              <w:t>9.86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21212"/>
              </w:rPr>
              <w:t>9/13/2031</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19"/>
                <w:szCs w:val="19"/>
                <w:color w:val="auto"/>
              </w:rPr>
            </w:pPr>
          </w:p>
        </w:tc>
        <w:tc>
          <w:tcPr>
            <w:tcW w:w="1520" w:type="dxa"/>
            <w:vAlign w:val="bottom"/>
            <w:gridSpan w:val="3"/>
          </w:tcPr>
          <w:p>
            <w:pPr>
              <w:jc w:val="right"/>
              <w:ind w:right="15"/>
              <w:spacing w:after="0" w:line="230" w:lineRule="exact"/>
              <w:rPr>
                <w:sz w:val="20"/>
                <w:szCs w:val="20"/>
                <w:color w:val="auto"/>
              </w:rPr>
            </w:pPr>
            <w:r>
              <w:rPr>
                <w:rFonts w:ascii="Times New Roman" w:cs="Times New Roman" w:eastAsia="Times New Roman" w:hAnsi="Times New Roman"/>
                <w:sz w:val="20"/>
                <w:szCs w:val="20"/>
                <w:color w:val="121212"/>
              </w:rPr>
              <w:t>10/23/2020</w:t>
            </w:r>
            <w:r>
              <w:rPr>
                <w:rFonts w:ascii="Times New Roman" w:cs="Times New Roman" w:eastAsia="Times New Roman" w:hAnsi="Times New Roman"/>
                <w:sz w:val="26"/>
                <w:szCs w:val="26"/>
                <w:color w:val="121212"/>
                <w:vertAlign w:val="superscript"/>
              </w:rPr>
              <w:t>(5)</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10/7/2020</w:t>
            </w:r>
          </w:p>
        </w:tc>
        <w:tc>
          <w:tcPr>
            <w:tcW w:w="140" w:type="dxa"/>
            <w:vAlign w:val="bottom"/>
          </w:tcPr>
          <w:p>
            <w:pPr>
              <w:spacing w:after="0"/>
              <w:rPr>
                <w:sz w:val="19"/>
                <w:szCs w:val="19"/>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8,135</w:t>
            </w:r>
          </w:p>
        </w:tc>
        <w:tc>
          <w:tcPr>
            <w:tcW w:w="130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121212"/>
              </w:rPr>
              <w:t>2,140</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121212"/>
              </w:rPr>
              <w:t>2.65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21212"/>
              </w:rPr>
              <w:t>10/22/2030</w:t>
            </w:r>
          </w:p>
        </w:tc>
        <w:tc>
          <w:tcPr>
            <w:tcW w:w="0" w:type="dxa"/>
            <w:vAlign w:val="bottom"/>
          </w:tcPr>
          <w:p>
            <w:pPr>
              <w:spacing w:after="0"/>
              <w:rPr>
                <w:sz w:val="1"/>
                <w:szCs w:val="1"/>
                <w:color w:val="auto"/>
              </w:rPr>
            </w:pPr>
          </w:p>
        </w:tc>
      </w:tr>
      <w:tr>
        <w:trPr>
          <w:trHeight w:val="249"/>
        </w:trPr>
        <w:tc>
          <w:tcPr>
            <w:tcW w:w="2440" w:type="dxa"/>
            <w:vAlign w:val="bottom"/>
          </w:tcPr>
          <w:p>
            <w:pPr>
              <w:spacing w:after="0"/>
              <w:rPr>
                <w:sz w:val="21"/>
                <w:szCs w:val="21"/>
                <w:color w:val="auto"/>
              </w:rPr>
            </w:pPr>
          </w:p>
        </w:tc>
        <w:tc>
          <w:tcPr>
            <w:tcW w:w="1520" w:type="dxa"/>
            <w:vAlign w:val="bottom"/>
            <w:gridSpan w:val="3"/>
          </w:tcPr>
          <w:p>
            <w:pPr>
              <w:jc w:val="right"/>
              <w:ind w:right="15"/>
              <w:spacing w:after="0" w:line="250" w:lineRule="exact"/>
              <w:rPr>
                <w:sz w:val="20"/>
                <w:szCs w:val="20"/>
                <w:color w:val="auto"/>
              </w:rPr>
            </w:pPr>
            <w:r>
              <w:rPr>
                <w:rFonts w:ascii="Times New Roman" w:cs="Times New Roman" w:eastAsia="Times New Roman" w:hAnsi="Times New Roman"/>
                <w:sz w:val="20"/>
                <w:szCs w:val="20"/>
                <w:color w:val="121212"/>
              </w:rPr>
              <w:t>8/11/2020</w:t>
            </w:r>
            <w:r>
              <w:rPr>
                <w:rFonts w:ascii="Times New Roman" w:cs="Times New Roman" w:eastAsia="Times New Roman" w:hAnsi="Times New Roman"/>
                <w:sz w:val="26"/>
                <w:szCs w:val="26"/>
                <w:color w:val="121212"/>
                <w:vertAlign w:val="superscript"/>
              </w:rPr>
              <w:t>(4)</w:t>
            </w:r>
          </w:p>
        </w:tc>
        <w:tc>
          <w:tcPr>
            <w:tcW w:w="200" w:type="dxa"/>
            <w:vAlign w:val="bottom"/>
          </w:tcPr>
          <w:p>
            <w:pPr>
              <w:spacing w:after="0"/>
              <w:rPr>
                <w:sz w:val="21"/>
                <w:szCs w:val="21"/>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21212"/>
              </w:rPr>
              <w:t>8/3/2020</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10,552</w:t>
            </w:r>
          </w:p>
        </w:tc>
        <w:tc>
          <w:tcPr>
            <w:tcW w:w="130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121212"/>
              </w:rPr>
              <w:t>6,774</w:t>
            </w: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121212"/>
              </w:rPr>
              <w:t>2.65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21212"/>
              </w:rPr>
              <w:t>8/10/2030</w:t>
            </w:r>
          </w:p>
        </w:tc>
        <w:tc>
          <w:tcPr>
            <w:tcW w:w="0" w:type="dxa"/>
            <w:vAlign w:val="bottom"/>
          </w:tcPr>
          <w:p>
            <w:pPr>
              <w:spacing w:after="0"/>
              <w:rPr>
                <w:sz w:val="1"/>
                <w:szCs w:val="1"/>
                <w:color w:val="auto"/>
              </w:rPr>
            </w:pPr>
          </w:p>
        </w:tc>
      </w:tr>
      <w:tr>
        <w:trPr>
          <w:trHeight w:val="230"/>
        </w:trPr>
        <w:tc>
          <w:tcPr>
            <w:tcW w:w="2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Joanne Bryce, CPA</w:t>
            </w:r>
          </w:p>
        </w:tc>
        <w:tc>
          <w:tcPr>
            <w:tcW w:w="1520" w:type="dxa"/>
            <w:vAlign w:val="bottom"/>
            <w:gridSpan w:val="3"/>
            <w:shd w:val="clear" w:color="auto" w:fill="E0E0E0"/>
          </w:tcPr>
          <w:p>
            <w:pPr>
              <w:jc w:val="right"/>
              <w:ind w:right="15"/>
              <w:spacing w:after="0" w:line="230" w:lineRule="exact"/>
              <w:rPr>
                <w:sz w:val="20"/>
                <w:szCs w:val="20"/>
                <w:color w:val="auto"/>
              </w:rPr>
            </w:pPr>
            <w:r>
              <w:rPr>
                <w:rFonts w:ascii="Times New Roman" w:cs="Times New Roman" w:eastAsia="Times New Roman" w:hAnsi="Times New Roman"/>
                <w:sz w:val="20"/>
                <w:szCs w:val="20"/>
                <w:color w:val="121212"/>
              </w:rPr>
              <w:t>12/29/2022</w:t>
            </w:r>
            <w:r>
              <w:rPr>
                <w:rFonts w:ascii="Times New Roman" w:cs="Times New Roman" w:eastAsia="Times New Roman" w:hAnsi="Times New Roman"/>
                <w:sz w:val="26"/>
                <w:szCs w:val="26"/>
                <w:color w:val="121212"/>
                <w:vertAlign w:val="superscript"/>
              </w:rPr>
              <w:t>(2)</w:t>
            </w:r>
          </w:p>
        </w:tc>
        <w:tc>
          <w:tcPr>
            <w:tcW w:w="200" w:type="dxa"/>
            <w:vAlign w:val="bottom"/>
            <w:shd w:val="clear" w:color="auto" w:fill="E0E0E0"/>
          </w:tcPr>
          <w:p>
            <w:pPr>
              <w:spacing w:after="0"/>
              <w:rPr>
                <w:sz w:val="19"/>
                <w:szCs w:val="19"/>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12/29/2022</w:t>
            </w: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8,461</w:t>
            </w:r>
          </w:p>
        </w:tc>
        <w:tc>
          <w:tcPr>
            <w:tcW w:w="1300" w:type="dxa"/>
            <w:vAlign w:val="bottom"/>
            <w:gridSpan w:val="2"/>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25,386</w:t>
            </w:r>
          </w:p>
        </w:tc>
        <w:tc>
          <w:tcPr>
            <w:tcW w:w="980" w:type="dxa"/>
            <w:vAlign w:val="bottom"/>
            <w:gridSpan w:val="2"/>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13.50</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12/28/2032</w:t>
            </w:r>
          </w:p>
        </w:tc>
        <w:tc>
          <w:tcPr>
            <w:tcW w:w="0" w:type="dxa"/>
            <w:vAlign w:val="bottom"/>
          </w:tcPr>
          <w:p>
            <w:pPr>
              <w:spacing w:after="0"/>
              <w:rPr>
                <w:sz w:val="1"/>
                <w:szCs w:val="1"/>
                <w:color w:val="auto"/>
              </w:rPr>
            </w:pPr>
          </w:p>
        </w:tc>
      </w:tr>
      <w:tr>
        <w:trPr>
          <w:trHeight w:val="230"/>
        </w:trPr>
        <w:tc>
          <w:tcPr>
            <w:tcW w:w="24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i w:val="1"/>
                <w:iCs w:val="1"/>
                <w:color w:val="121212"/>
              </w:rPr>
              <w:t>Chief Financial Officer</w:t>
            </w:r>
          </w:p>
        </w:tc>
        <w:tc>
          <w:tcPr>
            <w:tcW w:w="12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9/14/2021</w:t>
            </w:r>
          </w:p>
        </w:tc>
        <w:tc>
          <w:tcPr>
            <w:tcW w:w="24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3"/>
                <w:szCs w:val="13"/>
                <w:color w:val="121212"/>
                <w:w w:val="92"/>
              </w:rPr>
              <w:t>(2)</w:t>
            </w:r>
          </w:p>
        </w:tc>
        <w:tc>
          <w:tcPr>
            <w:tcW w:w="200" w:type="dxa"/>
            <w:vAlign w:val="bottom"/>
            <w:shd w:val="clear" w:color="auto" w:fill="E0E0E0"/>
          </w:tcPr>
          <w:p>
            <w:pPr>
              <w:spacing w:after="0"/>
              <w:rPr>
                <w:sz w:val="19"/>
                <w:szCs w:val="19"/>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9/1/2021</w:t>
            </w: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39,077</w:t>
            </w:r>
          </w:p>
        </w:tc>
        <w:tc>
          <w:tcPr>
            <w:tcW w:w="1300" w:type="dxa"/>
            <w:vAlign w:val="bottom"/>
            <w:gridSpan w:val="2"/>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34,668</w:t>
            </w:r>
          </w:p>
        </w:tc>
        <w:tc>
          <w:tcPr>
            <w:tcW w:w="980" w:type="dxa"/>
            <w:vAlign w:val="bottom"/>
            <w:gridSpan w:val="2"/>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9.86</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9/13/2031</w:t>
            </w:r>
          </w:p>
        </w:tc>
        <w:tc>
          <w:tcPr>
            <w:tcW w:w="0" w:type="dxa"/>
            <w:vAlign w:val="bottom"/>
          </w:tcPr>
          <w:p>
            <w:pPr>
              <w:spacing w:after="0"/>
              <w:rPr>
                <w:sz w:val="1"/>
                <w:szCs w:val="1"/>
                <w:color w:val="auto"/>
              </w:rPr>
            </w:pPr>
          </w:p>
        </w:tc>
      </w:tr>
      <w:tr>
        <w:trPr>
          <w:trHeight w:val="230"/>
        </w:trPr>
        <w:tc>
          <w:tcPr>
            <w:tcW w:w="2440" w:type="dxa"/>
            <w:vAlign w:val="bottom"/>
            <w:shd w:val="clear" w:color="auto" w:fill="E0E0E0"/>
          </w:tcPr>
          <w:p>
            <w:pPr>
              <w:spacing w:after="0"/>
              <w:rPr>
                <w:sz w:val="19"/>
                <w:szCs w:val="19"/>
                <w:color w:val="auto"/>
              </w:rPr>
            </w:pPr>
          </w:p>
        </w:tc>
        <w:tc>
          <w:tcPr>
            <w:tcW w:w="12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10/23/2020</w:t>
            </w:r>
          </w:p>
        </w:tc>
        <w:tc>
          <w:tcPr>
            <w:tcW w:w="24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3"/>
                <w:szCs w:val="13"/>
                <w:color w:val="121212"/>
                <w:w w:val="92"/>
              </w:rPr>
              <w:t>(2)</w:t>
            </w:r>
          </w:p>
        </w:tc>
        <w:tc>
          <w:tcPr>
            <w:tcW w:w="200" w:type="dxa"/>
            <w:vAlign w:val="bottom"/>
            <w:shd w:val="clear" w:color="auto" w:fill="E0E0E0"/>
          </w:tcPr>
          <w:p>
            <w:pPr>
              <w:spacing w:after="0"/>
              <w:rPr>
                <w:sz w:val="19"/>
                <w:szCs w:val="19"/>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10/7/2020</w:t>
            </w:r>
          </w:p>
        </w:tc>
        <w:tc>
          <w:tcPr>
            <w:tcW w:w="140" w:type="dxa"/>
            <w:vAlign w:val="bottom"/>
            <w:shd w:val="clear" w:color="auto" w:fill="E0E0E0"/>
          </w:tcPr>
          <w:p>
            <w:pPr>
              <w:spacing w:after="0"/>
              <w:rPr>
                <w:sz w:val="19"/>
                <w:szCs w:val="19"/>
                <w:color w:val="auto"/>
              </w:rPr>
            </w:pPr>
          </w:p>
        </w:tc>
        <w:tc>
          <w:tcPr>
            <w:tcW w:w="114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2,763</w:t>
            </w:r>
          </w:p>
        </w:tc>
        <w:tc>
          <w:tcPr>
            <w:tcW w:w="1300" w:type="dxa"/>
            <w:vAlign w:val="bottom"/>
            <w:gridSpan w:val="2"/>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990</w:t>
            </w:r>
          </w:p>
        </w:tc>
        <w:tc>
          <w:tcPr>
            <w:tcW w:w="980" w:type="dxa"/>
            <w:vAlign w:val="bottom"/>
            <w:gridSpan w:val="2"/>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2.65</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10/22/2030</w:t>
            </w:r>
          </w:p>
        </w:tc>
        <w:tc>
          <w:tcPr>
            <w:tcW w:w="0" w:type="dxa"/>
            <w:vAlign w:val="bottom"/>
          </w:tcPr>
          <w:p>
            <w:pPr>
              <w:spacing w:after="0"/>
              <w:rPr>
                <w:sz w:val="1"/>
                <w:szCs w:val="1"/>
                <w:color w:val="auto"/>
              </w:rPr>
            </w:pPr>
          </w:p>
        </w:tc>
      </w:tr>
      <w:tr>
        <w:trPr>
          <w:trHeight w:val="210"/>
        </w:trPr>
        <w:tc>
          <w:tcPr>
            <w:tcW w:w="2440" w:type="dxa"/>
            <w:vAlign w:val="bottom"/>
            <w:shd w:val="clear" w:color="auto" w:fill="E0E0E0"/>
          </w:tcPr>
          <w:p>
            <w:pPr>
              <w:spacing w:after="0"/>
              <w:rPr>
                <w:sz w:val="18"/>
                <w:szCs w:val="18"/>
                <w:color w:val="auto"/>
              </w:rPr>
            </w:pPr>
          </w:p>
        </w:tc>
        <w:tc>
          <w:tcPr>
            <w:tcW w:w="1280" w:type="dxa"/>
            <w:vAlign w:val="bottom"/>
            <w:gridSpan w:val="2"/>
            <w:shd w:val="clear" w:color="auto" w:fill="E0E0E0"/>
          </w:tcPr>
          <w:p>
            <w:pPr>
              <w:jc w:val="right"/>
              <w:spacing w:after="0" w:line="210" w:lineRule="exact"/>
              <w:rPr>
                <w:sz w:val="20"/>
                <w:szCs w:val="20"/>
                <w:color w:val="auto"/>
              </w:rPr>
            </w:pPr>
            <w:r>
              <w:rPr>
                <w:rFonts w:ascii="Times New Roman" w:cs="Times New Roman" w:eastAsia="Times New Roman" w:hAnsi="Times New Roman"/>
                <w:sz w:val="20"/>
                <w:szCs w:val="20"/>
                <w:color w:val="121212"/>
              </w:rPr>
              <w:t>10/23/2020</w:t>
            </w:r>
          </w:p>
        </w:tc>
        <w:tc>
          <w:tcPr>
            <w:tcW w:w="24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3"/>
                <w:szCs w:val="13"/>
                <w:color w:val="121212"/>
                <w:w w:val="92"/>
              </w:rPr>
              <w:t>(2)</w:t>
            </w:r>
          </w:p>
        </w:tc>
        <w:tc>
          <w:tcPr>
            <w:tcW w:w="200" w:type="dxa"/>
            <w:vAlign w:val="bottom"/>
            <w:shd w:val="clear" w:color="auto" w:fill="E0E0E0"/>
          </w:tcPr>
          <w:p>
            <w:pPr>
              <w:spacing w:after="0"/>
              <w:rPr>
                <w:sz w:val="18"/>
                <w:szCs w:val="18"/>
                <w:color w:val="auto"/>
              </w:rPr>
            </w:pPr>
          </w:p>
        </w:tc>
        <w:tc>
          <w:tcPr>
            <w:tcW w:w="1480" w:type="dxa"/>
            <w:vAlign w:val="bottom"/>
            <w:shd w:val="clear" w:color="auto" w:fill="E0E0E0"/>
          </w:tcPr>
          <w:p>
            <w:pPr>
              <w:jc w:val="right"/>
              <w:spacing w:after="0" w:line="210" w:lineRule="exact"/>
              <w:rPr>
                <w:sz w:val="20"/>
                <w:szCs w:val="20"/>
                <w:color w:val="auto"/>
              </w:rPr>
            </w:pPr>
            <w:r>
              <w:rPr>
                <w:rFonts w:ascii="Times New Roman" w:cs="Times New Roman" w:eastAsia="Times New Roman" w:hAnsi="Times New Roman"/>
                <w:sz w:val="20"/>
                <w:szCs w:val="20"/>
                <w:color w:val="121212"/>
              </w:rPr>
              <w:t>1/1/2020</w:t>
            </w:r>
          </w:p>
        </w:tc>
        <w:tc>
          <w:tcPr>
            <w:tcW w:w="140" w:type="dxa"/>
            <w:vAlign w:val="bottom"/>
            <w:shd w:val="clear" w:color="auto" w:fill="E0E0E0"/>
          </w:tcPr>
          <w:p>
            <w:pPr>
              <w:spacing w:after="0"/>
              <w:rPr>
                <w:sz w:val="18"/>
                <w:szCs w:val="18"/>
                <w:color w:val="auto"/>
              </w:rPr>
            </w:pPr>
          </w:p>
        </w:tc>
        <w:tc>
          <w:tcPr>
            <w:tcW w:w="1140" w:type="dxa"/>
            <w:vAlign w:val="bottom"/>
            <w:shd w:val="clear" w:color="auto" w:fill="E0E0E0"/>
          </w:tcPr>
          <w:p>
            <w:pPr>
              <w:jc w:val="right"/>
              <w:ind w:right="7"/>
              <w:spacing w:after="0" w:line="210" w:lineRule="exact"/>
              <w:rPr>
                <w:sz w:val="20"/>
                <w:szCs w:val="20"/>
                <w:color w:val="auto"/>
              </w:rPr>
            </w:pPr>
            <w:r>
              <w:rPr>
                <w:rFonts w:ascii="Times New Roman" w:cs="Times New Roman" w:eastAsia="Times New Roman" w:hAnsi="Times New Roman"/>
                <w:sz w:val="20"/>
                <w:szCs w:val="20"/>
                <w:color w:val="121212"/>
              </w:rPr>
              <w:t>2,154</w:t>
            </w:r>
          </w:p>
        </w:tc>
        <w:tc>
          <w:tcPr>
            <w:tcW w:w="1300" w:type="dxa"/>
            <w:vAlign w:val="bottom"/>
            <w:gridSpan w:val="2"/>
            <w:shd w:val="clear" w:color="auto" w:fill="E0E0E0"/>
          </w:tcPr>
          <w:p>
            <w:pPr>
              <w:jc w:val="right"/>
              <w:ind w:right="16"/>
              <w:spacing w:after="0" w:line="210" w:lineRule="exact"/>
              <w:rPr>
                <w:sz w:val="20"/>
                <w:szCs w:val="20"/>
                <w:color w:val="auto"/>
              </w:rPr>
            </w:pPr>
            <w:r>
              <w:rPr>
                <w:rFonts w:ascii="Times New Roman" w:cs="Times New Roman" w:eastAsia="Times New Roman" w:hAnsi="Times New Roman"/>
                <w:sz w:val="20"/>
                <w:szCs w:val="20"/>
                <w:color w:val="121212"/>
              </w:rPr>
              <w:t>99</w:t>
            </w:r>
          </w:p>
        </w:tc>
        <w:tc>
          <w:tcPr>
            <w:tcW w:w="980" w:type="dxa"/>
            <w:vAlign w:val="bottom"/>
            <w:gridSpan w:val="2"/>
            <w:shd w:val="clear" w:color="auto" w:fill="E0E0E0"/>
          </w:tcPr>
          <w:p>
            <w:pPr>
              <w:jc w:val="right"/>
              <w:ind w:right="12"/>
              <w:spacing w:after="0" w:line="210" w:lineRule="exact"/>
              <w:rPr>
                <w:sz w:val="20"/>
                <w:szCs w:val="20"/>
                <w:color w:val="auto"/>
              </w:rPr>
            </w:pPr>
            <w:r>
              <w:rPr>
                <w:rFonts w:ascii="Times New Roman" w:cs="Times New Roman" w:eastAsia="Times New Roman" w:hAnsi="Times New Roman"/>
                <w:sz w:val="20"/>
                <w:szCs w:val="20"/>
                <w:color w:val="121212"/>
              </w:rPr>
              <w:t>2.65</w:t>
            </w:r>
          </w:p>
        </w:tc>
        <w:tc>
          <w:tcPr>
            <w:tcW w:w="1240" w:type="dxa"/>
            <w:vAlign w:val="bottom"/>
            <w:gridSpan w:val="2"/>
            <w:shd w:val="clear" w:color="auto" w:fill="E0E0E0"/>
          </w:tcPr>
          <w:p>
            <w:pPr>
              <w:jc w:val="right"/>
              <w:spacing w:after="0" w:line="210" w:lineRule="exact"/>
              <w:rPr>
                <w:sz w:val="20"/>
                <w:szCs w:val="20"/>
                <w:color w:val="auto"/>
              </w:rPr>
            </w:pPr>
            <w:r>
              <w:rPr>
                <w:rFonts w:ascii="Times New Roman" w:cs="Times New Roman" w:eastAsia="Times New Roman" w:hAnsi="Times New Roman"/>
                <w:sz w:val="20"/>
                <w:szCs w:val="20"/>
                <w:color w:val="121212"/>
              </w:rPr>
              <w:t>10/22/2030</w:t>
            </w:r>
          </w:p>
        </w:tc>
        <w:tc>
          <w:tcPr>
            <w:tcW w:w="0" w:type="dxa"/>
            <w:vAlign w:val="bottom"/>
          </w:tcPr>
          <w:p>
            <w:pPr>
              <w:spacing w:after="0"/>
              <w:rPr>
                <w:sz w:val="1"/>
                <w:szCs w:val="1"/>
                <w:color w:val="auto"/>
              </w:rPr>
            </w:pPr>
          </w:p>
        </w:tc>
      </w:tr>
      <w:tr>
        <w:trPr>
          <w:trHeight w:val="249"/>
        </w:trPr>
        <w:tc>
          <w:tcPr>
            <w:tcW w:w="244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11/6/2019</w:t>
            </w:r>
          </w:p>
        </w:tc>
        <w:tc>
          <w:tcPr>
            <w:tcW w:w="240" w:type="dxa"/>
            <w:vAlign w:val="bottom"/>
            <w:shd w:val="clear" w:color="auto" w:fill="E0E0E0"/>
          </w:tcPr>
          <w:p>
            <w:pPr>
              <w:jc w:val="right"/>
              <w:ind w:right="15"/>
              <w:spacing w:after="0"/>
              <w:rPr>
                <w:sz w:val="20"/>
                <w:szCs w:val="20"/>
                <w:color w:val="auto"/>
              </w:rPr>
            </w:pPr>
            <w:r>
              <w:rPr>
                <w:rFonts w:ascii="Times New Roman" w:cs="Times New Roman" w:eastAsia="Times New Roman" w:hAnsi="Times New Roman"/>
                <w:sz w:val="13"/>
                <w:szCs w:val="13"/>
                <w:color w:val="121212"/>
                <w:w w:val="92"/>
              </w:rPr>
              <w:t>(6)</w:t>
            </w:r>
          </w:p>
        </w:tc>
        <w:tc>
          <w:tcPr>
            <w:tcW w:w="200" w:type="dxa"/>
            <w:vAlign w:val="bottom"/>
            <w:shd w:val="clear" w:color="auto" w:fill="E0E0E0"/>
          </w:tcPr>
          <w:p>
            <w:pPr>
              <w:spacing w:after="0"/>
              <w:rPr>
                <w:sz w:val="21"/>
                <w:szCs w:val="21"/>
                <w:color w:val="auto"/>
              </w:rPr>
            </w:pPr>
          </w:p>
        </w:tc>
        <w:tc>
          <w:tcPr>
            <w:tcW w:w="14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5/1/2020</w:t>
            </w:r>
          </w:p>
        </w:tc>
        <w:tc>
          <w:tcPr>
            <w:tcW w:w="140" w:type="dxa"/>
            <w:vAlign w:val="bottom"/>
            <w:shd w:val="clear" w:color="auto" w:fill="E0E0E0"/>
          </w:tcPr>
          <w:p>
            <w:pPr>
              <w:spacing w:after="0"/>
              <w:rPr>
                <w:sz w:val="21"/>
                <w:szCs w:val="21"/>
                <w:color w:val="auto"/>
              </w:rPr>
            </w:pPr>
          </w:p>
        </w:tc>
        <w:tc>
          <w:tcPr>
            <w:tcW w:w="114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w:t>
            </w:r>
          </w:p>
        </w:tc>
        <w:tc>
          <w:tcPr>
            <w:tcW w:w="1300" w:type="dxa"/>
            <w:vAlign w:val="bottom"/>
            <w:gridSpan w:val="2"/>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752</w:t>
            </w:r>
          </w:p>
        </w:tc>
        <w:tc>
          <w:tcPr>
            <w:tcW w:w="980" w:type="dxa"/>
            <w:vAlign w:val="bottom"/>
            <w:gridSpan w:val="2"/>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1.01</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11/5/2029</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67" w:hanging="367"/>
        <w:spacing w:after="0" w:line="246" w:lineRule="auto"/>
        <w:tabs>
          <w:tab w:leader="none" w:pos="367" w:val="left"/>
        </w:tabs>
        <w:numPr>
          <w:ilvl w:val="0"/>
          <w:numId w:val="66"/>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All stock options granted in years 2020 and 2021 were granted pursuant to the terms of our 2017 Stock Option and Grant Plan, as amended, or our 2017 Plan. All stock options granted in year 2022 were granted pursuant to the terms of our Amended and Restated 2021 Stock Option and Incentive Plan, or our 2021 Plan. Pursuant to provisions in our stock plans, the exercise price and number of shares subject to certain of these stock options were adjusted in connection with (i) the 1-for-10 reverse stock split that occurred on December 29, 2022 and (ii) our prior merger with Gemini Therapeutics, Inc., pursuant to which all of our shares of common stock were converted into shares of Gemini’s common stock based on an exchange ratio of 0.1096. Accordingly, the exercise prices shown in the table above (and in the corresponding footnotes) reflect our named executive officers’ post-reverse stock split holdings and post-conversion holdings.</w:t>
      </w:r>
    </w:p>
    <w:p>
      <w:pPr>
        <w:spacing w:after="0" w:line="87" w:lineRule="exact"/>
        <w:rPr>
          <w:rFonts w:ascii="Times New Roman" w:cs="Times New Roman" w:eastAsia="Times New Roman" w:hAnsi="Times New Roman"/>
          <w:sz w:val="16"/>
          <w:szCs w:val="16"/>
          <w:color w:val="121212"/>
        </w:rPr>
      </w:pPr>
    </w:p>
    <w:p>
      <w:pPr>
        <w:ind w:left="367" w:right="240" w:hanging="367"/>
        <w:spacing w:after="0" w:line="277" w:lineRule="auto"/>
        <w:tabs>
          <w:tab w:leader="none" w:pos="367" w:val="left"/>
        </w:tabs>
        <w:numPr>
          <w:ilvl w:val="0"/>
          <w:numId w:val="66"/>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This stock option vests in 48 equal monthly installments following the Vesting Commencement Date, subject to the named executive officer’s continuous service.</w:t>
      </w:r>
    </w:p>
    <w:p>
      <w:pPr>
        <w:spacing w:after="0" w:line="63" w:lineRule="exact"/>
        <w:rPr>
          <w:rFonts w:ascii="Times New Roman" w:cs="Times New Roman" w:eastAsia="Times New Roman" w:hAnsi="Times New Roman"/>
          <w:sz w:val="16"/>
          <w:szCs w:val="16"/>
          <w:color w:val="121212"/>
        </w:rPr>
      </w:pPr>
    </w:p>
    <w:p>
      <w:pPr>
        <w:ind w:left="367" w:right="140" w:hanging="367"/>
        <w:spacing w:after="0" w:line="277" w:lineRule="auto"/>
        <w:tabs>
          <w:tab w:leader="none" w:pos="367" w:val="left"/>
        </w:tabs>
        <w:numPr>
          <w:ilvl w:val="0"/>
          <w:numId w:val="66"/>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5,138 shares vested on February 25, 2021. The remaining 56,512 shares vest in 44 equal monthly installments following the Vesting Commencement Date, subject to the named executive officer’s continuous service.</w:t>
      </w:r>
    </w:p>
    <w:p>
      <w:pPr>
        <w:spacing w:after="0" w:line="63" w:lineRule="exact"/>
        <w:rPr>
          <w:rFonts w:ascii="Times New Roman" w:cs="Times New Roman" w:eastAsia="Times New Roman" w:hAnsi="Times New Roman"/>
          <w:sz w:val="16"/>
          <w:szCs w:val="16"/>
          <w:color w:val="121212"/>
        </w:rPr>
      </w:pPr>
    </w:p>
    <w:p>
      <w:pPr>
        <w:ind w:left="367" w:right="400" w:hanging="367"/>
        <w:spacing w:after="0" w:line="277" w:lineRule="auto"/>
        <w:tabs>
          <w:tab w:leader="none" w:pos="367" w:val="left"/>
        </w:tabs>
        <w:numPr>
          <w:ilvl w:val="0"/>
          <w:numId w:val="66"/>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25% of the shares vested on the one-year anniversary of the Vesting Commencement Date. The remaining shares vest in 36 equal monthly installments following the Vesting Commencement Date, subject to the named executive officer’s continuous service.</w:t>
      </w:r>
    </w:p>
    <w:p>
      <w:pPr>
        <w:spacing w:after="0" w:line="63" w:lineRule="exact"/>
        <w:rPr>
          <w:rFonts w:ascii="Times New Roman" w:cs="Times New Roman" w:eastAsia="Times New Roman" w:hAnsi="Times New Roman"/>
          <w:sz w:val="16"/>
          <w:szCs w:val="16"/>
          <w:color w:val="121212"/>
        </w:rPr>
      </w:pPr>
    </w:p>
    <w:p>
      <w:pPr>
        <w:ind w:left="367" w:right="420" w:hanging="367"/>
        <w:spacing w:after="0" w:line="277" w:lineRule="auto"/>
        <w:tabs>
          <w:tab w:leader="none" w:pos="367" w:val="left"/>
        </w:tabs>
        <w:numPr>
          <w:ilvl w:val="0"/>
          <w:numId w:val="66"/>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2,140 shares vested on August 3, 2021. The remaining 8,135 shares vest in 38 equal monthly installments following the Vesting Commencement Date, subject to the named executive officer’s continuous service.</w:t>
      </w:r>
    </w:p>
    <w:p>
      <w:pPr>
        <w:spacing w:after="0" w:line="63" w:lineRule="exact"/>
        <w:rPr>
          <w:rFonts w:ascii="Times New Roman" w:cs="Times New Roman" w:eastAsia="Times New Roman" w:hAnsi="Times New Roman"/>
          <w:sz w:val="16"/>
          <w:szCs w:val="16"/>
          <w:color w:val="121212"/>
        </w:rPr>
      </w:pPr>
    </w:p>
    <w:p>
      <w:pPr>
        <w:ind w:left="367" w:right="220" w:hanging="367"/>
        <w:spacing w:after="0" w:line="277" w:lineRule="auto"/>
        <w:tabs>
          <w:tab w:leader="none" w:pos="367" w:val="left"/>
        </w:tabs>
        <w:numPr>
          <w:ilvl w:val="0"/>
          <w:numId w:val="66"/>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This stock option vests in 16 equal quarterly installments commencing on the three-month anniversary of the Vesting Commencement Date, subject to the named executive officer’s continuous service.</w:t>
      </w:r>
    </w:p>
    <w:p>
      <w:pPr>
        <w:spacing w:after="0" w:line="1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Employment Arrangements for Named Executive Officers</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121212"/>
        </w:rPr>
        <w:t>Dr. John Quisel</w:t>
      </w:r>
    </w:p>
    <w:p>
      <w:pPr>
        <w:spacing w:after="0" w:line="118" w:lineRule="exact"/>
        <w:rPr>
          <w:sz w:val="20"/>
          <w:szCs w:val="20"/>
          <w:color w:val="auto"/>
        </w:rPr>
      </w:pPr>
    </w:p>
    <w:p>
      <w:pPr>
        <w:ind w:left="7" w:right="160" w:firstLine="490"/>
        <w:spacing w:after="0" w:line="261" w:lineRule="auto"/>
        <w:rPr>
          <w:sz w:val="20"/>
          <w:szCs w:val="20"/>
          <w:color w:val="auto"/>
        </w:rPr>
      </w:pPr>
      <w:r>
        <w:rPr>
          <w:rFonts w:ascii="Times New Roman" w:cs="Times New Roman" w:eastAsia="Times New Roman" w:hAnsi="Times New Roman"/>
          <w:sz w:val="19"/>
          <w:szCs w:val="19"/>
          <w:color w:val="121212"/>
        </w:rPr>
        <w:t>On August 9, 2022, we entered into an employment agreement with Dr. Quisel effective as of December 29, 2022, or the Quisel Employment Agreement, who currently serves as our Chief Executive Officer, that supersedes his previous employment agreement. The Quisel Employment Agreement provides for Dr. Quisel’s at-will employment, an annual salary of $ 562,000,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50% of his base salary and eligibility to participate in the employee benefit plans generally available to our employees. The Quisel Employment Agreement also provides that upon a termination</w:t>
      </w:r>
    </w:p>
    <w:p>
      <w:pPr>
        <w:sectPr>
          <w:pgSz w:w="12240" w:h="15840" w:orient="portrait"/>
          <w:cols w:equalWidth="0" w:num="1">
            <w:col w:w="10447"/>
          </w:cols>
          <w:pgMar w:left="893" w:top="921" w:right="900" w:bottom="175" w:gutter="0" w:footer="0" w:header="0"/>
        </w:sectPr>
      </w:pPr>
    </w:p>
    <w:p>
      <w:pPr>
        <w:spacing w:after="0" w:line="37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21212"/>
        </w:rPr>
        <w:t>146</w:t>
      </w:r>
    </w:p>
    <w:p>
      <w:pPr>
        <w:sectPr>
          <w:pgSz w:w="12240" w:h="15840" w:orient="portrait"/>
          <w:cols w:equalWidth="0" w:num="1">
            <w:col w:w="10447"/>
          </w:cols>
          <w:pgMar w:left="893" w:top="921" w:right="900" w:bottom="175" w:gutter="0" w:footer="0" w:header="0"/>
          <w:type w:val="continuous"/>
        </w:sectPr>
      </w:pPr>
    </w:p>
    <w:bookmarkStart w:id="156" w:name="page157"/>
    <w:bookmarkEnd w:id="156"/>
    <w:p>
      <w:pPr>
        <w:spacing w:after="0" w:line="242" w:lineRule="auto"/>
        <w:rPr>
          <w:sz w:val="20"/>
          <w:szCs w:val="20"/>
          <w:color w:val="auto"/>
        </w:rPr>
      </w:pPr>
      <w:r>
        <w:rPr>
          <w:rFonts w:ascii="Times New Roman" w:cs="Times New Roman" w:eastAsia="Times New Roman" w:hAnsi="Times New Roman"/>
          <w:sz w:val="20"/>
          <w:szCs w:val="20"/>
          <w:color w:val="121212"/>
        </w:rPr>
        <w:t>without cause (and not due to death or disability) or if Dr. Quisel resigns for good reason, in each case, outside of the period that is within 3 months prior to, or within 12 months after, the occurrence of the first event constituting a change in control, then Dr. Quisel is entitled to receive cash severance equal to continued base salary payments for 12 months, a lump sum payment equal to 100% of the executive’s target bonus pro-rated for the year of termination, any earned, but unpaid bonus for the fiscal year prior to the fiscal year of termination; acceleration of 25% of Dr. Quisel’s unvested and outstanding time-based vesting equity awards and payment of COBRA premiums (subject to Dr. Quisel’s continued copayment of such premiums at the active employees’ rate) for up to 12 months following the termination date. If within 3 months prior to or 12 months following a change of control, Dr. Quisel is terminated by the Company or a successor involuntarily without cause (and not due to death or disability) or Dr. Quisel resigns for good reason, Dr. Quisel shall be entitled to a lump sum cash payment equal to 18 months of his then current base salary, plus 100% of his target bonus for the year of termination, plus any earned, but unpaid bonus for the fiscal year prior to the fiscal year of termination. In addition, upon such a termination, all of Dr. Quisel’s outstanding equity awards subject to time-based vesting shall be immediately and fully accelerated and he shall be entitled to the payment of COBRA premiums for up to 18 months (subject to Dr. Quisel’s continued copayment of such premiums at the active employees’ rate). All severance payments and benefits are conditioned upon Dr. Quisel’s execution of a release of claims in our favor. If as a result of a termination of his employment Dr. Quisel becomes subject to the excise tax imposed by Section 4999 of the Internal Revenue Code, Dr. Quisel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Quisel is also subject to our confidentiality, assignment, non-solicitation, and noncompetition policies.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Dr. William Savage</w:t>
      </w:r>
    </w:p>
    <w:p>
      <w:pPr>
        <w:spacing w:after="0" w:line="11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121212"/>
        </w:rPr>
        <w:t>On August 9, 2022, we entered into an employment agreement with Dr. Savage effective as of December 29, 2022, or the Savage Employment Agreement, who currently serves as our Chief Medical Officer, that supersedes his previous offer letter. The Savage Employment Agreement provides for Dr. Savage’s at-will employment, an annual salary of $458,000,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his base salary and his eligibility to participate in the employee benefit plans generally available to our employees. The Savage Employment Agreement also provides that upon a termination without cause (and not due to death or disability) or if Dr. Savage resigns for good reason, in each case, outside of the period that is within 3 months prior to, or within 12 months after, the occurrence of the first event constituting a change in control, then Dr. Savage is entitled to receive cash severance equal to continued base salary payments for 9 months, any earned, but unpaid bonus for the fiscal year prior to the fiscal year of termination, and payment of COBRA premiums (subject to Dr. Savage’s continued copayment of such premiums at the active employees’ rate) for up to 9 months. If within 3 months prior to or 12 months following a change of control, Dr. Savage is terminated by the Company or a successor involuntarily without cause (and not due to death or disability) or Dr. Savage resigns for good reason, Dr. Savage shall be entitled to a lump sum cash payment equal to 12 months of this then current base salary, plus 100% of his target bonus for the year of termination, plus any earned, but unpaid bonus for the fiscal year prior to the fiscal year of termination. In addition, upon such a termination, all of Dr. Savage’s outstanding equity awards subject to time-based vesting shall be immediately and fully accelerated and he shall be entitled to the payment of COBRA premiums for up to 12 months (subject to Dr. Savage’s continued copayment of such premiums at the active employees’ rate). All severance payments and benefits are conditioned upon Dr. Savage’s execution of a release of claims in our favor. If as a result of a termination of his employment Dr. Savage becomes subject to the excise tax imposed by Section 4999 of the Internal Revenue Code, Dr. Savage is subject to a modified cutback of the payments and benefits he would otherwise receive in connection with a change in control, such that he would retain the higher of the net amount he would receive if such payments were reduced to avoid payment of the excise tax and the net amount he would receive if he received such payments in full and paid the excise tax. Dr. Savage is also subject to our confidentiality, assignment, non-solicitation, and noncompetition policies.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21212"/>
        </w:rPr>
        <w:t>Ms. Joanne Bryce</w:t>
      </w:r>
    </w:p>
    <w:p>
      <w:pPr>
        <w:spacing w:after="0" w:line="118"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121212"/>
        </w:rPr>
        <w:t>On August 9, 2022, we entered into an employment agreement with Ms. Bryce effective as of December 29, 2022, or the Bryce Employment Agreement, who currently serves as our Chief Financial Officer, that supersedes her previous offer letter. The Bryce Employment Agreement provides for Ms. Bryce’s at-will employment, an annual salary of $419,000, subject to our periodic review and increase, but not decrease (except for an across-the-board reduction of no greater than 10% of based on the Company’s financial performance similarly affecting all or substantially all senior management employees of the Company), an annual bonus with a target amount equal to 40% of her base salary and her eligibility to participate in the employee benefit plans generally available to our employees. The Bryce Employment Agreement also provides that upon a termination without cause (and not due to death or disability) or if Ms. Bryce resigns for good reason, in each case, outside of the period that is within 3 months prior to, or within 12 months after, the occurrence of the first event constituting a change in control, then Ms. Bryce is entitled to receive cash severance equal to continued base salary payments for 9 months, any earned, but unpaid bonus for the fiscal year prior to the fiscal year of termination, and payment of COBRA premiums (subject to Ms. Bryce’s continued copayment</w:t>
      </w:r>
    </w:p>
    <w:p>
      <w:pPr>
        <w:sectPr>
          <w:pgSz w:w="12240" w:h="15840" w:orient="portrait"/>
          <w:cols w:equalWidth="0" w:num="1">
            <w:col w:w="10440"/>
          </w:cols>
          <w:pgMar w:left="900" w:top="930" w:right="900" w:bottom="175"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147</w:t>
      </w:r>
    </w:p>
    <w:p>
      <w:pPr>
        <w:sectPr>
          <w:pgSz w:w="12240" w:h="15840" w:orient="portrait"/>
          <w:cols w:equalWidth="0" w:num="1">
            <w:col w:w="10440"/>
          </w:cols>
          <w:pgMar w:left="900" w:top="930" w:right="900" w:bottom="175" w:gutter="0" w:footer="0" w:header="0"/>
          <w:type w:val="continuous"/>
        </w:sectPr>
      </w:pPr>
    </w:p>
    <w:bookmarkStart w:id="157" w:name="page158"/>
    <w:bookmarkEnd w:id="157"/>
    <w:p>
      <w:pPr>
        <w:ind w:right="40"/>
        <w:spacing w:after="0" w:line="242" w:lineRule="auto"/>
        <w:rPr>
          <w:sz w:val="20"/>
          <w:szCs w:val="20"/>
          <w:color w:val="auto"/>
        </w:rPr>
      </w:pPr>
      <w:r>
        <w:rPr>
          <w:rFonts w:ascii="Times New Roman" w:cs="Times New Roman" w:eastAsia="Times New Roman" w:hAnsi="Times New Roman"/>
          <w:sz w:val="20"/>
          <w:szCs w:val="20"/>
          <w:color w:val="121212"/>
        </w:rPr>
        <w:t>of such premiums at the active employees’ rate) for up to 9 months. If within 3 months prior to 12 months following a change of control, Ms. Bryce is terminated by the Company or successor involuntarily without cause (and not due to death or disability) or Ms. Bryce resigns for good reason, Ms. Bryce shall be entitled to cash severance equal to a lump sum cash payment equal to 12 months of her then current base salary, plus 100% of her target bonus for the year of termination, plus any earned, but unpaid bonus for the fiscal year prior to the fiscal year of termination. In addition, upon such a termination, all of Ms. Bryce’s outstanding equity awards subject to time-based vesting shall be immediately and fully accelerated and she shall be entitled to the payment of COBRA premiums (subject to Ms. Bryce’s continued copayment of such premiums at the active employees’ rate) for up to 12 months. All severance payments and benefits are conditioned upon Ms. Bryce’s execution of a release of claims in our favor. If as a result of a termination of his employment Ms. Bryce becomes subject to the excise tax imposed by Section 4999 of the Internal Revenue Code, Ms. Bryce is subject to a modified cutback of the payments and benefits she would otherwise receive in connection with a change in control, such that she would retain the higher of the net amount she would receive if such payments were reduced to avoid payment of the excise tax and the net amount she would receive if she received such payments in full and paid the excise tax. Ms. Bryce is also subject to our confidentiality, assignment, non-solicitation, and noncompetition policies.</w:t>
      </w:r>
    </w:p>
    <w:p>
      <w:pPr>
        <w:spacing w:after="0" w:line="9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121212"/>
        </w:rPr>
        <w:t>On February 7, 2024, Ms. Bryce departed from her role as Chief Financial Officer. In connection with her departure, we entered into a Transition and Separation Agreement with Ms. Bryce, or the Bryce Separation Agreement, which provides that, subject to Ms. Bryce’s execution of the Bryce Separation Agreement, which included a release of claims in favor of the Company, Ms. Bryce will receive 100% of her target annual bonus for 2023, despite her not remaining an employee through the date of payment. In addition, subject to Mr. Bryce’s execution and nonrevocation of the Bryce Separation Agreement, her continued compliance with her Employee Confidentiality, Assignment, Non-solicitation and Noncompetition Agreement, dated as of September 14, 2021, and her cooperation with us to transition her duties and responsibilities, Ms. Bryce will be entitled to the following: (i) we will engage Ms. Bryce as an advisor between the date of her termination of employment (i.e., February 7, 2024) and the date that is nine months after such termination (i.e., November 7, 2024), unless she resigns prior to such date or we terminate her for cause (the “Advisor Period”), and during the Advisor Period we will pay Ms. Bryce $350 per hour of service she provides to the Company, (ii) her base salary for a period of nine months following her termination of employment, (iii) subject to her copayment of premium amounts at the applicable active employees’ rate and proper election to continue COBRA health coverage, payment of the portion of the premiums equal to the amount that we would have paid to provide health insurance to Ms. Bryce had she remained employed with us for up to nine months following her termination of employment, (iii) the period during which Ms. Bryce may exercise her vested and outstanding stock options following the cessation of her service relationship with us was extended to the earlier of (A) the date that is twelve months following the end of the Advisor Period and (b) the original expiration date of the stock option, and (iv) a prorated portion of her target annual bonus for 2024, prorated based on the number of days in 2024 she remained employed by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Health and Welfare Benefits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Our named executive officers, like all full-time employees, are eligible to participate in our health and welfare benefit plans.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Perquisites and Personal Benefits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We generally do not provide perquisites to our executives.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401(k) Plan</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121212"/>
        </w:rPr>
        <w:t>We maintain a tax-qualified retirement plan that provides eligible U.S. employees with an opportunity to save for retirement on a tax-advantaged basis, or the 401(k) Plan. Participants in the 401(k) Plan are able to defer eligible compensation subject to applicable annual Internal Revenue Code limits. During 2023, we implemented a safe harbor match under our 401(k) program of 50% of a participant’s eligible contributions, up to a total of 6% of eligible compensation. We did not provide a matching contribution to the named executive officers or to any employees in 2022. The 401(k) Plan is intended to be qualified under Section 401(a) of the Internal Revenue Code with the 401(k) Plan’s related trust intended to be tax exempt under Section 501(a) of the Internal Revenue Code. As a tax-qualified retirement plan, pre-tax contributions to the 401(k) Plan and earnings on those contributions are not taxable to the employees until distributed from the 401(k) Plan, and earnings on Roth contributions are not taxable when distributed from the 401(k) Plan</w:t>
      </w:r>
      <w:r>
        <w:rPr>
          <w:rFonts w:ascii="Times New Roman" w:cs="Times New Roman" w:eastAsia="Times New Roman" w:hAnsi="Times New Roman"/>
          <w:sz w:val="20"/>
          <w:szCs w:val="20"/>
          <w:b w:val="1"/>
          <w:bCs w:val="1"/>
          <w:color w:val="121212"/>
        </w:rPr>
        <w:t>.</w:t>
      </w: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148</w:t>
      </w:r>
    </w:p>
    <w:p>
      <w:pPr>
        <w:sectPr>
          <w:pgSz w:w="12240" w:h="15840" w:orient="portrait"/>
          <w:cols w:equalWidth="0" w:num="1">
            <w:col w:w="10440"/>
          </w:cols>
          <w:pgMar w:left="900" w:top="930" w:right="900" w:bottom="175" w:gutter="0" w:footer="0" w:header="0"/>
          <w:type w:val="continuous"/>
        </w:sectPr>
      </w:pPr>
    </w:p>
    <w:bookmarkStart w:id="158" w:name="page159"/>
    <w:bookmarkEnd w:id="158"/>
    <w:p>
      <w:pPr>
        <w:jc w:val="center"/>
        <w:ind w:right="-6"/>
        <w:spacing w:after="0"/>
        <w:rPr>
          <w:sz w:val="20"/>
          <w:szCs w:val="20"/>
          <w:color w:val="auto"/>
        </w:rPr>
      </w:pPr>
      <w:r>
        <w:rPr>
          <w:rFonts w:ascii="Times New Roman" w:cs="Times New Roman" w:eastAsia="Times New Roman" w:hAnsi="Times New Roman"/>
          <w:sz w:val="20"/>
          <w:szCs w:val="20"/>
          <w:b w:val="1"/>
          <w:bCs w:val="1"/>
          <w:color w:val="121212"/>
        </w:rPr>
        <w:t>DIRECTOR COMPENSATION</w:t>
      </w:r>
    </w:p>
    <w:p>
      <w:pPr>
        <w:spacing w:after="0" w:line="24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21212"/>
        </w:rPr>
        <w:t>Non-Employee Director Compensation Table</w:t>
      </w:r>
    </w:p>
    <w:p>
      <w:pPr>
        <w:spacing w:after="0" w:line="120" w:lineRule="exact"/>
        <w:rPr>
          <w:sz w:val="20"/>
          <w:szCs w:val="20"/>
          <w:color w:val="auto"/>
        </w:rPr>
      </w:pPr>
    </w:p>
    <w:p>
      <w:pPr>
        <w:ind w:left="7" w:right="40" w:firstLine="490"/>
        <w:spacing w:after="0" w:line="249" w:lineRule="auto"/>
        <w:rPr>
          <w:sz w:val="20"/>
          <w:szCs w:val="20"/>
          <w:color w:val="auto"/>
        </w:rPr>
      </w:pPr>
      <w:r>
        <w:rPr>
          <w:rFonts w:ascii="Times New Roman" w:cs="Times New Roman" w:eastAsia="Times New Roman" w:hAnsi="Times New Roman"/>
          <w:sz w:val="20"/>
          <w:szCs w:val="20"/>
          <w:color w:val="121212"/>
        </w:rPr>
        <w:t>The following table presents the total compensation for each person who served as a non-employee member of our board of directors during the fiscal year ended December 31, 2023. Dr. Quisel, one of our directors who also serves as our Chief Executive Officer, does not receive any additional compensation for his service as a director. Dr. Quisel is one of our named executive officers and, accordingly, the compensation that we pay to Dr. Quisel is discussed above under ‘‘—2023 Summary Compensation Table’’ and ‘‘—Narrative to Summary Compensation Table.’’</w:t>
      </w:r>
    </w:p>
    <w:p>
      <w:pPr>
        <w:spacing w:after="0" w:line="77" w:lineRule="exact"/>
        <w:rPr>
          <w:sz w:val="20"/>
          <w:szCs w:val="20"/>
          <w:color w:val="auto"/>
        </w:rPr>
      </w:pPr>
    </w:p>
    <w:p>
      <w:pPr>
        <w:ind w:left="7" w:right="360" w:firstLine="490"/>
        <w:spacing w:after="0" w:line="258" w:lineRule="auto"/>
        <w:rPr>
          <w:sz w:val="20"/>
          <w:szCs w:val="20"/>
          <w:color w:val="auto"/>
        </w:rPr>
      </w:pPr>
      <w:r>
        <w:rPr>
          <w:rFonts w:ascii="Times New Roman" w:cs="Times New Roman" w:eastAsia="Times New Roman" w:hAnsi="Times New Roman"/>
          <w:sz w:val="20"/>
          <w:szCs w:val="20"/>
          <w:color w:val="121212"/>
        </w:rPr>
        <w:t>Other than as described in this paragraph and set forth in the table and described more fully below, we did not pay any compensation or make any equity awards or non-equity awards to, or pay any other compensation to any of the non-employee members of our board of directors in 2023 for their services as members of the board of directors.</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21212"/>
              </w:rPr>
              <w:t>Name</w:t>
            </w:r>
          </w:p>
        </w:tc>
        <w:tc>
          <w:tcPr>
            <w:tcW w:w="120" w:type="dxa"/>
            <w:vAlign w:val="bottom"/>
          </w:tcPr>
          <w:p>
            <w:pPr>
              <w:spacing w:after="0"/>
              <w:rPr>
                <w:sz w:val="16"/>
                <w:szCs w:val="16"/>
                <w:color w:val="auto"/>
              </w:rPr>
            </w:pPr>
          </w:p>
        </w:tc>
        <w:tc>
          <w:tcPr>
            <w:tcW w:w="16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121212"/>
              </w:rPr>
              <w:t>Fees Earned or</w:t>
            </w:r>
          </w:p>
        </w:tc>
        <w:tc>
          <w:tcPr>
            <w:tcW w:w="140" w:type="dxa"/>
            <w:vAlign w:val="bottom"/>
          </w:tcPr>
          <w:p>
            <w:pPr>
              <w:spacing w:after="0"/>
              <w:rPr>
                <w:sz w:val="16"/>
                <w:szCs w:val="16"/>
                <w:color w:val="auto"/>
              </w:rPr>
            </w:pPr>
          </w:p>
        </w:tc>
        <w:tc>
          <w:tcPr>
            <w:tcW w:w="1640" w:type="dxa"/>
            <w:vAlign w:val="bottom"/>
            <w:vMerge w:val="restart"/>
          </w:tcPr>
          <w:p>
            <w:pPr>
              <w:jc w:val="right"/>
              <w:ind w:right="27"/>
              <w:spacing w:after="0"/>
              <w:rPr>
                <w:sz w:val="20"/>
                <w:szCs w:val="20"/>
                <w:color w:val="auto"/>
              </w:rPr>
            </w:pPr>
            <w:r>
              <w:rPr>
                <w:rFonts w:ascii="Times New Roman" w:cs="Times New Roman" w:eastAsia="Times New Roman" w:hAnsi="Times New Roman"/>
                <w:sz w:val="16"/>
                <w:szCs w:val="16"/>
                <w:b w:val="1"/>
                <w:bCs w:val="1"/>
                <w:color w:val="121212"/>
                <w:w w:val="99"/>
              </w:rPr>
              <w:t>Option Awards ($)</w:t>
            </w:r>
            <w:r>
              <w:rPr>
                <w:rFonts w:ascii="Times New Roman" w:cs="Times New Roman" w:eastAsia="Times New Roman" w:hAnsi="Times New Roman"/>
                <w:sz w:val="10"/>
                <w:szCs w:val="10"/>
                <w:b w:val="1"/>
                <w:bCs w:val="1"/>
                <w:color w:val="121212"/>
                <w:w w:val="99"/>
              </w:rPr>
              <w:t>(1)(4)</w:t>
            </w:r>
          </w:p>
        </w:tc>
        <w:tc>
          <w:tcPr>
            <w:tcW w:w="120" w:type="dxa"/>
            <w:vAlign w:val="bottom"/>
          </w:tcPr>
          <w:p>
            <w:pPr>
              <w:spacing w:after="0"/>
              <w:rPr>
                <w:sz w:val="16"/>
                <w:szCs w:val="16"/>
                <w:color w:val="auto"/>
              </w:rPr>
            </w:pPr>
          </w:p>
        </w:tc>
        <w:tc>
          <w:tcPr>
            <w:tcW w:w="1640" w:type="dxa"/>
            <w:vAlign w:val="bottom"/>
          </w:tcPr>
          <w:p>
            <w:pPr>
              <w:jc w:val="right"/>
              <w:ind w:right="587"/>
              <w:spacing w:after="0"/>
              <w:rPr>
                <w:sz w:val="20"/>
                <w:szCs w:val="20"/>
                <w:color w:val="auto"/>
              </w:rPr>
            </w:pPr>
            <w:r>
              <w:rPr>
                <w:rFonts w:ascii="Times New Roman" w:cs="Times New Roman" w:eastAsia="Times New Roman" w:hAnsi="Times New Roman"/>
                <w:sz w:val="16"/>
                <w:szCs w:val="16"/>
                <w:b w:val="1"/>
                <w:bCs w:val="1"/>
                <w:color w:val="121212"/>
              </w:rPr>
              <w:t>Total</w:t>
            </w:r>
          </w:p>
        </w:tc>
        <w:tc>
          <w:tcPr>
            <w:tcW w:w="0" w:type="dxa"/>
            <w:vAlign w:val="bottom"/>
          </w:tcPr>
          <w:p>
            <w:pPr>
              <w:spacing w:after="0"/>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121212"/>
              </w:rPr>
              <w:t>Paid in Cash ($)</w:t>
            </w:r>
          </w:p>
        </w:tc>
        <w:tc>
          <w:tcPr>
            <w:tcW w:w="14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760" w:type="dxa"/>
            <w:vAlign w:val="bottom"/>
            <w:gridSpan w:val="2"/>
          </w:tcPr>
          <w:p>
            <w:pPr>
              <w:jc w:val="right"/>
              <w:ind w:right="687"/>
              <w:spacing w:after="0"/>
              <w:rPr>
                <w:sz w:val="20"/>
                <w:szCs w:val="20"/>
                <w:color w:val="auto"/>
              </w:rPr>
            </w:pPr>
            <w:r>
              <w:rPr>
                <w:rFonts w:ascii="Times New Roman" w:cs="Times New Roman" w:eastAsia="Times New Roman" w:hAnsi="Times New Roman"/>
                <w:sz w:val="16"/>
                <w:szCs w:val="16"/>
                <w:b w:val="1"/>
                <w:bCs w:val="1"/>
                <w:color w:val="121212"/>
              </w:rPr>
              <w:t>($)</w:t>
            </w:r>
          </w:p>
        </w:tc>
        <w:tc>
          <w:tcPr>
            <w:tcW w:w="0" w:type="dxa"/>
            <w:vAlign w:val="bottom"/>
          </w:tcPr>
          <w:p>
            <w:pPr>
              <w:spacing w:after="0"/>
              <w:rPr>
                <w:sz w:val="1"/>
                <w:szCs w:val="1"/>
                <w:color w:val="auto"/>
              </w:rPr>
            </w:pPr>
          </w:p>
        </w:tc>
      </w:tr>
      <w:tr>
        <w:trPr>
          <w:trHeight w:val="220"/>
        </w:trPr>
        <w:tc>
          <w:tcPr>
            <w:tcW w:w="5140" w:type="dxa"/>
            <w:vAlign w:val="bottom"/>
            <w:tcBorders>
              <w:top w:val="single" w:sz="8" w:color="121212"/>
            </w:tcBorders>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Donald Nicholson, Ph.D.</w:t>
            </w:r>
          </w:p>
        </w:tc>
        <w:tc>
          <w:tcPr>
            <w:tcW w:w="120" w:type="dxa"/>
            <w:vAlign w:val="bottom"/>
            <w:tcBorders>
              <w:top w:val="single" w:sz="8" w:color="E0E0E0"/>
            </w:tcBorders>
            <w:shd w:val="clear" w:color="auto" w:fill="E0E0E0"/>
          </w:tcPr>
          <w:p>
            <w:pPr>
              <w:spacing w:after="0"/>
              <w:rPr>
                <w:sz w:val="19"/>
                <w:szCs w:val="19"/>
                <w:color w:val="auto"/>
              </w:rPr>
            </w:pPr>
          </w:p>
        </w:tc>
        <w:tc>
          <w:tcPr>
            <w:tcW w:w="1640" w:type="dxa"/>
            <w:vAlign w:val="bottom"/>
            <w:tcBorders>
              <w:top w:val="single" w:sz="8" w:color="121212"/>
            </w:tcBorders>
            <w:shd w:val="clear" w:color="auto" w:fill="E0E0E0"/>
          </w:tcPr>
          <w:p>
            <w:pPr>
              <w:jc w:val="right"/>
              <w:ind w:right="10"/>
              <w:spacing w:after="0" w:line="220" w:lineRule="exact"/>
              <w:rPr>
                <w:sz w:val="20"/>
                <w:szCs w:val="20"/>
                <w:color w:val="auto"/>
              </w:rPr>
            </w:pPr>
            <w:r>
              <w:rPr>
                <w:rFonts w:ascii="Times New Roman" w:cs="Times New Roman" w:eastAsia="Times New Roman" w:hAnsi="Times New Roman"/>
                <w:sz w:val="20"/>
                <w:szCs w:val="20"/>
                <w:color w:val="121212"/>
              </w:rPr>
              <w:t>164,000</w:t>
            </w:r>
          </w:p>
        </w:tc>
        <w:tc>
          <w:tcPr>
            <w:tcW w:w="140" w:type="dxa"/>
            <w:vAlign w:val="bottom"/>
            <w:tcBorders>
              <w:top w:val="single" w:sz="8" w:color="E0E0E0"/>
            </w:tcBorders>
            <w:shd w:val="clear" w:color="auto" w:fill="E0E0E0"/>
          </w:tcPr>
          <w:p>
            <w:pPr>
              <w:spacing w:after="0"/>
              <w:rPr>
                <w:sz w:val="19"/>
                <w:szCs w:val="19"/>
                <w:color w:val="auto"/>
              </w:rPr>
            </w:pPr>
          </w:p>
        </w:tc>
        <w:tc>
          <w:tcPr>
            <w:tcW w:w="1640" w:type="dxa"/>
            <w:vAlign w:val="bottom"/>
            <w:tcBorders>
              <w:top w:val="single" w:sz="8" w:color="121212"/>
            </w:tcBorders>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215,308</w:t>
            </w:r>
          </w:p>
        </w:tc>
        <w:tc>
          <w:tcPr>
            <w:tcW w:w="120" w:type="dxa"/>
            <w:vAlign w:val="bottom"/>
            <w:tcBorders>
              <w:top w:val="single" w:sz="8" w:color="E0E0E0"/>
            </w:tcBorders>
            <w:shd w:val="clear" w:color="auto" w:fill="E0E0E0"/>
          </w:tcPr>
          <w:p>
            <w:pPr>
              <w:spacing w:after="0"/>
              <w:rPr>
                <w:sz w:val="19"/>
                <w:szCs w:val="19"/>
                <w:color w:val="auto"/>
              </w:rPr>
            </w:pPr>
          </w:p>
        </w:tc>
        <w:tc>
          <w:tcPr>
            <w:tcW w:w="1640" w:type="dxa"/>
            <w:vAlign w:val="bottom"/>
            <w:tcBorders>
              <w:top w:val="single" w:sz="8" w:color="121212"/>
            </w:tcBorders>
            <w:shd w:val="clear" w:color="auto" w:fill="E0E0E0"/>
          </w:tcPr>
          <w:p>
            <w:pPr>
              <w:jc w:val="right"/>
              <w:ind w:right="7"/>
              <w:spacing w:after="0" w:line="220" w:lineRule="exact"/>
              <w:rPr>
                <w:sz w:val="20"/>
                <w:szCs w:val="20"/>
                <w:color w:val="auto"/>
              </w:rPr>
            </w:pPr>
            <w:r>
              <w:rPr>
                <w:rFonts w:ascii="Times New Roman" w:cs="Times New Roman" w:eastAsia="Times New Roman" w:hAnsi="Times New Roman"/>
                <w:sz w:val="20"/>
                <w:szCs w:val="20"/>
                <w:color w:val="121212"/>
              </w:rPr>
              <w:t>379,308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121212"/>
              </w:rPr>
              <w:t>William White, MPP, J.D.</w:t>
            </w:r>
          </w:p>
        </w:tc>
        <w:tc>
          <w:tcPr>
            <w:tcW w:w="12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121212"/>
              </w:rPr>
              <w:t>55,000</w:t>
            </w:r>
          </w:p>
        </w:tc>
        <w:tc>
          <w:tcPr>
            <w:tcW w:w="140" w:type="dxa"/>
            <w:vAlign w:val="bottom"/>
          </w:tcPr>
          <w:p>
            <w:pPr>
              <w:spacing w:after="0"/>
              <w:rPr>
                <w:sz w:val="19"/>
                <w:szCs w:val="19"/>
                <w:color w:val="auto"/>
              </w:rPr>
            </w:pPr>
          </w:p>
        </w:tc>
        <w:tc>
          <w:tcPr>
            <w:tcW w:w="16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215,308</w:t>
            </w:r>
          </w:p>
        </w:tc>
        <w:tc>
          <w:tcPr>
            <w:tcW w:w="120" w:type="dxa"/>
            <w:vAlign w:val="bottom"/>
          </w:tcPr>
          <w:p>
            <w:pPr>
              <w:spacing w:after="0"/>
              <w:rPr>
                <w:sz w:val="19"/>
                <w:szCs w:val="19"/>
                <w:color w:val="auto"/>
              </w:rPr>
            </w:pPr>
          </w:p>
        </w:tc>
        <w:tc>
          <w:tcPr>
            <w:tcW w:w="16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121212"/>
              </w:rPr>
              <w:t>270,308</w:t>
            </w:r>
          </w:p>
        </w:tc>
        <w:tc>
          <w:tcPr>
            <w:tcW w:w="0" w:type="dxa"/>
            <w:vAlign w:val="bottom"/>
          </w:tcPr>
          <w:p>
            <w:pPr>
              <w:spacing w:after="0"/>
              <w:rPr>
                <w:sz w:val="1"/>
                <w:szCs w:val="1"/>
                <w:color w:val="auto"/>
              </w:rPr>
            </w:pPr>
          </w:p>
        </w:tc>
      </w:tr>
      <w:tr>
        <w:trPr>
          <w:trHeight w:val="230"/>
        </w:trPr>
        <w:tc>
          <w:tcPr>
            <w:tcW w:w="514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0"/>
                <w:szCs w:val="20"/>
                <w:color w:val="121212"/>
              </w:rPr>
              <w:t>Jay Backstrom, MD, M.P.H.</w:t>
            </w:r>
            <w:r>
              <w:rPr>
                <w:rFonts w:ascii="Times New Roman" w:cs="Times New Roman" w:eastAsia="Times New Roman" w:hAnsi="Times New Roman"/>
                <w:sz w:val="26"/>
                <w:szCs w:val="26"/>
                <w:color w:val="121212"/>
                <w:vertAlign w:val="superscript"/>
              </w:rPr>
              <w:t>(2)</w:t>
            </w:r>
          </w:p>
        </w:tc>
        <w:tc>
          <w:tcPr>
            <w:tcW w:w="1760" w:type="dxa"/>
            <w:vAlign w:val="bottom"/>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20"/>
                <w:szCs w:val="20"/>
                <w:color w:val="121212"/>
              </w:rPr>
              <w:t>17,692</w:t>
            </w:r>
          </w:p>
        </w:tc>
        <w:tc>
          <w:tcPr>
            <w:tcW w:w="178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107,137</w:t>
            </w:r>
          </w:p>
        </w:tc>
        <w:tc>
          <w:tcPr>
            <w:tcW w:w="176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124,829</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121212"/>
              </w:rPr>
              <w:t>Mona Ashiya, Ph.D.</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121212"/>
              </w:rPr>
              <w:t>49,000</w:t>
            </w:r>
          </w:p>
        </w:tc>
        <w:tc>
          <w:tcPr>
            <w:tcW w:w="17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21212"/>
              </w:rPr>
              <w:t>215,308</w:t>
            </w:r>
          </w:p>
        </w:tc>
        <w:tc>
          <w:tcPr>
            <w:tcW w:w="176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21212"/>
              </w:rPr>
              <w:t>264,308</w:t>
            </w:r>
          </w:p>
        </w:tc>
        <w:tc>
          <w:tcPr>
            <w:tcW w:w="0" w:type="dxa"/>
            <w:vAlign w:val="bottom"/>
          </w:tcPr>
          <w:p>
            <w:pPr>
              <w:spacing w:after="0"/>
              <w:rPr>
                <w:sz w:val="1"/>
                <w:szCs w:val="1"/>
                <w:color w:val="auto"/>
              </w:rPr>
            </w:pPr>
          </w:p>
        </w:tc>
      </w:tr>
      <w:tr>
        <w:trPr>
          <w:trHeight w:val="230"/>
        </w:trPr>
        <w:tc>
          <w:tcPr>
            <w:tcW w:w="5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Kevin Bitterman, Ph.D.</w:t>
            </w:r>
          </w:p>
        </w:tc>
        <w:tc>
          <w:tcPr>
            <w:tcW w:w="1760" w:type="dxa"/>
            <w:vAlign w:val="bottom"/>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20"/>
                <w:szCs w:val="20"/>
                <w:color w:val="121212"/>
              </w:rPr>
              <w:t>53,000</w:t>
            </w:r>
          </w:p>
        </w:tc>
        <w:tc>
          <w:tcPr>
            <w:tcW w:w="178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215,308</w:t>
            </w:r>
          </w:p>
        </w:tc>
        <w:tc>
          <w:tcPr>
            <w:tcW w:w="176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268,308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121212"/>
              </w:rPr>
              <w:t>Mark Chin, MS, MBA</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121212"/>
              </w:rPr>
              <w:t>47,500</w:t>
            </w:r>
          </w:p>
        </w:tc>
        <w:tc>
          <w:tcPr>
            <w:tcW w:w="17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21212"/>
              </w:rPr>
              <w:t>215,308</w:t>
            </w:r>
          </w:p>
        </w:tc>
        <w:tc>
          <w:tcPr>
            <w:tcW w:w="176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21212"/>
              </w:rPr>
              <w:t>262,808</w:t>
            </w:r>
          </w:p>
        </w:tc>
        <w:tc>
          <w:tcPr>
            <w:tcW w:w="0" w:type="dxa"/>
            <w:vAlign w:val="bottom"/>
          </w:tcPr>
          <w:p>
            <w:pPr>
              <w:spacing w:after="0"/>
              <w:rPr>
                <w:sz w:val="1"/>
                <w:szCs w:val="1"/>
                <w:color w:val="auto"/>
              </w:rPr>
            </w:pPr>
          </w:p>
        </w:tc>
      </w:tr>
      <w:tr>
        <w:trPr>
          <w:trHeight w:val="230"/>
        </w:trPr>
        <w:tc>
          <w:tcPr>
            <w:tcW w:w="51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Liam Ratcliffe, MD, Ph.D.</w:t>
            </w:r>
          </w:p>
        </w:tc>
        <w:tc>
          <w:tcPr>
            <w:tcW w:w="1760" w:type="dxa"/>
            <w:vAlign w:val="bottom"/>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20"/>
                <w:szCs w:val="20"/>
                <w:color w:val="121212"/>
              </w:rPr>
              <w:t>51,500</w:t>
            </w:r>
          </w:p>
        </w:tc>
        <w:tc>
          <w:tcPr>
            <w:tcW w:w="178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215,308</w:t>
            </w:r>
          </w:p>
        </w:tc>
        <w:tc>
          <w:tcPr>
            <w:tcW w:w="1760" w:type="dxa"/>
            <w:vAlign w:val="bottom"/>
            <w:gridSpan w:val="2"/>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121212"/>
              </w:rPr>
              <w:t>266,808</w:t>
            </w:r>
          </w:p>
        </w:tc>
        <w:tc>
          <w:tcPr>
            <w:tcW w:w="0" w:type="dxa"/>
            <w:vAlign w:val="bottom"/>
          </w:tcPr>
          <w:p>
            <w:pPr>
              <w:spacing w:after="0"/>
              <w:rPr>
                <w:sz w:val="1"/>
                <w:szCs w:val="1"/>
                <w:color w:val="auto"/>
              </w:rPr>
            </w:pPr>
          </w:p>
        </w:tc>
      </w:tr>
      <w:tr>
        <w:trPr>
          <w:trHeight w:val="346"/>
        </w:trPr>
        <w:tc>
          <w:tcPr>
            <w:tcW w:w="5140" w:type="dxa"/>
            <w:vAlign w:val="bottom"/>
          </w:tcPr>
          <w:p>
            <w:pPr>
              <w:spacing w:after="0"/>
              <w:rPr>
                <w:sz w:val="20"/>
                <w:szCs w:val="20"/>
                <w:color w:val="auto"/>
              </w:rPr>
            </w:pPr>
            <w:r>
              <w:rPr>
                <w:rFonts w:ascii="Times New Roman" w:cs="Times New Roman" w:eastAsia="Times New Roman" w:hAnsi="Times New Roman"/>
                <w:sz w:val="20"/>
                <w:szCs w:val="20"/>
                <w:color w:val="121212"/>
              </w:rPr>
              <w:t>Georges Gemayel, Ph.D</w:t>
            </w:r>
            <w:r>
              <w:rPr>
                <w:rFonts w:ascii="Times New Roman" w:cs="Times New Roman" w:eastAsia="Times New Roman" w:hAnsi="Times New Roman"/>
                <w:sz w:val="26"/>
                <w:szCs w:val="26"/>
                <w:color w:val="121212"/>
                <w:vertAlign w:val="superscript"/>
              </w:rPr>
              <w:t>(3)</w:t>
            </w:r>
          </w:p>
        </w:tc>
        <w:tc>
          <w:tcPr>
            <w:tcW w:w="17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121212"/>
              </w:rPr>
              <w:t>40,000</w:t>
            </w:r>
          </w:p>
        </w:tc>
        <w:tc>
          <w:tcPr>
            <w:tcW w:w="178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21212"/>
              </w:rPr>
              <w:t>215,308</w:t>
            </w:r>
          </w:p>
        </w:tc>
        <w:tc>
          <w:tcPr>
            <w:tcW w:w="176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121212"/>
              </w:rPr>
              <w:t>255,308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67" w:hanging="367"/>
        <w:spacing w:after="0" w:line="249" w:lineRule="auto"/>
        <w:tabs>
          <w:tab w:leader="none" w:pos="367" w:val="left"/>
        </w:tabs>
        <w:numPr>
          <w:ilvl w:val="0"/>
          <w:numId w:val="67"/>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amounts reported represent the aggregate grant date fair value of the stock options awarded to the non-employee directors during fiscal year 2023, calculated in accordance with FASB ASC Topic 718. The assumptions used in calculating the grant date fair value of the awards reported in this column are set forth in Note 2 to our consolidated financial statements included in this Annual Report on Form 10-K. The amounts reported in this column reflect the accounting cost for the stock options and does not correspond to the actual economic value that may be received upon exercise of the stock option or any sale of any of the underlying shares of common stock.</w:t>
      </w:r>
    </w:p>
    <w:p>
      <w:pPr>
        <w:spacing w:after="0" w:line="85" w:lineRule="exact"/>
        <w:rPr>
          <w:rFonts w:ascii="Times New Roman" w:cs="Times New Roman" w:eastAsia="Times New Roman" w:hAnsi="Times New Roman"/>
          <w:sz w:val="16"/>
          <w:szCs w:val="16"/>
          <w:color w:val="121212"/>
        </w:rPr>
      </w:pPr>
    </w:p>
    <w:p>
      <w:pPr>
        <w:ind w:left="367" w:hanging="367"/>
        <w:spacing w:after="0" w:line="277" w:lineRule="auto"/>
        <w:tabs>
          <w:tab w:leader="none" w:pos="367" w:val="left"/>
        </w:tabs>
        <w:numPr>
          <w:ilvl w:val="0"/>
          <w:numId w:val="67"/>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Dr. Backstrom resigned from our board on June 9, 2023. Upon Dr. Backstrom's resignation, our board approved an amendment to the stock options held by Dr. Backstrom to accelerate the vesting such that any unvested stock options held by Dr. Backstrom became vested and exercisable in full as of June 9, 2023.</w:t>
      </w:r>
    </w:p>
    <w:p>
      <w:pPr>
        <w:spacing w:after="0" w:line="63" w:lineRule="exact"/>
        <w:rPr>
          <w:rFonts w:ascii="Times New Roman" w:cs="Times New Roman" w:eastAsia="Times New Roman" w:hAnsi="Times New Roman"/>
          <w:sz w:val="16"/>
          <w:szCs w:val="16"/>
          <w:color w:val="121212"/>
        </w:rPr>
      </w:pPr>
    </w:p>
    <w:p>
      <w:pPr>
        <w:ind w:left="367" w:hanging="367"/>
        <w:spacing w:after="0"/>
        <w:tabs>
          <w:tab w:leader="none" w:pos="367" w:val="left"/>
        </w:tabs>
        <w:numPr>
          <w:ilvl w:val="0"/>
          <w:numId w:val="67"/>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Dr. Gemayel joined our board of directors on December 29, 2022.</w:t>
      </w:r>
    </w:p>
    <w:p>
      <w:pPr>
        <w:spacing w:after="0" w:line="120" w:lineRule="exact"/>
        <w:rPr>
          <w:rFonts w:ascii="Times New Roman" w:cs="Times New Roman" w:eastAsia="Times New Roman" w:hAnsi="Times New Roman"/>
          <w:sz w:val="16"/>
          <w:szCs w:val="16"/>
          <w:color w:val="121212"/>
        </w:rPr>
      </w:pPr>
    </w:p>
    <w:p>
      <w:pPr>
        <w:ind w:left="367" w:hanging="367"/>
        <w:spacing w:after="0"/>
        <w:tabs>
          <w:tab w:leader="none" w:pos="367" w:val="left"/>
        </w:tabs>
        <w:numPr>
          <w:ilvl w:val="0"/>
          <w:numId w:val="67"/>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As of December 31, 2023, our non-employee members of our board of directors held the following aggregate number of unexercised options as of such date:</w:t>
      </w:r>
    </w:p>
    <w:p>
      <w:pPr>
        <w:spacing w:after="0" w:line="180" w:lineRule="exact"/>
        <w:rPr>
          <w:sz w:val="20"/>
          <w:szCs w:val="20"/>
          <w:color w:val="auto"/>
        </w:rPr>
      </w:pPr>
    </w:p>
    <w:tbl>
      <w:tblPr>
        <w:tblLayout w:type="fixed"/>
        <w:tblInd w:w="427"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121212"/>
                <w:w w:val="99"/>
              </w:rPr>
              <w:t>Number of</w:t>
            </w: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121212"/>
                <w:w w:val="98"/>
              </w:rPr>
              <w:t>Securities</w:t>
            </w: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121212"/>
              </w:rPr>
              <w:t>Underlying</w:t>
            </w:r>
          </w:p>
        </w:tc>
        <w:tc>
          <w:tcPr>
            <w:tcW w:w="0" w:type="dxa"/>
            <w:vAlign w:val="bottom"/>
          </w:tcPr>
          <w:p>
            <w:pPr>
              <w:spacing w:after="0"/>
              <w:rPr>
                <w:sz w:val="1"/>
                <w:szCs w:val="1"/>
                <w:color w:val="auto"/>
              </w:rPr>
            </w:pPr>
          </w:p>
        </w:tc>
      </w:tr>
      <w:tr>
        <w:trPr>
          <w:trHeight w:val="184"/>
        </w:trPr>
        <w:tc>
          <w:tcPr>
            <w:tcW w:w="8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21212"/>
              </w:rPr>
              <w:t>Name</w:t>
            </w:r>
          </w:p>
        </w:tc>
        <w:tc>
          <w:tcPr>
            <w:tcW w:w="14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rPr>
              <w:t>Unexercised</w:t>
            </w:r>
          </w:p>
        </w:tc>
        <w:tc>
          <w:tcPr>
            <w:tcW w:w="0" w:type="dxa"/>
            <w:vAlign w:val="bottom"/>
          </w:tcPr>
          <w:p>
            <w:pPr>
              <w:spacing w:after="0"/>
              <w:rPr>
                <w:sz w:val="1"/>
                <w:szCs w:val="1"/>
                <w:color w:val="auto"/>
              </w:rPr>
            </w:pPr>
          </w:p>
        </w:tc>
      </w:tr>
      <w:tr>
        <w:trPr>
          <w:trHeight w:val="203"/>
        </w:trPr>
        <w:tc>
          <w:tcPr>
            <w:tcW w:w="8040" w:type="dxa"/>
            <w:vAlign w:val="bottom"/>
            <w:tcBorders>
              <w:bottom w:val="single" w:sz="8" w:color="121212"/>
            </w:tcBorders>
            <w:vMerge w:val="continue"/>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1840" w:type="dxa"/>
            <w:vAlign w:val="bottom"/>
            <w:tcBorders>
              <w:bottom w:val="single" w:sz="8" w:color="121212"/>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121212"/>
                <w:w w:val="99"/>
              </w:rPr>
              <w:t>Options</w:t>
            </w:r>
          </w:p>
        </w:tc>
        <w:tc>
          <w:tcPr>
            <w:tcW w:w="0" w:type="dxa"/>
            <w:vAlign w:val="bottom"/>
          </w:tcPr>
          <w:p>
            <w:pPr>
              <w:spacing w:after="0"/>
              <w:rPr>
                <w:sz w:val="1"/>
                <w:szCs w:val="1"/>
                <w:color w:val="auto"/>
              </w:rPr>
            </w:pPr>
          </w:p>
        </w:tc>
      </w:tr>
      <w:tr>
        <w:trPr>
          <w:trHeight w:val="220"/>
        </w:trPr>
        <w:tc>
          <w:tcPr>
            <w:tcW w:w="804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Donald Nicholson, Ph.D</w:t>
            </w:r>
          </w:p>
        </w:tc>
        <w:tc>
          <w:tcPr>
            <w:tcW w:w="140" w:type="dxa"/>
            <w:vAlign w:val="bottom"/>
            <w:shd w:val="clear" w:color="auto" w:fill="E0E0E0"/>
          </w:tcPr>
          <w:p>
            <w:pPr>
              <w:spacing w:after="0"/>
              <w:rPr>
                <w:sz w:val="19"/>
                <w:szCs w:val="19"/>
                <w:color w:val="auto"/>
              </w:rPr>
            </w:pPr>
          </w:p>
        </w:tc>
        <w:tc>
          <w:tcPr>
            <w:tcW w:w="1840" w:type="dxa"/>
            <w:vAlign w:val="bottom"/>
            <w:shd w:val="clear" w:color="auto" w:fill="E0E0E0"/>
          </w:tcPr>
          <w:p>
            <w:pPr>
              <w:jc w:val="right"/>
              <w:ind w:right="14"/>
              <w:spacing w:after="0" w:line="220" w:lineRule="exact"/>
              <w:rPr>
                <w:sz w:val="20"/>
                <w:szCs w:val="20"/>
                <w:color w:val="auto"/>
              </w:rPr>
            </w:pPr>
            <w:r>
              <w:rPr>
                <w:rFonts w:ascii="Times New Roman" w:cs="Times New Roman" w:eastAsia="Times New Roman" w:hAnsi="Times New Roman"/>
                <w:sz w:val="20"/>
                <w:szCs w:val="20"/>
                <w:color w:val="121212"/>
              </w:rPr>
              <w:t>135,598</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121212"/>
              </w:rPr>
              <w:t>William White, MPP, J.D</w:t>
            </w:r>
          </w:p>
        </w:tc>
        <w:tc>
          <w:tcPr>
            <w:tcW w:w="140" w:type="dxa"/>
            <w:vAlign w:val="bottom"/>
          </w:tcPr>
          <w:p>
            <w:pPr>
              <w:spacing w:after="0"/>
              <w:rPr>
                <w:sz w:val="19"/>
                <w:szCs w:val="19"/>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20"/>
                <w:szCs w:val="20"/>
                <w:color w:val="121212"/>
              </w:rPr>
              <w:t>18,376</w:t>
            </w:r>
          </w:p>
        </w:tc>
        <w:tc>
          <w:tcPr>
            <w:tcW w:w="0" w:type="dxa"/>
            <w:vAlign w:val="bottom"/>
          </w:tcPr>
          <w:p>
            <w:pPr>
              <w:spacing w:after="0"/>
              <w:rPr>
                <w:sz w:val="1"/>
                <w:szCs w:val="1"/>
                <w:color w:val="auto"/>
              </w:rPr>
            </w:pPr>
          </w:p>
        </w:tc>
      </w:tr>
      <w:tr>
        <w:trPr>
          <w:trHeight w:val="230"/>
        </w:trPr>
        <w:tc>
          <w:tcPr>
            <w:tcW w:w="8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Jay Backstrom, MD, M.P.H</w:t>
            </w:r>
          </w:p>
        </w:tc>
        <w:tc>
          <w:tcPr>
            <w:tcW w:w="1980" w:type="dxa"/>
            <w:vAlign w:val="bottom"/>
            <w:gridSpan w:val="2"/>
            <w:shd w:val="clear" w:color="auto" w:fill="E0E0E0"/>
          </w:tcPr>
          <w:p>
            <w:pPr>
              <w:jc w:val="right"/>
              <w:ind w:right="14"/>
              <w:spacing w:after="0"/>
              <w:rPr>
                <w:sz w:val="20"/>
                <w:szCs w:val="20"/>
                <w:color w:val="auto"/>
              </w:rPr>
            </w:pPr>
            <w:r>
              <w:rPr>
                <w:rFonts w:ascii="Times New Roman" w:cs="Times New Roman" w:eastAsia="Times New Roman" w:hAnsi="Times New Roman"/>
                <w:sz w:val="20"/>
                <w:szCs w:val="20"/>
                <w:color w:val="121212"/>
              </w:rPr>
              <w:t>30,743</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121212"/>
              </w:rPr>
              <w:t>Mona Ashiya, Ph.D</w:t>
            </w:r>
          </w:p>
        </w:tc>
        <w:tc>
          <w:tcPr>
            <w:tcW w:w="1980" w:type="dxa"/>
            <w:vAlign w:val="bottom"/>
            <w:gridSpan w:val="2"/>
          </w:tcPr>
          <w:p>
            <w:pPr>
              <w:jc w:val="right"/>
              <w:ind w:right="14"/>
              <w:spacing w:after="0"/>
              <w:rPr>
                <w:sz w:val="20"/>
                <w:szCs w:val="20"/>
                <w:color w:val="auto"/>
              </w:rPr>
            </w:pPr>
            <w:r>
              <w:rPr>
                <w:rFonts w:ascii="Times New Roman" w:cs="Times New Roman" w:eastAsia="Times New Roman" w:hAnsi="Times New Roman"/>
                <w:sz w:val="20"/>
                <w:szCs w:val="20"/>
                <w:color w:val="121212"/>
              </w:rPr>
              <w:t>14,136</w:t>
            </w:r>
          </w:p>
        </w:tc>
        <w:tc>
          <w:tcPr>
            <w:tcW w:w="0" w:type="dxa"/>
            <w:vAlign w:val="bottom"/>
          </w:tcPr>
          <w:p>
            <w:pPr>
              <w:spacing w:after="0"/>
              <w:rPr>
                <w:sz w:val="1"/>
                <w:szCs w:val="1"/>
                <w:color w:val="auto"/>
              </w:rPr>
            </w:pPr>
          </w:p>
        </w:tc>
      </w:tr>
      <w:tr>
        <w:trPr>
          <w:trHeight w:val="230"/>
        </w:trPr>
        <w:tc>
          <w:tcPr>
            <w:tcW w:w="8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Kevin Bitterman, Ph.D</w:t>
            </w:r>
          </w:p>
        </w:tc>
        <w:tc>
          <w:tcPr>
            <w:tcW w:w="1980" w:type="dxa"/>
            <w:vAlign w:val="bottom"/>
            <w:gridSpan w:val="2"/>
            <w:shd w:val="clear" w:color="auto" w:fill="E0E0E0"/>
          </w:tcPr>
          <w:p>
            <w:pPr>
              <w:jc w:val="right"/>
              <w:ind w:right="14"/>
              <w:spacing w:after="0"/>
              <w:rPr>
                <w:sz w:val="20"/>
                <w:szCs w:val="20"/>
                <w:color w:val="auto"/>
              </w:rPr>
            </w:pPr>
            <w:r>
              <w:rPr>
                <w:rFonts w:ascii="Times New Roman" w:cs="Times New Roman" w:eastAsia="Times New Roman" w:hAnsi="Times New Roman"/>
                <w:sz w:val="20"/>
                <w:szCs w:val="20"/>
                <w:color w:val="121212"/>
              </w:rPr>
              <w:t>14,136</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121212"/>
              </w:rPr>
              <w:t>Mark Chin, MS, MBA</w:t>
            </w:r>
          </w:p>
        </w:tc>
        <w:tc>
          <w:tcPr>
            <w:tcW w:w="1980" w:type="dxa"/>
            <w:vAlign w:val="bottom"/>
            <w:gridSpan w:val="2"/>
          </w:tcPr>
          <w:p>
            <w:pPr>
              <w:jc w:val="right"/>
              <w:ind w:right="14"/>
              <w:spacing w:after="0"/>
              <w:rPr>
                <w:sz w:val="20"/>
                <w:szCs w:val="20"/>
                <w:color w:val="auto"/>
              </w:rPr>
            </w:pPr>
            <w:r>
              <w:rPr>
                <w:rFonts w:ascii="Times New Roman" w:cs="Times New Roman" w:eastAsia="Times New Roman" w:hAnsi="Times New Roman"/>
                <w:sz w:val="20"/>
                <w:szCs w:val="20"/>
                <w:color w:val="121212"/>
              </w:rPr>
              <w:t>14,136</w:t>
            </w:r>
          </w:p>
        </w:tc>
        <w:tc>
          <w:tcPr>
            <w:tcW w:w="0" w:type="dxa"/>
            <w:vAlign w:val="bottom"/>
          </w:tcPr>
          <w:p>
            <w:pPr>
              <w:spacing w:after="0"/>
              <w:rPr>
                <w:sz w:val="1"/>
                <w:szCs w:val="1"/>
                <w:color w:val="auto"/>
              </w:rPr>
            </w:pPr>
          </w:p>
        </w:tc>
      </w:tr>
      <w:tr>
        <w:trPr>
          <w:trHeight w:val="230"/>
        </w:trPr>
        <w:tc>
          <w:tcPr>
            <w:tcW w:w="804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Liam Ratcliffe, MD, Ph.D</w:t>
            </w:r>
          </w:p>
        </w:tc>
        <w:tc>
          <w:tcPr>
            <w:tcW w:w="1980" w:type="dxa"/>
            <w:vAlign w:val="bottom"/>
            <w:gridSpan w:val="2"/>
            <w:shd w:val="clear" w:color="auto" w:fill="E0E0E0"/>
          </w:tcPr>
          <w:p>
            <w:pPr>
              <w:jc w:val="right"/>
              <w:ind w:right="14"/>
              <w:spacing w:after="0"/>
              <w:rPr>
                <w:sz w:val="20"/>
                <w:szCs w:val="20"/>
                <w:color w:val="auto"/>
              </w:rPr>
            </w:pPr>
            <w:r>
              <w:rPr>
                <w:rFonts w:ascii="Times New Roman" w:cs="Times New Roman" w:eastAsia="Times New Roman" w:hAnsi="Times New Roman"/>
                <w:sz w:val="20"/>
                <w:szCs w:val="20"/>
                <w:color w:val="121212"/>
              </w:rPr>
              <w:t>14,136</w:t>
            </w:r>
          </w:p>
        </w:tc>
        <w:tc>
          <w:tcPr>
            <w:tcW w:w="0" w:type="dxa"/>
            <w:vAlign w:val="bottom"/>
          </w:tcPr>
          <w:p>
            <w:pPr>
              <w:spacing w:after="0"/>
              <w:rPr>
                <w:sz w:val="1"/>
                <w:szCs w:val="1"/>
                <w:color w:val="auto"/>
              </w:rPr>
            </w:pPr>
          </w:p>
        </w:tc>
      </w:tr>
      <w:tr>
        <w:trPr>
          <w:trHeight w:val="266"/>
        </w:trPr>
        <w:tc>
          <w:tcPr>
            <w:tcW w:w="8040" w:type="dxa"/>
            <w:vAlign w:val="bottom"/>
          </w:tcPr>
          <w:p>
            <w:pPr>
              <w:spacing w:after="0"/>
              <w:rPr>
                <w:sz w:val="20"/>
                <w:szCs w:val="20"/>
                <w:color w:val="auto"/>
              </w:rPr>
            </w:pPr>
            <w:r>
              <w:rPr>
                <w:rFonts w:ascii="Times New Roman" w:cs="Times New Roman" w:eastAsia="Times New Roman" w:hAnsi="Times New Roman"/>
                <w:sz w:val="20"/>
                <w:szCs w:val="20"/>
                <w:color w:val="121212"/>
              </w:rPr>
              <w:t>Georges Gemayel, Ph.D</w:t>
            </w:r>
          </w:p>
        </w:tc>
        <w:tc>
          <w:tcPr>
            <w:tcW w:w="1980" w:type="dxa"/>
            <w:vAlign w:val="bottom"/>
            <w:gridSpan w:val="2"/>
          </w:tcPr>
          <w:p>
            <w:pPr>
              <w:jc w:val="right"/>
              <w:ind w:right="14"/>
              <w:spacing w:after="0"/>
              <w:rPr>
                <w:sz w:val="20"/>
                <w:szCs w:val="20"/>
                <w:color w:val="auto"/>
              </w:rPr>
            </w:pPr>
            <w:r>
              <w:rPr>
                <w:rFonts w:ascii="Times New Roman" w:cs="Times New Roman" w:eastAsia="Times New Roman" w:hAnsi="Times New Roman"/>
                <w:sz w:val="20"/>
                <w:szCs w:val="20"/>
                <w:color w:val="121212"/>
              </w:rPr>
              <w:t>102,082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27" w:right="840" w:hanging="1223"/>
        <w:spacing w:after="0" w:line="286" w:lineRule="auto"/>
        <w:tabs>
          <w:tab w:leader="none" w:pos="1207" w:val="left"/>
        </w:tabs>
        <w:rPr>
          <w:sz w:val="20"/>
          <w:szCs w:val="20"/>
          <w:color w:val="auto"/>
        </w:rPr>
      </w:pPr>
      <w:r>
        <w:rPr>
          <w:rFonts w:ascii="Times New Roman" w:cs="Times New Roman" w:eastAsia="Times New Roman" w:hAnsi="Times New Roman"/>
          <w:sz w:val="20"/>
          <w:szCs w:val="20"/>
          <w:b w:val="1"/>
          <w:bCs w:val="1"/>
          <w:color w:val="121212"/>
        </w:rPr>
        <w:t>ITEM 12.</w:t>
      </w:r>
      <w:r>
        <w:rPr>
          <w:sz w:val="20"/>
          <w:szCs w:val="20"/>
          <w:color w:val="auto"/>
        </w:rPr>
        <w:tab/>
      </w:r>
      <w:r>
        <w:rPr>
          <w:rFonts w:ascii="Times New Roman" w:cs="Times New Roman" w:eastAsia="Times New Roman" w:hAnsi="Times New Roman"/>
          <w:sz w:val="20"/>
          <w:szCs w:val="20"/>
          <w:b w:val="1"/>
          <w:bCs w:val="1"/>
          <w:color w:val="121212"/>
        </w:rPr>
        <w:t>SECURITY OWNERSHIP OF CERTAIN BENEFICIAL OWNERS AND MANAGEMENT AND RELATED STOCKHOLDER MATTERS</w:t>
      </w:r>
    </w:p>
    <w:p>
      <w:pPr>
        <w:spacing w:after="0" w:line="3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21212"/>
        </w:rPr>
        <w:t>Ownership of Our Common Stock</w:t>
      </w:r>
    </w:p>
    <w:p>
      <w:pPr>
        <w:spacing w:after="0" w:line="124" w:lineRule="exact"/>
        <w:rPr>
          <w:sz w:val="20"/>
          <w:szCs w:val="20"/>
          <w:color w:val="auto"/>
        </w:rPr>
      </w:pPr>
    </w:p>
    <w:p>
      <w:pPr>
        <w:ind w:left="7" w:right="60" w:firstLine="490"/>
        <w:spacing w:after="0" w:line="277" w:lineRule="auto"/>
        <w:rPr>
          <w:sz w:val="20"/>
          <w:szCs w:val="20"/>
          <w:color w:val="auto"/>
        </w:rPr>
      </w:pPr>
      <w:r>
        <w:rPr>
          <w:rFonts w:ascii="Times New Roman" w:cs="Times New Roman" w:eastAsia="Times New Roman" w:hAnsi="Times New Roman"/>
          <w:sz w:val="20"/>
          <w:szCs w:val="20"/>
          <w:color w:val="121212"/>
        </w:rPr>
        <w:t>Unless otherwise provided below, the following table sets forth information regarding beneficial ownership of our common stock as of February 29, 2024 by:</w:t>
      </w:r>
    </w:p>
    <w:p>
      <w:pPr>
        <w:spacing w:after="0" w:line="64" w:lineRule="exact"/>
        <w:rPr>
          <w:sz w:val="20"/>
          <w:szCs w:val="20"/>
          <w:color w:val="auto"/>
        </w:rPr>
      </w:pPr>
    </w:p>
    <w:p>
      <w:pPr>
        <w:ind w:left="727" w:right="440" w:hanging="367"/>
        <w:spacing w:after="0" w:line="276" w:lineRule="auto"/>
        <w:tabs>
          <w:tab w:leader="none" w:pos="727" w:val="left"/>
        </w:tabs>
        <w:numPr>
          <w:ilvl w:val="0"/>
          <w:numId w:val="68"/>
        </w:numPr>
        <w:rPr>
          <w:rFonts w:ascii="Arial" w:cs="Arial" w:eastAsia="Arial" w:hAnsi="Arial"/>
          <w:sz w:val="20"/>
          <w:szCs w:val="20"/>
          <w:color w:val="121212"/>
        </w:rPr>
      </w:pPr>
      <w:r>
        <w:rPr>
          <w:rFonts w:ascii="Times New Roman" w:cs="Times New Roman" w:eastAsia="Times New Roman" w:hAnsi="Times New Roman"/>
          <w:sz w:val="20"/>
          <w:szCs w:val="20"/>
          <w:color w:val="121212"/>
        </w:rPr>
        <w:t>each person, or group of affiliated persons, known to us to be the beneficial owner of 5% or more of the outstanding shares of our common stock;</w:t>
      </w:r>
    </w:p>
    <w:p>
      <w:pPr>
        <w:spacing w:after="0" w:line="64" w:lineRule="exact"/>
        <w:rPr>
          <w:rFonts w:ascii="Arial" w:cs="Arial" w:eastAsia="Arial" w:hAnsi="Arial"/>
          <w:sz w:val="20"/>
          <w:szCs w:val="20"/>
          <w:color w:val="121212"/>
        </w:rPr>
      </w:pPr>
    </w:p>
    <w:p>
      <w:pPr>
        <w:ind w:left="727" w:hanging="367"/>
        <w:spacing w:after="0"/>
        <w:tabs>
          <w:tab w:leader="none" w:pos="727" w:val="left"/>
        </w:tabs>
        <w:numPr>
          <w:ilvl w:val="0"/>
          <w:numId w:val="68"/>
        </w:numPr>
        <w:rPr>
          <w:rFonts w:ascii="Arial" w:cs="Arial" w:eastAsia="Arial" w:hAnsi="Arial"/>
          <w:sz w:val="20"/>
          <w:szCs w:val="20"/>
          <w:color w:val="121212"/>
        </w:rPr>
      </w:pPr>
      <w:r>
        <w:rPr>
          <w:rFonts w:ascii="Times New Roman" w:cs="Times New Roman" w:eastAsia="Times New Roman" w:hAnsi="Times New Roman"/>
          <w:sz w:val="20"/>
          <w:szCs w:val="20"/>
          <w:color w:val="121212"/>
        </w:rPr>
        <w:t>each of our current directors;</w:t>
      </w:r>
    </w:p>
    <w:p>
      <w:pPr>
        <w:sectPr>
          <w:pgSz w:w="12240" w:h="15840" w:orient="portrait"/>
          <w:cols w:equalWidth="0" w:num="1">
            <w:col w:w="10447"/>
          </w:cols>
          <w:pgMar w:left="893"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21212"/>
        </w:rPr>
        <w:t>149</w:t>
      </w:r>
    </w:p>
    <w:p>
      <w:pPr>
        <w:sectPr>
          <w:pgSz w:w="12240" w:h="15840" w:orient="portrait"/>
          <w:cols w:equalWidth="0" w:num="1">
            <w:col w:w="10447"/>
          </w:cols>
          <w:pgMar w:left="893" w:top="926" w:right="900" w:bottom="175" w:gutter="0" w:footer="0" w:header="0"/>
          <w:type w:val="continuous"/>
        </w:sectPr>
      </w:pPr>
    </w:p>
    <w:bookmarkStart w:id="159" w:name="page160"/>
    <w:bookmarkEnd w:id="159"/>
    <w:p>
      <w:pPr>
        <w:ind w:left="727" w:right="100" w:hanging="367"/>
        <w:spacing w:after="0" w:line="304" w:lineRule="auto"/>
        <w:tabs>
          <w:tab w:leader="none" w:pos="727" w:val="left"/>
        </w:tabs>
        <w:numPr>
          <w:ilvl w:val="0"/>
          <w:numId w:val="69"/>
        </w:numPr>
        <w:rPr>
          <w:rFonts w:ascii="Arial" w:cs="Arial" w:eastAsia="Arial" w:hAnsi="Arial"/>
          <w:sz w:val="19"/>
          <w:szCs w:val="19"/>
          <w:color w:val="121212"/>
        </w:rPr>
      </w:pPr>
      <w:r>
        <w:rPr>
          <w:rFonts w:ascii="Times New Roman" w:cs="Times New Roman" w:eastAsia="Times New Roman" w:hAnsi="Times New Roman"/>
          <w:sz w:val="19"/>
          <w:szCs w:val="19"/>
          <w:color w:val="121212"/>
        </w:rPr>
        <w:t>our principal executive officer and our other executive officers who served during the year ended December 31, 2023, named in the Summary Compensation table above, whom, collectively, we refer to as our named executive officers; and</w:t>
      </w:r>
    </w:p>
    <w:p>
      <w:pPr>
        <w:spacing w:after="0" w:line="39" w:lineRule="exact"/>
        <w:rPr>
          <w:rFonts w:ascii="Arial" w:cs="Arial" w:eastAsia="Arial" w:hAnsi="Arial"/>
          <w:sz w:val="19"/>
          <w:szCs w:val="19"/>
          <w:color w:val="121212"/>
        </w:rPr>
      </w:pPr>
    </w:p>
    <w:p>
      <w:pPr>
        <w:ind w:left="727" w:hanging="367"/>
        <w:spacing w:after="0"/>
        <w:tabs>
          <w:tab w:leader="none" w:pos="727" w:val="left"/>
        </w:tabs>
        <w:numPr>
          <w:ilvl w:val="0"/>
          <w:numId w:val="69"/>
        </w:numPr>
        <w:rPr>
          <w:rFonts w:ascii="Arial" w:cs="Arial" w:eastAsia="Arial" w:hAnsi="Arial"/>
          <w:sz w:val="20"/>
          <w:szCs w:val="20"/>
          <w:color w:val="121212"/>
        </w:rPr>
      </w:pPr>
      <w:r>
        <w:rPr>
          <w:rFonts w:ascii="Times New Roman" w:cs="Times New Roman" w:eastAsia="Times New Roman" w:hAnsi="Times New Roman"/>
          <w:sz w:val="20"/>
          <w:szCs w:val="20"/>
          <w:color w:val="121212"/>
        </w:rPr>
        <w:t>all of our directors and executive officers as a group.</w:t>
      </w:r>
    </w:p>
    <w:p>
      <w:pPr>
        <w:spacing w:after="0" w:line="119" w:lineRule="exact"/>
        <w:rPr>
          <w:sz w:val="20"/>
          <w:szCs w:val="20"/>
          <w:color w:val="auto"/>
        </w:rPr>
      </w:pPr>
    </w:p>
    <w:p>
      <w:pPr>
        <w:ind w:left="7" w:firstLine="490"/>
        <w:spacing w:after="0" w:line="263" w:lineRule="auto"/>
        <w:rPr>
          <w:sz w:val="20"/>
          <w:szCs w:val="20"/>
          <w:color w:val="auto"/>
        </w:rPr>
      </w:pPr>
      <w:r>
        <w:rPr>
          <w:rFonts w:ascii="Times New Roman" w:cs="Times New Roman" w:eastAsia="Times New Roman" w:hAnsi="Times New Roman"/>
          <w:sz w:val="19"/>
          <w:szCs w:val="19"/>
          <w:color w:val="121212"/>
        </w:rPr>
        <w:t>Beneficial ownership is determined in accordance with SEC rules.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within 60 days after February 29, 2024. Except as otherwise indicated, all of the shares reflected in the table are shares of common stock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64" w:lineRule="exact"/>
        <w:rPr>
          <w:sz w:val="20"/>
          <w:szCs w:val="20"/>
          <w:color w:val="auto"/>
        </w:rPr>
      </w:pPr>
    </w:p>
    <w:p>
      <w:pPr>
        <w:ind w:left="7" w:right="300" w:firstLine="490"/>
        <w:spacing w:after="0" w:line="258" w:lineRule="auto"/>
        <w:rPr>
          <w:sz w:val="20"/>
          <w:szCs w:val="20"/>
          <w:color w:val="auto"/>
        </w:rPr>
      </w:pPr>
      <w:r>
        <w:rPr>
          <w:rFonts w:ascii="Times New Roman" w:cs="Times New Roman" w:eastAsia="Times New Roman" w:hAnsi="Times New Roman"/>
          <w:sz w:val="20"/>
          <w:szCs w:val="20"/>
          <w:color w:val="121212"/>
        </w:rPr>
        <w:t>The column entitled “Percentage of Shares Beneficially Owned” is based on a total of 24,681,028 shares of our common stock outstanding as of February 29, 2024. Except as otherwise indicated in the footnotes below, the address of the beneficial owner is c/o Disc Medicine, Inc., 321 Arsenal Street, Suite 101, Watertown, MA 02472.</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6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121212"/>
                <w:w w:val="99"/>
              </w:rPr>
              <w:t>Number of</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16"/>
                <w:szCs w:val="16"/>
                <w:color w:val="auto"/>
              </w:rPr>
            </w:pPr>
          </w:p>
        </w:tc>
        <w:tc>
          <w:tcPr>
            <w:tcW w:w="166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121212"/>
              </w:rPr>
              <w:t>Shares of</w:t>
            </w:r>
          </w:p>
        </w:tc>
        <w:tc>
          <w:tcPr>
            <w:tcW w:w="120" w:type="dxa"/>
            <w:vAlign w:val="bottom"/>
          </w:tcPr>
          <w:p>
            <w:pPr>
              <w:spacing w:after="0"/>
              <w:rPr>
                <w:sz w:val="16"/>
                <w:szCs w:val="16"/>
                <w:color w:val="auto"/>
              </w:rPr>
            </w:pPr>
          </w:p>
        </w:tc>
        <w:tc>
          <w:tcPr>
            <w:tcW w:w="1660" w:type="dxa"/>
            <w:vAlign w:val="bottom"/>
            <w:vMerge w:val="restart"/>
          </w:tcPr>
          <w:p>
            <w:pPr>
              <w:jc w:val="center"/>
              <w:ind w:right="96"/>
              <w:spacing w:after="0"/>
              <w:rPr>
                <w:sz w:val="20"/>
                <w:szCs w:val="20"/>
                <w:color w:val="auto"/>
              </w:rPr>
            </w:pPr>
            <w:r>
              <w:rPr>
                <w:rFonts w:ascii="Times New Roman" w:cs="Times New Roman" w:eastAsia="Times New Roman" w:hAnsi="Times New Roman"/>
                <w:sz w:val="16"/>
                <w:szCs w:val="16"/>
                <w:b w:val="1"/>
                <w:bCs w:val="1"/>
                <w:color w:val="121212"/>
                <w:w w:val="99"/>
              </w:rPr>
              <w:t>Percentage of</w:t>
            </w:r>
          </w:p>
        </w:tc>
        <w:tc>
          <w:tcPr>
            <w:tcW w:w="0" w:type="dxa"/>
            <w:vAlign w:val="bottom"/>
          </w:tcPr>
          <w:p>
            <w:pPr>
              <w:spacing w:after="0"/>
              <w:rPr>
                <w:sz w:val="1"/>
                <w:szCs w:val="1"/>
                <w:color w:val="auto"/>
              </w:rPr>
            </w:pPr>
          </w:p>
        </w:tc>
      </w:tr>
      <w:tr>
        <w:trPr>
          <w:trHeight w:val="184"/>
        </w:trPr>
        <w:tc>
          <w:tcPr>
            <w:tcW w:w="7000" w:type="dxa"/>
            <w:vAlign w:val="bottom"/>
          </w:tcPr>
          <w:p>
            <w:pPr>
              <w:spacing w:after="0"/>
              <w:rPr>
                <w:sz w:val="15"/>
                <w:szCs w:val="15"/>
                <w:color w:val="auto"/>
              </w:rPr>
            </w:pPr>
          </w:p>
        </w:tc>
        <w:tc>
          <w:tcPr>
            <w:tcW w:w="166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121212"/>
              </w:rPr>
              <w:t>Common</w:t>
            </w:r>
          </w:p>
        </w:tc>
        <w:tc>
          <w:tcPr>
            <w:tcW w:w="12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00" w:type="dxa"/>
            <w:vAlign w:val="bottom"/>
          </w:tcPr>
          <w:p>
            <w:pPr>
              <w:spacing w:after="0"/>
              <w:rPr>
                <w:sz w:val="16"/>
                <w:szCs w:val="16"/>
                <w:color w:val="auto"/>
              </w:rPr>
            </w:pPr>
          </w:p>
        </w:tc>
        <w:tc>
          <w:tcPr>
            <w:tcW w:w="166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121212"/>
                <w:w w:val="99"/>
              </w:rPr>
              <w:t>Stock</w:t>
            </w:r>
          </w:p>
        </w:tc>
        <w:tc>
          <w:tcPr>
            <w:tcW w:w="120" w:type="dxa"/>
            <w:vAlign w:val="bottom"/>
          </w:tcPr>
          <w:p>
            <w:pPr>
              <w:spacing w:after="0"/>
              <w:rPr>
                <w:sz w:val="16"/>
                <w:szCs w:val="16"/>
                <w:color w:val="auto"/>
              </w:rPr>
            </w:pPr>
          </w:p>
        </w:tc>
        <w:tc>
          <w:tcPr>
            <w:tcW w:w="16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121212"/>
                <w:w w:val="99"/>
              </w:rPr>
              <w:t>Shares</w:t>
            </w:r>
          </w:p>
        </w:tc>
        <w:tc>
          <w:tcPr>
            <w:tcW w:w="0" w:type="dxa"/>
            <w:vAlign w:val="bottom"/>
          </w:tcPr>
          <w:p>
            <w:pPr>
              <w:spacing w:after="0"/>
              <w:rPr>
                <w:sz w:val="1"/>
                <w:szCs w:val="1"/>
                <w:color w:val="auto"/>
              </w:rPr>
            </w:pPr>
          </w:p>
        </w:tc>
      </w:tr>
      <w:tr>
        <w:trPr>
          <w:trHeight w:val="184"/>
        </w:trPr>
        <w:tc>
          <w:tcPr>
            <w:tcW w:w="7000" w:type="dxa"/>
            <w:vAlign w:val="bottom"/>
          </w:tcPr>
          <w:p>
            <w:pPr>
              <w:spacing w:after="0"/>
              <w:rPr>
                <w:sz w:val="16"/>
                <w:szCs w:val="16"/>
                <w:color w:val="auto"/>
              </w:rPr>
            </w:pPr>
          </w:p>
        </w:tc>
        <w:tc>
          <w:tcPr>
            <w:tcW w:w="166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121212"/>
                <w:w w:val="99"/>
              </w:rPr>
              <w:t>Beneficially</w:t>
            </w:r>
          </w:p>
        </w:tc>
        <w:tc>
          <w:tcPr>
            <w:tcW w:w="120" w:type="dxa"/>
            <w:vAlign w:val="bottom"/>
          </w:tcPr>
          <w:p>
            <w:pPr>
              <w:spacing w:after="0"/>
              <w:rPr>
                <w:sz w:val="16"/>
                <w:szCs w:val="16"/>
                <w:color w:val="auto"/>
              </w:rPr>
            </w:pPr>
          </w:p>
        </w:tc>
        <w:tc>
          <w:tcPr>
            <w:tcW w:w="16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121212"/>
                <w:w w:val="99"/>
              </w:rPr>
              <w:t>Beneficially</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E0E0E0"/>
            </w:tcBorders>
          </w:tcPr>
          <w:p>
            <w:pPr>
              <w:spacing w:after="0"/>
              <w:rPr>
                <w:sz w:val="17"/>
                <w:szCs w:val="17"/>
                <w:color w:val="auto"/>
              </w:rPr>
            </w:pPr>
          </w:p>
        </w:tc>
        <w:tc>
          <w:tcPr>
            <w:tcW w:w="1660" w:type="dxa"/>
            <w:vAlign w:val="bottom"/>
            <w:tcBorders>
              <w:bottom w:val="single" w:sz="8" w:color="121212"/>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121212"/>
                <w:w w:val="98"/>
              </w:rPr>
              <w:t>Owned</w:t>
            </w:r>
          </w:p>
        </w:tc>
        <w:tc>
          <w:tcPr>
            <w:tcW w:w="120" w:type="dxa"/>
            <w:vAlign w:val="bottom"/>
            <w:tcBorders>
              <w:bottom w:val="single" w:sz="8" w:color="E0E0E0"/>
            </w:tcBorders>
          </w:tcPr>
          <w:p>
            <w:pPr>
              <w:spacing w:after="0"/>
              <w:rPr>
                <w:sz w:val="17"/>
                <w:szCs w:val="17"/>
                <w:color w:val="auto"/>
              </w:rPr>
            </w:pPr>
          </w:p>
        </w:tc>
        <w:tc>
          <w:tcPr>
            <w:tcW w:w="1660" w:type="dxa"/>
            <w:vAlign w:val="bottom"/>
            <w:tcBorders>
              <w:bottom w:val="single" w:sz="8" w:color="121212"/>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121212"/>
                <w:w w:val="98"/>
              </w:rPr>
              <w:t>Owned</w:t>
            </w:r>
          </w:p>
        </w:tc>
        <w:tc>
          <w:tcPr>
            <w:tcW w:w="0" w:type="dxa"/>
            <w:vAlign w:val="bottom"/>
          </w:tcPr>
          <w:p>
            <w:pPr>
              <w:spacing w:after="0"/>
              <w:rPr>
                <w:sz w:val="1"/>
                <w:szCs w:val="1"/>
                <w:color w:val="auto"/>
              </w:rPr>
            </w:pPr>
          </w:p>
        </w:tc>
      </w:tr>
      <w:tr>
        <w:trPr>
          <w:trHeight w:val="220"/>
        </w:trPr>
        <w:tc>
          <w:tcPr>
            <w:tcW w:w="700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b w:val="1"/>
                <w:bCs w:val="1"/>
                <w:color w:val="121212"/>
              </w:rPr>
              <w:t>5% or Greater Stockholders</w:t>
            </w:r>
          </w:p>
        </w:tc>
        <w:tc>
          <w:tcPr>
            <w:tcW w:w="16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6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121212"/>
              </w:rPr>
              <w:t>AI DMI LLC</w:t>
            </w:r>
            <w:r>
              <w:rPr>
                <w:rFonts w:ascii="Times New Roman" w:cs="Times New Roman" w:eastAsia="Times New Roman" w:hAnsi="Times New Roman"/>
                <w:sz w:val="26"/>
                <w:szCs w:val="26"/>
                <w:color w:val="121212"/>
                <w:vertAlign w:val="superscript"/>
              </w:rPr>
              <w:t>(1)</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3,345,840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13.45%</w:t>
            </w: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ind w:left="200"/>
              <w:spacing w:after="0" w:line="230" w:lineRule="exact"/>
              <w:rPr>
                <w:sz w:val="20"/>
                <w:szCs w:val="20"/>
                <w:color w:val="auto"/>
              </w:rPr>
            </w:pPr>
            <w:r>
              <w:rPr>
                <w:rFonts w:ascii="Times New Roman" w:cs="Times New Roman" w:eastAsia="Times New Roman" w:hAnsi="Times New Roman"/>
                <w:sz w:val="20"/>
                <w:szCs w:val="20"/>
                <w:color w:val="121212"/>
              </w:rPr>
              <w:t>Entities affiliated with Paradigm</w:t>
            </w:r>
            <w:r>
              <w:rPr>
                <w:rFonts w:ascii="Times New Roman" w:cs="Times New Roman" w:eastAsia="Times New Roman" w:hAnsi="Times New Roman"/>
                <w:sz w:val="26"/>
                <w:szCs w:val="26"/>
                <w:color w:val="121212"/>
                <w:vertAlign w:val="superscript"/>
              </w:rPr>
              <w:t>(2)</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2,385,857</w:t>
            </w:r>
          </w:p>
        </w:tc>
        <w:tc>
          <w:tcPr>
            <w:tcW w:w="17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9.67%</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121212"/>
              </w:rPr>
              <w:t>Entities affiliated with Atlas Venture Fund</w:t>
            </w:r>
            <w:r>
              <w:rPr>
                <w:rFonts w:ascii="Times New Roman" w:cs="Times New Roman" w:eastAsia="Times New Roman" w:hAnsi="Times New Roman"/>
                <w:sz w:val="26"/>
                <w:szCs w:val="26"/>
                <w:color w:val="121212"/>
                <w:vertAlign w:val="superscript"/>
              </w:rPr>
              <w:t>(3)</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2,355,172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21212"/>
              </w:rPr>
              <w:t>9.54%</w:t>
            </w: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ind w:left="200"/>
              <w:spacing w:after="0" w:line="230" w:lineRule="exact"/>
              <w:rPr>
                <w:sz w:val="20"/>
                <w:szCs w:val="20"/>
                <w:color w:val="auto"/>
              </w:rPr>
            </w:pPr>
            <w:r>
              <w:rPr>
                <w:rFonts w:ascii="Times New Roman" w:cs="Times New Roman" w:eastAsia="Times New Roman" w:hAnsi="Times New Roman"/>
                <w:sz w:val="20"/>
                <w:szCs w:val="20"/>
                <w:color w:val="121212"/>
              </w:rPr>
              <w:t>Entities affiliated with FMR LLC (Fidelity)</w:t>
            </w:r>
            <w:r>
              <w:rPr>
                <w:rFonts w:ascii="Times New Roman" w:cs="Times New Roman" w:eastAsia="Times New Roman" w:hAnsi="Times New Roman"/>
                <w:sz w:val="26"/>
                <w:szCs w:val="26"/>
                <w:color w:val="121212"/>
                <w:vertAlign w:val="superscript"/>
              </w:rPr>
              <w:t>(4)</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2,166,819</w:t>
            </w:r>
          </w:p>
        </w:tc>
        <w:tc>
          <w:tcPr>
            <w:tcW w:w="17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8.78%</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121212"/>
              </w:rPr>
              <w:t>Entities affiliated with OrbiMed</w:t>
            </w:r>
            <w:r>
              <w:rPr>
                <w:rFonts w:ascii="Times New Roman" w:cs="Times New Roman" w:eastAsia="Times New Roman" w:hAnsi="Times New Roman"/>
                <w:sz w:val="26"/>
                <w:szCs w:val="26"/>
                <w:color w:val="121212"/>
                <w:vertAlign w:val="superscript"/>
              </w:rPr>
              <w:t>(5)</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1,702,237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21212"/>
              </w:rPr>
              <w:t>6.90%</w:t>
            </w: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ind w:left="200"/>
              <w:spacing w:after="0" w:line="230" w:lineRule="exact"/>
              <w:rPr>
                <w:sz w:val="20"/>
                <w:szCs w:val="20"/>
                <w:color w:val="auto"/>
              </w:rPr>
            </w:pPr>
            <w:r>
              <w:rPr>
                <w:rFonts w:ascii="Times New Roman" w:cs="Times New Roman" w:eastAsia="Times New Roman" w:hAnsi="Times New Roman"/>
                <w:sz w:val="20"/>
                <w:szCs w:val="20"/>
                <w:color w:val="121212"/>
              </w:rPr>
              <w:t>Bain Capital Life Sciences Opportunities III, LP</w:t>
            </w:r>
            <w:r>
              <w:rPr>
                <w:rFonts w:ascii="Times New Roman" w:cs="Times New Roman" w:eastAsia="Times New Roman" w:hAnsi="Times New Roman"/>
                <w:sz w:val="26"/>
                <w:szCs w:val="26"/>
                <w:color w:val="121212"/>
                <w:vertAlign w:val="superscript"/>
              </w:rPr>
              <w:t>(6)</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1,332,545</w:t>
            </w:r>
          </w:p>
        </w:tc>
        <w:tc>
          <w:tcPr>
            <w:tcW w:w="17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5.40%</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20"/>
                <w:szCs w:val="20"/>
                <w:b w:val="1"/>
                <w:bCs w:val="1"/>
                <w:color w:val="121212"/>
              </w:rPr>
              <w:t>Directors, Named Executive Officers and Other Executive Officers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ind w:left="200"/>
              <w:spacing w:after="0" w:line="230" w:lineRule="exact"/>
              <w:rPr>
                <w:sz w:val="20"/>
                <w:szCs w:val="20"/>
                <w:color w:val="auto"/>
              </w:rPr>
            </w:pPr>
            <w:r>
              <w:rPr>
                <w:rFonts w:ascii="Times New Roman" w:cs="Times New Roman" w:eastAsia="Times New Roman" w:hAnsi="Times New Roman"/>
                <w:sz w:val="20"/>
                <w:szCs w:val="20"/>
                <w:color w:val="121212"/>
              </w:rPr>
              <w:t>John Quisel, J.D., Ph.D.</w:t>
            </w:r>
            <w:r>
              <w:rPr>
                <w:rFonts w:ascii="Times New Roman" w:cs="Times New Roman" w:eastAsia="Times New Roman" w:hAnsi="Times New Roman"/>
                <w:sz w:val="26"/>
                <w:szCs w:val="26"/>
                <w:color w:val="121212"/>
                <w:vertAlign w:val="superscript"/>
              </w:rPr>
              <w:t>(7)</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456,829</w:t>
            </w:r>
          </w:p>
        </w:tc>
        <w:tc>
          <w:tcPr>
            <w:tcW w:w="17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1.82%</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121212"/>
              </w:rPr>
              <w:t>William Savage, MD, Ph.D.</w:t>
            </w:r>
            <w:r>
              <w:rPr>
                <w:rFonts w:ascii="Times New Roman" w:cs="Times New Roman" w:eastAsia="Times New Roman" w:hAnsi="Times New Roman"/>
                <w:sz w:val="26"/>
                <w:szCs w:val="26"/>
                <w:color w:val="121212"/>
                <w:vertAlign w:val="superscript"/>
              </w:rPr>
              <w:t>(8)</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77,066</w:t>
            </w:r>
          </w:p>
        </w:tc>
        <w:tc>
          <w:tcPr>
            <w:tcW w:w="1780" w:type="dxa"/>
            <w:vAlign w:val="bottom"/>
            <w:gridSpan w:val="2"/>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ind w:left="200"/>
              <w:spacing w:after="0" w:line="230" w:lineRule="exact"/>
              <w:rPr>
                <w:sz w:val="20"/>
                <w:szCs w:val="20"/>
                <w:color w:val="auto"/>
              </w:rPr>
            </w:pPr>
            <w:r>
              <w:rPr>
                <w:rFonts w:ascii="Times New Roman" w:cs="Times New Roman" w:eastAsia="Times New Roman" w:hAnsi="Times New Roman"/>
                <w:sz w:val="20"/>
                <w:szCs w:val="20"/>
                <w:color w:val="121212"/>
              </w:rPr>
              <w:t xml:space="preserve">Joanne Bryce, CPA </w:t>
            </w:r>
            <w:r>
              <w:rPr>
                <w:rFonts w:ascii="Times New Roman" w:cs="Times New Roman" w:eastAsia="Times New Roman" w:hAnsi="Times New Roman"/>
                <w:sz w:val="26"/>
                <w:szCs w:val="26"/>
                <w:color w:val="121212"/>
                <w:vertAlign w:val="superscript"/>
              </w:rPr>
              <w:t>(9)</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65,731</w:t>
            </w:r>
          </w:p>
        </w:tc>
        <w:tc>
          <w:tcPr>
            <w:tcW w:w="1780" w:type="dxa"/>
            <w:vAlign w:val="bottom"/>
            <w:gridSpan w:val="2"/>
            <w:shd w:val="clear" w:color="auto" w:fill="E0E0E0"/>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121212"/>
              </w:rPr>
              <w:t>Mona Ashiya, Ph.D.</w:t>
            </w:r>
            <w:r>
              <w:rPr>
                <w:rFonts w:ascii="Times New Roman" w:cs="Times New Roman" w:eastAsia="Times New Roman" w:hAnsi="Times New Roman"/>
                <w:sz w:val="26"/>
                <w:szCs w:val="26"/>
                <w:color w:val="121212"/>
                <w:vertAlign w:val="superscript"/>
              </w:rPr>
              <w:t>(10)</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7,000</w:t>
            </w:r>
          </w:p>
        </w:tc>
        <w:tc>
          <w:tcPr>
            <w:tcW w:w="1780" w:type="dxa"/>
            <w:vAlign w:val="bottom"/>
            <w:gridSpan w:val="2"/>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ind w:left="200"/>
              <w:spacing w:after="0" w:line="230" w:lineRule="exact"/>
              <w:rPr>
                <w:sz w:val="20"/>
                <w:szCs w:val="20"/>
                <w:color w:val="auto"/>
              </w:rPr>
            </w:pPr>
            <w:r>
              <w:rPr>
                <w:rFonts w:ascii="Times New Roman" w:cs="Times New Roman" w:eastAsia="Times New Roman" w:hAnsi="Times New Roman"/>
                <w:sz w:val="20"/>
                <w:szCs w:val="20"/>
                <w:color w:val="121212"/>
              </w:rPr>
              <w:t>Kevin Bitterman, Ph.D.</w:t>
            </w:r>
            <w:r>
              <w:rPr>
                <w:rFonts w:ascii="Times New Roman" w:cs="Times New Roman" w:eastAsia="Times New Roman" w:hAnsi="Times New Roman"/>
                <w:sz w:val="26"/>
                <w:szCs w:val="26"/>
                <w:color w:val="121212"/>
                <w:vertAlign w:val="superscript"/>
              </w:rPr>
              <w:t>(10)</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7,000</w:t>
            </w:r>
          </w:p>
        </w:tc>
        <w:tc>
          <w:tcPr>
            <w:tcW w:w="1780" w:type="dxa"/>
            <w:vAlign w:val="bottom"/>
            <w:gridSpan w:val="2"/>
            <w:shd w:val="clear" w:color="auto" w:fill="E0E0E0"/>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121212"/>
              </w:rPr>
              <w:t>Mark Chin, MS, MBA</w:t>
            </w:r>
            <w:r>
              <w:rPr>
                <w:rFonts w:ascii="Times New Roman" w:cs="Times New Roman" w:eastAsia="Times New Roman" w:hAnsi="Times New Roman"/>
                <w:sz w:val="26"/>
                <w:szCs w:val="26"/>
                <w:color w:val="121212"/>
                <w:vertAlign w:val="superscript"/>
              </w:rPr>
              <w:t>(10)</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7,000</w:t>
            </w:r>
          </w:p>
        </w:tc>
        <w:tc>
          <w:tcPr>
            <w:tcW w:w="1780" w:type="dxa"/>
            <w:vAlign w:val="bottom"/>
            <w:gridSpan w:val="2"/>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ind w:left="200"/>
              <w:spacing w:after="0" w:line="230" w:lineRule="exact"/>
              <w:rPr>
                <w:sz w:val="20"/>
                <w:szCs w:val="20"/>
                <w:color w:val="auto"/>
              </w:rPr>
            </w:pPr>
            <w:r>
              <w:rPr>
                <w:rFonts w:ascii="Times New Roman" w:cs="Times New Roman" w:eastAsia="Times New Roman" w:hAnsi="Times New Roman"/>
                <w:sz w:val="20"/>
                <w:szCs w:val="20"/>
                <w:color w:val="121212"/>
              </w:rPr>
              <w:t>Georges Gemayel</w:t>
            </w:r>
            <w:r>
              <w:rPr>
                <w:rFonts w:ascii="Times New Roman" w:cs="Times New Roman" w:eastAsia="Times New Roman" w:hAnsi="Times New Roman"/>
                <w:sz w:val="26"/>
                <w:szCs w:val="26"/>
                <w:color w:val="121212"/>
                <w:vertAlign w:val="superscript"/>
              </w:rPr>
              <w:t>(11)</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94,946</w:t>
            </w:r>
          </w:p>
        </w:tc>
        <w:tc>
          <w:tcPr>
            <w:tcW w:w="1780" w:type="dxa"/>
            <w:vAlign w:val="bottom"/>
            <w:gridSpan w:val="2"/>
            <w:shd w:val="clear" w:color="auto" w:fill="E0E0E0"/>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121212"/>
              </w:rPr>
              <w:t>Donald Nicholson, Ph.D.</w:t>
            </w:r>
            <w:r>
              <w:rPr>
                <w:rFonts w:ascii="Times New Roman" w:cs="Times New Roman" w:eastAsia="Times New Roman" w:hAnsi="Times New Roman"/>
                <w:sz w:val="26"/>
                <w:szCs w:val="26"/>
                <w:color w:val="121212"/>
                <w:vertAlign w:val="superscript"/>
              </w:rPr>
              <w:t>(12)</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131,421</w:t>
            </w:r>
          </w:p>
        </w:tc>
        <w:tc>
          <w:tcPr>
            <w:tcW w:w="1780" w:type="dxa"/>
            <w:vAlign w:val="bottom"/>
            <w:gridSpan w:val="2"/>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ind w:left="200"/>
              <w:spacing w:after="0" w:line="230" w:lineRule="exact"/>
              <w:rPr>
                <w:sz w:val="20"/>
                <w:szCs w:val="20"/>
                <w:color w:val="auto"/>
              </w:rPr>
            </w:pPr>
            <w:r>
              <w:rPr>
                <w:rFonts w:ascii="Times New Roman" w:cs="Times New Roman" w:eastAsia="Times New Roman" w:hAnsi="Times New Roman"/>
                <w:sz w:val="20"/>
                <w:szCs w:val="20"/>
                <w:color w:val="121212"/>
              </w:rPr>
              <w:t>Liam Ratcliffe, MD, Ph.D.</w:t>
            </w:r>
            <w:r>
              <w:rPr>
                <w:rFonts w:ascii="Times New Roman" w:cs="Times New Roman" w:eastAsia="Times New Roman" w:hAnsi="Times New Roman"/>
                <w:sz w:val="26"/>
                <w:szCs w:val="26"/>
                <w:color w:val="121212"/>
                <w:vertAlign w:val="superscript"/>
              </w:rPr>
              <w:t>(10)</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7,000</w:t>
            </w:r>
          </w:p>
        </w:tc>
        <w:tc>
          <w:tcPr>
            <w:tcW w:w="1780" w:type="dxa"/>
            <w:vAlign w:val="bottom"/>
            <w:gridSpan w:val="2"/>
            <w:shd w:val="clear" w:color="auto" w:fill="E0E0E0"/>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121212"/>
              </w:rPr>
              <w:t>William White, MPP, J.D.</w:t>
            </w:r>
            <w:r>
              <w:rPr>
                <w:rFonts w:ascii="Times New Roman" w:cs="Times New Roman" w:eastAsia="Times New Roman" w:hAnsi="Times New Roman"/>
                <w:sz w:val="26"/>
                <w:szCs w:val="26"/>
                <w:color w:val="121212"/>
                <w:vertAlign w:val="superscript"/>
              </w:rPr>
              <w:t>(13)</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121212"/>
              </w:rPr>
              <w:t>2,560</w:t>
            </w:r>
          </w:p>
        </w:tc>
        <w:tc>
          <w:tcPr>
            <w:tcW w:w="1780" w:type="dxa"/>
            <w:vAlign w:val="bottom"/>
            <w:gridSpan w:val="2"/>
          </w:tcPr>
          <w:p>
            <w:pPr>
              <w:jc w:val="right"/>
              <w:ind w:right="96"/>
              <w:spacing w:after="0"/>
              <w:rPr>
                <w:sz w:val="20"/>
                <w:szCs w:val="20"/>
                <w:color w:val="auto"/>
              </w:rPr>
            </w:pPr>
            <w:r>
              <w:rPr>
                <w:rFonts w:ascii="Times New Roman" w:cs="Times New Roman" w:eastAsia="Times New Roman" w:hAnsi="Times New Roman"/>
                <w:sz w:val="20"/>
                <w:szCs w:val="20"/>
                <w:color w:val="121212"/>
              </w:rPr>
              <w:t>*</w:t>
            </w:r>
          </w:p>
        </w:tc>
        <w:tc>
          <w:tcPr>
            <w:tcW w:w="0" w:type="dxa"/>
            <w:vAlign w:val="bottom"/>
          </w:tcPr>
          <w:p>
            <w:pPr>
              <w:spacing w:after="0"/>
              <w:rPr>
                <w:sz w:val="1"/>
                <w:szCs w:val="1"/>
                <w:color w:val="auto"/>
              </w:rPr>
            </w:pPr>
          </w:p>
        </w:tc>
      </w:tr>
      <w:tr>
        <w:trPr>
          <w:trHeight w:val="230"/>
        </w:trPr>
        <w:tc>
          <w:tcPr>
            <w:tcW w:w="700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b w:val="1"/>
                <w:bCs w:val="1"/>
                <w:color w:val="121212"/>
              </w:rPr>
              <w:t>All executive officers and directors as a group (14 persons)</w:t>
            </w:r>
          </w:p>
        </w:tc>
        <w:tc>
          <w:tcPr>
            <w:tcW w:w="1660" w:type="dxa"/>
            <w:vAlign w:val="bottom"/>
            <w:shd w:val="clear" w:color="auto" w:fill="E0E0E0"/>
          </w:tcPr>
          <w:p>
            <w:pPr>
              <w:jc w:val="right"/>
              <w:ind w:right="5"/>
              <w:spacing w:after="0"/>
              <w:rPr>
                <w:sz w:val="20"/>
                <w:szCs w:val="20"/>
                <w:color w:val="auto"/>
              </w:rPr>
            </w:pPr>
            <w:r>
              <w:rPr>
                <w:rFonts w:ascii="Times New Roman" w:cs="Times New Roman" w:eastAsia="Times New Roman" w:hAnsi="Times New Roman"/>
                <w:sz w:val="20"/>
                <w:szCs w:val="20"/>
                <w:color w:val="121212"/>
              </w:rPr>
              <w:t>1,004,613</w:t>
            </w:r>
          </w:p>
        </w:tc>
        <w:tc>
          <w:tcPr>
            <w:tcW w:w="17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104775</wp:posOffset>
                </wp:positionV>
                <wp:extent cx="164592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5920" cy="4763"/>
                        </a:xfrm>
                        <a:prstGeom prst="line">
                          <a:avLst/>
                        </a:prstGeom>
                        <a:solidFill>
                          <a:srgbClr val="FFFFFF"/>
                        </a:solidFill>
                        <a:ln w="9525">
                          <a:solidFill>
                            <a:srgbClr val="121212"/>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8.25pt" to="128.15pt,8.25pt" o:allowincell="f" strokecolor="#121212" strokeweight="0.75pt"/>
            </w:pict>
          </mc:Fallback>
        </mc:AlternateContent>
      </w:r>
    </w:p>
    <w:p>
      <w:pPr>
        <w:spacing w:after="0" w:line="1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121212"/>
        </w:rPr>
        <w:t>* Represents beneficial ownership of less than 1% of our outstanding common stock.</w:t>
      </w:r>
    </w:p>
    <w:p>
      <w:pPr>
        <w:spacing w:after="0" w:line="120" w:lineRule="exact"/>
        <w:rPr>
          <w:sz w:val="20"/>
          <w:szCs w:val="20"/>
          <w:color w:val="auto"/>
        </w:rPr>
      </w:pPr>
    </w:p>
    <w:p>
      <w:pPr>
        <w:ind w:left="367" w:right="120" w:hanging="367"/>
        <w:spacing w:after="0" w:line="247" w:lineRule="auto"/>
        <w:tabs>
          <w:tab w:leader="none" w:pos="367" w:val="left"/>
        </w:tabs>
        <w:numPr>
          <w:ilvl w:val="0"/>
          <w:numId w:val="70"/>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shares held by AI DMI LLC may be deemed to be beneficially owned by Access Industries Holdings LLC, or AIH, Access Industries Management, LLC, or AIM, and Len Blavatnik because (i) AIH indirectly controls all of the outstanding voting interests in AI DMI LLC, (ii) AIM controls AIH and (iii) Mr. Blavatnik controls AIM and holds a majority of the outstanding voting interests in AIH. Liam Ratcliffe, a member of our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w:t>
      </w:r>
    </w:p>
    <w:p>
      <w:pPr>
        <w:spacing w:after="0" w:line="87" w:lineRule="exact"/>
        <w:rPr>
          <w:rFonts w:ascii="Times New Roman" w:cs="Times New Roman" w:eastAsia="Times New Roman" w:hAnsi="Times New Roman"/>
          <w:sz w:val="16"/>
          <w:szCs w:val="16"/>
          <w:color w:val="121212"/>
        </w:rPr>
      </w:pPr>
    </w:p>
    <w:p>
      <w:pPr>
        <w:ind w:left="367" w:hanging="367"/>
        <w:spacing w:after="0" w:line="245" w:lineRule="auto"/>
        <w:tabs>
          <w:tab w:leader="none" w:pos="367" w:val="left"/>
        </w:tabs>
        <w:numPr>
          <w:ilvl w:val="0"/>
          <w:numId w:val="70"/>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This information is as of December 31, 2023 and based solely on information contained in the Schedule 13G/A filed with the SEC on February 14, 2024 by Paradigm BioCapital Advisors LP, or the Adviser, Paradigm BioCapital Advisors GP LLC, or the Adviser GP, Senai Asefaw, M.D., or Senai Asefaw, and Paradigm BioCapital International Fund Ltd., or the Fund. The Fund is a private investment vehicle. The Fund and one or more separately managed accounts managed by the Adviser, or the Account, directly beneficially own the shares. The Adviser is the investment manager of the Fund and the Account. The Adviser GP is the general partner of the Adviser. Senai Asefaw is the managing member of the Adviser GP. The Adviser, the Adviser GP and Senai Asefaw may be deemed to beneficially own the shares directly beneficially owned by the Fund and the Account. Each Reporting Person disclaims beneficial ownership with respect to any shares other than the shares directly beneficially owned by such Reporting Person. The principal business office address is 767 Third Avenue, 17th Floor, New York, NY 10017.</w:t>
      </w:r>
    </w:p>
    <w:p>
      <w:pPr>
        <w:spacing w:after="0" w:line="89" w:lineRule="exact"/>
        <w:rPr>
          <w:rFonts w:ascii="Times New Roman" w:cs="Times New Roman" w:eastAsia="Times New Roman" w:hAnsi="Times New Roman"/>
          <w:sz w:val="16"/>
          <w:szCs w:val="16"/>
          <w:color w:val="121212"/>
        </w:rPr>
      </w:pPr>
    </w:p>
    <w:p>
      <w:pPr>
        <w:ind w:left="367" w:right="100" w:hanging="367"/>
        <w:spacing w:after="0" w:line="263" w:lineRule="auto"/>
        <w:tabs>
          <w:tab w:leader="none" w:pos="367" w:val="left"/>
        </w:tabs>
        <w:numPr>
          <w:ilvl w:val="0"/>
          <w:numId w:val="70"/>
        </w:numPr>
        <w:rPr>
          <w:rFonts w:ascii="Times New Roman" w:cs="Times New Roman" w:eastAsia="Times New Roman" w:hAnsi="Times New Roman"/>
          <w:sz w:val="15"/>
          <w:szCs w:val="15"/>
          <w:color w:val="121212"/>
        </w:rPr>
      </w:pPr>
      <w:r>
        <w:rPr>
          <w:rFonts w:ascii="Times New Roman" w:cs="Times New Roman" w:eastAsia="Times New Roman" w:hAnsi="Times New Roman"/>
          <w:sz w:val="15"/>
          <w:szCs w:val="15"/>
          <w:color w:val="121212"/>
        </w:rPr>
        <w:t>Consists of (i) 1,402,186 shares held by Atlas Venture Fund X, L.P., or Atlas Fund X, 703,660 shares held by Atlas Venture Opportunity Fund I, L.P., or AVOF I, 198,326 shares held by Atlas Venture Opportunity Fund II, L.P., or AVOF II, and 51,000 shares held by Atlas Venture Fund XII, L.P., or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or AVAO I LP, and the general partner of AVAO I LP is Atlas Venture Associates Opportunity I, LLC, or AVAO I LLC. The members of AVAO I LLC collectively make investment decisions on behalf of AVAO I LLC. Kevin Bitterman, Ph.D., is a member of AVAO I</w:t>
      </w:r>
    </w:p>
    <w:p>
      <w:pPr>
        <w:sectPr>
          <w:pgSz w:w="12240" w:h="15840" w:orient="portrait"/>
          <w:cols w:equalWidth="0" w:num="1">
            <w:col w:w="10447"/>
          </w:cols>
          <w:pgMar w:left="893" w:top="945" w:right="900" w:bottom="175" w:gutter="0" w:footer="0" w:header="0"/>
        </w:sectPr>
      </w:pPr>
    </w:p>
    <w:p>
      <w:pPr>
        <w:spacing w:after="0" w:line="22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21212"/>
        </w:rPr>
        <w:t>150</w:t>
      </w:r>
    </w:p>
    <w:p>
      <w:pPr>
        <w:sectPr>
          <w:pgSz w:w="12240" w:h="15840" w:orient="portrait"/>
          <w:cols w:equalWidth="0" w:num="1">
            <w:col w:w="10447"/>
          </w:cols>
          <w:pgMar w:left="893" w:top="945" w:right="900" w:bottom="175" w:gutter="0" w:footer="0" w:header="0"/>
          <w:type w:val="continuous"/>
        </w:sectPr>
      </w:pPr>
    </w:p>
    <w:bookmarkStart w:id="160" w:name="page161"/>
    <w:bookmarkEnd w:id="160"/>
    <w:p>
      <w:pPr>
        <w:ind w:left="367" w:right="40"/>
        <w:spacing w:after="0" w:line="243" w:lineRule="auto"/>
        <w:rPr>
          <w:sz w:val="20"/>
          <w:szCs w:val="20"/>
          <w:color w:val="auto"/>
        </w:rPr>
      </w:pPr>
      <w:r>
        <w:rPr>
          <w:rFonts w:ascii="Times New Roman" w:cs="Times New Roman" w:eastAsia="Times New Roman" w:hAnsi="Times New Roman"/>
          <w:sz w:val="16"/>
          <w:szCs w:val="16"/>
          <w:color w:val="121212"/>
        </w:rPr>
        <w:t>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or AVAO II LP, and the general partner of AVAO II LP is Atlas Venture Associates Opportunity II, LLC, or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or AVA XII LP. Atlas Venture Associates XII, LLC, or AVA XII LLC, is the general partner of AVA XII LP. The members of AVA XII LLC collectively make investment decisions on behalf of AVA XII LLC. Dr. Bitterman is a member of AVA XII LLC and a member of the Company’s Board. Each of Atlas Fund XII, AVA XII LP, AVA XII LLC and 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w:t>
      </w:r>
    </w:p>
    <w:p>
      <w:pPr>
        <w:spacing w:after="0" w:line="90" w:lineRule="exact"/>
        <w:rPr>
          <w:sz w:val="20"/>
          <w:szCs w:val="20"/>
          <w:color w:val="auto"/>
        </w:rPr>
      </w:pPr>
    </w:p>
    <w:p>
      <w:pPr>
        <w:ind w:left="367" w:hanging="367"/>
        <w:spacing w:after="0" w:line="246" w:lineRule="auto"/>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2,166,819 shares are beneficially owned, or that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87" w:lineRule="exact"/>
        <w:rPr>
          <w:rFonts w:ascii="Times New Roman" w:cs="Times New Roman" w:eastAsia="Times New Roman" w:hAnsi="Times New Roman"/>
          <w:sz w:val="16"/>
          <w:szCs w:val="16"/>
          <w:color w:val="121212"/>
        </w:rPr>
      </w:pPr>
    </w:p>
    <w:p>
      <w:pPr>
        <w:ind w:left="367" w:right="320" w:hanging="367"/>
        <w:spacing w:after="0" w:line="277" w:lineRule="auto"/>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OrbiMed Advisors LLC exercises voting and investment power through a management committee comprised of Carl L. Gordon, Sven H. Borho, and W. Carter Neild. The business address is 601 Lexington Avenue, 54th Floor, New York, NY 10022.</w:t>
      </w:r>
    </w:p>
    <w:p>
      <w:pPr>
        <w:spacing w:after="0" w:line="63" w:lineRule="exact"/>
        <w:rPr>
          <w:rFonts w:ascii="Times New Roman" w:cs="Times New Roman" w:eastAsia="Times New Roman" w:hAnsi="Times New Roman"/>
          <w:sz w:val="16"/>
          <w:szCs w:val="16"/>
          <w:color w:val="121212"/>
        </w:rPr>
      </w:pPr>
    </w:p>
    <w:p>
      <w:pPr>
        <w:ind w:left="367" w:hanging="367"/>
        <w:spacing w:after="0" w:line="246" w:lineRule="auto"/>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Bain Capital Life Sciences Investors, LLC, a Delaware limited liability company, or BCLSI, is the manager of Bain Capital Life Sciences III General Partner, LLC, a Delaware limited liability company, or BCLS Fund III GP, which is the general partner of Bain Capital Life Sciences Fund III, L.P., a Delaware limited partnership, or BCLS Fund III, which is the sole member of Bain Capital Life Sciences Opportunities III GP, a Delaware limited liability company, or BCLS III Opportunities GP, and, together with BCLSI, BCLS Fund III GP and BCLS Fund III, the Bain Capital Life Sciences Entities, which is the general partner of BCLSI. As a result, BCLSI may be deemed to share voting and dispositive power with respect to the securities held by BCLSI. The business address of these entities is 200 Clarendon Street, Boston, Massachusetts 02116. The principal business address for each of the Bain Capital Life Sciences Entities is 200 Clarendon Street, Boston, Massachusetts 02116.</w:t>
      </w:r>
    </w:p>
    <w:p>
      <w:pPr>
        <w:spacing w:after="0" w:line="87" w:lineRule="exact"/>
        <w:rPr>
          <w:rFonts w:ascii="Times New Roman" w:cs="Times New Roman" w:eastAsia="Times New Roman" w:hAnsi="Times New Roman"/>
          <w:sz w:val="16"/>
          <w:szCs w:val="16"/>
          <w:color w:val="121212"/>
        </w:rPr>
      </w:pPr>
    </w:p>
    <w:p>
      <w:pPr>
        <w:ind w:left="367" w:right="140" w:hanging="367"/>
        <w:spacing w:after="0" w:line="277" w:lineRule="auto"/>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Consists of 2,700 shares of common stock and options to purchase 454,129 shares of our common stock that are exercisable within 60 days of February 29, 2024.</w:t>
      </w:r>
    </w:p>
    <w:p>
      <w:pPr>
        <w:spacing w:after="0" w:line="63" w:lineRule="exact"/>
        <w:rPr>
          <w:rFonts w:ascii="Times New Roman" w:cs="Times New Roman" w:eastAsia="Times New Roman" w:hAnsi="Times New Roman"/>
          <w:sz w:val="16"/>
          <w:szCs w:val="16"/>
          <w:color w:val="121212"/>
        </w:rPr>
      </w:pPr>
    </w:p>
    <w:p>
      <w:pPr>
        <w:ind w:left="367" w:right="220" w:hanging="367"/>
        <w:spacing w:after="0" w:line="277" w:lineRule="auto"/>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Consists of 3,000 shares of common stock and options to purchase 74,066 shares of our common stock that are exercisable within 60 days of February 29, 2024.</w:t>
      </w:r>
    </w:p>
    <w:p>
      <w:pPr>
        <w:spacing w:after="0" w:line="63" w:lineRule="exact"/>
        <w:rPr>
          <w:rFonts w:ascii="Times New Roman" w:cs="Times New Roman" w:eastAsia="Times New Roman" w:hAnsi="Times New Roman"/>
          <w:sz w:val="16"/>
          <w:szCs w:val="16"/>
          <w:color w:val="121212"/>
        </w:rPr>
      </w:pPr>
    </w:p>
    <w:p>
      <w:pPr>
        <w:ind w:left="367" w:right="220" w:hanging="367"/>
        <w:spacing w:after="0" w:line="277" w:lineRule="auto"/>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Consists of 5,996 shares of common stock and options to purchase 59,735 shares of our common stock that are exercisable within 60 days of February 29, 2024.</w:t>
      </w:r>
    </w:p>
    <w:p>
      <w:pPr>
        <w:spacing w:after="0" w:line="63" w:lineRule="exact"/>
        <w:rPr>
          <w:rFonts w:ascii="Times New Roman" w:cs="Times New Roman" w:eastAsia="Times New Roman" w:hAnsi="Times New Roman"/>
          <w:sz w:val="16"/>
          <w:szCs w:val="16"/>
          <w:color w:val="121212"/>
        </w:rPr>
      </w:pPr>
    </w:p>
    <w:p>
      <w:pPr>
        <w:ind w:left="367" w:hanging="367"/>
        <w:spacing w:after="0"/>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Consists of options to purchase 7,000 shares of our common stock that are exercisable within 60 days of February 29, 2024.</w:t>
      </w:r>
    </w:p>
    <w:p>
      <w:pPr>
        <w:spacing w:after="0" w:line="120" w:lineRule="exact"/>
        <w:rPr>
          <w:rFonts w:ascii="Times New Roman" w:cs="Times New Roman" w:eastAsia="Times New Roman" w:hAnsi="Times New Roman"/>
          <w:sz w:val="16"/>
          <w:szCs w:val="16"/>
          <w:color w:val="121212"/>
        </w:rPr>
      </w:pPr>
    </w:p>
    <w:p>
      <w:pPr>
        <w:ind w:left="367" w:hanging="367"/>
        <w:spacing w:after="0"/>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Consists of options to purchase 94,946 shares of our common stock that are exercisable within 60 days of February 29, 2024.</w:t>
      </w:r>
    </w:p>
    <w:p>
      <w:pPr>
        <w:spacing w:after="0" w:line="120" w:lineRule="exact"/>
        <w:rPr>
          <w:rFonts w:ascii="Times New Roman" w:cs="Times New Roman" w:eastAsia="Times New Roman" w:hAnsi="Times New Roman"/>
          <w:sz w:val="16"/>
          <w:szCs w:val="16"/>
          <w:color w:val="121212"/>
        </w:rPr>
      </w:pPr>
    </w:p>
    <w:p>
      <w:pPr>
        <w:ind w:left="367" w:right="60" w:hanging="367"/>
        <w:spacing w:after="0" w:line="277" w:lineRule="auto"/>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Consists of 15,332 shares of common stock and options to purchase 116,089 shares of our common stock that are exercisable within 60 days of February 29, 2024.</w:t>
      </w:r>
    </w:p>
    <w:p>
      <w:pPr>
        <w:spacing w:after="0" w:line="63" w:lineRule="exact"/>
        <w:rPr>
          <w:rFonts w:ascii="Times New Roman" w:cs="Times New Roman" w:eastAsia="Times New Roman" w:hAnsi="Times New Roman"/>
          <w:sz w:val="16"/>
          <w:szCs w:val="16"/>
          <w:color w:val="121212"/>
        </w:rPr>
      </w:pPr>
    </w:p>
    <w:p>
      <w:pPr>
        <w:ind w:left="367" w:hanging="367"/>
        <w:spacing w:after="0"/>
        <w:tabs>
          <w:tab w:leader="none" w:pos="367" w:val="left"/>
        </w:tabs>
        <w:numPr>
          <w:ilvl w:val="0"/>
          <w:numId w:val="71"/>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Consists of options to purchase 2,560 shares of our common stock that are exercisable within 60 days of February 29, 2024.</w:t>
      </w:r>
    </w:p>
    <w:p>
      <w:pPr>
        <w:spacing w:after="0" w:line="2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u w:val="single" w:color="auto"/>
          <w:color w:val="121212"/>
        </w:rPr>
        <w:t>Equity Compensation Plan Information</w:t>
      </w:r>
    </w:p>
    <w:p>
      <w:pPr>
        <w:spacing w:after="0" w:line="120"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121212"/>
        </w:rPr>
        <w:t>The following table contains information about our equity compensation plans as of December 31, 2023.</w:t>
      </w:r>
    </w:p>
    <w:p>
      <w:pPr>
        <w:spacing w:after="0" w:line="116" w:lineRule="exact"/>
        <w:rPr>
          <w:sz w:val="20"/>
          <w:szCs w:val="20"/>
          <w:color w:val="auto"/>
        </w:rPr>
      </w:pPr>
    </w:p>
    <w:p>
      <w:pPr>
        <w:ind w:left="3527"/>
        <w:spacing w:after="0"/>
        <w:rPr>
          <w:sz w:val="20"/>
          <w:szCs w:val="20"/>
          <w:color w:val="auto"/>
        </w:rPr>
      </w:pPr>
      <w:r>
        <w:rPr>
          <w:rFonts w:ascii="Times New Roman" w:cs="Times New Roman" w:eastAsia="Times New Roman" w:hAnsi="Times New Roman"/>
          <w:sz w:val="20"/>
          <w:szCs w:val="20"/>
          <w:b w:val="1"/>
          <w:bCs w:val="1"/>
          <w:color w:val="121212"/>
        </w:rPr>
        <w:t>Equity Compensation Plan Information</w:t>
      </w:r>
    </w:p>
    <w:p>
      <w:pPr>
        <w:sectPr>
          <w:pgSz w:w="12240" w:h="15840" w:orient="portrait"/>
          <w:cols w:equalWidth="0" w:num="1">
            <w:col w:w="10447"/>
          </w:cols>
          <w:pgMar w:left="893" w:top="934"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21212"/>
        </w:rPr>
        <w:t>151</w:t>
      </w:r>
    </w:p>
    <w:p>
      <w:pPr>
        <w:sectPr>
          <w:pgSz w:w="12240" w:h="15840" w:orient="portrait"/>
          <w:cols w:equalWidth="0" w:num="1">
            <w:col w:w="10447"/>
          </w:cols>
          <w:pgMar w:left="893" w:top="934" w:right="900" w:bottom="175" w:gutter="0" w:footer="0" w:header="0"/>
          <w:type w:val="continuous"/>
        </w:sectPr>
      </w:pPr>
    </w:p>
    <w:bookmarkStart w:id="161" w:name="page162"/>
    <w:bookmarkEnd w:id="161"/>
    <w:tbl>
      <w:tblPr>
        <w:tblLayout w:type="fixed"/>
        <w:tblInd w:w="4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121212"/>
                <w:w w:val="99"/>
              </w:rPr>
              <w:t>Number of</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w w:val="99"/>
              </w:rPr>
              <w:t>securities</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121212"/>
                <w:w w:val="99"/>
              </w:rPr>
              <w:t>Number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ind w:right="112"/>
              <w:spacing w:after="0"/>
              <w:rPr>
                <w:sz w:val="20"/>
                <w:szCs w:val="20"/>
                <w:color w:val="auto"/>
              </w:rPr>
            </w:pPr>
            <w:r>
              <w:rPr>
                <w:rFonts w:ascii="Times New Roman" w:cs="Times New Roman" w:eastAsia="Times New Roman" w:hAnsi="Times New Roman"/>
                <w:sz w:val="16"/>
                <w:szCs w:val="16"/>
                <w:b w:val="1"/>
                <w:bCs w:val="1"/>
                <w:color w:val="121212"/>
                <w:w w:val="98"/>
              </w:rPr>
              <w:t>Weighted-</w:t>
            </w:r>
          </w:p>
        </w:tc>
        <w:tc>
          <w:tcPr>
            <w:tcW w:w="120" w:type="dxa"/>
            <w:vAlign w:val="bottom"/>
          </w:tcPr>
          <w:p>
            <w:pPr>
              <w:spacing w:after="0"/>
              <w:rPr>
                <w:sz w:val="16"/>
                <w:szCs w:val="16"/>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121212"/>
                <w:w w:val="99"/>
              </w:rPr>
              <w:t>remaining</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121212"/>
              </w:rPr>
              <w:t>available for</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121212"/>
              </w:rPr>
              <w:t>securities to be</w:t>
            </w:r>
          </w:p>
        </w:tc>
        <w:tc>
          <w:tcPr>
            <w:tcW w:w="16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121212"/>
              </w:rPr>
              <w:t>average exercise</w:t>
            </w:r>
          </w:p>
        </w:tc>
        <w:tc>
          <w:tcPr>
            <w:tcW w:w="120" w:type="dxa"/>
            <w:vAlign w:val="bottom"/>
          </w:tcPr>
          <w:p>
            <w:pPr>
              <w:spacing w:after="0"/>
              <w:rPr>
                <w:sz w:val="16"/>
                <w:szCs w:val="16"/>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future issuance</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121212"/>
                <w:w w:val="99"/>
              </w:rPr>
              <w:t>issued upon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121212"/>
                <w:w w:val="99"/>
              </w:rPr>
              <w:t>price of</w:t>
            </w:r>
          </w:p>
        </w:tc>
        <w:tc>
          <w:tcPr>
            <w:tcW w:w="120" w:type="dxa"/>
            <w:vAlign w:val="bottom"/>
          </w:tcPr>
          <w:p>
            <w:pPr>
              <w:spacing w:after="0"/>
              <w:rPr>
                <w:sz w:val="16"/>
                <w:szCs w:val="16"/>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under equity</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121212"/>
              </w:rPr>
              <w:t>exercise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121212"/>
              </w:rPr>
              <w:t>outstanding</w:t>
            </w:r>
          </w:p>
        </w:tc>
        <w:tc>
          <w:tcPr>
            <w:tcW w:w="120" w:type="dxa"/>
            <w:vAlign w:val="bottom"/>
          </w:tcPr>
          <w:p>
            <w:pPr>
              <w:spacing w:after="0"/>
              <w:rPr>
                <w:sz w:val="16"/>
                <w:szCs w:val="16"/>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121212"/>
                <w:w w:val="99"/>
              </w:rPr>
              <w:t>compensation</w:t>
            </w:r>
          </w:p>
        </w:tc>
        <w:tc>
          <w:tcPr>
            <w:tcW w:w="0" w:type="dxa"/>
            <w:vAlign w:val="bottom"/>
          </w:tcPr>
          <w:p>
            <w:pPr>
              <w:spacing w:after="0"/>
              <w:rPr>
                <w:sz w:val="1"/>
                <w:szCs w:val="1"/>
                <w:color w:val="auto"/>
              </w:rPr>
            </w:pPr>
          </w:p>
        </w:tc>
      </w:tr>
      <w:tr>
        <w:trPr>
          <w:trHeight w:val="184"/>
        </w:trPr>
        <w:tc>
          <w:tcPr>
            <w:tcW w:w="6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121212"/>
                <w:w w:val="98"/>
              </w:rPr>
              <w:t>outstanding</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121212"/>
              </w:rPr>
              <w:t>options,</w:t>
            </w:r>
          </w:p>
        </w:tc>
        <w:tc>
          <w:tcPr>
            <w:tcW w:w="120" w:type="dxa"/>
            <w:vAlign w:val="bottom"/>
          </w:tcPr>
          <w:p>
            <w:pPr>
              <w:spacing w:after="0"/>
              <w:rPr>
                <w:sz w:val="16"/>
                <w:szCs w:val="16"/>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plans (excluding</w:t>
            </w:r>
          </w:p>
        </w:tc>
        <w:tc>
          <w:tcPr>
            <w:tcW w:w="0" w:type="dxa"/>
            <w:vAlign w:val="bottom"/>
          </w:tcPr>
          <w:p>
            <w:pPr>
              <w:spacing w:after="0"/>
              <w:rPr>
                <w:sz w:val="1"/>
                <w:szCs w:val="1"/>
                <w:color w:val="auto"/>
              </w:rPr>
            </w:pPr>
          </w:p>
        </w:tc>
      </w:tr>
      <w:tr>
        <w:trPr>
          <w:trHeight w:val="184"/>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121212"/>
              </w:rPr>
              <w:t>Plan Category</w:t>
            </w:r>
          </w:p>
        </w:tc>
        <w:tc>
          <w:tcPr>
            <w:tcW w:w="120" w:type="dxa"/>
            <w:vAlign w:val="bottom"/>
          </w:tcPr>
          <w:p>
            <w:pPr>
              <w:spacing w:after="0"/>
              <w:rPr>
                <w:sz w:val="16"/>
                <w:szCs w:val="16"/>
                <w:color w:val="auto"/>
              </w:rPr>
            </w:pP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121212"/>
                <w:w w:val="99"/>
              </w:rPr>
              <w:t>options, warrants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121212"/>
                <w:w w:val="99"/>
              </w:rPr>
              <w:t>warrants and</w:t>
            </w:r>
          </w:p>
        </w:tc>
        <w:tc>
          <w:tcPr>
            <w:tcW w:w="120" w:type="dxa"/>
            <w:vAlign w:val="bottom"/>
          </w:tcPr>
          <w:p>
            <w:pPr>
              <w:spacing w:after="0"/>
              <w:rPr>
                <w:sz w:val="16"/>
                <w:szCs w:val="16"/>
                <w:color w:val="auto"/>
              </w:rPr>
            </w:pPr>
          </w:p>
        </w:tc>
        <w:tc>
          <w:tcPr>
            <w:tcW w:w="138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securities reflected</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121212"/>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121212"/>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121212"/>
              </w:rPr>
              <w:t>and rights</w:t>
            </w:r>
          </w:p>
        </w:tc>
        <w:tc>
          <w:tcPr>
            <w:tcW w:w="160" w:type="dxa"/>
            <w:vAlign w:val="bottom"/>
          </w:tcPr>
          <w:p>
            <w:pPr>
              <w:spacing w:after="0"/>
              <w:rPr>
                <w:sz w:val="17"/>
                <w:szCs w:val="17"/>
                <w:color w:val="auto"/>
              </w:rPr>
            </w:pPr>
          </w:p>
        </w:tc>
        <w:tc>
          <w:tcPr>
            <w:tcW w:w="100" w:type="dxa"/>
            <w:vAlign w:val="bottom"/>
            <w:tcBorders>
              <w:bottom w:val="single" w:sz="8" w:color="121212"/>
            </w:tcBorders>
          </w:tcPr>
          <w:p>
            <w:pPr>
              <w:spacing w:after="0"/>
              <w:rPr>
                <w:sz w:val="17"/>
                <w:szCs w:val="17"/>
                <w:color w:val="auto"/>
              </w:rPr>
            </w:pPr>
          </w:p>
        </w:tc>
        <w:tc>
          <w:tcPr>
            <w:tcW w:w="1140" w:type="dxa"/>
            <w:vAlign w:val="bottom"/>
            <w:tcBorders>
              <w:bottom w:val="single" w:sz="8" w:color="121212"/>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121212"/>
                <w:w w:val="99"/>
              </w:rPr>
              <w:t>rights</w:t>
            </w:r>
          </w:p>
        </w:tc>
        <w:tc>
          <w:tcPr>
            <w:tcW w:w="120" w:type="dxa"/>
            <w:vAlign w:val="bottom"/>
          </w:tcPr>
          <w:p>
            <w:pPr>
              <w:spacing w:after="0"/>
              <w:rPr>
                <w:sz w:val="17"/>
                <w:szCs w:val="17"/>
                <w:color w:val="auto"/>
              </w:rPr>
            </w:pPr>
          </w:p>
        </w:tc>
        <w:tc>
          <w:tcPr>
            <w:tcW w:w="1380" w:type="dxa"/>
            <w:vAlign w:val="bottom"/>
            <w:tcBorders>
              <w:bottom w:val="single" w:sz="8" w:color="121212"/>
            </w:tcBorders>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w w:val="99"/>
              </w:rPr>
              <w:t>in column (a))</w:t>
            </w: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6"/>
              <w:spacing w:after="0" w:line="174" w:lineRule="exact"/>
              <w:rPr>
                <w:sz w:val="20"/>
                <w:szCs w:val="20"/>
                <w:color w:val="auto"/>
              </w:rPr>
            </w:pPr>
            <w:r>
              <w:rPr>
                <w:rFonts w:ascii="Times New Roman" w:cs="Times New Roman" w:eastAsia="Times New Roman" w:hAnsi="Times New Roman"/>
                <w:sz w:val="16"/>
                <w:szCs w:val="16"/>
                <w:b w:val="1"/>
                <w:bCs w:val="1"/>
                <w:color w:val="121212"/>
                <w:w w:val="96"/>
              </w:rPr>
              <w: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12"/>
              <w:spacing w:after="0" w:line="174" w:lineRule="exact"/>
              <w:rPr>
                <w:sz w:val="20"/>
                <w:szCs w:val="20"/>
                <w:color w:val="auto"/>
              </w:rPr>
            </w:pPr>
            <w:r>
              <w:rPr>
                <w:rFonts w:ascii="Times New Roman" w:cs="Times New Roman" w:eastAsia="Times New Roman" w:hAnsi="Times New Roman"/>
                <w:sz w:val="16"/>
                <w:szCs w:val="16"/>
                <w:b w:val="1"/>
                <w:bCs w:val="1"/>
                <w:color w:val="121212"/>
                <w:w w:val="95"/>
              </w:rPr>
              <w:t>(b)</w:t>
            </w:r>
            <w:r>
              <w:rPr>
                <w:rFonts w:ascii="Times New Roman" w:cs="Times New Roman" w:eastAsia="Times New Roman" w:hAnsi="Times New Roman"/>
                <w:sz w:val="10"/>
                <w:szCs w:val="10"/>
                <w:b w:val="1"/>
                <w:bCs w:val="1"/>
                <w:color w:val="121212"/>
                <w:w w:val="95"/>
              </w:rPr>
              <w:t>(3)</w:t>
            </w:r>
          </w:p>
        </w:tc>
        <w:tc>
          <w:tcPr>
            <w:tcW w:w="120" w:type="dxa"/>
            <w:vAlign w:val="bottom"/>
          </w:tcPr>
          <w:p>
            <w:pPr>
              <w:spacing w:after="0"/>
              <w:rPr>
                <w:sz w:val="15"/>
                <w:szCs w:val="15"/>
                <w:color w:val="auto"/>
              </w:rPr>
            </w:pPr>
          </w:p>
        </w:tc>
        <w:tc>
          <w:tcPr>
            <w:tcW w:w="1380" w:type="dxa"/>
            <w:vAlign w:val="bottom"/>
          </w:tcPr>
          <w:p>
            <w:pPr>
              <w:jc w:val="center"/>
              <w:ind w:right="37"/>
              <w:spacing w:after="0" w:line="174" w:lineRule="exact"/>
              <w:rPr>
                <w:sz w:val="20"/>
                <w:szCs w:val="20"/>
                <w:color w:val="auto"/>
              </w:rPr>
            </w:pPr>
            <w:r>
              <w:rPr>
                <w:rFonts w:ascii="Times New Roman" w:cs="Times New Roman" w:eastAsia="Times New Roman" w:hAnsi="Times New Roman"/>
                <w:sz w:val="16"/>
                <w:szCs w:val="16"/>
                <w:b w:val="1"/>
                <w:bCs w:val="1"/>
                <w:color w:val="121212"/>
              </w:rPr>
              <w:t>(c)</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0"/>
                <w:szCs w:val="20"/>
                <w:color w:val="121212"/>
              </w:rPr>
              <w:t>Equity compensation plans approved by security holders</w:t>
            </w: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1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2021</w:t>
            </w:r>
          </w:p>
        </w:tc>
        <w:tc>
          <w:tcPr>
            <w:tcW w:w="5380" w:type="dxa"/>
            <w:vAlign w:val="bottom"/>
          </w:tcPr>
          <w:p>
            <w:pPr>
              <w:ind w:left="40"/>
              <w:spacing w:after="0" w:line="230" w:lineRule="exact"/>
              <w:rPr>
                <w:sz w:val="20"/>
                <w:szCs w:val="20"/>
                <w:color w:val="auto"/>
              </w:rPr>
            </w:pPr>
            <w:r>
              <w:rPr>
                <w:rFonts w:ascii="Times New Roman" w:cs="Times New Roman" w:eastAsia="Times New Roman" w:hAnsi="Times New Roman"/>
                <w:sz w:val="20"/>
                <w:szCs w:val="20"/>
                <w:color w:val="121212"/>
              </w:rPr>
              <w:t>Stock Option and Incentive Plan</w:t>
            </w:r>
            <w:r>
              <w:rPr>
                <w:rFonts w:ascii="Times New Roman" w:cs="Times New Roman" w:eastAsia="Times New Roman" w:hAnsi="Times New Roman"/>
                <w:sz w:val="26"/>
                <w:szCs w:val="26"/>
                <w:color w:val="121212"/>
                <w:vertAlign w:val="superscript"/>
              </w:rPr>
              <w:t>(1)</w:t>
            </w:r>
          </w:p>
        </w:tc>
        <w:tc>
          <w:tcPr>
            <w:tcW w:w="150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121212"/>
              </w:rPr>
              <w:t>959,469</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121212"/>
                <w:w w:val="79"/>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121212"/>
              </w:rPr>
              <w:t>23.15</w:t>
            </w:r>
          </w:p>
        </w:tc>
        <w:tc>
          <w:tcPr>
            <w:tcW w:w="1500" w:type="dxa"/>
            <w:vAlign w:val="bottom"/>
            <w:gridSpan w:val="2"/>
          </w:tcPr>
          <w:p>
            <w:pPr>
              <w:jc w:val="right"/>
              <w:ind w:right="17"/>
              <w:spacing w:after="0"/>
              <w:rPr>
                <w:sz w:val="20"/>
                <w:szCs w:val="20"/>
                <w:color w:val="auto"/>
              </w:rPr>
            </w:pPr>
            <w:r>
              <w:rPr>
                <w:rFonts w:ascii="Times New Roman" w:cs="Times New Roman" w:eastAsia="Times New Roman" w:hAnsi="Times New Roman"/>
                <w:sz w:val="20"/>
                <w:szCs w:val="20"/>
                <w:color w:val="121212"/>
              </w:rPr>
              <w:t>1,561,926</w:t>
            </w:r>
          </w:p>
        </w:tc>
        <w:tc>
          <w:tcPr>
            <w:tcW w:w="0" w:type="dxa"/>
            <w:vAlign w:val="bottom"/>
          </w:tcPr>
          <w:p>
            <w:pPr>
              <w:spacing w:after="0"/>
              <w:rPr>
                <w:sz w:val="1"/>
                <w:szCs w:val="1"/>
                <w:color w:val="auto"/>
              </w:rPr>
            </w:pPr>
          </w:p>
        </w:tc>
      </w:tr>
      <w:tr>
        <w:trPr>
          <w:trHeight w:val="230"/>
        </w:trPr>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2021</w:t>
            </w:r>
          </w:p>
        </w:tc>
        <w:tc>
          <w:tcPr>
            <w:tcW w:w="5380" w:type="dxa"/>
            <w:vAlign w:val="bottom"/>
            <w:shd w:val="clear" w:color="auto" w:fill="E0E0E0"/>
          </w:tcPr>
          <w:p>
            <w:pPr>
              <w:ind w:left="40"/>
              <w:spacing w:after="0" w:line="230" w:lineRule="exact"/>
              <w:rPr>
                <w:sz w:val="20"/>
                <w:szCs w:val="20"/>
                <w:color w:val="auto"/>
              </w:rPr>
            </w:pPr>
            <w:r>
              <w:rPr>
                <w:rFonts w:ascii="Times New Roman" w:cs="Times New Roman" w:eastAsia="Times New Roman" w:hAnsi="Times New Roman"/>
                <w:sz w:val="20"/>
                <w:szCs w:val="20"/>
                <w:color w:val="121212"/>
              </w:rPr>
              <w:t>Employee Stock Purchase Plan</w:t>
            </w:r>
            <w:r>
              <w:rPr>
                <w:rFonts w:ascii="Times New Roman" w:cs="Times New Roman" w:eastAsia="Times New Roman" w:hAnsi="Times New Roman"/>
                <w:sz w:val="26"/>
                <w:szCs w:val="26"/>
                <w:color w:val="121212"/>
                <w:vertAlign w:val="superscript"/>
              </w:rPr>
              <w:t>(2)</w:t>
            </w: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w:t>
            </w:r>
          </w:p>
        </w:tc>
        <w:tc>
          <w:tcPr>
            <w:tcW w:w="260" w:type="dxa"/>
            <w:vAlign w:val="bottom"/>
            <w:gridSpan w:val="2"/>
            <w:shd w:val="clear" w:color="auto" w:fill="E0E0E0"/>
          </w:tcPr>
          <w:p>
            <w:pPr>
              <w:ind w:left="160"/>
              <w:spacing w:after="0"/>
              <w:rPr>
                <w:sz w:val="20"/>
                <w:szCs w:val="20"/>
                <w:color w:val="auto"/>
              </w:rPr>
            </w:pPr>
            <w:r>
              <w:rPr>
                <w:rFonts w:ascii="Times New Roman" w:cs="Times New Roman" w:eastAsia="Times New Roman" w:hAnsi="Times New Roman"/>
                <w:sz w:val="20"/>
                <w:szCs w:val="20"/>
                <w:color w:val="121212"/>
                <w:w w:val="79"/>
              </w:rPr>
              <w:t>$</w:t>
            </w:r>
          </w:p>
        </w:tc>
        <w:tc>
          <w:tcPr>
            <w:tcW w:w="1140" w:type="dxa"/>
            <w:vAlign w:val="bottom"/>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w:t>
            </w:r>
          </w:p>
        </w:tc>
        <w:tc>
          <w:tcPr>
            <w:tcW w:w="1500" w:type="dxa"/>
            <w:vAlign w:val="bottom"/>
            <w:gridSpan w:val="2"/>
            <w:shd w:val="clear" w:color="auto" w:fill="E0E0E0"/>
          </w:tcPr>
          <w:p>
            <w:pPr>
              <w:jc w:val="right"/>
              <w:ind w:right="17"/>
              <w:spacing w:after="0"/>
              <w:rPr>
                <w:sz w:val="20"/>
                <w:szCs w:val="20"/>
                <w:color w:val="auto"/>
              </w:rPr>
            </w:pPr>
            <w:r>
              <w:rPr>
                <w:rFonts w:ascii="Times New Roman" w:cs="Times New Roman" w:eastAsia="Times New Roman" w:hAnsi="Times New Roman"/>
                <w:sz w:val="20"/>
                <w:szCs w:val="20"/>
                <w:color w:val="121212"/>
              </w:rPr>
              <w:t>222,953</w:t>
            </w:r>
          </w:p>
        </w:tc>
        <w:tc>
          <w:tcPr>
            <w:tcW w:w="0" w:type="dxa"/>
            <w:vAlign w:val="bottom"/>
          </w:tcPr>
          <w:p>
            <w:pPr>
              <w:spacing w:after="0"/>
              <w:rPr>
                <w:sz w:val="1"/>
                <w:szCs w:val="1"/>
                <w:color w:val="auto"/>
              </w:rPr>
            </w:pPr>
          </w:p>
        </w:tc>
      </w:tr>
      <w:tr>
        <w:trPr>
          <w:trHeight w:val="23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21212"/>
              </w:rPr>
              <w:t>2017</w:t>
            </w:r>
          </w:p>
        </w:tc>
        <w:tc>
          <w:tcPr>
            <w:tcW w:w="5380" w:type="dxa"/>
            <w:vAlign w:val="bottom"/>
          </w:tcPr>
          <w:p>
            <w:pPr>
              <w:ind w:left="40"/>
              <w:spacing w:after="0"/>
              <w:rPr>
                <w:sz w:val="20"/>
                <w:szCs w:val="20"/>
                <w:color w:val="auto"/>
              </w:rPr>
            </w:pPr>
            <w:r>
              <w:rPr>
                <w:rFonts w:ascii="Times New Roman" w:cs="Times New Roman" w:eastAsia="Times New Roman" w:hAnsi="Times New Roman"/>
                <w:sz w:val="20"/>
                <w:szCs w:val="20"/>
                <w:color w:val="121212"/>
              </w:rPr>
              <w:t>Stock Option and Grant Plan of Disc</w:t>
            </w:r>
          </w:p>
        </w:tc>
        <w:tc>
          <w:tcPr>
            <w:tcW w:w="150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121212"/>
              </w:rPr>
              <w:t>1,491,591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121212"/>
                <w:w w:val="79"/>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121212"/>
              </w:rPr>
              <w:t>7.22</w:t>
            </w:r>
          </w:p>
        </w:tc>
        <w:tc>
          <w:tcPr>
            <w:tcW w:w="120" w:type="dxa"/>
            <w:vAlign w:val="bottom"/>
          </w:tcPr>
          <w:p>
            <w:pPr>
              <w:spacing w:after="0"/>
              <w:rPr>
                <w:sz w:val="19"/>
                <w:szCs w:val="19"/>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20"/>
                <w:szCs w:val="20"/>
                <w:b w:val="1"/>
                <w:bCs w:val="1"/>
                <w:color w:val="121212"/>
              </w:rPr>
              <w:t>—</w:t>
            </w:r>
          </w:p>
        </w:tc>
        <w:tc>
          <w:tcPr>
            <w:tcW w:w="0" w:type="dxa"/>
            <w:vAlign w:val="bottom"/>
          </w:tcPr>
          <w:p>
            <w:pPr>
              <w:spacing w:after="0"/>
              <w:rPr>
                <w:sz w:val="1"/>
                <w:szCs w:val="1"/>
                <w:color w:val="auto"/>
              </w:rPr>
            </w:pPr>
          </w:p>
        </w:tc>
      </w:tr>
      <w:tr>
        <w:trPr>
          <w:trHeight w:val="230"/>
        </w:trPr>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2017</w:t>
            </w:r>
          </w:p>
        </w:tc>
        <w:tc>
          <w:tcPr>
            <w:tcW w:w="538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121212"/>
              </w:rPr>
              <w:t>Stock Option and Grant Plan of Gemini</w:t>
            </w: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w:t>
            </w:r>
          </w:p>
        </w:tc>
        <w:tc>
          <w:tcPr>
            <w:tcW w:w="260" w:type="dxa"/>
            <w:vAlign w:val="bottom"/>
            <w:gridSpan w:val="2"/>
            <w:shd w:val="clear" w:color="auto" w:fill="E0E0E0"/>
          </w:tcPr>
          <w:p>
            <w:pPr>
              <w:ind w:left="160"/>
              <w:spacing w:after="0"/>
              <w:rPr>
                <w:sz w:val="20"/>
                <w:szCs w:val="20"/>
                <w:color w:val="auto"/>
              </w:rPr>
            </w:pPr>
            <w:r>
              <w:rPr>
                <w:rFonts w:ascii="Times New Roman" w:cs="Times New Roman" w:eastAsia="Times New Roman" w:hAnsi="Times New Roman"/>
                <w:sz w:val="20"/>
                <w:szCs w:val="20"/>
                <w:color w:val="121212"/>
                <w:w w:val="79"/>
              </w:rPr>
              <w:t>$</w:t>
            </w:r>
          </w:p>
        </w:tc>
        <w:tc>
          <w:tcPr>
            <w:tcW w:w="1140" w:type="dxa"/>
            <w:vAlign w:val="bottom"/>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w:t>
            </w:r>
          </w:p>
        </w:tc>
        <w:tc>
          <w:tcPr>
            <w:tcW w:w="120" w:type="dxa"/>
            <w:vAlign w:val="bottom"/>
            <w:shd w:val="clear" w:color="auto" w:fill="E0E0E0"/>
          </w:tcPr>
          <w:p>
            <w:pPr>
              <w:spacing w:after="0"/>
              <w:rPr>
                <w:sz w:val="19"/>
                <w:szCs w:val="19"/>
                <w:color w:val="auto"/>
              </w:rPr>
            </w:pPr>
          </w:p>
        </w:tc>
        <w:tc>
          <w:tcPr>
            <w:tcW w:w="138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20"/>
                <w:szCs w:val="20"/>
                <w:b w:val="1"/>
                <w:bCs w:val="1"/>
                <w:color w:val="121212"/>
              </w:rPr>
              <w:t>—</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Times New Roman" w:cs="Times New Roman" w:eastAsia="Times New Roman" w:hAnsi="Times New Roman"/>
                <w:sz w:val="20"/>
                <w:szCs w:val="20"/>
                <w:color w:val="121212"/>
              </w:rPr>
              <w:t>Equity compensation plans not approved by security holders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121212"/>
              </w:rPr>
              <w:t>2021</w:t>
            </w:r>
          </w:p>
        </w:tc>
        <w:tc>
          <w:tcPr>
            <w:tcW w:w="538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121212"/>
              </w:rPr>
              <w:t>Inducement Plan</w:t>
            </w:r>
          </w:p>
        </w:tc>
        <w:tc>
          <w:tcPr>
            <w:tcW w:w="1500" w:type="dxa"/>
            <w:vAlign w:val="bottom"/>
            <w:gridSpan w:val="2"/>
            <w:shd w:val="clear" w:color="auto" w:fill="E0E0E0"/>
          </w:tcPr>
          <w:p>
            <w:pPr>
              <w:jc w:val="right"/>
              <w:ind w:right="16"/>
              <w:spacing w:after="0"/>
              <w:rPr>
                <w:sz w:val="20"/>
                <w:szCs w:val="20"/>
                <w:color w:val="auto"/>
              </w:rPr>
            </w:pPr>
            <w:r>
              <w:rPr>
                <w:rFonts w:ascii="Times New Roman" w:cs="Times New Roman" w:eastAsia="Times New Roman" w:hAnsi="Times New Roman"/>
                <w:sz w:val="20"/>
                <w:szCs w:val="20"/>
                <w:color w:val="121212"/>
              </w:rPr>
              <w:t>7,977</w:t>
            </w:r>
          </w:p>
        </w:tc>
        <w:tc>
          <w:tcPr>
            <w:tcW w:w="260" w:type="dxa"/>
            <w:vAlign w:val="bottom"/>
            <w:gridSpan w:val="2"/>
            <w:shd w:val="clear" w:color="auto" w:fill="E0E0E0"/>
          </w:tcPr>
          <w:p>
            <w:pPr>
              <w:ind w:left="160"/>
              <w:spacing w:after="0"/>
              <w:rPr>
                <w:sz w:val="20"/>
                <w:szCs w:val="20"/>
                <w:color w:val="auto"/>
              </w:rPr>
            </w:pPr>
            <w:r>
              <w:rPr>
                <w:rFonts w:ascii="Times New Roman" w:cs="Times New Roman" w:eastAsia="Times New Roman" w:hAnsi="Times New Roman"/>
                <w:sz w:val="20"/>
                <w:szCs w:val="20"/>
                <w:color w:val="121212"/>
                <w:w w:val="79"/>
              </w:rPr>
              <w:t>$</w:t>
            </w:r>
          </w:p>
        </w:tc>
        <w:tc>
          <w:tcPr>
            <w:tcW w:w="1140" w:type="dxa"/>
            <w:vAlign w:val="bottom"/>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125.90</w:t>
            </w:r>
          </w:p>
        </w:tc>
        <w:tc>
          <w:tcPr>
            <w:tcW w:w="1500" w:type="dxa"/>
            <w:vAlign w:val="bottom"/>
            <w:gridSpan w:val="2"/>
            <w:shd w:val="clear" w:color="auto" w:fill="E0E0E0"/>
          </w:tcPr>
          <w:p>
            <w:pPr>
              <w:jc w:val="right"/>
              <w:ind w:right="17"/>
              <w:spacing w:after="0"/>
              <w:rPr>
                <w:sz w:val="20"/>
                <w:szCs w:val="20"/>
                <w:color w:val="auto"/>
              </w:rPr>
            </w:pPr>
            <w:r>
              <w:rPr>
                <w:rFonts w:ascii="Times New Roman" w:cs="Times New Roman" w:eastAsia="Times New Roman" w:hAnsi="Times New Roman"/>
                <w:sz w:val="20"/>
                <w:szCs w:val="20"/>
                <w:color w:val="121212"/>
              </w:rPr>
              <w:t>153,712</w:t>
            </w:r>
          </w:p>
        </w:tc>
        <w:tc>
          <w:tcPr>
            <w:tcW w:w="0" w:type="dxa"/>
            <w:vAlign w:val="bottom"/>
          </w:tcPr>
          <w:p>
            <w:pPr>
              <w:spacing w:after="0"/>
              <w:rPr>
                <w:sz w:val="1"/>
                <w:szCs w:val="1"/>
                <w:color w:val="auto"/>
              </w:rPr>
            </w:pPr>
          </w:p>
        </w:tc>
      </w:tr>
      <w:tr>
        <w:trPr>
          <w:trHeight w:val="266"/>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121212"/>
              </w:rPr>
              <w:t>Total</w:t>
            </w:r>
          </w:p>
        </w:tc>
        <w:tc>
          <w:tcPr>
            <w:tcW w:w="5380" w:type="dxa"/>
            <w:vAlign w:val="bottom"/>
          </w:tcPr>
          <w:p>
            <w:pPr>
              <w:spacing w:after="0"/>
              <w:rPr>
                <w:sz w:val="23"/>
                <w:szCs w:val="23"/>
                <w:color w:val="auto"/>
              </w:rPr>
            </w:pPr>
          </w:p>
        </w:tc>
        <w:tc>
          <w:tcPr>
            <w:tcW w:w="1500" w:type="dxa"/>
            <w:vAlign w:val="bottom"/>
            <w:gridSpan w:val="2"/>
          </w:tcPr>
          <w:p>
            <w:pPr>
              <w:jc w:val="right"/>
              <w:ind w:right="16"/>
              <w:spacing w:after="0"/>
              <w:rPr>
                <w:sz w:val="20"/>
                <w:szCs w:val="20"/>
                <w:color w:val="auto"/>
              </w:rPr>
            </w:pPr>
            <w:r>
              <w:rPr>
                <w:rFonts w:ascii="Times New Roman" w:cs="Times New Roman" w:eastAsia="Times New Roman" w:hAnsi="Times New Roman"/>
                <w:sz w:val="20"/>
                <w:szCs w:val="20"/>
                <w:color w:val="121212"/>
              </w:rPr>
              <w:t>2,459,037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00" w:type="dxa"/>
            <w:vAlign w:val="bottom"/>
            <w:gridSpan w:val="2"/>
          </w:tcPr>
          <w:p>
            <w:pPr>
              <w:jc w:val="right"/>
              <w:ind w:right="17"/>
              <w:spacing w:after="0"/>
              <w:rPr>
                <w:sz w:val="20"/>
                <w:szCs w:val="20"/>
                <w:color w:val="auto"/>
              </w:rPr>
            </w:pPr>
            <w:r>
              <w:rPr>
                <w:rFonts w:ascii="Times New Roman" w:cs="Times New Roman" w:eastAsia="Times New Roman" w:hAnsi="Times New Roman"/>
                <w:sz w:val="20"/>
                <w:szCs w:val="20"/>
                <w:color w:val="121212"/>
              </w:rPr>
              <w:t>1,938,591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hanging="487"/>
        <w:spacing w:after="0" w:line="252" w:lineRule="auto"/>
        <w:tabs>
          <w:tab w:leader="none" w:pos="520" w:val="left"/>
        </w:tabs>
        <w:numPr>
          <w:ilvl w:val="0"/>
          <w:numId w:val="72"/>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number of shares of common stock reserved for issuance under the 2021 Stock Option and Incentive Plan automatically increases on January 1 of each calendar year, starting on January 1, 2022 and continuing through January 1, 2031, in an amount equal to 4% of the total number of shares of the Company’s capital stock outstanding on the last day of the calendar month before the date of each automatic increase, or a lesser number of shares determined by the Board. Subject to this provision, we added 974,409 shares to the 2021 Stock Option and Incentive Plan effective January 1, 2024.</w:t>
      </w:r>
    </w:p>
    <w:p>
      <w:pPr>
        <w:spacing w:after="0" w:line="83" w:lineRule="exact"/>
        <w:rPr>
          <w:rFonts w:ascii="Times New Roman" w:cs="Times New Roman" w:eastAsia="Times New Roman" w:hAnsi="Times New Roman"/>
          <w:sz w:val="16"/>
          <w:szCs w:val="16"/>
          <w:color w:val="121212"/>
        </w:rPr>
      </w:pPr>
    </w:p>
    <w:p>
      <w:pPr>
        <w:ind w:left="520" w:right="40" w:hanging="487"/>
        <w:spacing w:after="0" w:line="249" w:lineRule="auto"/>
        <w:tabs>
          <w:tab w:leader="none" w:pos="520" w:val="left"/>
        </w:tabs>
        <w:numPr>
          <w:ilvl w:val="0"/>
          <w:numId w:val="72"/>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number of shares of common stock reserved for issuance under the 2021 Employee Stock Purchase Plan automatically increases on January 1 of each calendar year, starting on January 1, 2023 and continuing through January 1, 2031, in an amount equal to the least of (a) 1% of the total number of shares of the Company’s capital stock outstanding on the last day of the calendar month before the date of each automatic increase, (b) 43,055 shares of common stock, or (c) such number of shares determined by the Board. Subject to this provision, we added 43,055 shares to the 2021 Employee Stock Purchase Plan effective January 1, 2024.</w:t>
      </w:r>
    </w:p>
    <w:p>
      <w:pPr>
        <w:spacing w:after="0" w:line="85" w:lineRule="exact"/>
        <w:rPr>
          <w:rFonts w:ascii="Times New Roman" w:cs="Times New Roman" w:eastAsia="Times New Roman" w:hAnsi="Times New Roman"/>
          <w:sz w:val="16"/>
          <w:szCs w:val="16"/>
          <w:color w:val="121212"/>
        </w:rPr>
      </w:pPr>
    </w:p>
    <w:p>
      <w:pPr>
        <w:ind w:left="520" w:right="380" w:hanging="487"/>
        <w:spacing w:after="0" w:line="277" w:lineRule="auto"/>
        <w:tabs>
          <w:tab w:leader="none" w:pos="520" w:val="left"/>
        </w:tabs>
        <w:numPr>
          <w:ilvl w:val="0"/>
          <w:numId w:val="72"/>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The weighted-average exercise price is calculated based solely on outstanding stock options and does not include outstanding restricted stock awards, which do not have an exercise price.</w:t>
      </w:r>
    </w:p>
    <w:p>
      <w:pPr>
        <w:spacing w:after="0" w:line="175"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121212"/>
        </w:rPr>
        <w:t>ITEM 13.</w:t>
      </w:r>
      <w:r>
        <w:rPr>
          <w:sz w:val="20"/>
          <w:szCs w:val="20"/>
          <w:color w:val="auto"/>
        </w:rPr>
        <w:tab/>
      </w:r>
      <w:r>
        <w:rPr>
          <w:rFonts w:ascii="Times New Roman" w:cs="Times New Roman" w:eastAsia="Times New Roman" w:hAnsi="Times New Roman"/>
          <w:sz w:val="19"/>
          <w:szCs w:val="19"/>
          <w:b w:val="1"/>
          <w:bCs w:val="1"/>
          <w:color w:val="121212"/>
        </w:rPr>
        <w:t>CERTAIN RELATIONSHIPS AND RELATED TRANSACTIONS, AND DIRECTOR INDEPENDENCE</w:t>
      </w:r>
    </w:p>
    <w:p>
      <w:pPr>
        <w:spacing w:after="0" w:line="124" w:lineRule="exact"/>
        <w:rPr>
          <w:sz w:val="20"/>
          <w:szCs w:val="20"/>
          <w:color w:val="auto"/>
        </w:rPr>
      </w:pPr>
    </w:p>
    <w:p>
      <w:pPr>
        <w:ind w:left="40" w:right="140" w:firstLine="490"/>
        <w:spacing w:after="0" w:line="277" w:lineRule="auto"/>
        <w:rPr>
          <w:sz w:val="20"/>
          <w:szCs w:val="20"/>
          <w:color w:val="auto"/>
        </w:rPr>
      </w:pPr>
      <w:r>
        <w:rPr>
          <w:rFonts w:ascii="Times New Roman" w:cs="Times New Roman" w:eastAsia="Times New Roman" w:hAnsi="Times New Roman"/>
          <w:sz w:val="20"/>
          <w:szCs w:val="20"/>
          <w:color w:val="121212"/>
        </w:rPr>
        <w:t>The following is a description of transactions or series of transactions since January 1, 2023, to which we were or will be a party, in which:</w:t>
      </w:r>
    </w:p>
    <w:p>
      <w:pPr>
        <w:spacing w:after="0" w:line="64" w:lineRule="exact"/>
        <w:rPr>
          <w:sz w:val="20"/>
          <w:szCs w:val="20"/>
          <w:color w:val="auto"/>
        </w:rPr>
      </w:pPr>
    </w:p>
    <w:p>
      <w:pPr>
        <w:ind w:left="760" w:right="220" w:hanging="367"/>
        <w:spacing w:after="0" w:line="276" w:lineRule="auto"/>
        <w:tabs>
          <w:tab w:leader="none" w:pos="810" w:val="left"/>
        </w:tabs>
        <w:numPr>
          <w:ilvl w:val="0"/>
          <w:numId w:val="73"/>
        </w:numPr>
        <w:rPr>
          <w:rFonts w:ascii="Arial" w:cs="Arial" w:eastAsia="Arial" w:hAnsi="Arial"/>
          <w:sz w:val="20"/>
          <w:szCs w:val="20"/>
          <w:color w:val="121212"/>
        </w:rPr>
      </w:pPr>
      <w:r>
        <w:rPr>
          <w:rFonts w:ascii="Times New Roman" w:cs="Times New Roman" w:eastAsia="Times New Roman" w:hAnsi="Times New Roman"/>
          <w:sz w:val="20"/>
          <w:szCs w:val="20"/>
          <w:color w:val="121212"/>
        </w:rPr>
        <w:t>the amount involved in the transaction exceeds, or will exceed, the lesser of $120,000 or one percent of the average of our total assets for the last two completed fiscal years; and</w:t>
      </w:r>
    </w:p>
    <w:p>
      <w:pPr>
        <w:spacing w:after="0" w:line="64" w:lineRule="exact"/>
        <w:rPr>
          <w:rFonts w:ascii="Arial" w:cs="Arial" w:eastAsia="Arial" w:hAnsi="Arial"/>
          <w:sz w:val="20"/>
          <w:szCs w:val="20"/>
          <w:color w:val="121212"/>
        </w:rPr>
      </w:pPr>
    </w:p>
    <w:p>
      <w:pPr>
        <w:ind w:left="760" w:right="380" w:hanging="367"/>
        <w:spacing w:after="0" w:line="304" w:lineRule="auto"/>
        <w:tabs>
          <w:tab w:leader="none" w:pos="760" w:val="left"/>
        </w:tabs>
        <w:numPr>
          <w:ilvl w:val="0"/>
          <w:numId w:val="73"/>
        </w:numPr>
        <w:rPr>
          <w:rFonts w:ascii="Arial" w:cs="Arial" w:eastAsia="Arial" w:hAnsi="Arial"/>
          <w:sz w:val="19"/>
          <w:szCs w:val="19"/>
          <w:color w:val="121212"/>
        </w:rPr>
      </w:pPr>
      <w:r>
        <w:rPr>
          <w:rFonts w:ascii="Times New Roman" w:cs="Times New Roman" w:eastAsia="Times New Roman" w:hAnsi="Times New Roman"/>
          <w:sz w:val="19"/>
          <w:szCs w:val="19"/>
          <w:color w:val="121212"/>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25" w:lineRule="exact"/>
        <w:rPr>
          <w:sz w:val="20"/>
          <w:szCs w:val="20"/>
          <w:color w:val="auto"/>
        </w:rPr>
      </w:pPr>
    </w:p>
    <w:p>
      <w:pPr>
        <w:ind w:left="40" w:right="940" w:firstLine="490"/>
        <w:spacing w:after="0" w:line="277" w:lineRule="auto"/>
        <w:rPr>
          <w:sz w:val="20"/>
          <w:szCs w:val="20"/>
          <w:color w:val="auto"/>
        </w:rPr>
      </w:pPr>
      <w:r>
        <w:rPr>
          <w:rFonts w:ascii="Times New Roman" w:cs="Times New Roman" w:eastAsia="Times New Roman" w:hAnsi="Times New Roman"/>
          <w:sz w:val="20"/>
          <w:szCs w:val="20"/>
          <w:color w:val="121212"/>
        </w:rPr>
        <w:t>Compensation arrangements for our named executive officers and directors are described in Item 11 – Executive Compensation.</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121212"/>
        </w:rPr>
        <w:t>Common Stock Financing</w:t>
      </w:r>
    </w:p>
    <w:p>
      <w:pPr>
        <w:spacing w:after="0" w:line="120" w:lineRule="exact"/>
        <w:rPr>
          <w:sz w:val="20"/>
          <w:szCs w:val="20"/>
          <w:color w:val="auto"/>
        </w:rPr>
      </w:pPr>
    </w:p>
    <w:p>
      <w:pPr>
        <w:ind w:left="40" w:right="140" w:firstLine="490"/>
        <w:spacing w:after="0" w:line="247" w:lineRule="auto"/>
        <w:rPr>
          <w:sz w:val="20"/>
          <w:szCs w:val="20"/>
          <w:color w:val="auto"/>
        </w:rPr>
      </w:pPr>
      <w:r>
        <w:rPr>
          <w:rFonts w:ascii="Times New Roman" w:cs="Times New Roman" w:eastAsia="Times New Roman" w:hAnsi="Times New Roman"/>
          <w:sz w:val="20"/>
          <w:szCs w:val="20"/>
          <w:color w:val="121212"/>
        </w:rPr>
        <w:t>In June 2023, we completed an underwritten public offering and sale of 3,015,919 shares of our common stock, par value $0.0001, at a purchase price of $49.00 per share and pre-funded warrants to purchase an aggregate of 204,081 shares of our common stock at a purchase price of $48.9999 per pre-funded warrant, for an aggregate total proceeds of $157.8 million before deducting underwriting discounts, commissions and other offering expenses. The shares of common stock sold included 420,000 shares sold pursuant to an option granted to the underwriters, which was exercised in full. The purchaser of the pre-funded warrants was a beneficial holder of more than 5% of our capital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121212"/>
              </w:rPr>
              <w:t>Shares of our</w:t>
            </w:r>
          </w:p>
        </w:tc>
        <w:tc>
          <w:tcPr>
            <w:tcW w:w="120" w:type="dxa"/>
            <w:vAlign w:val="bottom"/>
          </w:tcPr>
          <w:p>
            <w:pPr>
              <w:spacing w:after="0"/>
              <w:rPr>
                <w:sz w:val="16"/>
                <w:szCs w:val="16"/>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121212"/>
                <w:w w:val="98"/>
              </w:rPr>
              <w:t>Total</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Common Stock</w:t>
            </w:r>
          </w:p>
        </w:tc>
        <w:tc>
          <w:tcPr>
            <w:tcW w:w="12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Underlying</w:t>
            </w:r>
          </w:p>
        </w:tc>
        <w:tc>
          <w:tcPr>
            <w:tcW w:w="120" w:type="dxa"/>
            <w:vAlign w:val="bottom"/>
          </w:tcPr>
          <w:p>
            <w:pPr>
              <w:spacing w:after="0"/>
              <w:rPr>
                <w:sz w:val="16"/>
                <w:szCs w:val="16"/>
                <w:color w:val="auto"/>
              </w:rPr>
            </w:pPr>
          </w:p>
        </w:tc>
        <w:tc>
          <w:tcPr>
            <w:tcW w:w="160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121212"/>
                <w:w w:val="98"/>
              </w:rPr>
              <w:t>Purchase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121212"/>
              </w:rPr>
              <w:t>Participant</w:t>
            </w:r>
          </w:p>
        </w:tc>
        <w:tc>
          <w:tcPr>
            <w:tcW w:w="120" w:type="dxa"/>
            <w:vAlign w:val="bottom"/>
          </w:tcPr>
          <w:p>
            <w:pPr>
              <w:spacing w:after="0"/>
              <w:rPr>
                <w:sz w:val="16"/>
                <w:szCs w:val="16"/>
                <w:color w:val="auto"/>
              </w:rPr>
            </w:pP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rPr>
              <w:t>Pre-Funded</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21212"/>
              </w:rPr>
              <w:t>Price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121212"/>
                <w:w w:val="98"/>
              </w:rPr>
              <w:t>Warrants</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21212"/>
                <w:w w:val="96"/>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000" w:type="dxa"/>
            <w:vAlign w:val="bottom"/>
            <w:tcBorders>
              <w:top w:val="single" w:sz="8" w:color="121212"/>
            </w:tcBorders>
            <w:gridSpan w:val="2"/>
            <w:shd w:val="clear" w:color="auto" w:fill="E0E0E0"/>
          </w:tcPr>
          <w:p>
            <w:pPr>
              <w:spacing w:after="0" w:line="233" w:lineRule="exact"/>
              <w:rPr>
                <w:sz w:val="20"/>
                <w:szCs w:val="20"/>
                <w:color w:val="auto"/>
              </w:rPr>
            </w:pPr>
            <w:r>
              <w:rPr>
                <w:rFonts w:ascii="Times New Roman" w:cs="Times New Roman" w:eastAsia="Times New Roman" w:hAnsi="Times New Roman"/>
                <w:sz w:val="20"/>
                <w:szCs w:val="20"/>
                <w:color w:val="121212"/>
              </w:rPr>
              <w:t>AI DMI LLC</w:t>
            </w:r>
            <w:r>
              <w:rPr>
                <w:rFonts w:ascii="Times New Roman" w:cs="Times New Roman" w:eastAsia="Times New Roman" w:hAnsi="Times New Roman"/>
                <w:sz w:val="26"/>
                <w:szCs w:val="26"/>
                <w:color w:val="121212"/>
                <w:vertAlign w:val="superscript"/>
              </w:rPr>
              <w:t>(1)</w:t>
            </w:r>
          </w:p>
        </w:tc>
        <w:tc>
          <w:tcPr>
            <w:tcW w:w="120" w:type="dxa"/>
            <w:vAlign w:val="bottom"/>
            <w:tcBorders>
              <w:top w:val="single" w:sz="8" w:color="E0E0E0"/>
            </w:tcBorders>
            <w:shd w:val="clear" w:color="auto" w:fill="E0E0E0"/>
          </w:tcPr>
          <w:p>
            <w:pPr>
              <w:spacing w:after="0"/>
              <w:rPr>
                <w:sz w:val="20"/>
                <w:szCs w:val="20"/>
                <w:color w:val="auto"/>
              </w:rPr>
            </w:pPr>
          </w:p>
        </w:tc>
        <w:tc>
          <w:tcPr>
            <w:tcW w:w="1600" w:type="dxa"/>
            <w:vAlign w:val="bottom"/>
            <w:tcBorders>
              <w:top w:val="single" w:sz="8" w:color="121212"/>
            </w:tcBorders>
            <w:shd w:val="clear" w:color="auto" w:fill="E0E0E0"/>
          </w:tcPr>
          <w:p>
            <w:pPr>
              <w:jc w:val="right"/>
              <w:ind w:right="17"/>
              <w:spacing w:after="0"/>
              <w:rPr>
                <w:sz w:val="20"/>
                <w:szCs w:val="20"/>
                <w:color w:val="auto"/>
              </w:rPr>
            </w:pPr>
            <w:r>
              <w:rPr>
                <w:rFonts w:ascii="Times New Roman" w:cs="Times New Roman" w:eastAsia="Times New Roman" w:hAnsi="Times New Roman"/>
                <w:sz w:val="20"/>
                <w:szCs w:val="20"/>
                <w:color w:val="121212"/>
              </w:rPr>
              <w:t>204,081</w:t>
            </w:r>
          </w:p>
        </w:tc>
        <w:tc>
          <w:tcPr>
            <w:tcW w:w="120" w:type="dxa"/>
            <w:vAlign w:val="bottom"/>
            <w:tcBorders>
              <w:top w:val="single" w:sz="8" w:color="E0E0E0"/>
            </w:tcBorders>
            <w:shd w:val="clear" w:color="auto" w:fill="E0E0E0"/>
          </w:tcPr>
          <w:p>
            <w:pPr>
              <w:spacing w:after="0"/>
              <w:rPr>
                <w:sz w:val="20"/>
                <w:szCs w:val="20"/>
                <w:color w:val="auto"/>
              </w:rPr>
            </w:pPr>
          </w:p>
        </w:tc>
        <w:tc>
          <w:tcPr>
            <w:tcW w:w="1600" w:type="dxa"/>
            <w:vAlign w:val="bottom"/>
            <w:tcBorders>
              <w:top w:val="single" w:sz="8" w:color="121212"/>
            </w:tcBorders>
            <w:shd w:val="clear" w:color="auto" w:fill="E0E0E0"/>
          </w:tcPr>
          <w:p>
            <w:pPr>
              <w:jc w:val="right"/>
              <w:ind w:right="15"/>
              <w:spacing w:after="0"/>
              <w:rPr>
                <w:sz w:val="20"/>
                <w:szCs w:val="20"/>
                <w:color w:val="auto"/>
              </w:rPr>
            </w:pPr>
            <w:r>
              <w:rPr>
                <w:rFonts w:ascii="Times New Roman" w:cs="Times New Roman" w:eastAsia="Times New Roman" w:hAnsi="Times New Roman"/>
                <w:sz w:val="20"/>
                <w:szCs w:val="20"/>
                <w:color w:val="121212"/>
              </w:rPr>
              <w:t>9,999,949</w:t>
            </w:r>
          </w:p>
        </w:tc>
        <w:tc>
          <w:tcPr>
            <w:tcW w:w="0" w:type="dxa"/>
            <w:vAlign w:val="bottom"/>
          </w:tcPr>
          <w:p>
            <w:pPr>
              <w:spacing w:after="0"/>
              <w:rPr>
                <w:sz w:val="1"/>
                <w:szCs w:val="1"/>
                <w:color w:val="auto"/>
              </w:rPr>
            </w:pPr>
          </w:p>
        </w:tc>
      </w:tr>
      <w:tr>
        <w:trPr>
          <w:trHeight w:val="158"/>
        </w:trPr>
        <w:tc>
          <w:tcPr>
            <w:tcW w:w="40" w:type="dxa"/>
            <w:vAlign w:val="bottom"/>
            <w:tcBorders>
              <w:bottom w:val="single" w:sz="8" w:color="121212"/>
            </w:tcBorders>
          </w:tcPr>
          <w:p>
            <w:pPr>
              <w:spacing w:after="0"/>
              <w:rPr>
                <w:sz w:val="13"/>
                <w:szCs w:val="13"/>
                <w:color w:val="auto"/>
              </w:rPr>
            </w:pPr>
          </w:p>
        </w:tc>
        <w:tc>
          <w:tcPr>
            <w:tcW w:w="2560" w:type="dxa"/>
            <w:vAlign w:val="bottom"/>
            <w:tcBorders>
              <w:bottom w:val="single" w:sz="8" w:color="121212"/>
            </w:tcBorders>
          </w:tcPr>
          <w:p>
            <w:pPr>
              <w:spacing w:after="0"/>
              <w:rPr>
                <w:sz w:val="13"/>
                <w:szCs w:val="13"/>
                <w:color w:val="auto"/>
              </w:rPr>
            </w:pPr>
          </w:p>
        </w:tc>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00" w:right="80" w:hanging="367"/>
        <w:spacing w:after="0" w:line="277" w:lineRule="auto"/>
        <w:tabs>
          <w:tab w:leader="none" w:pos="400" w:val="left"/>
        </w:tabs>
        <w:numPr>
          <w:ilvl w:val="0"/>
          <w:numId w:val="74"/>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AI DMI LLC is an affiliate of Access Industries Management, and beneficially owns more than five percent of our outstanding capital stock. Dr. Ratcliffe is Head of Biotechnology at Access Industries Management and a member of our board of directors.</w:t>
      </w:r>
    </w:p>
    <w:p>
      <w:pPr>
        <w:sectPr>
          <w:pgSz w:w="12240" w:h="15840" w:orient="portrait"/>
          <w:cols w:equalWidth="0" w:num="1">
            <w:col w:w="10480"/>
          </w:cols>
          <w:pgMar w:left="860"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21212"/>
        </w:rPr>
        <w:t>152</w:t>
      </w:r>
    </w:p>
    <w:p>
      <w:pPr>
        <w:sectPr>
          <w:pgSz w:w="12240" w:h="15840" w:orient="portrait"/>
          <w:cols w:equalWidth="0" w:num="1">
            <w:col w:w="10480"/>
          </w:cols>
          <w:pgMar w:left="860" w:top="930" w:right="900" w:bottom="175" w:gutter="0" w:footer="0" w:header="0"/>
          <w:type w:val="continuous"/>
        </w:sectPr>
      </w:pPr>
    </w:p>
    <w:bookmarkStart w:id="162" w:name="page163"/>
    <w:bookmarkEnd w:id="162"/>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Registered Direct Offering</w:t>
      </w:r>
    </w:p>
    <w:p>
      <w:pPr>
        <w:spacing w:after="0" w:line="120"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121212"/>
        </w:rPr>
        <w:t>In February 2023, we entered into a securities purchase agreement, or the Purchase Agreement, with certain investors.</w:t>
      </w:r>
    </w:p>
    <w:p>
      <w:pPr>
        <w:spacing w:after="0" w:line="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21212"/>
        </w:rPr>
        <w:t>Pursuant to the Purchase Agreement, we sold (i) an aggregate of 1,488,166 shares of our common stock, at a purchase price of</w:t>
      </w:r>
    </w:p>
    <w:p>
      <w:pPr>
        <w:ind w:left="7"/>
        <w:spacing w:after="0"/>
        <w:rPr>
          <w:sz w:val="20"/>
          <w:szCs w:val="20"/>
          <w:color w:val="auto"/>
        </w:rPr>
      </w:pPr>
      <w:r>
        <w:rPr>
          <w:rFonts w:ascii="Times New Roman" w:cs="Times New Roman" w:eastAsia="Times New Roman" w:hAnsi="Times New Roman"/>
          <w:sz w:val="19"/>
          <w:szCs w:val="19"/>
          <w:color w:val="121212"/>
        </w:rPr>
        <w:t>$23.00 per share, and (ii) with respect to certain investors, in lieu of shares of our common stock, pre-funded warrants to purchase</w:t>
      </w:r>
    </w:p>
    <w:p>
      <w:pPr>
        <w:spacing w:after="0" w:line="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21212"/>
        </w:rPr>
        <w:t>an aggregate of 1,229,224 shares of our common stock, at a purchase price of $22.9999 per pre-funded warrant, for aggregate</w:t>
      </w:r>
    </w:p>
    <w:p>
      <w:pPr>
        <w:ind w:left="7"/>
        <w:spacing w:after="0"/>
        <w:rPr>
          <w:sz w:val="20"/>
          <w:szCs w:val="20"/>
          <w:color w:val="auto"/>
        </w:rPr>
      </w:pPr>
      <w:r>
        <w:rPr>
          <w:rFonts w:ascii="Times New Roman" w:cs="Times New Roman" w:eastAsia="Times New Roman" w:hAnsi="Times New Roman"/>
          <w:sz w:val="20"/>
          <w:szCs w:val="20"/>
          <w:color w:val="121212"/>
        </w:rPr>
        <w:t>gross proceeds of approximately $62.5 million. During the twelve months ended December 31, 2023, all of the pre-funded</w:t>
      </w:r>
    </w:p>
    <w:p>
      <w:pPr>
        <w:ind w:left="7"/>
        <w:spacing w:after="0"/>
        <w:rPr>
          <w:sz w:val="20"/>
          <w:szCs w:val="20"/>
          <w:color w:val="auto"/>
        </w:rPr>
      </w:pPr>
      <w:r>
        <w:rPr>
          <w:rFonts w:ascii="Times New Roman" w:cs="Times New Roman" w:eastAsia="Times New Roman" w:hAnsi="Times New Roman"/>
          <w:sz w:val="20"/>
          <w:szCs w:val="20"/>
          <w:color w:val="121212"/>
        </w:rPr>
        <w:t>warrants were exercised in a cashless transaction which resulted in 1,229,221 shares of common stock being issued to the</w:t>
      </w:r>
    </w:p>
    <w:p>
      <w:pPr>
        <w:ind w:left="7"/>
        <w:spacing w:after="0"/>
        <w:rPr>
          <w:sz w:val="20"/>
          <w:szCs w:val="20"/>
          <w:color w:val="auto"/>
        </w:rPr>
      </w:pPr>
      <w:r>
        <w:rPr>
          <w:rFonts w:ascii="Times New Roman" w:cs="Times New Roman" w:eastAsia="Times New Roman" w:hAnsi="Times New Roman"/>
          <w:sz w:val="19"/>
          <w:szCs w:val="19"/>
          <w:color w:val="121212"/>
        </w:rPr>
        <w:t>investor. The investors or their affiliates are beneficial holders of more than 5% of our capital stock, and the table below sets forth</w:t>
      </w:r>
    </w:p>
    <w:p>
      <w:pPr>
        <w:spacing w:after="0" w:line="1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121212"/>
        </w:rPr>
        <w:t>the number of shares of our common stock and pre-funded warrants to purchase shares of our common stock purchased by such</w:t>
      </w:r>
    </w:p>
    <w:p>
      <w:pPr>
        <w:ind w:left="7"/>
        <w:spacing w:after="0"/>
        <w:rPr>
          <w:sz w:val="20"/>
          <w:szCs w:val="20"/>
          <w:color w:val="auto"/>
        </w:rPr>
      </w:pPr>
      <w:r>
        <w:rPr>
          <w:rFonts w:ascii="Times New Roman" w:cs="Times New Roman" w:eastAsia="Times New Roman" w:hAnsi="Times New Roman"/>
          <w:sz w:val="20"/>
          <w:szCs w:val="20"/>
          <w:color w:val="121212"/>
        </w:rPr>
        <w:t>holders:</w:t>
      </w:r>
    </w:p>
    <w:p>
      <w:pPr>
        <w:sectPr>
          <w:pgSz w:w="12240" w:h="15840" w:orient="portrait"/>
          <w:cols w:equalWidth="0" w:num="1">
            <w:col w:w="10447"/>
          </w:cols>
          <w:pgMar w:left="893"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121212"/>
        </w:rPr>
        <w:t>Participant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3812540" cy="15494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2540" cy="154940"/>
                        </a:xfrm>
                        <a:prstGeom prst="rect">
                          <a:avLst/>
                        </a:prstGeom>
                        <a:solidFill>
                          <a:srgbClr val="E0E0E0"/>
                        </a:solidFill>
                      </wps:spPr>
                      <wps:bodyPr/>
                    </wps:wsp>
                  </a:graphicData>
                </a:graphic>
              </wp:anchor>
            </w:drawing>
          </mc:Choice>
          <mc:Fallback>
            <w:pict>
              <v:rect id="Shape 43" o:spid="_x0000_s1068" style="position:absolute;margin-left:0pt;margin-top:1.45pt;width:300.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381254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2540" cy="4763"/>
                        </a:xfrm>
                        <a:prstGeom prst="line">
                          <a:avLst/>
                        </a:prstGeom>
                        <a:solidFill>
                          <a:srgbClr val="FFFFFF"/>
                        </a:solidFill>
                        <a:ln w="6350">
                          <a:solidFill>
                            <a:srgbClr val="121212"/>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300.2pt,1.2pt" o:allowincell="f" strokecolor="#121212" strokeweight="0.5pt"/>
            </w:pict>
          </mc:Fallback>
        </mc:AlternateContent>
      </w:r>
    </w:p>
    <w:p>
      <w:pPr>
        <w:ind w:left="7"/>
        <w:spacing w:after="0" w:line="235" w:lineRule="auto"/>
        <w:rPr>
          <w:sz w:val="20"/>
          <w:szCs w:val="20"/>
          <w:color w:val="auto"/>
        </w:rPr>
      </w:pPr>
      <w:r>
        <w:rPr>
          <w:rFonts w:ascii="Times New Roman" w:cs="Times New Roman" w:eastAsia="Times New Roman" w:hAnsi="Times New Roman"/>
          <w:sz w:val="19"/>
          <w:szCs w:val="19"/>
          <w:color w:val="121212"/>
        </w:rPr>
        <w:t>Bain Capital Life Sciences Opportunities III, L.P.</w:t>
      </w:r>
      <w:r>
        <w:rPr>
          <w:rFonts w:ascii="Times New Roman" w:cs="Times New Roman" w:eastAsia="Times New Roman" w:hAnsi="Times New Roman"/>
          <w:sz w:val="25"/>
          <w:szCs w:val="25"/>
          <w:color w:val="121212"/>
          <w:vertAlign w:val="superscript"/>
        </w:rPr>
        <w:t>(1)</w:t>
      </w:r>
    </w:p>
    <w:p>
      <w:pPr>
        <w:ind w:left="7"/>
        <w:spacing w:after="0" w:line="196" w:lineRule="auto"/>
        <w:rPr>
          <w:sz w:val="20"/>
          <w:szCs w:val="20"/>
          <w:color w:val="auto"/>
        </w:rPr>
      </w:pPr>
      <w:r>
        <w:rPr>
          <w:rFonts w:ascii="Times New Roman" w:cs="Times New Roman" w:eastAsia="Times New Roman" w:hAnsi="Times New Roman"/>
          <w:sz w:val="20"/>
          <w:szCs w:val="20"/>
          <w:color w:val="121212"/>
        </w:rPr>
        <w:t>Entities affiliated with OrbiMed Advisors LLC</w:t>
      </w:r>
      <w:r>
        <w:rPr>
          <w:rFonts w:ascii="Times New Roman" w:cs="Times New Roman" w:eastAsia="Times New Roman" w:hAnsi="Times New Roman"/>
          <w:sz w:val="26"/>
          <w:szCs w:val="26"/>
          <w:color w:val="121212"/>
          <w:vertAlign w:val="superscript"/>
        </w:rPr>
        <w:t>(2)</w:t>
      </w:r>
    </w:p>
    <w:p>
      <w:pPr>
        <w:ind w:left="7"/>
        <w:spacing w:after="0"/>
        <w:rPr>
          <w:sz w:val="20"/>
          <w:szCs w:val="20"/>
          <w:color w:val="auto"/>
        </w:rPr>
      </w:pPr>
      <w:r>
        <w:rPr>
          <w:rFonts w:ascii="Times New Roman" w:cs="Times New Roman" w:eastAsia="Times New Roman" w:hAnsi="Times New Roman"/>
          <w:sz w:val="20"/>
          <w:szCs w:val="20"/>
          <w:color w:val="121212"/>
        </w:rPr>
        <w:t>AI DMI LLC</w:t>
      </w:r>
      <w:r>
        <w:rPr>
          <w:rFonts w:ascii="Times New Roman" w:cs="Times New Roman" w:eastAsia="Times New Roman" w:hAnsi="Times New Roman"/>
          <w:sz w:val="26"/>
          <w:szCs w:val="26"/>
          <w:color w:val="121212"/>
          <w:vertAlign w:val="superscript"/>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64770</wp:posOffset>
                </wp:positionV>
                <wp:extent cx="164592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5920" cy="4763"/>
                        </a:xfrm>
                        <a:prstGeom prst="line">
                          <a:avLst/>
                        </a:prstGeom>
                        <a:solidFill>
                          <a:srgbClr val="FFFFFF"/>
                        </a:solidFill>
                        <a:ln w="9525">
                          <a:solidFill>
                            <a:srgbClr val="121212"/>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1pt" to="128.15pt,5.1pt" o:allowincell="f" strokecolor="#121212" strokeweight="0.75pt"/>
            </w:pict>
          </mc:Fallback>
        </mc:AlternateConten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121212"/>
              </w:rPr>
              <w:t>Shares of</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1380" w:type="dxa"/>
            <w:vAlign w:val="bottom"/>
            <w:vMerge w:val="restart"/>
          </w:tcPr>
          <w:p>
            <w:pPr>
              <w:jc w:val="center"/>
              <w:ind w:right="11"/>
              <w:spacing w:after="0"/>
              <w:rPr>
                <w:sz w:val="20"/>
                <w:szCs w:val="20"/>
                <w:color w:val="auto"/>
              </w:rPr>
            </w:pPr>
            <w:r>
              <w:rPr>
                <w:rFonts w:ascii="Times New Roman" w:cs="Times New Roman" w:eastAsia="Times New Roman" w:hAnsi="Times New Roman"/>
                <w:sz w:val="16"/>
                <w:szCs w:val="16"/>
                <w:b w:val="1"/>
                <w:bCs w:val="1"/>
                <w:color w:val="121212"/>
              </w:rPr>
              <w:t>Shares of</w:t>
            </w:r>
          </w:p>
        </w:tc>
        <w:tc>
          <w:tcPr>
            <w:tcW w:w="100" w:type="dxa"/>
            <w:vAlign w:val="bottom"/>
          </w:tcPr>
          <w:p>
            <w:pPr>
              <w:spacing w:after="0"/>
              <w:rPr>
                <w:sz w:val="16"/>
                <w:szCs w:val="16"/>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121212"/>
                <w:w w:val="99"/>
              </w:rPr>
              <w:t>our</w:t>
            </w:r>
          </w:p>
        </w:tc>
        <w:tc>
          <w:tcPr>
            <w:tcW w:w="100" w:type="dxa"/>
            <w:vAlign w:val="bottom"/>
          </w:tcPr>
          <w:p>
            <w:pPr>
              <w:spacing w:after="0"/>
              <w:rPr>
                <w:sz w:val="16"/>
                <w:szCs w:val="16"/>
                <w:color w:val="auto"/>
              </w:rPr>
            </w:pPr>
          </w:p>
        </w:tc>
        <w:tc>
          <w:tcPr>
            <w:tcW w:w="1380" w:type="dxa"/>
            <w:vAlign w:val="bottom"/>
            <w:vMerge w:val="restart"/>
          </w:tcPr>
          <w:p>
            <w:pPr>
              <w:jc w:val="center"/>
              <w:ind w:right="12"/>
              <w:spacing w:after="0"/>
              <w:rPr>
                <w:sz w:val="20"/>
                <w:szCs w:val="20"/>
                <w:color w:val="auto"/>
              </w:rPr>
            </w:pPr>
            <w:r>
              <w:rPr>
                <w:rFonts w:ascii="Times New Roman" w:cs="Times New Roman" w:eastAsia="Times New Roman" w:hAnsi="Times New Roman"/>
                <w:sz w:val="16"/>
                <w:szCs w:val="16"/>
                <w:b w:val="1"/>
                <w:bCs w:val="1"/>
                <w:color w:val="121212"/>
                <w:w w:val="98"/>
              </w:rPr>
              <w:t>Total</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121212"/>
              </w:rPr>
              <w:t>Common</w:t>
            </w:r>
          </w:p>
        </w:tc>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121212"/>
                <w:w w:val="99"/>
              </w:rPr>
              <w:t>our</w:t>
            </w:r>
          </w:p>
        </w:tc>
        <w:tc>
          <w:tcPr>
            <w:tcW w:w="100" w:type="dxa"/>
            <w:vAlign w:val="bottom"/>
          </w:tcPr>
          <w:p>
            <w:pPr>
              <w:spacing w:after="0"/>
              <w:rPr>
                <w:sz w:val="16"/>
                <w:szCs w:val="16"/>
                <w:color w:val="auto"/>
              </w:rPr>
            </w:pPr>
          </w:p>
        </w:tc>
        <w:tc>
          <w:tcPr>
            <w:tcW w:w="13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121212"/>
              </w:rPr>
              <w:t>Stock Underlying</w:t>
            </w:r>
          </w:p>
        </w:tc>
        <w:tc>
          <w:tcPr>
            <w:tcW w:w="100" w:type="dxa"/>
            <w:vAlign w:val="bottom"/>
          </w:tcPr>
          <w:p>
            <w:pPr>
              <w:spacing w:after="0"/>
              <w:rPr>
                <w:sz w:val="16"/>
                <w:szCs w:val="16"/>
                <w:color w:val="auto"/>
              </w:rPr>
            </w:pPr>
          </w:p>
        </w:tc>
        <w:tc>
          <w:tcPr>
            <w:tcW w:w="138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121212"/>
              </w:rPr>
              <w:t>Purchase</w:t>
            </w: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138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121212"/>
              </w:rPr>
              <w:t>Common</w:t>
            </w:r>
          </w:p>
        </w:tc>
        <w:tc>
          <w:tcPr>
            <w:tcW w:w="10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121212"/>
              </w:rPr>
              <w:t>Pre-Funded</w:t>
            </w:r>
          </w:p>
        </w:tc>
        <w:tc>
          <w:tcPr>
            <w:tcW w:w="100" w:type="dxa"/>
            <w:vAlign w:val="bottom"/>
          </w:tcPr>
          <w:p>
            <w:pPr>
              <w:spacing w:after="0"/>
              <w:rPr>
                <w:sz w:val="16"/>
                <w:szCs w:val="16"/>
                <w:color w:val="auto"/>
              </w:rPr>
            </w:pPr>
          </w:p>
        </w:tc>
        <w:tc>
          <w:tcPr>
            <w:tcW w:w="138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121212"/>
              </w:rPr>
              <w:t>Price</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38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121212"/>
                <w:w w:val="99"/>
              </w:rPr>
              <w:t>Stock</w:t>
            </w:r>
          </w:p>
        </w:tc>
        <w:tc>
          <w:tcPr>
            <w:tcW w:w="100" w:type="dxa"/>
            <w:vAlign w:val="bottom"/>
          </w:tcPr>
          <w:p>
            <w:pPr>
              <w:spacing w:after="0"/>
              <w:rPr>
                <w:sz w:val="17"/>
                <w:szCs w:val="17"/>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121212"/>
                <w:w w:val="98"/>
              </w:rPr>
              <w:t>Warrants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121212"/>
              </w:rPr>
              <w:t>($)</w:t>
            </w:r>
          </w:p>
        </w:tc>
        <w:tc>
          <w:tcPr>
            <w:tcW w:w="0" w:type="dxa"/>
            <w:vAlign w:val="bottom"/>
          </w:tcPr>
          <w:p>
            <w:pPr>
              <w:spacing w:after="0"/>
              <w:rPr>
                <w:sz w:val="1"/>
                <w:szCs w:val="1"/>
                <w:color w:val="auto"/>
              </w:rPr>
            </w:pPr>
          </w:p>
        </w:tc>
      </w:tr>
      <w:tr>
        <w:trPr>
          <w:trHeight w:val="234"/>
        </w:trPr>
        <w:tc>
          <w:tcPr>
            <w:tcW w:w="100" w:type="dxa"/>
            <w:vAlign w:val="bottom"/>
            <w:tcBorders>
              <w:top w:val="single" w:sz="8" w:color="E0E0E0"/>
            </w:tcBorders>
            <w:shd w:val="clear" w:color="auto" w:fill="E0E0E0"/>
          </w:tcPr>
          <w:p>
            <w:pPr>
              <w:spacing w:after="0"/>
              <w:rPr>
                <w:sz w:val="20"/>
                <w:szCs w:val="20"/>
                <w:color w:val="auto"/>
              </w:rPr>
            </w:pPr>
          </w:p>
        </w:tc>
        <w:tc>
          <w:tcPr>
            <w:tcW w:w="1380" w:type="dxa"/>
            <w:vAlign w:val="bottom"/>
            <w:tcBorders>
              <w:top w:val="single" w:sz="8" w:color="121212"/>
            </w:tcBorders>
            <w:shd w:val="clear" w:color="auto" w:fill="E0E0E0"/>
          </w:tcPr>
          <w:p>
            <w:pPr>
              <w:jc w:val="right"/>
              <w:ind w:right="11"/>
              <w:spacing w:after="0"/>
              <w:rPr>
                <w:sz w:val="20"/>
                <w:szCs w:val="20"/>
                <w:color w:val="auto"/>
              </w:rPr>
            </w:pPr>
            <w:r>
              <w:rPr>
                <w:rFonts w:ascii="Times New Roman" w:cs="Times New Roman" w:eastAsia="Times New Roman" w:hAnsi="Times New Roman"/>
                <w:sz w:val="20"/>
                <w:szCs w:val="20"/>
                <w:color w:val="121212"/>
              </w:rPr>
              <w:t>944,687</w:t>
            </w:r>
          </w:p>
        </w:tc>
        <w:tc>
          <w:tcPr>
            <w:tcW w:w="100" w:type="dxa"/>
            <w:vAlign w:val="bottom"/>
            <w:tcBorders>
              <w:top w:val="single" w:sz="8" w:color="E0E0E0"/>
            </w:tcBorders>
            <w:shd w:val="clear" w:color="auto" w:fill="E0E0E0"/>
          </w:tcPr>
          <w:p>
            <w:pPr>
              <w:spacing w:after="0"/>
              <w:rPr>
                <w:sz w:val="20"/>
                <w:szCs w:val="20"/>
                <w:color w:val="auto"/>
              </w:rPr>
            </w:pPr>
          </w:p>
        </w:tc>
        <w:tc>
          <w:tcPr>
            <w:tcW w:w="1380" w:type="dxa"/>
            <w:vAlign w:val="bottom"/>
            <w:tcBorders>
              <w:top w:val="single" w:sz="8" w:color="121212"/>
            </w:tcBorders>
            <w:shd w:val="clear" w:color="auto" w:fill="E0E0E0"/>
          </w:tcPr>
          <w:p>
            <w:pPr>
              <w:jc w:val="right"/>
              <w:ind w:right="13"/>
              <w:spacing w:after="0"/>
              <w:rPr>
                <w:sz w:val="20"/>
                <w:szCs w:val="20"/>
                <w:color w:val="auto"/>
              </w:rPr>
            </w:pPr>
            <w:r>
              <w:rPr>
                <w:rFonts w:ascii="Times New Roman" w:cs="Times New Roman" w:eastAsia="Times New Roman" w:hAnsi="Times New Roman"/>
                <w:sz w:val="20"/>
                <w:szCs w:val="20"/>
                <w:color w:val="121212"/>
              </w:rPr>
              <w:t>1,229,224</w:t>
            </w:r>
          </w:p>
        </w:tc>
        <w:tc>
          <w:tcPr>
            <w:tcW w:w="100" w:type="dxa"/>
            <w:vAlign w:val="bottom"/>
            <w:tcBorders>
              <w:top w:val="single" w:sz="8" w:color="E0E0E0"/>
            </w:tcBorders>
            <w:shd w:val="clear" w:color="auto" w:fill="E0E0E0"/>
          </w:tcPr>
          <w:p>
            <w:pPr>
              <w:spacing w:after="0"/>
              <w:rPr>
                <w:sz w:val="20"/>
                <w:szCs w:val="20"/>
                <w:color w:val="auto"/>
              </w:rPr>
            </w:pPr>
          </w:p>
        </w:tc>
        <w:tc>
          <w:tcPr>
            <w:tcW w:w="1380" w:type="dxa"/>
            <w:vAlign w:val="bottom"/>
            <w:tcBorders>
              <w:top w:val="single" w:sz="8" w:color="121212"/>
            </w:tcBorders>
            <w:shd w:val="clear" w:color="auto" w:fill="E0E0E0"/>
          </w:tcPr>
          <w:p>
            <w:pPr>
              <w:jc w:val="right"/>
              <w:ind w:right="12"/>
              <w:spacing w:after="0"/>
              <w:rPr>
                <w:sz w:val="20"/>
                <w:szCs w:val="20"/>
                <w:color w:val="auto"/>
              </w:rPr>
            </w:pPr>
            <w:r>
              <w:rPr>
                <w:rFonts w:ascii="Times New Roman" w:cs="Times New Roman" w:eastAsia="Times New Roman" w:hAnsi="Times New Roman"/>
                <w:sz w:val="20"/>
                <w:szCs w:val="20"/>
                <w:color w:val="121212"/>
              </w:rPr>
              <w:t>49,999,830</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121212"/>
              </w:rPr>
              <w:t>108,696</w:t>
            </w:r>
          </w:p>
        </w:tc>
        <w:tc>
          <w:tcPr>
            <w:tcW w:w="10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121212"/>
              </w:rPr>
              <w:t>—</w:t>
            </w:r>
          </w:p>
        </w:tc>
        <w:tc>
          <w:tcPr>
            <w:tcW w:w="10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121212"/>
              </w:rPr>
              <w:t>2,500,008</w:t>
            </w: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20"/>
                <w:szCs w:val="20"/>
                <w:color w:val="121212"/>
              </w:rPr>
              <w:t>434,783</w:t>
            </w:r>
          </w:p>
        </w:tc>
        <w:tc>
          <w:tcPr>
            <w:tcW w:w="10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121212"/>
              </w:rPr>
              <w:t>—</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121212"/>
              </w:rPr>
              <w:t>10,000,009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-3813810</wp:posOffset>
                </wp:positionH>
                <wp:positionV relativeFrom="paragraph">
                  <wp:posOffset>-165100</wp:posOffset>
                </wp:positionV>
                <wp:extent cx="6637655" cy="15494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7655" cy="154940"/>
                        </a:xfrm>
                        <a:prstGeom prst="rect">
                          <a:avLst/>
                        </a:prstGeom>
                        <a:solidFill>
                          <a:srgbClr val="E0E0E0"/>
                        </a:solidFill>
                      </wps:spPr>
                      <wps:bodyPr/>
                    </wps:wsp>
                  </a:graphicData>
                </a:graphic>
              </wp:anchor>
            </w:drawing>
          </mc:Choice>
          <mc:Fallback>
            <w:pict>
              <v:rect id="Shape 46" o:spid="_x0000_s1071" style="position:absolute;margin-left:-300.2999pt;margin-top:-13pt;width:522.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180" w:lineRule="exact"/>
        <w:rPr>
          <w:sz w:val="20"/>
          <w:szCs w:val="20"/>
          <w:color w:val="auto"/>
        </w:rPr>
      </w:pPr>
    </w:p>
    <w:p>
      <w:pPr>
        <w:sectPr>
          <w:pgSz w:w="12240" w:h="15840" w:orient="portrait"/>
          <w:cols w:equalWidth="0" w:num="2">
            <w:col w:w="5287" w:space="720"/>
            <w:col w:w="4440"/>
          </w:cols>
          <w:pgMar w:left="893" w:top="930" w:right="900" w:bottom="175" w:gutter="0" w:footer="0" w:header="0"/>
          <w:type w:val="continuous"/>
        </w:sectPr>
      </w:pPr>
    </w:p>
    <w:p>
      <w:pPr>
        <w:ind w:left="367" w:hanging="367"/>
        <w:spacing w:after="0"/>
        <w:tabs>
          <w:tab w:leader="none" w:pos="367" w:val="left"/>
        </w:tabs>
        <w:numPr>
          <w:ilvl w:val="0"/>
          <w:numId w:val="7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Bain Capital Life Sciences Opportunities III, L.P. beneficially owns more than five percent of our outstanding capital stock.</w:t>
      </w:r>
    </w:p>
    <w:p>
      <w:pPr>
        <w:spacing w:after="0" w:line="120" w:lineRule="exact"/>
        <w:rPr>
          <w:rFonts w:ascii="Times New Roman" w:cs="Times New Roman" w:eastAsia="Times New Roman" w:hAnsi="Times New Roman"/>
          <w:sz w:val="16"/>
          <w:szCs w:val="16"/>
          <w:color w:val="121212"/>
        </w:rPr>
      </w:pPr>
    </w:p>
    <w:p>
      <w:pPr>
        <w:ind w:left="367" w:right="100" w:hanging="367"/>
        <w:spacing w:after="0" w:line="277" w:lineRule="auto"/>
        <w:tabs>
          <w:tab w:leader="none" w:pos="367" w:val="left"/>
        </w:tabs>
        <w:numPr>
          <w:ilvl w:val="0"/>
          <w:numId w:val="7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Entities affiliated with OrbiMed Advisors LLC beneficially own more than five percent of our outstanding capital stock. Dr. Ashiya is a Partner at OrbiMed Advisors LLC and a member of our board of directors.</w:t>
      </w:r>
    </w:p>
    <w:p>
      <w:pPr>
        <w:spacing w:after="0" w:line="63" w:lineRule="exact"/>
        <w:rPr>
          <w:rFonts w:ascii="Times New Roman" w:cs="Times New Roman" w:eastAsia="Times New Roman" w:hAnsi="Times New Roman"/>
          <w:sz w:val="16"/>
          <w:szCs w:val="16"/>
          <w:color w:val="121212"/>
        </w:rPr>
      </w:pPr>
    </w:p>
    <w:p>
      <w:pPr>
        <w:ind w:left="367" w:right="80" w:hanging="367"/>
        <w:spacing w:after="0" w:line="277" w:lineRule="auto"/>
        <w:tabs>
          <w:tab w:leader="none" w:pos="367" w:val="left"/>
        </w:tabs>
        <w:numPr>
          <w:ilvl w:val="0"/>
          <w:numId w:val="75"/>
        </w:numPr>
        <w:rPr>
          <w:rFonts w:ascii="Times New Roman" w:cs="Times New Roman" w:eastAsia="Times New Roman" w:hAnsi="Times New Roman"/>
          <w:sz w:val="16"/>
          <w:szCs w:val="16"/>
          <w:color w:val="121212"/>
        </w:rPr>
      </w:pPr>
      <w:r>
        <w:rPr>
          <w:rFonts w:ascii="Times New Roman" w:cs="Times New Roman" w:eastAsia="Times New Roman" w:hAnsi="Times New Roman"/>
          <w:sz w:val="16"/>
          <w:szCs w:val="16"/>
          <w:color w:val="121212"/>
        </w:rPr>
        <w:t>AI DMI LLC is an affiliate of Access Industries Management, and beneficially owns more than five percent of our outstanding capital stock. Dr. Ratcliffe is Head of Biotechnology at Access Industries Management and a member of our board of directors.</w:t>
      </w:r>
    </w:p>
    <w:p>
      <w:pPr>
        <w:spacing w:after="0" w:line="17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21212"/>
        </w:rPr>
        <w:t>Indemnification Agreements</w:t>
      </w:r>
    </w:p>
    <w:p>
      <w:pPr>
        <w:spacing w:after="0" w:line="124" w:lineRule="exact"/>
        <w:rPr>
          <w:sz w:val="20"/>
          <w:szCs w:val="20"/>
          <w:color w:val="auto"/>
        </w:rPr>
      </w:pPr>
    </w:p>
    <w:p>
      <w:pPr>
        <w:ind w:left="7" w:right="140" w:firstLine="490"/>
        <w:spacing w:after="0" w:line="249" w:lineRule="auto"/>
        <w:rPr>
          <w:sz w:val="20"/>
          <w:szCs w:val="20"/>
          <w:color w:val="auto"/>
        </w:rPr>
      </w:pPr>
      <w:r>
        <w:rPr>
          <w:rFonts w:ascii="Times New Roman" w:cs="Times New Roman" w:eastAsia="Times New Roman" w:hAnsi="Times New Roman"/>
          <w:sz w:val="20"/>
          <w:szCs w:val="20"/>
          <w:color w:val="121212"/>
        </w:rPr>
        <w:t>We have entered into agreements to indemnify our directors and executive officers. These agreements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121212"/>
        </w:rPr>
        <w:t>Policies for Approval of Related Party Transactions</w:t>
      </w:r>
    </w:p>
    <w:p>
      <w:pPr>
        <w:spacing w:after="0" w:line="124" w:lineRule="exact"/>
        <w:rPr>
          <w:sz w:val="20"/>
          <w:szCs w:val="20"/>
          <w:color w:val="auto"/>
        </w:rPr>
      </w:pPr>
    </w:p>
    <w:p>
      <w:pPr>
        <w:ind w:left="7" w:firstLine="490"/>
        <w:spacing w:after="0" w:line="246" w:lineRule="auto"/>
        <w:rPr>
          <w:sz w:val="20"/>
          <w:szCs w:val="20"/>
          <w:color w:val="auto"/>
        </w:rPr>
      </w:pPr>
      <w:r>
        <w:rPr>
          <w:rFonts w:ascii="Times New Roman" w:cs="Times New Roman" w:eastAsia="Times New Roman" w:hAnsi="Times New Roman"/>
          <w:sz w:val="20"/>
          <w:szCs w:val="20"/>
          <w:color w:val="121212"/>
        </w:rPr>
        <w:t>Our board of directors reviews and approves transactions with our directors, officers and holders of five percent or more of our voting securities and their affiliates, each a related party. Prior to such transaction, the material facts as to the related party’s relationship or interest in the transaction are disclosed to our board of directors prior to their consideration of such transaction, and the transaction is not considered approved by the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6" w:lineRule="exact"/>
        <w:rPr>
          <w:sz w:val="20"/>
          <w:szCs w:val="20"/>
          <w:color w:val="auto"/>
        </w:rPr>
      </w:pPr>
    </w:p>
    <w:p>
      <w:pPr>
        <w:ind w:left="7"/>
        <w:spacing w:after="0"/>
        <w:tabs>
          <w:tab w:leader="none" w:pos="1207" w:val="left"/>
        </w:tabs>
        <w:rPr>
          <w:sz w:val="20"/>
          <w:szCs w:val="20"/>
          <w:color w:val="auto"/>
        </w:rPr>
      </w:pPr>
      <w:r>
        <w:rPr>
          <w:rFonts w:ascii="Times New Roman" w:cs="Times New Roman" w:eastAsia="Times New Roman" w:hAnsi="Times New Roman"/>
          <w:sz w:val="20"/>
          <w:szCs w:val="20"/>
          <w:b w:val="1"/>
          <w:bCs w:val="1"/>
          <w:color w:val="121212"/>
        </w:rPr>
        <w:t>ITEM 14.</w:t>
      </w:r>
      <w:r>
        <w:rPr>
          <w:sz w:val="20"/>
          <w:szCs w:val="20"/>
          <w:color w:val="auto"/>
        </w:rPr>
        <w:tab/>
      </w:r>
      <w:r>
        <w:rPr>
          <w:rFonts w:ascii="Times New Roman" w:cs="Times New Roman" w:eastAsia="Times New Roman" w:hAnsi="Times New Roman"/>
          <w:sz w:val="19"/>
          <w:szCs w:val="19"/>
          <w:b w:val="1"/>
          <w:bCs w:val="1"/>
          <w:color w:val="121212"/>
        </w:rPr>
        <w:t>PRINCIPAL ACCOUNTING FEES AND SERVICES</w:t>
      </w:r>
    </w:p>
    <w:p>
      <w:pPr>
        <w:spacing w:after="0" w:line="124" w:lineRule="exact"/>
        <w:rPr>
          <w:sz w:val="20"/>
          <w:szCs w:val="20"/>
          <w:color w:val="auto"/>
        </w:rPr>
      </w:pPr>
    </w:p>
    <w:p>
      <w:pPr>
        <w:jc w:val="both"/>
        <w:ind w:left="7" w:firstLine="490"/>
        <w:spacing w:after="0" w:line="278" w:lineRule="auto"/>
        <w:rPr>
          <w:sz w:val="20"/>
          <w:szCs w:val="20"/>
          <w:color w:val="auto"/>
        </w:rPr>
      </w:pPr>
      <w:r>
        <w:rPr>
          <w:rFonts w:ascii="Times New Roman" w:cs="Times New Roman" w:eastAsia="Times New Roman" w:hAnsi="Times New Roman"/>
          <w:sz w:val="19"/>
          <w:szCs w:val="19"/>
          <w:color w:val="121212"/>
        </w:rPr>
        <w:t>Ernst &amp; Young LLP, or EY, has served as our independent registered public accounting firm since 2020 and has audited our financial statements for the fiscal years ended December 31, 2023 and 2022. The following table sets forth fees billed and unbilled for professional audit services and other services rendered to us by EY for the fiscal years ended December 31, 2023 and 2022.</w:t>
      </w:r>
    </w:p>
    <w:p>
      <w:pPr>
        <w:spacing w:after="0" w:line="16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360" w:type="dxa"/>
            <w:vAlign w:val="bottom"/>
            <w:tcBorders>
              <w:bottom w:val="single" w:sz="8" w:color="E0E0E0"/>
            </w:tcBorders>
          </w:tcPr>
          <w:p>
            <w:pPr>
              <w:spacing w:after="0"/>
              <w:rPr>
                <w:sz w:val="17"/>
                <w:szCs w:val="17"/>
                <w:color w:val="auto"/>
              </w:rPr>
            </w:pPr>
          </w:p>
        </w:tc>
        <w:tc>
          <w:tcPr>
            <w:tcW w:w="2800" w:type="dxa"/>
            <w:vAlign w:val="bottom"/>
            <w:tcBorders>
              <w:bottom w:val="single" w:sz="8" w:color="E0E0E0"/>
            </w:tcBorders>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340" w:type="dxa"/>
            <w:vAlign w:val="bottom"/>
            <w:tcBorders>
              <w:bottom w:val="single" w:sz="8" w:color="121212"/>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21212"/>
              </w:rPr>
              <w:t>Fiscal 2023</w:t>
            </w:r>
          </w:p>
        </w:tc>
        <w:tc>
          <w:tcPr>
            <w:tcW w:w="180" w:type="dxa"/>
            <w:vAlign w:val="bottom"/>
            <w:tcBorders>
              <w:bottom w:val="single" w:sz="8" w:color="E0E0E0"/>
            </w:tcBorders>
          </w:tcPr>
          <w:p>
            <w:pPr>
              <w:spacing w:after="0"/>
              <w:rPr>
                <w:sz w:val="17"/>
                <w:szCs w:val="17"/>
                <w:color w:val="auto"/>
              </w:rPr>
            </w:pPr>
          </w:p>
        </w:tc>
        <w:tc>
          <w:tcPr>
            <w:tcW w:w="220" w:type="dxa"/>
            <w:vAlign w:val="bottom"/>
            <w:tcBorders>
              <w:bottom w:val="single" w:sz="8" w:color="121212"/>
            </w:tcBorders>
          </w:tcPr>
          <w:p>
            <w:pPr>
              <w:spacing w:after="0"/>
              <w:rPr>
                <w:sz w:val="17"/>
                <w:szCs w:val="17"/>
                <w:color w:val="auto"/>
              </w:rPr>
            </w:pPr>
          </w:p>
        </w:tc>
        <w:tc>
          <w:tcPr>
            <w:tcW w:w="1320" w:type="dxa"/>
            <w:vAlign w:val="bottom"/>
            <w:tcBorders>
              <w:bottom w:val="single" w:sz="8" w:color="121212"/>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121212"/>
              </w:rPr>
              <w:t>Fiscal 2022</w:t>
            </w:r>
          </w:p>
        </w:tc>
      </w:tr>
      <w:tr>
        <w:trPr>
          <w:trHeight w:val="220"/>
        </w:trPr>
        <w:tc>
          <w:tcPr>
            <w:tcW w:w="43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Audit Fees</w:t>
            </w:r>
          </w:p>
        </w:tc>
        <w:tc>
          <w:tcPr>
            <w:tcW w:w="280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40" w:type="dxa"/>
            <w:vAlign w:val="bottom"/>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759,000</w:t>
            </w: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20" w:type="dxa"/>
            <w:vAlign w:val="bottom"/>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1,145,000</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121212"/>
              </w:rPr>
              <w:t>Audit-Related Fees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121212"/>
              </w:rPr>
              <w:t>—</w:t>
            </w:r>
          </w:p>
        </w:tc>
      </w:tr>
      <w:tr>
        <w:trPr>
          <w:trHeight w:val="230"/>
        </w:trPr>
        <w:tc>
          <w:tcPr>
            <w:tcW w:w="4360" w:type="dxa"/>
            <w:vAlign w:val="bottom"/>
            <w:shd w:val="clear" w:color="auto" w:fill="E0E0E0"/>
          </w:tcPr>
          <w:p>
            <w:pPr>
              <w:spacing w:after="0"/>
              <w:rPr>
                <w:sz w:val="20"/>
                <w:szCs w:val="20"/>
                <w:color w:val="auto"/>
              </w:rPr>
            </w:pPr>
            <w:r>
              <w:rPr>
                <w:rFonts w:ascii="Times New Roman" w:cs="Times New Roman" w:eastAsia="Times New Roman" w:hAnsi="Times New Roman"/>
                <w:sz w:val="20"/>
                <w:szCs w:val="20"/>
                <w:color w:val="121212"/>
              </w:rPr>
              <w:t>Tax Fees</w:t>
            </w:r>
          </w:p>
        </w:tc>
        <w:tc>
          <w:tcPr>
            <w:tcW w:w="280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34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89,063</w:t>
            </w:r>
          </w:p>
        </w:tc>
        <w:tc>
          <w:tcPr>
            <w:tcW w:w="1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32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121212"/>
              </w:rPr>
              <w:t>35,000</w:t>
            </w:r>
          </w:p>
        </w:tc>
      </w:tr>
      <w:tr>
        <w:trPr>
          <w:trHeight w:val="230"/>
        </w:trPr>
        <w:tc>
          <w:tcPr>
            <w:tcW w:w="43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0"/>
                <w:szCs w:val="20"/>
                <w:color w:val="121212"/>
              </w:rPr>
              <w:t>All Other Fees</w:t>
            </w:r>
          </w:p>
        </w:tc>
        <w:tc>
          <w:tcPr>
            <w:tcW w:w="2800" w:type="dxa"/>
            <w:vAlign w:val="bottom"/>
            <w:tcBorders>
              <w:bottom w:val="single" w:sz="8" w:color="E0E0E0"/>
            </w:tcBorders>
          </w:tcPr>
          <w:p>
            <w:pPr>
              <w:spacing w:after="0"/>
              <w:rPr>
                <w:sz w:val="19"/>
                <w:szCs w:val="19"/>
                <w:color w:val="auto"/>
              </w:rPr>
            </w:pPr>
          </w:p>
        </w:tc>
        <w:tc>
          <w:tcPr>
            <w:tcW w:w="220" w:type="dxa"/>
            <w:vAlign w:val="bottom"/>
            <w:tcBorders>
              <w:bottom w:val="single" w:sz="8" w:color="121212"/>
            </w:tcBorders>
          </w:tcPr>
          <w:p>
            <w:pPr>
              <w:spacing w:after="0"/>
              <w:rPr>
                <w:sz w:val="19"/>
                <w:szCs w:val="19"/>
                <w:color w:val="auto"/>
              </w:rPr>
            </w:pPr>
          </w:p>
        </w:tc>
        <w:tc>
          <w:tcPr>
            <w:tcW w:w="1340" w:type="dxa"/>
            <w:vAlign w:val="bottom"/>
            <w:tcBorders>
              <w:bottom w:val="single" w:sz="8" w:color="121212"/>
            </w:tcBorders>
          </w:tcPr>
          <w:p>
            <w:pPr>
              <w:jc w:val="right"/>
              <w:ind w:right="3"/>
              <w:spacing w:after="0"/>
              <w:rPr>
                <w:sz w:val="20"/>
                <w:szCs w:val="20"/>
                <w:color w:val="auto"/>
              </w:rPr>
            </w:pPr>
            <w:r>
              <w:rPr>
                <w:rFonts w:ascii="Times New Roman" w:cs="Times New Roman" w:eastAsia="Times New Roman" w:hAnsi="Times New Roman"/>
                <w:sz w:val="20"/>
                <w:szCs w:val="20"/>
                <w:color w:val="121212"/>
              </w:rPr>
              <w:t>—</w:t>
            </w:r>
          </w:p>
        </w:tc>
        <w:tc>
          <w:tcPr>
            <w:tcW w:w="180" w:type="dxa"/>
            <w:vAlign w:val="bottom"/>
            <w:tcBorders>
              <w:bottom w:val="single" w:sz="8" w:color="E0E0E0"/>
            </w:tcBorders>
          </w:tcPr>
          <w:p>
            <w:pPr>
              <w:spacing w:after="0"/>
              <w:rPr>
                <w:sz w:val="19"/>
                <w:szCs w:val="19"/>
                <w:color w:val="auto"/>
              </w:rPr>
            </w:pPr>
          </w:p>
        </w:tc>
        <w:tc>
          <w:tcPr>
            <w:tcW w:w="220" w:type="dxa"/>
            <w:vAlign w:val="bottom"/>
            <w:tcBorders>
              <w:bottom w:val="single" w:sz="8" w:color="121212"/>
            </w:tcBorders>
          </w:tcPr>
          <w:p>
            <w:pPr>
              <w:spacing w:after="0"/>
              <w:rPr>
                <w:sz w:val="19"/>
                <w:szCs w:val="19"/>
                <w:color w:val="auto"/>
              </w:rPr>
            </w:pPr>
          </w:p>
        </w:tc>
        <w:tc>
          <w:tcPr>
            <w:tcW w:w="1320" w:type="dxa"/>
            <w:vAlign w:val="bottom"/>
            <w:tcBorders>
              <w:bottom w:val="single" w:sz="8" w:color="121212"/>
            </w:tcBorders>
          </w:tcPr>
          <w:p>
            <w:pPr>
              <w:jc w:val="right"/>
              <w:ind w:right="3"/>
              <w:spacing w:after="0"/>
              <w:rPr>
                <w:sz w:val="20"/>
                <w:szCs w:val="20"/>
                <w:color w:val="auto"/>
              </w:rPr>
            </w:pPr>
            <w:r>
              <w:rPr>
                <w:rFonts w:ascii="Times New Roman" w:cs="Times New Roman" w:eastAsia="Times New Roman" w:hAnsi="Times New Roman"/>
                <w:sz w:val="20"/>
                <w:szCs w:val="20"/>
                <w:color w:val="121212"/>
              </w:rPr>
              <w:t>—</w:t>
            </w:r>
          </w:p>
        </w:tc>
      </w:tr>
      <w:tr>
        <w:trPr>
          <w:trHeight w:val="220"/>
        </w:trPr>
        <w:tc>
          <w:tcPr>
            <w:tcW w:w="4360" w:type="dxa"/>
            <w:vAlign w:val="bottom"/>
            <w:shd w:val="clear" w:color="auto" w:fill="E0E0E0"/>
          </w:tcPr>
          <w:p>
            <w:pPr>
              <w:spacing w:after="0" w:line="220" w:lineRule="exact"/>
              <w:rPr>
                <w:sz w:val="20"/>
                <w:szCs w:val="20"/>
                <w:color w:val="auto"/>
              </w:rPr>
            </w:pPr>
            <w:r>
              <w:rPr>
                <w:rFonts w:ascii="Times New Roman" w:cs="Times New Roman" w:eastAsia="Times New Roman" w:hAnsi="Times New Roman"/>
                <w:sz w:val="20"/>
                <w:szCs w:val="20"/>
                <w:color w:val="121212"/>
              </w:rPr>
              <w:t>Total</w:t>
            </w:r>
          </w:p>
        </w:tc>
        <w:tc>
          <w:tcPr>
            <w:tcW w:w="280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40" w:type="dxa"/>
            <w:vAlign w:val="bottom"/>
            <w:tcBorders>
              <w:bottom w:val="single" w:sz="8" w:color="121212"/>
            </w:tcBorders>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848,063</w:t>
            </w:r>
          </w:p>
        </w:tc>
        <w:tc>
          <w:tcPr>
            <w:tcW w:w="180" w:type="dxa"/>
            <w:vAlign w:val="bottom"/>
            <w:shd w:val="clear" w:color="auto" w:fill="E0E0E0"/>
          </w:tcPr>
          <w:p>
            <w:pPr>
              <w:spacing w:after="0"/>
              <w:rPr>
                <w:sz w:val="19"/>
                <w:szCs w:val="19"/>
                <w:color w:val="auto"/>
              </w:rPr>
            </w:pPr>
          </w:p>
        </w:tc>
        <w:tc>
          <w:tcPr>
            <w:tcW w:w="220" w:type="dxa"/>
            <w:vAlign w:val="bottom"/>
            <w:tcBorders>
              <w:bottom w:val="single" w:sz="8" w:color="121212"/>
            </w:tcBorders>
            <w:shd w:val="clear" w:color="auto" w:fill="E0E0E0"/>
          </w:tcPr>
          <w:p>
            <w:pPr>
              <w:jc w:val="right"/>
              <w:ind w:right="20"/>
              <w:spacing w:after="0" w:line="220" w:lineRule="exact"/>
              <w:rPr>
                <w:sz w:val="20"/>
                <w:szCs w:val="20"/>
                <w:color w:val="auto"/>
              </w:rPr>
            </w:pPr>
            <w:r>
              <w:rPr>
                <w:rFonts w:ascii="Times New Roman" w:cs="Times New Roman" w:eastAsia="Times New Roman" w:hAnsi="Times New Roman"/>
                <w:sz w:val="20"/>
                <w:szCs w:val="20"/>
                <w:color w:val="121212"/>
                <w:w w:val="79"/>
              </w:rPr>
              <w:t>$</w:t>
            </w:r>
          </w:p>
        </w:tc>
        <w:tc>
          <w:tcPr>
            <w:tcW w:w="1320" w:type="dxa"/>
            <w:vAlign w:val="bottom"/>
            <w:tcBorders>
              <w:bottom w:val="single" w:sz="8" w:color="121212"/>
            </w:tcBorders>
            <w:shd w:val="clear" w:color="auto" w:fill="E0E0E0"/>
          </w:tcPr>
          <w:p>
            <w:pPr>
              <w:jc w:val="right"/>
              <w:ind w:right="3"/>
              <w:spacing w:after="0" w:line="220" w:lineRule="exact"/>
              <w:rPr>
                <w:sz w:val="20"/>
                <w:szCs w:val="20"/>
                <w:color w:val="auto"/>
              </w:rPr>
            </w:pPr>
            <w:r>
              <w:rPr>
                <w:rFonts w:ascii="Times New Roman" w:cs="Times New Roman" w:eastAsia="Times New Roman" w:hAnsi="Times New Roman"/>
                <w:sz w:val="20"/>
                <w:szCs w:val="20"/>
                <w:color w:val="121212"/>
              </w:rPr>
              <w:t>1,180,000</w:t>
            </w:r>
          </w:p>
        </w:tc>
      </w:tr>
    </w:tbl>
    <w:p>
      <w:pPr>
        <w:spacing w:after="0" w:line="2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121212"/>
        </w:rPr>
        <w:t>Audit Fees</w:t>
      </w:r>
    </w:p>
    <w:p>
      <w:pPr>
        <w:sectPr>
          <w:pgSz w:w="12240" w:h="15840" w:orient="portrait"/>
          <w:cols w:equalWidth="0" w:num="1">
            <w:col w:w="10447"/>
          </w:cols>
          <w:pgMar w:left="893" w:top="930" w:right="90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21212"/>
        </w:rPr>
        <w:t>153</w:t>
      </w:r>
    </w:p>
    <w:p>
      <w:pPr>
        <w:sectPr>
          <w:pgSz w:w="12240" w:h="15840" w:orient="portrait"/>
          <w:cols w:equalWidth="0" w:num="1">
            <w:col w:w="10447"/>
          </w:cols>
          <w:pgMar w:left="893" w:top="930" w:right="900" w:bottom="175" w:gutter="0" w:footer="0" w:header="0"/>
          <w:type w:val="continuous"/>
        </w:sectPr>
      </w:pPr>
    </w:p>
    <w:bookmarkStart w:id="163" w:name="page164"/>
    <w:bookmarkEnd w:id="163"/>
    <w:p>
      <w:pPr>
        <w:ind w:firstLine="490"/>
        <w:spacing w:after="0" w:line="247" w:lineRule="auto"/>
        <w:rPr>
          <w:sz w:val="20"/>
          <w:szCs w:val="20"/>
          <w:color w:val="auto"/>
        </w:rPr>
      </w:pPr>
      <w:r>
        <w:rPr>
          <w:rFonts w:ascii="Times New Roman" w:cs="Times New Roman" w:eastAsia="Times New Roman" w:hAnsi="Times New Roman"/>
          <w:sz w:val="20"/>
          <w:szCs w:val="20"/>
          <w:color w:val="121212"/>
        </w:rPr>
        <w:t>Audit fees consist of fees billed and unbilled for professional services performed by EY for the audit of our annual consolidated financial statements, the review of interim consolidated financial statements, and services that are normally provided in connection with registration statements. The 2023 audit fees included $284,000 of fees in connection with the filing of our Registration Statement on Form S-3 and prospectus supplements. The 2022 audit fees included $565,000 of fees in connection with the filing of our Registration Statement on Form S-4 and $200,000 of fees in connection with the filing of our Registration Statement on Form S-3.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21212"/>
        </w:rPr>
        <w:t>Tax Fees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121212"/>
        </w:rPr>
        <w:t>Tax fees consist of tax compliance, tax advice and tax planning services.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21212"/>
        </w:rPr>
        <w:t>Pre-Approval of Audit and Non-Audit Services</w:t>
      </w:r>
    </w:p>
    <w:p>
      <w:pPr>
        <w:spacing w:after="0" w:line="12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121212"/>
        </w:rPr>
        <w:t>It is the policy of our Audit Committee that all services to be provided by our independent registered public accounting firm, including audit services and permitted audit</w:t>
      </w:r>
      <w:r>
        <w:rPr>
          <w:rFonts w:ascii="Times New Roman" w:cs="Times New Roman" w:eastAsia="Times New Roman" w:hAnsi="Times New Roman"/>
          <w:sz w:val="20"/>
          <w:szCs w:val="20"/>
          <w:b w:val="1"/>
          <w:bCs w:val="1"/>
          <w:color w:val="121212"/>
        </w:rPr>
        <w:t>-</w:t>
      </w:r>
      <w:r>
        <w:rPr>
          <w:rFonts w:ascii="Times New Roman" w:cs="Times New Roman" w:eastAsia="Times New Roman" w:hAnsi="Times New Roman"/>
          <w:sz w:val="20"/>
          <w:szCs w:val="20"/>
          <w:color w:val="121212"/>
        </w:rPr>
        <w:t>related and non</w:t>
      </w:r>
      <w:r>
        <w:rPr>
          <w:rFonts w:ascii="Times New Roman" w:cs="Times New Roman" w:eastAsia="Times New Roman" w:hAnsi="Times New Roman"/>
          <w:sz w:val="20"/>
          <w:szCs w:val="20"/>
          <w:b w:val="1"/>
          <w:bCs w:val="1"/>
          <w:color w:val="121212"/>
        </w:rPr>
        <w:t>-</w:t>
      </w:r>
      <w:r>
        <w:rPr>
          <w:rFonts w:ascii="Times New Roman" w:cs="Times New Roman" w:eastAsia="Times New Roman" w:hAnsi="Times New Roman"/>
          <w:sz w:val="20"/>
          <w:szCs w:val="20"/>
          <w:color w:val="121212"/>
        </w:rPr>
        <w:t>audit services, must be approved in advance by our Audit Committee, except that pre- approval is not required for the provision of non-audit services if the “de minimis” provisions of Section 10A(i)(1)(B) of the Exchange Act are satisfied. The Audit Committee may delegate authority to pre-approve non-audit services to one or more members of the Audit Committee, who shall present all decisions made to pre-approve an activity to the full Audit Committee at its first meeting following such decision. All services provided by EY during fiscal years 2023 and 2022 were pre-approved by the Audit Committee in accordance with the pre</w:t>
      </w:r>
      <w:r>
        <w:rPr>
          <w:rFonts w:ascii="Times New Roman" w:cs="Times New Roman" w:eastAsia="Times New Roman" w:hAnsi="Times New Roman"/>
          <w:sz w:val="20"/>
          <w:szCs w:val="20"/>
          <w:b w:val="1"/>
          <w:bCs w:val="1"/>
          <w:color w:val="121212"/>
        </w:rPr>
        <w:t>-</w:t>
      </w:r>
      <w:r>
        <w:rPr>
          <w:rFonts w:ascii="Times New Roman" w:cs="Times New Roman" w:eastAsia="Times New Roman" w:hAnsi="Times New Roman"/>
          <w:sz w:val="20"/>
          <w:szCs w:val="20"/>
          <w:color w:val="121212"/>
        </w:rPr>
        <w:t>approval policy described above.</w:t>
      </w:r>
    </w:p>
    <w:p>
      <w:pPr>
        <w:sectPr>
          <w:pgSz w:w="12240" w:h="15840" w:orient="portrait"/>
          <w:cols w:equalWidth="0" w:num="1">
            <w:col w:w="10400"/>
          </w:cols>
          <w:pgMar w:left="900" w:top="930" w:right="9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21212"/>
        </w:rPr>
        <w:t>154</w:t>
      </w:r>
    </w:p>
    <w:p>
      <w:pPr>
        <w:sectPr>
          <w:pgSz w:w="12240" w:h="15840" w:orient="portrait"/>
          <w:cols w:equalWidth="0" w:num="1">
            <w:col w:w="10400"/>
          </w:cols>
          <w:pgMar w:left="900" w:top="930" w:right="940" w:bottom="175" w:gutter="0" w:footer="0" w:header="0"/>
          <w:type w:val="continuous"/>
        </w:sectPr>
      </w:pPr>
    </w:p>
    <w:bookmarkStart w:id="164" w:name="page165"/>
    <w:bookmarkEnd w:id="164"/>
    <w:p>
      <w:pPr>
        <w:jc w:val="center"/>
        <w:ind w:right="-26"/>
        <w:spacing w:after="0"/>
        <w:rPr>
          <w:sz w:val="20"/>
          <w:szCs w:val="20"/>
          <w:color w:val="auto"/>
        </w:rPr>
      </w:pPr>
      <w:r>
        <w:rPr>
          <w:rFonts w:ascii="Times New Roman" w:cs="Times New Roman" w:eastAsia="Times New Roman" w:hAnsi="Times New Roman"/>
          <w:sz w:val="20"/>
          <w:szCs w:val="20"/>
          <w:b w:val="1"/>
          <w:bCs w:val="1"/>
          <w:color w:val="121212"/>
        </w:rPr>
        <w:t>PART IV</w:t>
      </w:r>
    </w:p>
    <w:p>
      <w:pPr>
        <w:spacing w:after="0" w:line="240" w:lineRule="exact"/>
        <w:rPr>
          <w:sz w:val="20"/>
          <w:szCs w:val="20"/>
          <w:color w:val="auto"/>
        </w:rPr>
      </w:pPr>
    </w:p>
    <w:p>
      <w:pPr>
        <w:ind w:left="7"/>
        <w:spacing w:after="0"/>
        <w:tabs>
          <w:tab w:leader="none" w:pos="1207" w:val="left"/>
        </w:tabs>
        <w:rPr>
          <w:sz w:val="20"/>
          <w:szCs w:val="20"/>
          <w:color w:val="auto"/>
        </w:rPr>
      </w:pPr>
      <w:r>
        <w:rPr>
          <w:rFonts w:ascii="Times New Roman" w:cs="Times New Roman" w:eastAsia="Times New Roman" w:hAnsi="Times New Roman"/>
          <w:sz w:val="20"/>
          <w:szCs w:val="20"/>
          <w:b w:val="1"/>
          <w:bCs w:val="1"/>
          <w:color w:val="121212"/>
        </w:rPr>
        <w:t>ITEM 15.</w:t>
      </w:r>
      <w:r>
        <w:rPr>
          <w:sz w:val="20"/>
          <w:szCs w:val="20"/>
          <w:color w:val="auto"/>
        </w:rPr>
        <w:tab/>
      </w:r>
      <w:r>
        <w:rPr>
          <w:rFonts w:ascii="Times New Roman" w:cs="Times New Roman" w:eastAsia="Times New Roman" w:hAnsi="Times New Roman"/>
          <w:sz w:val="19"/>
          <w:szCs w:val="19"/>
          <w:b w:val="1"/>
          <w:bCs w:val="1"/>
          <w:color w:val="121212"/>
        </w:rPr>
        <w:t>EXHIBITS, FINANCIAL STATEMENT SCHEDULES</w:t>
      </w:r>
    </w:p>
    <w:p>
      <w:pPr>
        <w:spacing w:after="0" w:line="126" w:lineRule="exact"/>
        <w:rPr>
          <w:sz w:val="20"/>
          <w:szCs w:val="20"/>
          <w:color w:val="auto"/>
        </w:rPr>
      </w:pPr>
    </w:p>
    <w:p>
      <w:pPr>
        <w:ind w:left="727" w:hanging="727"/>
        <w:spacing w:after="0"/>
        <w:tabs>
          <w:tab w:leader="none" w:pos="727" w:val="left"/>
        </w:tabs>
        <w:numPr>
          <w:ilvl w:val="0"/>
          <w:numId w:val="76"/>
        </w:numPr>
        <w:rPr>
          <w:rFonts w:ascii="Times New Roman" w:cs="Times New Roman" w:eastAsia="Times New Roman" w:hAnsi="Times New Roman"/>
          <w:sz w:val="20"/>
          <w:szCs w:val="20"/>
          <w:i w:val="1"/>
          <w:iCs w:val="1"/>
          <w:color w:val="121212"/>
        </w:rPr>
      </w:pPr>
      <w:r>
        <w:rPr>
          <w:rFonts w:ascii="Times New Roman" w:cs="Times New Roman" w:eastAsia="Times New Roman" w:hAnsi="Times New Roman"/>
          <w:sz w:val="20"/>
          <w:szCs w:val="20"/>
          <w:i w:val="1"/>
          <w:iCs w:val="1"/>
          <w:color w:val="121212"/>
        </w:rPr>
        <w:t>Financial Statements</w:t>
      </w:r>
    </w:p>
    <w:p>
      <w:pPr>
        <w:spacing w:after="0" w:line="118" w:lineRule="exact"/>
        <w:rPr>
          <w:sz w:val="20"/>
          <w:szCs w:val="20"/>
          <w:color w:val="auto"/>
        </w:rPr>
      </w:pPr>
    </w:p>
    <w:p>
      <w:pPr>
        <w:ind w:left="7" w:firstLine="490"/>
        <w:spacing w:after="0" w:line="277" w:lineRule="auto"/>
        <w:rPr>
          <w:sz w:val="20"/>
          <w:szCs w:val="20"/>
          <w:color w:val="auto"/>
        </w:rPr>
      </w:pPr>
      <w:r>
        <w:rPr>
          <w:rFonts w:ascii="Times New Roman" w:cs="Times New Roman" w:eastAsia="Times New Roman" w:hAnsi="Times New Roman"/>
          <w:sz w:val="20"/>
          <w:szCs w:val="20"/>
          <w:color w:val="121212"/>
        </w:rPr>
        <w:t>For a list of the financial statements included herein, see Index to the Consolidated Financial Statements on page 107 of this Annual Report on Form 10-K, incorporated into this Item by reference.</w:t>
      </w:r>
    </w:p>
    <w:p>
      <w:pPr>
        <w:spacing w:after="0" w:line="171" w:lineRule="exact"/>
        <w:rPr>
          <w:sz w:val="20"/>
          <w:szCs w:val="20"/>
          <w:color w:val="auto"/>
        </w:rPr>
      </w:pPr>
    </w:p>
    <w:p>
      <w:pPr>
        <w:ind w:left="727" w:hanging="727"/>
        <w:spacing w:after="0"/>
        <w:tabs>
          <w:tab w:leader="none" w:pos="727" w:val="left"/>
        </w:tabs>
        <w:numPr>
          <w:ilvl w:val="0"/>
          <w:numId w:val="77"/>
        </w:numPr>
        <w:rPr>
          <w:rFonts w:ascii="Times New Roman" w:cs="Times New Roman" w:eastAsia="Times New Roman" w:hAnsi="Times New Roman"/>
          <w:sz w:val="20"/>
          <w:szCs w:val="20"/>
          <w:i w:val="1"/>
          <w:iCs w:val="1"/>
          <w:color w:val="121212"/>
        </w:rPr>
      </w:pPr>
      <w:r>
        <w:rPr>
          <w:rFonts w:ascii="Times New Roman" w:cs="Times New Roman" w:eastAsia="Times New Roman" w:hAnsi="Times New Roman"/>
          <w:sz w:val="20"/>
          <w:szCs w:val="20"/>
          <w:i w:val="1"/>
          <w:iCs w:val="1"/>
          <w:color w:val="121212"/>
        </w:rPr>
        <w:t>Financial Statement Schedules</w:t>
      </w:r>
    </w:p>
    <w:p>
      <w:pPr>
        <w:spacing w:after="0" w:line="118" w:lineRule="exact"/>
        <w:rPr>
          <w:sz w:val="20"/>
          <w:szCs w:val="20"/>
          <w:color w:val="auto"/>
        </w:rPr>
      </w:pPr>
    </w:p>
    <w:p>
      <w:pPr>
        <w:ind w:left="7" w:right="40" w:firstLine="490"/>
        <w:spacing w:after="0" w:line="277" w:lineRule="auto"/>
        <w:rPr>
          <w:sz w:val="20"/>
          <w:szCs w:val="20"/>
          <w:color w:val="auto"/>
        </w:rPr>
      </w:pPr>
      <w:r>
        <w:rPr>
          <w:rFonts w:ascii="Times New Roman" w:cs="Times New Roman" w:eastAsia="Times New Roman" w:hAnsi="Times New Roman"/>
          <w:sz w:val="20"/>
          <w:szCs w:val="20"/>
          <w:color w:val="121212"/>
        </w:rPr>
        <w:t>Financial statement schedules have been omitted because they are either not required or not applicable or the information is included in the consolidated financial statements or the notes thereto.</w:t>
      </w:r>
    </w:p>
    <w:p>
      <w:pPr>
        <w:spacing w:after="0" w:line="171" w:lineRule="exact"/>
        <w:rPr>
          <w:sz w:val="20"/>
          <w:szCs w:val="20"/>
          <w:color w:val="auto"/>
        </w:rPr>
      </w:pPr>
    </w:p>
    <w:p>
      <w:pPr>
        <w:ind w:left="727" w:hanging="727"/>
        <w:spacing w:after="0"/>
        <w:tabs>
          <w:tab w:leader="none" w:pos="727" w:val="left"/>
        </w:tabs>
        <w:numPr>
          <w:ilvl w:val="0"/>
          <w:numId w:val="78"/>
        </w:numPr>
        <w:rPr>
          <w:rFonts w:ascii="Times New Roman" w:cs="Times New Roman" w:eastAsia="Times New Roman" w:hAnsi="Times New Roman"/>
          <w:sz w:val="20"/>
          <w:szCs w:val="20"/>
          <w:i w:val="1"/>
          <w:iCs w:val="1"/>
          <w:color w:val="121212"/>
        </w:rPr>
      </w:pPr>
      <w:r>
        <w:rPr>
          <w:rFonts w:ascii="Times New Roman" w:cs="Times New Roman" w:eastAsia="Times New Roman" w:hAnsi="Times New Roman"/>
          <w:sz w:val="20"/>
          <w:szCs w:val="20"/>
          <w:i w:val="1"/>
          <w:iCs w:val="1"/>
          <w:color w:val="121212"/>
        </w:rPr>
        <w:t>Exhibits</w:t>
      </w:r>
    </w:p>
    <w:p>
      <w:pPr>
        <w:spacing w:after="0" w:line="118" w:lineRule="exact"/>
        <w:rPr>
          <w:sz w:val="20"/>
          <w:szCs w:val="20"/>
          <w:color w:val="auto"/>
        </w:rPr>
      </w:pPr>
    </w:p>
    <w:p>
      <w:pPr>
        <w:jc w:val="both"/>
        <w:ind w:left="7" w:right="200" w:firstLine="490"/>
        <w:spacing w:after="0" w:line="258" w:lineRule="auto"/>
        <w:rPr>
          <w:sz w:val="20"/>
          <w:szCs w:val="20"/>
          <w:color w:val="auto"/>
        </w:rPr>
      </w:pPr>
      <w:r>
        <w:rPr>
          <w:rFonts w:ascii="Times New Roman" w:cs="Times New Roman" w:eastAsia="Times New Roman" w:hAnsi="Times New Roman"/>
          <w:sz w:val="20"/>
          <w:szCs w:val="20"/>
          <w:color w:val="121212"/>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ectPr>
          <w:pgSz w:w="12240" w:h="15840" w:orient="portrait"/>
          <w:cols w:equalWidth="0" w:num="1">
            <w:col w:w="10427"/>
          </w:cols>
          <w:pgMar w:left="893" w:top="926"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20"/>
          <w:szCs w:val="20"/>
          <w:color w:val="121212"/>
        </w:rPr>
        <w:t>155</w:t>
      </w:r>
    </w:p>
    <w:p>
      <w:pPr>
        <w:sectPr>
          <w:pgSz w:w="12240" w:h="15840" w:orient="portrait"/>
          <w:cols w:equalWidth="0" w:num="1">
            <w:col w:w="10427"/>
          </w:cols>
          <w:pgMar w:left="893" w:top="926" w:right="920" w:bottom="175"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color w:val="121212"/>
        </w:rPr>
        <w:t>Exhibit Index</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121212"/>
              </w:rPr>
              <w:t>Exhibit</w:t>
            </w:r>
          </w:p>
        </w:tc>
        <w:tc>
          <w:tcPr>
            <w:tcW w:w="140" w:type="dxa"/>
            <w:vAlign w:val="bottom"/>
          </w:tcPr>
          <w:p>
            <w:pPr>
              <w:spacing w:after="0"/>
              <w:rPr>
                <w:sz w:val="16"/>
                <w:szCs w:val="16"/>
                <w:color w:val="auto"/>
              </w:rPr>
            </w:pPr>
          </w:p>
        </w:tc>
        <w:tc>
          <w:tcPr>
            <w:tcW w:w="9420" w:type="dxa"/>
            <w:vAlign w:val="bottom"/>
          </w:tcPr>
          <w:p>
            <w:pPr>
              <w:spacing w:after="0"/>
              <w:rPr>
                <w:sz w:val="16"/>
                <w:szCs w:val="16"/>
                <w:color w:val="auto"/>
              </w:rPr>
            </w:pPr>
          </w:p>
        </w:tc>
      </w:tr>
      <w:tr>
        <w:trPr>
          <w:trHeight w:val="203"/>
        </w:trPr>
        <w:tc>
          <w:tcPr>
            <w:tcW w:w="880" w:type="dxa"/>
            <w:vAlign w:val="bottom"/>
            <w:tcBorders>
              <w:bottom w:val="single" w:sz="8" w:color="121212"/>
            </w:tcBorders>
          </w:tcPr>
          <w:p>
            <w:pPr>
              <w:ind w:left="160"/>
              <w:spacing w:after="0"/>
              <w:rPr>
                <w:sz w:val="20"/>
                <w:szCs w:val="20"/>
                <w:color w:val="auto"/>
              </w:rPr>
            </w:pPr>
            <w:r>
              <w:rPr>
                <w:rFonts w:ascii="Times New Roman" w:cs="Times New Roman" w:eastAsia="Times New Roman" w:hAnsi="Times New Roman"/>
                <w:sz w:val="16"/>
                <w:szCs w:val="16"/>
                <w:b w:val="1"/>
                <w:bCs w:val="1"/>
                <w:color w:val="121212"/>
              </w:rPr>
              <w:t>Number</w:t>
            </w:r>
          </w:p>
        </w:tc>
        <w:tc>
          <w:tcPr>
            <w:tcW w:w="140" w:type="dxa"/>
            <w:vAlign w:val="bottom"/>
          </w:tcPr>
          <w:p>
            <w:pPr>
              <w:spacing w:after="0"/>
              <w:rPr>
                <w:sz w:val="17"/>
                <w:szCs w:val="17"/>
                <w:color w:val="auto"/>
              </w:rPr>
            </w:pPr>
          </w:p>
        </w:tc>
        <w:tc>
          <w:tcPr>
            <w:tcW w:w="9420" w:type="dxa"/>
            <w:vAlign w:val="bottom"/>
            <w:tcBorders>
              <w:bottom w:val="single" w:sz="8" w:color="121212"/>
            </w:tcBorders>
          </w:tcPr>
          <w:p>
            <w:pPr>
              <w:ind w:left="4400"/>
              <w:spacing w:after="0"/>
              <w:rPr>
                <w:sz w:val="20"/>
                <w:szCs w:val="20"/>
                <w:color w:val="auto"/>
              </w:rPr>
            </w:pPr>
            <w:r>
              <w:rPr>
                <w:rFonts w:ascii="Times New Roman" w:cs="Times New Roman" w:eastAsia="Times New Roman" w:hAnsi="Times New Roman"/>
                <w:sz w:val="16"/>
                <w:szCs w:val="16"/>
                <w:b w:val="1"/>
                <w:bCs w:val="1"/>
                <w:color w:val="121212"/>
              </w:rPr>
              <w:t>Description</w:t>
            </w:r>
          </w:p>
        </w:tc>
      </w:tr>
      <w:tr>
        <w:trPr>
          <w:trHeight w:val="316"/>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2.1†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Agreement and Plan of Merger and reorganization, dated as of August 9, 2022, by and among Gemini Therapeutics,</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Inc. Gemstone Merger Sub, Inc. and Disc Medicine, Inc. (incorporated by reference to Exhibit 2.1 to the Registrant’s</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Proxy Statement/Prospectus on Form S-4 filed on September 2,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3.1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 Disc Medicine, Inc. (incorporated by reference to Annex B to</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Gemini Therapeutics, Inc.’s Proxy Statement/Prospectus on Form S-4/A (Registration No. 333-249785)).</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3.2</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the Amended and Restated Certificate of Incorporation of Disc Medicine, Inc., dated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w w:val="99"/>
              </w:rPr>
              <w:t>December 28, 2022 (incorporated by reference to Exhibit 3.1 to the Registrant’s Current Report on Form 8-K filed on</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December 29,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3.3</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the Amended and Restated Certificate of Incorporation of Disc Medicine, Inc., dated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w w:val="99"/>
              </w:rPr>
              <w:t>December 29, 2022 (incorporated by reference to Exhibit 3.2 to the Registrant’s Current Report on Form 8-K filed on</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December 29,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3.4</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Disc Medicine, Inc. (incorporated by reference to Annex C to Gemini</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Therapeutics, Inc.’s Proxy Statement/Prospectus on Form S-4/A (Registration No. 333-249785)).</w:t>
            </w:r>
          </w:p>
        </w:tc>
      </w:tr>
      <w:tr>
        <w:trPr>
          <w:trHeight w:val="423"/>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4.1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Exchange Act (incorporated by</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4.4 to Gemini Therapeutics, Inc.’s Annual Report on Form 10-K filed on March 10,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4.2</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Rights Agreement, among Disc Medicine, Inc. and certain of its stockholders, dated December 28, 2022</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10.1 to the Registrant’s Current Report on Form 8-K filed on December 29,</w:t>
            </w:r>
          </w:p>
        </w:tc>
      </w:tr>
      <w:tr>
        <w:trPr>
          <w:trHeight w:val="266"/>
        </w:trPr>
        <w:tc>
          <w:tcPr>
            <w:tcW w:w="880" w:type="dxa"/>
            <w:vAlign w:val="bottom"/>
          </w:tcPr>
          <w:p>
            <w:pPr>
              <w:spacing w:after="0"/>
              <w:rPr>
                <w:sz w:val="23"/>
                <w:szCs w:val="23"/>
                <w:color w:val="auto"/>
              </w:rPr>
            </w:pPr>
          </w:p>
        </w:tc>
        <w:tc>
          <w:tcPr>
            <w:tcW w:w="95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4.3</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Rights Agreement, dated February 5, 2021, by and among Gemini Therapeutics, Inc. and the</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stockholder parties thereto (incorporated by reference to Exhibit 10.1 on Form 8-A12B/A filed on February 5, 2021).</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4.4</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Form of Pre-Funded Warrant (incorporated by reference to Exhibit 4.1 to the Registrant’s Current Report on Form 8-</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K (File No. 001-39438) filed February 14, 2023).</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License Agreement by and among Disc Medicine, Inc., F. Hoffmann-La Roche Ltd and Hoffmann-La Roche Inc.,</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dated May 7, 2021 (incorporated by reference to Exhibit 10.2 to the Registrant’s Proxy Statement/Prospectus on</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Form S-4 filed on September 2,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10.2††</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License Agreement by and between Disc Medicine, Inc. and AbbVie Deutschland GmbH &amp; Co, KG, dated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September 13, 2019 (incorporated by reference to Exhibit 10.3 to the Registrant’s Proxy Statement/Prospectus on</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Form S-4 filed on November 23,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10.3††</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Exclusive License Agreement, dated January 19, 2023, by and between Disc Medicine, Inc. and Mabwell</w:t>
            </w:r>
          </w:p>
        </w:tc>
      </w:tr>
      <w:tr>
        <w:trPr>
          <w:trHeight w:val="230"/>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w w:val="99"/>
              </w:rPr>
              <w:t>Therapeutics, Inc. (incorporated by reference to Exhibit 10.1 to the Registrant’s Quarterly Report on Form 10-Q (File</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No. 001-39438) filed on May 15, 2023)</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10.3</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Lease by and between Disc Medicine, Inc. and ARE-MA Region No. 75, LLC, dated October 29, 2021 (incorporated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10.4 to the Registrant’s Proxy Statement/Prospectus on Form S-4 filed on September 2,</w:t>
            </w:r>
          </w:p>
        </w:tc>
      </w:tr>
      <w:tr>
        <w:trPr>
          <w:trHeight w:val="266"/>
        </w:trPr>
        <w:tc>
          <w:tcPr>
            <w:tcW w:w="880" w:type="dxa"/>
            <w:vAlign w:val="bottom"/>
          </w:tcPr>
          <w:p>
            <w:pPr>
              <w:spacing w:after="0"/>
              <w:rPr>
                <w:sz w:val="23"/>
                <w:szCs w:val="23"/>
                <w:color w:val="auto"/>
              </w:rPr>
            </w:pPr>
          </w:p>
        </w:tc>
        <w:tc>
          <w:tcPr>
            <w:tcW w:w="95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10.4</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Addendum to License Agreement by and among Disc Medicine, Inc., F. Hoffmann-La Roche Ltd and Hoffmann-La</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Roche Inc., dated December 7, 2021 (incorporated by reference to Exhibit 10.5 to the Registrant’s Proxy</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Statement/Prospectus on Form S-4 filed on September 2,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10.5</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Addendum to License Agreement by and among Disc Medicine, Inc., F. Hoffmann-La Roche Ltd and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Hoffmann-La Roche Inc., dated February 28, 2022 (incorporated by reference to Exhibit 10.6 to the Registrant’s</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Proxy Statement/Prospectus on Form S-4 filed on September 2, 2022).</w:t>
            </w:r>
          </w:p>
        </w:tc>
      </w:tr>
    </w:tbl>
    <w:p>
      <w:pPr>
        <w:spacing w:after="0" w:line="200" w:lineRule="exact"/>
        <w:rPr>
          <w:sz w:val="20"/>
          <w:szCs w:val="20"/>
          <w:color w:val="auto"/>
        </w:rPr>
      </w:pPr>
    </w:p>
    <w:p>
      <w:pPr>
        <w:sectPr>
          <w:pgSz w:w="12240" w:h="15840" w:orient="portrait"/>
          <w:cols w:equalWidth="0" w:num="1">
            <w:col w:w="10440"/>
          </w:cols>
          <w:pgMar w:left="900" w:top="926" w:right="900" w:bottom="175"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156</w:t>
      </w:r>
    </w:p>
    <w:p>
      <w:pPr>
        <w:sectPr>
          <w:pgSz w:w="12240" w:h="15840" w:orient="portrait"/>
          <w:cols w:equalWidth="0" w:num="1">
            <w:col w:w="10440"/>
          </w:cols>
          <w:pgMar w:left="900" w:top="926" w:right="900" w:bottom="175"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184"/>
        </w:trPr>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121212"/>
              </w:rPr>
              <w:t>Exhibit</w:t>
            </w:r>
          </w:p>
        </w:tc>
        <w:tc>
          <w:tcPr>
            <w:tcW w:w="140" w:type="dxa"/>
            <w:vAlign w:val="bottom"/>
          </w:tcPr>
          <w:p>
            <w:pPr>
              <w:spacing w:after="0"/>
              <w:rPr>
                <w:sz w:val="16"/>
                <w:szCs w:val="16"/>
                <w:color w:val="auto"/>
              </w:rPr>
            </w:pPr>
          </w:p>
        </w:tc>
        <w:tc>
          <w:tcPr>
            <w:tcW w:w="9420" w:type="dxa"/>
            <w:vAlign w:val="bottom"/>
          </w:tcPr>
          <w:p>
            <w:pPr>
              <w:spacing w:after="0"/>
              <w:rPr>
                <w:sz w:val="16"/>
                <w:szCs w:val="16"/>
                <w:color w:val="auto"/>
              </w:rPr>
            </w:pPr>
          </w:p>
        </w:tc>
      </w:tr>
      <w:tr>
        <w:trPr>
          <w:trHeight w:val="203"/>
        </w:trPr>
        <w:tc>
          <w:tcPr>
            <w:tcW w:w="880" w:type="dxa"/>
            <w:vAlign w:val="bottom"/>
            <w:tcBorders>
              <w:bottom w:val="single" w:sz="8" w:color="121212"/>
            </w:tcBorders>
          </w:tcPr>
          <w:p>
            <w:pPr>
              <w:ind w:left="160"/>
              <w:spacing w:after="0"/>
              <w:rPr>
                <w:sz w:val="20"/>
                <w:szCs w:val="20"/>
                <w:color w:val="auto"/>
              </w:rPr>
            </w:pPr>
            <w:r>
              <w:rPr>
                <w:rFonts w:ascii="Times New Roman" w:cs="Times New Roman" w:eastAsia="Times New Roman" w:hAnsi="Times New Roman"/>
                <w:sz w:val="16"/>
                <w:szCs w:val="16"/>
                <w:b w:val="1"/>
                <w:bCs w:val="1"/>
                <w:color w:val="121212"/>
              </w:rPr>
              <w:t>Number</w:t>
            </w:r>
          </w:p>
        </w:tc>
        <w:tc>
          <w:tcPr>
            <w:tcW w:w="140" w:type="dxa"/>
            <w:vAlign w:val="bottom"/>
          </w:tcPr>
          <w:p>
            <w:pPr>
              <w:spacing w:after="0"/>
              <w:rPr>
                <w:sz w:val="17"/>
                <w:szCs w:val="17"/>
                <w:color w:val="auto"/>
              </w:rPr>
            </w:pPr>
          </w:p>
        </w:tc>
        <w:tc>
          <w:tcPr>
            <w:tcW w:w="9420" w:type="dxa"/>
            <w:vAlign w:val="bottom"/>
            <w:tcBorders>
              <w:bottom w:val="single" w:sz="8" w:color="121212"/>
            </w:tcBorders>
          </w:tcPr>
          <w:p>
            <w:pPr>
              <w:ind w:left="4400"/>
              <w:spacing w:after="0"/>
              <w:rPr>
                <w:sz w:val="20"/>
                <w:szCs w:val="20"/>
                <w:color w:val="auto"/>
              </w:rPr>
            </w:pPr>
            <w:r>
              <w:rPr>
                <w:rFonts w:ascii="Times New Roman" w:cs="Times New Roman" w:eastAsia="Times New Roman" w:hAnsi="Times New Roman"/>
                <w:sz w:val="16"/>
                <w:szCs w:val="16"/>
                <w:b w:val="1"/>
                <w:bCs w:val="1"/>
                <w:color w:val="121212"/>
              </w:rPr>
              <w:t>Description</w:t>
            </w:r>
          </w:p>
        </w:tc>
      </w:tr>
      <w:tr>
        <w:trPr>
          <w:trHeight w:val="201"/>
        </w:trPr>
        <w:tc>
          <w:tcPr>
            <w:tcW w:w="880" w:type="dxa"/>
            <w:vAlign w:val="bottom"/>
          </w:tcPr>
          <w:p>
            <w:pPr>
              <w:ind w:left="140"/>
              <w:spacing w:after="0" w:line="201" w:lineRule="exact"/>
              <w:rPr>
                <w:sz w:val="20"/>
                <w:szCs w:val="20"/>
                <w:color w:val="auto"/>
              </w:rPr>
            </w:pPr>
            <w:r>
              <w:rPr>
                <w:rFonts w:ascii="Times New Roman" w:cs="Times New Roman" w:eastAsia="Times New Roman" w:hAnsi="Times New Roman"/>
                <w:sz w:val="20"/>
                <w:szCs w:val="20"/>
                <w:color w:val="121212"/>
              </w:rPr>
              <w:t>10.6</w:t>
            </w:r>
          </w:p>
        </w:tc>
        <w:tc>
          <w:tcPr>
            <w:tcW w:w="140" w:type="dxa"/>
            <w:vAlign w:val="bottom"/>
          </w:tcPr>
          <w:p>
            <w:pPr>
              <w:spacing w:after="0"/>
              <w:rPr>
                <w:sz w:val="17"/>
                <w:szCs w:val="17"/>
                <w:color w:val="auto"/>
              </w:rPr>
            </w:pPr>
          </w:p>
        </w:tc>
        <w:tc>
          <w:tcPr>
            <w:tcW w:w="94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Second Amendment to Addendum to License Agreement by and among Disc Medicine, Inc., F. Hoffmann-La Roche</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Ltd and Hoffmann-La Roche Inc., dated May 31, 2022 (incorporated by reference to Exhibit 10.7 to the Registrant’s</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Proxy Statement/Prospectus on Form S-4 filed on September 2,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10.7</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Third Amendment to Addendum to License Agreement by and among Disc Medicine, Inc., F. Hoffmann-La Roche</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Ltd and Hoffmann-La Roche Inc., dated October 19, 2022 (incorporated by reference to Exhibit 10.21 to the</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Proxy Statement/Prospectus on Form S-4 filed on November 3,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10.8</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Issuance Agreement, dated as of December 29, 2022, by and between Disc Medicine Opco, Inc., F.</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Hoffmann-La Roche Ltd. and Hoffmann-La Roche Inc. (incorporated by reference to Exhibit 10.5 to the Registrant’s</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Current Report on Form 8-K filed on December 29,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10.9††</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Stock Purchase and Restriction Agreement, dated September 13, 2019, by and between Disc Medicine, Inc. and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AbbVie Deutschland GmbH &amp; Co. KG (incorporated by reference to Exhibit 10.22 to the Registrant’s Proxy</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Statement/Prospectus on Form S-4 filed on November 23,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10.10#</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Disc Medicine, Inc. Amended and Restated 2021 Stock Option and Incentive Plan (incorporated by reference to</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Exhibit 99.1 of Disc Medicine, Inc.’s Form S-8 filed on January 18, 2023 (Registration No. 333-269271)).</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Forms of Award Agreements under the Disc Medicine, Inc. Amended and Restated 2021 Stock Option and Incentive</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Plan (incorporated by reference to Exhibit 99.2 of Disc Medicine, Inc.’s Form S-8 filed on January 18, 2023</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No. 333-269271)).</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10.12#</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Disc Medicine, Inc. Amended and Restated 2021 Employee Stock Purchase Plan (incorporated by reference to</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Exhibit 99.3 of Disc Medicine, Inc.’s Form S-8 filed on January 18, 2023 (Registration No. 333-269271)).</w:t>
            </w:r>
          </w:p>
        </w:tc>
      </w:tr>
      <w:tr>
        <w:trPr>
          <w:trHeight w:val="423"/>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10.13#</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2017 Stock Option and Grant Plan of Disc Medicine, Inc., and form of award agreements thereunder (incorporated</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10.9 to the Registrant’s Current Report on Form 8-K filed on December 29,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10.14#</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2021 Inducement Plan (incorporated by reference to Exhibit 99.3 of Gemini Therapeutics, Inc.’s Form S-8 filed on</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April 13, 2021 (Registration No. 333-255194)).</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10.15#</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for Directors of Disc Medicine, Inc. (incorporated by reference to Exhibit 10.3</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to the Registrant’s Current Report on Form 8-K filed on December 29,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10.16#</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for Officers of Disc Medicine, Inc. (incorporated by reference to Exhibit 10.4 to</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the Registrant’s Current Report on Form 8-K filed on December 29,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10.17#</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as of December 29, 2022, by and between Disc Medicine, Inc. and John Quisel, J.D.</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Ph.D. (incorporated by reference to Exhibit 10.6 to the Registrant’s Current Report on Form 8-K filed on December</w:t>
            </w:r>
          </w:p>
        </w:tc>
      </w:tr>
      <w:tr>
        <w:trPr>
          <w:trHeight w:val="266"/>
        </w:trPr>
        <w:tc>
          <w:tcPr>
            <w:tcW w:w="880" w:type="dxa"/>
            <w:vAlign w:val="bottom"/>
          </w:tcPr>
          <w:p>
            <w:pPr>
              <w:spacing w:after="0"/>
              <w:rPr>
                <w:sz w:val="23"/>
                <w:szCs w:val="23"/>
                <w:color w:val="auto"/>
              </w:rPr>
            </w:pPr>
          </w:p>
        </w:tc>
        <w:tc>
          <w:tcPr>
            <w:tcW w:w="95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29, 2022).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10.18*#</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Transition and Separation Agreement, dated as of November 27, 2023, by and between Disc Medicine, Inc. and</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343434"/>
              </w:rPr>
              <w:t>Joanne Bryce.</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10.19#</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as of December 29, 2022, by and between Disc Medicine, Inc. and William Savage,</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M.D., Ph.D. (incorporated by reference to Exhibit 10.19 to the Registrant’s Annual Report on Form 10-K (File No.</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001-39438) filed on March 31, 2023).</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10.20#</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as of December 29, 2022, by and between Disc Medicine, Inc. and Jonathan Yu</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10.20 to the Registrant’s Annual Report on Form 10-K (File No. 001-39438)</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343434"/>
              </w:rPr>
              <w:t>filed on March 31, 2023).</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10.21#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dated as of February 7, 2024, by and between Disc Medicine, Inc. and Jean M. Franchi</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w w:val="99"/>
              </w:rPr>
              <w:t>(incorporated by reference to Exhibit 10.1 to the Registrant’s Current Report on Form 8-K (File No. 001-39438) filed</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on February 7, 2024).</w:t>
            </w:r>
          </w:p>
        </w:tc>
      </w:tr>
    </w:tbl>
    <w:p>
      <w:pPr>
        <w:spacing w:after="0" w:line="200" w:lineRule="exact"/>
        <w:rPr>
          <w:sz w:val="20"/>
          <w:szCs w:val="20"/>
          <w:color w:val="auto"/>
        </w:rPr>
      </w:pPr>
    </w:p>
    <w:p>
      <w:pPr>
        <w:sectPr>
          <w:pgSz w:w="12240" w:h="15840" w:orient="portrait"/>
          <w:cols w:equalWidth="0" w:num="1">
            <w:col w:w="10440"/>
          </w:cols>
          <w:pgMar w:left="900" w:top="930" w:right="900" w:bottom="175"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157</w:t>
      </w:r>
    </w:p>
    <w:p>
      <w:pPr>
        <w:sectPr>
          <w:pgSz w:w="12240" w:h="15840" w:orient="portrait"/>
          <w:cols w:equalWidth="0" w:num="1">
            <w:col w:w="10440"/>
          </w:cols>
          <w:pgMar w:left="900" w:top="930" w:right="900" w:bottom="175" w:gutter="0" w:footer="0" w:header="0"/>
          <w:type w:val="continuous"/>
        </w:sectPr>
      </w:pPr>
    </w:p>
    <w:bookmarkStart w:id="167" w:name="page168"/>
    <w:bookmarkEnd w:id="167"/>
    <w:tbl>
      <w:tblPr>
        <w:tblLayout w:type="fixed"/>
        <w:tblInd w:w="7" w:type="dxa"/>
        <w:tblCellMar>
          <w:top w:w="0" w:type="dxa"/>
          <w:left w:w="0" w:type="dxa"/>
          <w:bottom w:w="0" w:type="dxa"/>
          <w:right w:w="0" w:type="dxa"/>
        </w:tblCellMar>
      </w:tblPr>
      <w:tr>
        <w:trPr>
          <w:trHeight w:val="184"/>
        </w:trPr>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121212"/>
              </w:rPr>
              <w:t>Exhibit</w:t>
            </w:r>
          </w:p>
        </w:tc>
        <w:tc>
          <w:tcPr>
            <w:tcW w:w="140" w:type="dxa"/>
            <w:vAlign w:val="bottom"/>
          </w:tcPr>
          <w:p>
            <w:pPr>
              <w:spacing w:after="0"/>
              <w:rPr>
                <w:sz w:val="16"/>
                <w:szCs w:val="16"/>
                <w:color w:val="auto"/>
              </w:rPr>
            </w:pPr>
          </w:p>
        </w:tc>
        <w:tc>
          <w:tcPr>
            <w:tcW w:w="9420" w:type="dxa"/>
            <w:vAlign w:val="bottom"/>
          </w:tcPr>
          <w:p>
            <w:pPr>
              <w:spacing w:after="0"/>
              <w:rPr>
                <w:sz w:val="16"/>
                <w:szCs w:val="16"/>
                <w:color w:val="auto"/>
              </w:rPr>
            </w:pPr>
          </w:p>
        </w:tc>
      </w:tr>
      <w:tr>
        <w:trPr>
          <w:trHeight w:val="203"/>
        </w:trPr>
        <w:tc>
          <w:tcPr>
            <w:tcW w:w="880" w:type="dxa"/>
            <w:vAlign w:val="bottom"/>
            <w:tcBorders>
              <w:bottom w:val="single" w:sz="8" w:color="121212"/>
            </w:tcBorders>
          </w:tcPr>
          <w:p>
            <w:pPr>
              <w:ind w:left="160"/>
              <w:spacing w:after="0"/>
              <w:rPr>
                <w:sz w:val="20"/>
                <w:szCs w:val="20"/>
                <w:color w:val="auto"/>
              </w:rPr>
            </w:pPr>
            <w:r>
              <w:rPr>
                <w:rFonts w:ascii="Times New Roman" w:cs="Times New Roman" w:eastAsia="Times New Roman" w:hAnsi="Times New Roman"/>
                <w:sz w:val="16"/>
                <w:szCs w:val="16"/>
                <w:b w:val="1"/>
                <w:bCs w:val="1"/>
                <w:color w:val="121212"/>
              </w:rPr>
              <w:t>Number</w:t>
            </w:r>
          </w:p>
        </w:tc>
        <w:tc>
          <w:tcPr>
            <w:tcW w:w="140" w:type="dxa"/>
            <w:vAlign w:val="bottom"/>
          </w:tcPr>
          <w:p>
            <w:pPr>
              <w:spacing w:after="0"/>
              <w:rPr>
                <w:sz w:val="17"/>
                <w:szCs w:val="17"/>
                <w:color w:val="auto"/>
              </w:rPr>
            </w:pPr>
          </w:p>
        </w:tc>
        <w:tc>
          <w:tcPr>
            <w:tcW w:w="9420" w:type="dxa"/>
            <w:vAlign w:val="bottom"/>
            <w:tcBorders>
              <w:bottom w:val="single" w:sz="8" w:color="121212"/>
            </w:tcBorders>
          </w:tcPr>
          <w:p>
            <w:pPr>
              <w:ind w:left="4400"/>
              <w:spacing w:after="0"/>
              <w:rPr>
                <w:sz w:val="20"/>
                <w:szCs w:val="20"/>
                <w:color w:val="auto"/>
              </w:rPr>
            </w:pPr>
            <w:r>
              <w:rPr>
                <w:rFonts w:ascii="Times New Roman" w:cs="Times New Roman" w:eastAsia="Times New Roman" w:hAnsi="Times New Roman"/>
                <w:sz w:val="16"/>
                <w:szCs w:val="16"/>
                <w:b w:val="1"/>
                <w:bCs w:val="1"/>
                <w:color w:val="121212"/>
              </w:rPr>
              <w:t>Description</w:t>
            </w:r>
          </w:p>
        </w:tc>
      </w:tr>
      <w:tr>
        <w:trPr>
          <w:trHeight w:val="201"/>
        </w:trPr>
        <w:tc>
          <w:tcPr>
            <w:tcW w:w="880" w:type="dxa"/>
            <w:vAlign w:val="bottom"/>
          </w:tcPr>
          <w:p>
            <w:pPr>
              <w:ind w:left="140"/>
              <w:spacing w:after="0" w:line="201" w:lineRule="exact"/>
              <w:rPr>
                <w:sz w:val="20"/>
                <w:szCs w:val="20"/>
                <w:color w:val="auto"/>
              </w:rPr>
            </w:pPr>
            <w:r>
              <w:rPr>
                <w:rFonts w:ascii="Times New Roman" w:cs="Times New Roman" w:eastAsia="Times New Roman" w:hAnsi="Times New Roman"/>
                <w:sz w:val="20"/>
                <w:szCs w:val="20"/>
                <w:color w:val="121212"/>
              </w:rPr>
              <w:t>10.22</w:t>
            </w:r>
          </w:p>
        </w:tc>
        <w:tc>
          <w:tcPr>
            <w:tcW w:w="140" w:type="dxa"/>
            <w:vAlign w:val="bottom"/>
          </w:tcPr>
          <w:p>
            <w:pPr>
              <w:spacing w:after="0"/>
              <w:rPr>
                <w:sz w:val="17"/>
                <w:szCs w:val="17"/>
                <w:color w:val="auto"/>
              </w:rPr>
            </w:pPr>
          </w:p>
        </w:tc>
        <w:tc>
          <w:tcPr>
            <w:tcW w:w="94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Open Market Sale Agreement, dated October 10, 2023, by and between Disc Medicine, Inc. and Jefferies LLC.</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1.1 to the Registrant’s Current Report on Form 8-K (File No. 001-39438) filed</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on October 10, 2023).</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10.23</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Open Market Sale Agreement, dated December 5, 2023, by and between Disc Medicine, Inc.</w:t>
            </w: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and Jefferies LLC. (incorporated by reference to Exhibit 1.1 to the Registrant’s Current Report on Form 8-K (001-</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39438) filed on December 5, 2023).</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14.1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Code of Business Conduct and Ethics of Disc Medicine, Inc. (incorporated by reference to Exhibit 14.1 to the</w:t>
            </w:r>
          </w:p>
        </w:tc>
      </w:tr>
      <w:tr>
        <w:trPr>
          <w:trHeight w:val="266"/>
        </w:trPr>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Registrant’s Current Report on Form 8-K filed on December 29, 2022).</w:t>
            </w:r>
          </w:p>
        </w:tc>
      </w:tr>
      <w:tr>
        <w:trPr>
          <w:trHeight w:val="460"/>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21.1*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List of Subsidiaries of Disc Medicine, Inc.</w:t>
            </w:r>
          </w:p>
        </w:tc>
      </w:tr>
      <w:tr>
        <w:trPr>
          <w:trHeight w:val="460"/>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23.1*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Consent of Ernst &amp; Young LLP, independent registered accounting firm.</w:t>
            </w:r>
          </w:p>
        </w:tc>
      </w:tr>
      <w:tr>
        <w:trPr>
          <w:trHeight w:val="460"/>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31.1*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Section 302 of the Sarbanes-Oxley Act of 2002</w:t>
            </w:r>
          </w:p>
        </w:tc>
      </w:tr>
      <w:tr>
        <w:trPr>
          <w:trHeight w:val="460"/>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31.2*</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Section 302 of the Sarbanes-Oxley Act of 2002</w:t>
            </w:r>
          </w:p>
        </w:tc>
      </w:tr>
      <w:tr>
        <w:trPr>
          <w:trHeight w:val="424"/>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32.1**</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pursuant to 18 U.S.C. Section 1350, as adopted pursuant to Section 906 of the Sarbanes-Oxley Act of</w:t>
            </w:r>
          </w:p>
        </w:tc>
      </w:tr>
      <w:tr>
        <w:trPr>
          <w:trHeight w:val="266"/>
        </w:trPr>
        <w:tc>
          <w:tcPr>
            <w:tcW w:w="880" w:type="dxa"/>
            <w:vAlign w:val="bottom"/>
          </w:tcPr>
          <w:p>
            <w:pPr>
              <w:spacing w:after="0"/>
              <w:rPr>
                <w:sz w:val="23"/>
                <w:szCs w:val="23"/>
                <w:color w:val="auto"/>
              </w:rPr>
            </w:pPr>
          </w:p>
        </w:tc>
        <w:tc>
          <w:tcPr>
            <w:tcW w:w="95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2002</w:t>
            </w:r>
          </w:p>
        </w:tc>
      </w:tr>
      <w:tr>
        <w:trPr>
          <w:trHeight w:val="460"/>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rPr>
              <w:t>101.INS</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121212"/>
              </w:rPr>
              <w:t>Inline XBRL Instance Document</w:t>
            </w:r>
          </w:p>
        </w:tc>
      </w:tr>
      <w:tr>
        <w:trPr>
          <w:trHeight w:val="460"/>
        </w:trPr>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121212"/>
                <w:w w:val="97"/>
              </w:rPr>
              <w:t>101.SCH</w:t>
            </w:r>
          </w:p>
        </w:tc>
        <w:tc>
          <w:tcPr>
            <w:tcW w:w="1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20"/>
                <w:szCs w:val="20"/>
                <w:color w:val="121212"/>
              </w:rPr>
              <w:t>Inline XBRL Taxonomy Extension Schema With Embedded Linkbase Documents</w:t>
            </w:r>
          </w:p>
        </w:tc>
      </w:tr>
    </w:tbl>
    <w:p>
      <w:pPr>
        <w:spacing w:after="0" w:line="194" w:lineRule="exact"/>
        <w:rPr>
          <w:sz w:val="20"/>
          <w:szCs w:val="20"/>
          <w:color w:val="auto"/>
        </w:rPr>
      </w:pPr>
    </w:p>
    <w:p>
      <w:pPr>
        <w:ind w:left="1027" w:hanging="883"/>
        <w:spacing w:after="0"/>
        <w:tabs>
          <w:tab w:leader="none" w:pos="1027" w:val="left"/>
        </w:tabs>
        <w:numPr>
          <w:ilvl w:val="1"/>
          <w:numId w:val="79"/>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Cover Page Interactive Data File (embedded within the Inline XBRL document)</w:t>
      </w:r>
    </w:p>
    <w:p>
      <w:pPr>
        <w:spacing w:after="0" w:line="349" w:lineRule="exact"/>
        <w:rPr>
          <w:rFonts w:ascii="Times New Roman" w:cs="Times New Roman" w:eastAsia="Times New Roman" w:hAnsi="Times New Roman"/>
          <w:sz w:val="20"/>
          <w:szCs w:val="20"/>
          <w:color w:val="121212"/>
        </w:rPr>
      </w:pPr>
    </w:p>
    <w:p>
      <w:pPr>
        <w:ind w:left="147" w:hanging="147"/>
        <w:spacing w:after="0"/>
        <w:tabs>
          <w:tab w:leader="none" w:pos="147" w:val="left"/>
        </w:tabs>
        <w:numPr>
          <w:ilvl w:val="0"/>
          <w:numId w:val="79"/>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Filed herewith.</w:t>
      </w:r>
    </w:p>
    <w:p>
      <w:pPr>
        <w:spacing w:after="0" w:line="28" w:lineRule="exact"/>
        <w:rPr>
          <w:rFonts w:ascii="Times New Roman" w:cs="Times New Roman" w:eastAsia="Times New Roman" w:hAnsi="Times New Roman"/>
          <w:sz w:val="20"/>
          <w:szCs w:val="20"/>
          <w:color w:val="121212"/>
        </w:rPr>
      </w:pPr>
    </w:p>
    <w:p>
      <w:pPr>
        <w:ind w:left="247" w:hanging="247"/>
        <w:spacing w:after="0"/>
        <w:tabs>
          <w:tab w:leader="none" w:pos="247" w:val="left"/>
        </w:tabs>
        <w:numPr>
          <w:ilvl w:val="0"/>
          <w:numId w:val="80"/>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Furnished herewith.</w:t>
      </w:r>
    </w:p>
    <w:p>
      <w:pPr>
        <w:ind w:left="7"/>
        <w:spacing w:after="0"/>
        <w:rPr>
          <w:sz w:val="20"/>
          <w:szCs w:val="20"/>
          <w:color w:val="auto"/>
        </w:rPr>
      </w:pPr>
      <w:r>
        <w:rPr>
          <w:rFonts w:ascii="Times New Roman" w:cs="Times New Roman" w:eastAsia="Times New Roman" w:hAnsi="Times New Roman"/>
          <w:sz w:val="20"/>
          <w:szCs w:val="20"/>
          <w:color w:val="121212"/>
        </w:rPr>
        <w:t># Indicates a management contract or compensatory plan.</w:t>
      </w:r>
    </w:p>
    <w:p>
      <w:pPr>
        <w:jc w:val="both"/>
        <w:ind w:left="7" w:right="760" w:hanging="7"/>
        <w:spacing w:after="0"/>
        <w:tabs>
          <w:tab w:leader="none" w:pos="157" w:val="left"/>
        </w:tabs>
        <w:numPr>
          <w:ilvl w:val="0"/>
          <w:numId w:val="81"/>
        </w:numPr>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The annexes, schedules, and certain exhibits to the Merger Agreement have been omitted pursuant to Item 601(b)(2) of Regulation S-K. Gemini hereby agrees to furnish supplementally a copy of any omitted annex, schedule or exhibit to the Commission upon request.</w:t>
      </w:r>
    </w:p>
    <w:p>
      <w:pPr>
        <w:ind w:left="7" w:right="120"/>
        <w:spacing w:after="0" w:line="248" w:lineRule="auto"/>
        <w:rPr>
          <w:rFonts w:ascii="Times New Roman" w:cs="Times New Roman" w:eastAsia="Times New Roman" w:hAnsi="Times New Roman"/>
          <w:sz w:val="20"/>
          <w:szCs w:val="20"/>
          <w:color w:val="121212"/>
        </w:rPr>
      </w:pPr>
      <w:r>
        <w:rPr>
          <w:rFonts w:ascii="Times New Roman" w:cs="Times New Roman" w:eastAsia="Times New Roman" w:hAnsi="Times New Roman"/>
          <w:sz w:val="20"/>
          <w:szCs w:val="20"/>
          <w:color w:val="121212"/>
        </w:rPr>
        <w:t>†† Portions of this exhibit (indicated by asterisks) have been omitted in accordance with the rules of the Securities and Exchange Commission.</w:t>
      </w:r>
    </w:p>
    <w:p>
      <w:pPr>
        <w:spacing w:after="0" w:line="193" w:lineRule="exact"/>
        <w:rPr>
          <w:sz w:val="20"/>
          <w:szCs w:val="20"/>
          <w:color w:val="auto"/>
        </w:rPr>
      </w:pPr>
    </w:p>
    <w:p>
      <w:pPr>
        <w:ind w:left="7"/>
        <w:spacing w:after="0"/>
        <w:tabs>
          <w:tab w:leader="none" w:pos="1207" w:val="left"/>
        </w:tabs>
        <w:rPr>
          <w:sz w:val="20"/>
          <w:szCs w:val="20"/>
          <w:color w:val="auto"/>
        </w:rPr>
      </w:pPr>
      <w:r>
        <w:rPr>
          <w:rFonts w:ascii="Times New Roman" w:cs="Times New Roman" w:eastAsia="Times New Roman" w:hAnsi="Times New Roman"/>
          <w:sz w:val="20"/>
          <w:szCs w:val="20"/>
          <w:b w:val="1"/>
          <w:bCs w:val="1"/>
          <w:color w:val="121212"/>
        </w:rPr>
        <w:t>ITEM 16.</w:t>
      </w:r>
      <w:r>
        <w:rPr>
          <w:sz w:val="20"/>
          <w:szCs w:val="20"/>
          <w:color w:val="auto"/>
        </w:rPr>
        <w:tab/>
      </w:r>
      <w:r>
        <w:rPr>
          <w:rFonts w:ascii="Times New Roman" w:cs="Times New Roman" w:eastAsia="Times New Roman" w:hAnsi="Times New Roman"/>
          <w:sz w:val="19"/>
          <w:szCs w:val="19"/>
          <w:b w:val="1"/>
          <w:bCs w:val="1"/>
          <w:color w:val="121212"/>
        </w:rPr>
        <w:t>FORM 10-K SUMMARY</w:t>
      </w:r>
    </w:p>
    <w:p>
      <w:pPr>
        <w:spacing w:after="0" w:line="124"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20"/>
          <w:szCs w:val="20"/>
          <w:color w:val="121212"/>
        </w:rPr>
        <w:t>None.</w:t>
      </w:r>
    </w:p>
    <w:p>
      <w:pPr>
        <w:sectPr>
          <w:pgSz w:w="12240" w:h="15840" w:orient="portrait"/>
          <w:cols w:equalWidth="0" w:num="1">
            <w:col w:w="10447"/>
          </w:cols>
          <w:pgMar w:left="893" w:top="930"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color w:val="121212"/>
        </w:rPr>
        <w:t>158</w:t>
      </w:r>
    </w:p>
    <w:p>
      <w:pPr>
        <w:sectPr>
          <w:pgSz w:w="12240" w:h="15840" w:orient="portrait"/>
          <w:cols w:equalWidth="0" w:num="1">
            <w:col w:w="10447"/>
          </w:cols>
          <w:pgMar w:left="893" w:top="930" w:right="900" w:bottom="175" w:gutter="0" w:footer="0" w:header="0"/>
          <w:type w:val="continuous"/>
        </w:sectPr>
      </w:pPr>
    </w:p>
    <w:bookmarkStart w:id="168" w:name="page169"/>
    <w:bookmarkEnd w:id="168"/>
    <w:p>
      <w:pPr>
        <w:jc w:val="center"/>
        <w:spacing w:after="0"/>
        <w:rPr>
          <w:sz w:val="20"/>
          <w:szCs w:val="20"/>
          <w:color w:val="auto"/>
        </w:rPr>
      </w:pPr>
      <w:r>
        <w:rPr>
          <w:rFonts w:ascii="Times New Roman" w:cs="Times New Roman" w:eastAsia="Times New Roman" w:hAnsi="Times New Roman"/>
          <w:sz w:val="20"/>
          <w:szCs w:val="20"/>
          <w:b w:val="1"/>
          <w:bCs w:val="1"/>
          <w:color w:val="121212"/>
        </w:rPr>
        <w:t>SIGNATURES</w:t>
      </w:r>
    </w:p>
    <w:p>
      <w:pPr>
        <w:spacing w:after="0" w:line="244"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121212"/>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00" w:type="dxa"/>
            <w:vAlign w:val="bottom"/>
          </w:tcPr>
          <w:p>
            <w:pPr>
              <w:spacing w:after="0"/>
              <w:rPr>
                <w:sz w:val="23"/>
                <w:szCs w:val="23"/>
                <w:color w:val="auto"/>
              </w:rPr>
            </w:pPr>
          </w:p>
        </w:tc>
        <w:tc>
          <w:tcPr>
            <w:tcW w:w="7040" w:type="dxa"/>
            <w:vAlign w:val="bottom"/>
            <w:gridSpan w:val="2"/>
          </w:tcPr>
          <w:p>
            <w:pPr>
              <w:ind w:left="1640"/>
              <w:spacing w:after="0"/>
              <w:rPr>
                <w:sz w:val="20"/>
                <w:szCs w:val="20"/>
                <w:color w:val="auto"/>
              </w:rPr>
            </w:pPr>
            <w:r>
              <w:rPr>
                <w:rFonts w:ascii="Times New Roman" w:cs="Times New Roman" w:eastAsia="Times New Roman" w:hAnsi="Times New Roman"/>
                <w:sz w:val="20"/>
                <w:szCs w:val="20"/>
                <w:b w:val="1"/>
                <w:bCs w:val="1"/>
                <w:color w:val="121212"/>
              </w:rPr>
              <w:t>DISC MEDICINE, INC.</w:t>
            </w:r>
          </w:p>
        </w:tc>
      </w:tr>
      <w:tr>
        <w:trPr>
          <w:trHeight w:val="474"/>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121212"/>
              </w:rPr>
              <w:t>Date: March 21, 2024</w:t>
            </w:r>
          </w:p>
        </w:tc>
        <w:tc>
          <w:tcPr>
            <w:tcW w:w="7040" w:type="dxa"/>
            <w:vAlign w:val="bottom"/>
            <w:gridSpan w:val="2"/>
          </w:tcPr>
          <w:p>
            <w:pPr>
              <w:ind w:left="1640"/>
              <w:spacing w:after="0"/>
              <w:rPr>
                <w:sz w:val="20"/>
                <w:szCs w:val="20"/>
                <w:color w:val="auto"/>
              </w:rPr>
            </w:pPr>
            <w:r>
              <w:rPr>
                <w:rFonts w:ascii="Times New Roman" w:cs="Times New Roman" w:eastAsia="Times New Roman" w:hAnsi="Times New Roman"/>
                <w:sz w:val="20"/>
                <w:szCs w:val="20"/>
                <w:color w:val="121212"/>
              </w:rPr>
              <w:t>By:  /s/ Jean Franchi</w:t>
            </w:r>
          </w:p>
        </w:tc>
      </w:tr>
      <w:tr>
        <w:trPr>
          <w:trHeight w:val="251"/>
        </w:trPr>
        <w:tc>
          <w:tcPr>
            <w:tcW w:w="34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960" w:type="dxa"/>
            <w:vAlign w:val="bottom"/>
            <w:tcBorders>
              <w:top w:val="single" w:sz="8" w:color="121212"/>
            </w:tcBorders>
          </w:tcPr>
          <w:p>
            <w:pPr>
              <w:spacing w:after="0"/>
              <w:rPr>
                <w:sz w:val="20"/>
                <w:szCs w:val="20"/>
                <w:color w:val="auto"/>
              </w:rPr>
            </w:pPr>
            <w:r>
              <w:rPr>
                <w:rFonts w:ascii="Times New Roman" w:cs="Times New Roman" w:eastAsia="Times New Roman" w:hAnsi="Times New Roman"/>
                <w:sz w:val="20"/>
                <w:szCs w:val="20"/>
                <w:color w:val="121212"/>
              </w:rPr>
              <w:t>Jean Franchi</w:t>
            </w:r>
          </w:p>
        </w:tc>
      </w:tr>
      <w:tr>
        <w:trPr>
          <w:trHeight w:val="230"/>
        </w:trPr>
        <w:tc>
          <w:tcPr>
            <w:tcW w:w="3400" w:type="dxa"/>
            <w:vAlign w:val="bottom"/>
          </w:tcPr>
          <w:p>
            <w:pPr>
              <w:spacing w:after="0"/>
              <w:rPr>
                <w:sz w:val="20"/>
                <w:szCs w:val="20"/>
                <w:color w:val="auto"/>
              </w:rPr>
            </w:pPr>
          </w:p>
        </w:tc>
        <w:tc>
          <w:tcPr>
            <w:tcW w:w="70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121212"/>
              </w:rPr>
              <w:t>Chief Financial Officer</w:t>
            </w:r>
          </w:p>
        </w:tc>
      </w:tr>
      <w:tr>
        <w:trPr>
          <w:trHeight w:val="266"/>
        </w:trPr>
        <w:tc>
          <w:tcPr>
            <w:tcW w:w="3400" w:type="dxa"/>
            <w:vAlign w:val="bottom"/>
          </w:tcPr>
          <w:p>
            <w:pPr>
              <w:spacing w:after="0"/>
              <w:rPr>
                <w:sz w:val="23"/>
                <w:szCs w:val="23"/>
                <w:color w:val="auto"/>
              </w:rPr>
            </w:pPr>
          </w:p>
        </w:tc>
        <w:tc>
          <w:tcPr>
            <w:tcW w:w="7040" w:type="dxa"/>
            <w:vAlign w:val="bottom"/>
            <w:gridSpan w:val="2"/>
          </w:tcPr>
          <w:p>
            <w:pPr>
              <w:ind w:left="2080"/>
              <w:spacing w:after="0"/>
              <w:rPr>
                <w:sz w:val="20"/>
                <w:szCs w:val="20"/>
                <w:color w:val="auto"/>
              </w:rPr>
            </w:pPr>
            <w:r>
              <w:rPr>
                <w:rFonts w:ascii="Times New Roman" w:cs="Times New Roman" w:eastAsia="Times New Roman" w:hAnsi="Times New Roman"/>
                <w:sz w:val="20"/>
                <w:szCs w:val="20"/>
                <w:color w:val="121212"/>
              </w:rPr>
              <w:t>(Principal Financial and Accounting Officer)</w:t>
            </w:r>
          </w:p>
        </w:tc>
      </w:tr>
    </w:tbl>
    <w:p>
      <w:pPr>
        <w:spacing w:after="0" w:line="200" w:lineRule="exact"/>
        <w:rPr>
          <w:sz w:val="20"/>
          <w:szCs w:val="20"/>
          <w:color w:val="auto"/>
        </w:rPr>
      </w:pP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159</w:t>
      </w:r>
    </w:p>
    <w:p>
      <w:pPr>
        <w:sectPr>
          <w:pgSz w:w="12240" w:h="15840" w:orient="portrait"/>
          <w:cols w:equalWidth="0" w:num="1">
            <w:col w:w="10440"/>
          </w:cols>
          <w:pgMar w:left="900" w:top="926" w:right="900" w:bottom="175" w:gutter="0" w:footer="0" w:header="0"/>
          <w:type w:val="continuous"/>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color w:val="121212"/>
        </w:rPr>
        <w:t>POWER OF ATTORNEY</w:t>
      </w:r>
    </w:p>
    <w:p>
      <w:pPr>
        <w:spacing w:after="0" w:line="24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121212"/>
        </w:rPr>
        <w:t>Each person whose signature appears below constitutes and appoints each of John Quisel, J.D., Ph.D., Jean Franchi and Rahul Khara, Pharm.D., J.D., acting alone or together with another attorney-in-fact, as his or her true and lawful attorney-in-fact and agent, with full power of substitution and resubstitution, for such person and in his or her name, place and stead, in any and all capacities, to sign any or all further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86"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121212"/>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Borders>
              <w:bottom w:val="single" w:sz="8" w:color="121212"/>
            </w:tcBorders>
          </w:tcPr>
          <w:p>
            <w:pPr>
              <w:ind w:left="1680"/>
              <w:spacing w:after="0"/>
              <w:rPr>
                <w:sz w:val="20"/>
                <w:szCs w:val="20"/>
                <w:color w:val="auto"/>
              </w:rPr>
            </w:pPr>
            <w:r>
              <w:rPr>
                <w:rFonts w:ascii="Times New Roman" w:cs="Times New Roman" w:eastAsia="Times New Roman" w:hAnsi="Times New Roman"/>
                <w:sz w:val="16"/>
                <w:szCs w:val="16"/>
                <w:b w:val="1"/>
                <w:bCs w:val="1"/>
                <w:color w:val="121212"/>
              </w:rPr>
              <w:t>Signature</w:t>
            </w:r>
          </w:p>
        </w:tc>
        <w:tc>
          <w:tcPr>
            <w:tcW w:w="120" w:type="dxa"/>
            <w:vAlign w:val="bottom"/>
          </w:tcPr>
          <w:p>
            <w:pPr>
              <w:spacing w:after="0"/>
              <w:rPr>
                <w:sz w:val="19"/>
                <w:szCs w:val="19"/>
                <w:color w:val="auto"/>
              </w:rPr>
            </w:pPr>
          </w:p>
        </w:tc>
        <w:tc>
          <w:tcPr>
            <w:tcW w:w="4360" w:type="dxa"/>
            <w:vAlign w:val="bottom"/>
            <w:tcBorders>
              <w:bottom w:val="single" w:sz="8" w:color="121212"/>
            </w:tcBorders>
          </w:tcPr>
          <w:p>
            <w:pPr>
              <w:ind w:left="2040"/>
              <w:spacing w:after="0"/>
              <w:rPr>
                <w:sz w:val="20"/>
                <w:szCs w:val="20"/>
                <w:color w:val="auto"/>
              </w:rPr>
            </w:pPr>
            <w:r>
              <w:rPr>
                <w:rFonts w:ascii="Times New Roman" w:cs="Times New Roman" w:eastAsia="Times New Roman" w:hAnsi="Times New Roman"/>
                <w:sz w:val="16"/>
                <w:szCs w:val="16"/>
                <w:b w:val="1"/>
                <w:bCs w:val="1"/>
                <w:color w:val="121212"/>
              </w:rPr>
              <w:t>Title</w:t>
            </w:r>
          </w:p>
        </w:tc>
        <w:tc>
          <w:tcPr>
            <w:tcW w:w="120" w:type="dxa"/>
            <w:vAlign w:val="bottom"/>
          </w:tcPr>
          <w:p>
            <w:pPr>
              <w:spacing w:after="0"/>
              <w:rPr>
                <w:sz w:val="19"/>
                <w:szCs w:val="19"/>
                <w:color w:val="auto"/>
              </w:rPr>
            </w:pPr>
          </w:p>
        </w:tc>
        <w:tc>
          <w:tcPr>
            <w:tcW w:w="1800" w:type="dxa"/>
            <w:vAlign w:val="bottom"/>
            <w:tcBorders>
              <w:bottom w:val="single" w:sz="8" w:color="121212"/>
            </w:tcBorders>
          </w:tcPr>
          <w:p>
            <w:pPr>
              <w:ind w:left="760"/>
              <w:spacing w:after="0"/>
              <w:rPr>
                <w:sz w:val="20"/>
                <w:szCs w:val="20"/>
                <w:color w:val="auto"/>
              </w:rPr>
            </w:pPr>
            <w:r>
              <w:rPr>
                <w:rFonts w:ascii="Times New Roman" w:cs="Times New Roman" w:eastAsia="Times New Roman" w:hAnsi="Times New Roman"/>
                <w:sz w:val="16"/>
                <w:szCs w:val="16"/>
                <w:b w:val="1"/>
                <w:bCs w:val="1"/>
                <w:color w:val="121212"/>
              </w:rPr>
              <w:t>Date</w:t>
            </w:r>
          </w:p>
        </w:tc>
        <w:tc>
          <w:tcPr>
            <w:tcW w:w="0" w:type="dxa"/>
            <w:vAlign w:val="bottom"/>
          </w:tcPr>
          <w:p>
            <w:pPr>
              <w:spacing w:after="0"/>
              <w:rPr>
                <w:sz w:val="1"/>
                <w:szCs w:val="1"/>
                <w:color w:val="auto"/>
              </w:rPr>
            </w:pPr>
          </w:p>
        </w:tc>
      </w:tr>
      <w:tr>
        <w:trPr>
          <w:trHeight w:val="36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/s/ John Quisel</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President, Chief Executive Officer and 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39"/>
        </w:trPr>
        <w:tc>
          <w:tcPr>
            <w:tcW w:w="4040" w:type="dxa"/>
            <w:vAlign w:val="bottom"/>
            <w:tcBorders>
              <w:bottom w:val="single" w:sz="8" w:color="121212"/>
            </w:tcBorders>
          </w:tcPr>
          <w:p>
            <w:pPr>
              <w:spacing w:after="0"/>
              <w:rPr>
                <w:sz w:val="3"/>
                <w:szCs w:val="3"/>
                <w:color w:val="auto"/>
              </w:rPr>
            </w:pPr>
          </w:p>
        </w:tc>
        <w:tc>
          <w:tcPr>
            <w:tcW w:w="120" w:type="dxa"/>
            <w:vAlign w:val="bottom"/>
          </w:tcPr>
          <w:p>
            <w:pPr>
              <w:spacing w:after="0"/>
              <w:rPr>
                <w:sz w:val="3"/>
                <w:szCs w:val="3"/>
                <w:color w:val="auto"/>
              </w:rPr>
            </w:pPr>
          </w:p>
        </w:tc>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121212"/>
              </w:rPr>
              <w:t>(Principal Executive Officer)</w:t>
            </w: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121212"/>
              </w:rPr>
              <w:t>John Quisel, J.D., Ph.D.</w:t>
            </w:r>
          </w:p>
        </w:tc>
        <w:tc>
          <w:tcPr>
            <w:tcW w:w="1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/s/ Jean Franchi</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Chief Financial Officer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39"/>
        </w:trPr>
        <w:tc>
          <w:tcPr>
            <w:tcW w:w="4040" w:type="dxa"/>
            <w:vAlign w:val="bottom"/>
            <w:tcBorders>
              <w:bottom w:val="single" w:sz="8" w:color="121212"/>
            </w:tcBorders>
          </w:tcPr>
          <w:p>
            <w:pPr>
              <w:spacing w:after="0"/>
              <w:rPr>
                <w:sz w:val="3"/>
                <w:szCs w:val="3"/>
                <w:color w:val="auto"/>
              </w:rPr>
            </w:pPr>
          </w:p>
        </w:tc>
        <w:tc>
          <w:tcPr>
            <w:tcW w:w="120" w:type="dxa"/>
            <w:vAlign w:val="bottom"/>
          </w:tcPr>
          <w:p>
            <w:pPr>
              <w:spacing w:after="0"/>
              <w:rPr>
                <w:sz w:val="3"/>
                <w:szCs w:val="3"/>
                <w:color w:val="auto"/>
              </w:rPr>
            </w:pPr>
          </w:p>
        </w:tc>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121212"/>
              </w:rPr>
              <w:t>(Principal Financial and Accounting Officer)</w:t>
            </w: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color w:val="121212"/>
              </w:rPr>
              <w:t>Jean Franchi</w:t>
            </w:r>
          </w:p>
        </w:tc>
        <w:tc>
          <w:tcPr>
            <w:tcW w:w="12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121212"/>
            </w:tcBorders>
          </w:tcPr>
          <w:p>
            <w:pPr>
              <w:spacing w:after="0"/>
              <w:rPr>
                <w:sz w:val="20"/>
                <w:szCs w:val="20"/>
                <w:color w:val="auto"/>
              </w:rPr>
            </w:pPr>
            <w:r>
              <w:rPr>
                <w:rFonts w:ascii="Times New Roman" w:cs="Times New Roman" w:eastAsia="Times New Roman" w:hAnsi="Times New Roman"/>
                <w:sz w:val="20"/>
                <w:szCs w:val="20"/>
                <w:color w:val="121212"/>
              </w:rPr>
              <w:t>/s/ Donald Nicholson</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Donald Nicholson,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121212"/>
            </w:tcBorders>
          </w:tcPr>
          <w:p>
            <w:pPr>
              <w:spacing w:after="0"/>
              <w:rPr>
                <w:sz w:val="20"/>
                <w:szCs w:val="20"/>
                <w:color w:val="auto"/>
              </w:rPr>
            </w:pPr>
            <w:r>
              <w:rPr>
                <w:rFonts w:ascii="Times New Roman" w:cs="Times New Roman" w:eastAsia="Times New Roman" w:hAnsi="Times New Roman"/>
                <w:sz w:val="20"/>
                <w:szCs w:val="20"/>
                <w:color w:val="121212"/>
              </w:rPr>
              <w:t>/s/ Kevin Bitterman</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Kevin Bitterman,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121212"/>
            </w:tcBorders>
          </w:tcPr>
          <w:p>
            <w:pPr>
              <w:spacing w:after="0"/>
              <w:rPr>
                <w:sz w:val="20"/>
                <w:szCs w:val="20"/>
                <w:color w:val="auto"/>
              </w:rPr>
            </w:pPr>
            <w:r>
              <w:rPr>
                <w:rFonts w:ascii="Times New Roman" w:cs="Times New Roman" w:eastAsia="Times New Roman" w:hAnsi="Times New Roman"/>
                <w:sz w:val="20"/>
                <w:szCs w:val="20"/>
                <w:color w:val="121212"/>
              </w:rPr>
              <w:t>/s/ Liam Ratcliffe</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Liam Ratcliffe, M.D.,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121212"/>
            </w:tcBorders>
          </w:tcPr>
          <w:p>
            <w:pPr>
              <w:spacing w:after="0"/>
              <w:rPr>
                <w:sz w:val="20"/>
                <w:szCs w:val="20"/>
                <w:color w:val="auto"/>
              </w:rPr>
            </w:pPr>
            <w:r>
              <w:rPr>
                <w:rFonts w:ascii="Times New Roman" w:cs="Times New Roman" w:eastAsia="Times New Roman" w:hAnsi="Times New Roman"/>
                <w:sz w:val="20"/>
                <w:szCs w:val="20"/>
                <w:color w:val="121212"/>
              </w:rPr>
              <w:t>/s/ William White</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William White MPP, J.D.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121212"/>
            </w:tcBorders>
          </w:tcPr>
          <w:p>
            <w:pPr>
              <w:spacing w:after="0"/>
              <w:rPr>
                <w:sz w:val="20"/>
                <w:szCs w:val="20"/>
                <w:color w:val="auto"/>
              </w:rPr>
            </w:pPr>
            <w:r>
              <w:rPr>
                <w:rFonts w:ascii="Times New Roman" w:cs="Times New Roman" w:eastAsia="Times New Roman" w:hAnsi="Times New Roman"/>
                <w:sz w:val="20"/>
                <w:szCs w:val="20"/>
                <w:color w:val="121212"/>
              </w:rPr>
              <w:t>/s/ Mona Ashiya</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Mona Ashiya,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121212"/>
            </w:tcBorders>
          </w:tcPr>
          <w:p>
            <w:pPr>
              <w:spacing w:after="0"/>
              <w:rPr>
                <w:sz w:val="20"/>
                <w:szCs w:val="20"/>
                <w:color w:val="auto"/>
              </w:rPr>
            </w:pPr>
            <w:r>
              <w:rPr>
                <w:rFonts w:ascii="Times New Roman" w:cs="Times New Roman" w:eastAsia="Times New Roman" w:hAnsi="Times New Roman"/>
                <w:sz w:val="20"/>
                <w:szCs w:val="20"/>
                <w:color w:val="121212"/>
              </w:rPr>
              <w:t>/s/ Mark Chin</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Mark Chin, MS, MBA</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40" w:type="dxa"/>
            <w:vAlign w:val="bottom"/>
            <w:tcBorders>
              <w:bottom w:val="single" w:sz="8" w:color="121212"/>
            </w:tcBorders>
          </w:tcPr>
          <w:p>
            <w:pPr>
              <w:spacing w:after="0"/>
              <w:rPr>
                <w:sz w:val="20"/>
                <w:szCs w:val="20"/>
                <w:color w:val="auto"/>
              </w:rPr>
            </w:pPr>
            <w:r>
              <w:rPr>
                <w:rFonts w:ascii="Times New Roman" w:cs="Times New Roman" w:eastAsia="Times New Roman" w:hAnsi="Times New Roman"/>
                <w:sz w:val="20"/>
                <w:szCs w:val="20"/>
                <w:color w:val="121212"/>
              </w:rPr>
              <w:t>/s/ Georges Gemayel</w:t>
            </w:r>
          </w:p>
        </w:tc>
        <w:tc>
          <w:tcPr>
            <w:tcW w:w="12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20"/>
                <w:szCs w:val="20"/>
                <w:color w:val="121212"/>
              </w:rPr>
              <w:t>Director</w:t>
            </w:r>
          </w:p>
        </w:tc>
        <w:tc>
          <w:tcPr>
            <w:tcW w:w="12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20"/>
                <w:szCs w:val="20"/>
                <w:color w:val="121212"/>
              </w:rPr>
              <w:t>March 21, 2024</w:t>
            </w:r>
          </w:p>
        </w:tc>
        <w:tc>
          <w:tcPr>
            <w:tcW w:w="0" w:type="dxa"/>
            <w:vAlign w:val="bottom"/>
          </w:tcPr>
          <w:p>
            <w:pPr>
              <w:spacing w:after="0"/>
              <w:rPr>
                <w:sz w:val="1"/>
                <w:szCs w:val="1"/>
                <w:color w:val="auto"/>
              </w:rPr>
            </w:pPr>
          </w:p>
        </w:tc>
      </w:tr>
      <w:tr>
        <w:trPr>
          <w:trHeight w:val="28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121212"/>
              </w:rPr>
              <w:t>Georges Gemayel, Ph.D.</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40"/>
          </w:cols>
          <w:pgMar w:left="900" w:top="92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21212"/>
        </w:rPr>
        <w:t>160</w:t>
      </w:r>
    </w:p>
    <w:p>
      <w:pPr>
        <w:sectPr>
          <w:pgSz w:w="12240" w:h="15840" w:orient="portrait"/>
          <w:cols w:equalWidth="0" w:num="1">
            <w:col w:w="10440"/>
          </w:cols>
          <w:pgMar w:left="900" w:top="926" w:right="900" w:bottom="175" w:gutter="0" w:footer="0" w:header="0"/>
          <w:type w:val="continuous"/>
        </w:sectPr>
      </w:pPr>
    </w:p>
    <w:bookmarkStart w:id="170" w:name="page171"/>
    <w:bookmarkEnd w:id="170"/>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71" w:name="page172"/>
    <w:bookmarkEnd w:id="171"/>
    <w:p>
      <w:pPr>
        <w:ind w:left="100"/>
        <w:spacing w:after="0"/>
        <w:tabs>
          <w:tab w:leader="none" w:pos="3200" w:val="left"/>
        </w:tabs>
        <w:rPr>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5"/>
          <w:szCs w:val="15"/>
          <w:b w:val="1"/>
          <w:bCs w:val="1"/>
          <w:color w:val="auto"/>
        </w:rPr>
        <w:t>OARD OF</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5"/>
          <w:szCs w:val="15"/>
          <w:b w:val="1"/>
          <w:bCs w:val="1"/>
          <w:color w:val="auto"/>
        </w:rPr>
        <w:t>IRECTORS</w:t>
      </w:r>
      <w:r>
        <w:rPr>
          <w:sz w:val="20"/>
          <w:szCs w:val="20"/>
          <w:color w:val="auto"/>
        </w:rPr>
        <w:tab/>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5"/>
          <w:szCs w:val="15"/>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5"/>
          <w:szCs w:val="15"/>
          <w:b w:val="1"/>
          <w:bCs w:val="1"/>
          <w:color w:val="auto"/>
        </w:rPr>
        <w:t>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5"/>
          <w:szCs w:val="15"/>
          <w:b w:val="1"/>
          <w:bCs w:val="1"/>
          <w:color w:val="auto"/>
        </w:rPr>
        <w:t>ORPORATE</w:t>
      </w:r>
      <w:r>
        <w:rPr>
          <w:rFonts w:ascii="Times New Roman" w:cs="Times New Roman" w:eastAsia="Times New Roman" w:hAnsi="Times New Roman"/>
          <w:sz w:val="20"/>
          <w:szCs w:val="20"/>
          <w:b w:val="1"/>
          <w:bCs w:val="1"/>
          <w:color w:val="auto"/>
        </w:rPr>
        <w:t xml:space="preserve"> H</w:t>
      </w:r>
      <w:r>
        <w:rPr>
          <w:rFonts w:ascii="Times New Roman" w:cs="Times New Roman" w:eastAsia="Times New Roman" w:hAnsi="Times New Roman"/>
          <w:sz w:val="15"/>
          <w:szCs w:val="15"/>
          <w:b w:val="1"/>
          <w:bCs w:val="1"/>
          <w:color w:val="auto"/>
        </w:rPr>
        <w:t>EADQUARTERS</w:t>
      </w:r>
    </w:p>
    <w:p>
      <w:pPr>
        <w:spacing w:after="0" w:line="31" w:lineRule="exact"/>
        <w:rPr>
          <w:sz w:val="20"/>
          <w:szCs w:val="20"/>
          <w:color w:val="auto"/>
        </w:rPr>
      </w:pPr>
    </w:p>
    <w:p>
      <w:pPr>
        <w:sectPr>
          <w:pgSz w:w="12240" w:h="15840" w:orient="portrait"/>
          <w:cols w:equalWidth="0" w:num="2">
            <w:col w:w="5620" w:space="720"/>
            <w:col w:w="4020"/>
          </w:cols>
          <w:pgMar w:left="1440" w:top="1416" w:right="440" w:bottom="0" w:gutter="0" w:footer="0" w:header="0"/>
        </w:sectPr>
      </w:pPr>
    </w:p>
    <w:p>
      <w:pPr>
        <w:spacing w:after="0" w:line="208" w:lineRule="exact"/>
        <w:rPr>
          <w:sz w:val="20"/>
          <w:szCs w:val="20"/>
          <w:color w:val="auto"/>
        </w:rPr>
      </w:pPr>
    </w:p>
    <w:p>
      <w:pPr>
        <w:ind w:left="100" w:right="12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John Quisel, J.D., Ph.D. </w:t>
      </w:r>
      <w:r>
        <w:rPr>
          <w:rFonts w:ascii="Times New Roman" w:cs="Times New Roman" w:eastAsia="Times New Roman" w:hAnsi="Times New Roman"/>
          <w:sz w:val="20"/>
          <w:szCs w:val="20"/>
          <w:i w:val="1"/>
          <w:iCs w:val="1"/>
          <w:color w:val="auto"/>
        </w:rPr>
        <w:t>President, Chief Executive Officer and Director</w:t>
      </w:r>
    </w:p>
    <w:p>
      <w:pPr>
        <w:spacing w:after="0" w:line="180" w:lineRule="exact"/>
        <w:rPr>
          <w:sz w:val="20"/>
          <w:szCs w:val="20"/>
          <w:color w:val="auto"/>
        </w:rPr>
      </w:pPr>
    </w:p>
    <w:p>
      <w:pPr>
        <w:ind w:left="100" w:right="1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Donald Nicholson, Ph.D. </w:t>
      </w:r>
      <w:r>
        <w:rPr>
          <w:rFonts w:ascii="Times New Roman" w:cs="Times New Roman" w:eastAsia="Times New Roman" w:hAnsi="Times New Roman"/>
          <w:sz w:val="20"/>
          <w:szCs w:val="20"/>
          <w:i w:val="1"/>
          <w:iCs w:val="1"/>
          <w:color w:val="auto"/>
        </w:rPr>
        <w:t>Executive Chairman of the Board of Directors, Former Chief Executive Officer, Nimbus Therapeutics, LLC</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Mona Ashiya, Ph.D.</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Partner, OrbiMed Advisors LLC</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Kevin Bitterman, Ph.D.</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Partner, Atlas Venture</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Mark Chin, M.S., M.B.A.</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Partner, Avoro Capital</w:t>
      </w:r>
    </w:p>
    <w:p>
      <w:pPr>
        <w:spacing w:after="0" w:line="198" w:lineRule="exact"/>
        <w:rPr>
          <w:sz w:val="20"/>
          <w:szCs w:val="20"/>
          <w:color w:val="auto"/>
        </w:rPr>
      </w:pPr>
    </w:p>
    <w:p>
      <w:pPr>
        <w:ind w:left="100" w:right="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Georges Gemayel, Ph.D. </w:t>
      </w:r>
      <w:r>
        <w:rPr>
          <w:rFonts w:ascii="Times New Roman" w:cs="Times New Roman" w:eastAsia="Times New Roman" w:hAnsi="Times New Roman"/>
          <w:sz w:val="20"/>
          <w:szCs w:val="20"/>
          <w:i w:val="1"/>
          <w:iCs w:val="1"/>
          <w:color w:val="auto"/>
        </w:rPr>
        <w:t>Former President, Chief Executive Officer and Executive Chairman of the Board of Directors, Gemini Therapeutics, Inc.</w:t>
      </w:r>
    </w:p>
    <w:p>
      <w:pPr>
        <w:spacing w:after="0" w:line="183" w:lineRule="exact"/>
        <w:rPr>
          <w:sz w:val="20"/>
          <w:szCs w:val="20"/>
          <w:color w:val="auto"/>
        </w:rPr>
      </w:pPr>
    </w:p>
    <w:p>
      <w:pPr>
        <w:ind w:left="100" w:right="380"/>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Liam Ratcliffe, M.D., Ph.D. </w:t>
      </w:r>
      <w:r>
        <w:rPr>
          <w:rFonts w:ascii="Times New Roman" w:cs="Times New Roman" w:eastAsia="Times New Roman" w:hAnsi="Times New Roman"/>
          <w:sz w:val="20"/>
          <w:szCs w:val="20"/>
          <w:i w:val="1"/>
          <w:iCs w:val="1"/>
          <w:color w:val="auto"/>
        </w:rPr>
        <w:t>Head of Biotechnology, Access Industries</w:t>
      </w:r>
    </w:p>
    <w:p>
      <w:pPr>
        <w:spacing w:after="0" w:line="170" w:lineRule="exact"/>
        <w:rPr>
          <w:sz w:val="20"/>
          <w:szCs w:val="20"/>
          <w:color w:val="auto"/>
        </w:rPr>
      </w:pPr>
    </w:p>
    <w:p>
      <w:pPr>
        <w:ind w:left="10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William White, M.P.P., J.D. </w:t>
      </w:r>
      <w:r>
        <w:rPr>
          <w:rFonts w:ascii="Times New Roman" w:cs="Times New Roman" w:eastAsia="Times New Roman" w:hAnsi="Times New Roman"/>
          <w:sz w:val="20"/>
          <w:szCs w:val="20"/>
          <w:i w:val="1"/>
          <w:iCs w:val="1"/>
          <w:color w:val="auto"/>
        </w:rPr>
        <w:t>Chief Financial Officer, Head of Corporate Development and Treasurer, Akero Therapeutics,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John Quisel, J.D., Ph.D. </w:t>
      </w:r>
      <w:r>
        <w:rPr>
          <w:rFonts w:ascii="Times New Roman" w:cs="Times New Roman" w:eastAsia="Times New Roman" w:hAnsi="Times New Roman"/>
          <w:sz w:val="20"/>
          <w:szCs w:val="20"/>
          <w:i w:val="1"/>
          <w:iCs w:val="1"/>
          <w:color w:val="auto"/>
        </w:rPr>
        <w:t>President, Chief Executive Officer and Director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Jean Franchi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19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Jonathan Yu, M.B.A. </w:t>
      </w:r>
      <w:r>
        <w:rPr>
          <w:rFonts w:ascii="Times New Roman" w:cs="Times New Roman" w:eastAsia="Times New Roman" w:hAnsi="Times New Roman"/>
          <w:sz w:val="20"/>
          <w:szCs w:val="20"/>
          <w:i w:val="1"/>
          <w:iCs w:val="1"/>
          <w:color w:val="auto"/>
        </w:rPr>
        <w:t>Chief Operating Officer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William Savage, M.D., Ph.D.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Chief Medical Officer</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Pamela Stephenson, MPH </w:t>
      </w:r>
      <w:r>
        <w:rPr>
          <w:rFonts w:ascii="Times New Roman" w:cs="Times New Roman" w:eastAsia="Times New Roman" w:hAnsi="Times New Roman"/>
          <w:sz w:val="20"/>
          <w:szCs w:val="20"/>
          <w:i w:val="1"/>
          <w:iCs w:val="1"/>
          <w:color w:val="auto"/>
        </w:rPr>
        <w:t>Chief Commercial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Rahul Khara, Pharm.D., J.D.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Counsel</w:t>
      </w:r>
    </w:p>
    <w:p>
      <w:pPr>
        <w:spacing w:after="0" w:line="20" w:lineRule="exact"/>
        <w:rPr>
          <w:sz w:val="20"/>
          <w:szCs w:val="20"/>
          <w:color w:val="auto"/>
        </w:rPr>
      </w:pPr>
      <w:r>
        <w:rPr>
          <w:sz w:val="20"/>
          <w:szCs w:val="20"/>
          <w:color w:val="auto"/>
        </w:rPr>
        <w:br w:type="column"/>
      </w:r>
    </w:p>
    <w:p>
      <w:pPr>
        <w:ind w:right="1660"/>
        <w:spacing w:after="0" w:line="249" w:lineRule="auto"/>
        <w:rPr>
          <w:sz w:val="20"/>
          <w:szCs w:val="20"/>
          <w:color w:val="auto"/>
        </w:rPr>
      </w:pPr>
      <w:r>
        <w:rPr>
          <w:rFonts w:ascii="Times New Roman" w:cs="Times New Roman" w:eastAsia="Times New Roman" w:hAnsi="Times New Roman"/>
          <w:sz w:val="20"/>
          <w:szCs w:val="20"/>
          <w:color w:val="auto"/>
        </w:rPr>
        <w:t>321 Arsenal Street, Suite 101 Watertown, MA 02472</w:t>
      </w:r>
    </w:p>
    <w:p>
      <w:pPr>
        <w:spacing w:after="0" w:line="181" w:lineRule="exact"/>
        <w:rPr>
          <w:sz w:val="20"/>
          <w:szCs w:val="20"/>
          <w:color w:val="auto"/>
        </w:rPr>
      </w:pPr>
    </w:p>
    <w:p>
      <w:pPr>
        <w:ind w:right="1720"/>
        <w:spacing w:after="0" w:line="257"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5"/>
          <w:szCs w:val="15"/>
          <w:b w:val="1"/>
          <w:bCs w:val="1"/>
          <w:color w:val="auto"/>
        </w:rPr>
        <w:t>NDEPENDENT</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EGISTERED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5"/>
          <w:szCs w:val="15"/>
          <w:b w:val="1"/>
          <w:bCs w:val="1"/>
          <w:color w:val="auto"/>
        </w:rPr>
        <w:t>UBLIC</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5"/>
          <w:szCs w:val="15"/>
          <w:b w:val="1"/>
          <w:bCs w:val="1"/>
          <w:color w:val="auto"/>
        </w:rPr>
        <w:t>CCOUNTING</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5"/>
          <w:szCs w:val="15"/>
          <w:b w:val="1"/>
          <w:bCs w:val="1"/>
          <w:color w:val="auto"/>
        </w:rPr>
        <w:t>IRM</w:t>
      </w:r>
    </w:p>
    <w:p>
      <w:pPr>
        <w:spacing w:after="0"/>
        <w:rPr>
          <w:sz w:val="20"/>
          <w:szCs w:val="20"/>
          <w:color w:val="auto"/>
        </w:rPr>
      </w:pPr>
      <w:r>
        <w:rPr>
          <w:rFonts w:ascii="Times New Roman" w:cs="Times New Roman" w:eastAsia="Times New Roman" w:hAnsi="Times New Roman"/>
          <w:sz w:val="20"/>
          <w:szCs w:val="20"/>
          <w:color w:val="auto"/>
        </w:rPr>
        <w:t>Ernst &amp; Young LLP</w:t>
      </w:r>
    </w:p>
    <w:p>
      <w:pPr>
        <w:spacing w:after="0"/>
        <w:rPr>
          <w:sz w:val="20"/>
          <w:szCs w:val="20"/>
          <w:color w:val="auto"/>
        </w:rPr>
      </w:pPr>
      <w:r>
        <w:rPr>
          <w:rFonts w:ascii="Times New Roman" w:cs="Times New Roman" w:eastAsia="Times New Roman" w:hAnsi="Times New Roman"/>
          <w:sz w:val="20"/>
          <w:szCs w:val="20"/>
          <w:color w:val="auto"/>
        </w:rPr>
        <w:t>Boston, MA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5"/>
          <w:szCs w:val="15"/>
          <w:b w:val="1"/>
          <w:bCs w:val="1"/>
          <w:color w:val="auto"/>
        </w:rPr>
        <w:t>RANSFER</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5"/>
          <w:szCs w:val="15"/>
          <w:b w:val="1"/>
          <w:bCs w:val="1"/>
          <w:color w:val="auto"/>
        </w:rPr>
        <w:t>GENT</w:t>
      </w:r>
    </w:p>
    <w:p>
      <w:pPr>
        <w:spacing w:after="0" w:line="31" w:lineRule="exact"/>
        <w:rPr>
          <w:sz w:val="20"/>
          <w:szCs w:val="20"/>
          <w:color w:val="auto"/>
        </w:rPr>
      </w:pPr>
    </w:p>
    <w:p>
      <w:pPr>
        <w:ind w:right="1740"/>
        <w:spacing w:after="0" w:line="243" w:lineRule="auto"/>
        <w:rPr>
          <w:sz w:val="20"/>
          <w:szCs w:val="20"/>
          <w:color w:val="auto"/>
        </w:rPr>
      </w:pPr>
      <w:r>
        <w:rPr>
          <w:rFonts w:ascii="Times New Roman" w:cs="Times New Roman" w:eastAsia="Times New Roman" w:hAnsi="Times New Roman"/>
          <w:sz w:val="20"/>
          <w:szCs w:val="20"/>
          <w:color w:val="auto"/>
        </w:rPr>
        <w:t>Broadridge Corporate Issuer Solutions, Inc. P.O. Box 1342 Brentwood, NY 11717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5"/>
          <w:szCs w:val="15"/>
          <w:b w:val="1"/>
          <w:bCs w:val="1"/>
          <w:color w:val="auto"/>
        </w:rPr>
        <w:t>ISC</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5"/>
          <w:szCs w:val="15"/>
          <w:b w:val="1"/>
          <w:bCs w:val="1"/>
          <w:color w:val="auto"/>
        </w:rPr>
        <w:t>NVESTOR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5"/>
          <w:szCs w:val="15"/>
          <w:b w:val="1"/>
          <w:bCs w:val="1"/>
          <w:color w:val="auto"/>
        </w:rPr>
        <w:t>ELATIONS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ir@discmedicine.com</w:t>
      </w:r>
    </w:p>
    <w:p>
      <w:pPr>
        <w:spacing w:after="0" w:line="4379" w:lineRule="exact"/>
        <w:rPr>
          <w:sz w:val="20"/>
          <w:szCs w:val="20"/>
          <w:color w:val="auto"/>
        </w:rPr>
      </w:pPr>
    </w:p>
    <w:p>
      <w:pPr>
        <w:sectPr>
          <w:pgSz w:w="12240" w:h="15840" w:orient="portrait"/>
          <w:cols w:equalWidth="0" w:num="3">
            <w:col w:w="2980" w:space="240"/>
            <w:col w:w="2760" w:space="360"/>
            <w:col w:w="4020"/>
          </w:cols>
          <w:pgMar w:left="1440" w:top="1416" w:right="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60"/>
        <w:spacing w:after="0"/>
        <w:rPr>
          <w:sz w:val="20"/>
          <w:szCs w:val="20"/>
          <w:color w:val="auto"/>
        </w:rPr>
      </w:pPr>
      <w:r>
        <w:rPr>
          <w:rFonts w:ascii="Arial" w:cs="Arial" w:eastAsia="Arial" w:hAnsi="Arial"/>
          <w:sz w:val="15"/>
          <w:szCs w:val="15"/>
          <w:color w:val="auto"/>
        </w:rPr>
        <w:t>BR254604-0424-10K</w:t>
      </w:r>
    </w:p>
    <w:sectPr>
      <w:pgSz w:w="12240" w:h="15840" w:orient="portrait"/>
      <w:cols w:equalWidth="0" w:num="1">
        <w:col w:w="10360"/>
      </w:cols>
      <w:pgMar w:left="1440" w:top="1416" w:right="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4"/>
      <w:numFmt w:val="bullet"/>
      <w:start w:val="1"/>
    </w:lvl>
  </w:abstractNum>
  <w:abstractNum w:abstractNumId="1">
    <w:nsid w:val="3855585C"/>
    <w:multiLevelType w:val="hybridMultilevel"/>
    <w:lvl w:ilvl="0">
      <w:lvlJc w:val="left"/>
      <w:lvlText w:val="%5"/>
      <w:numFmt w:val="bullet"/>
      <w:start w:val="1"/>
    </w:lvl>
  </w:abstractNum>
  <w:abstractNum w:abstractNumId="2">
    <w:nsid w:val="70A64E2A"/>
    <w:multiLevelType w:val="hybridMultilevel"/>
    <w:lvl w:ilvl="0">
      <w:lvlJc w:val="left"/>
      <w:lvlText w:val="%4"/>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upperLetter"/>
      <w:start w:val="34"/>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lowerRoman"/>
      <w:start w:val="3"/>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decimal"/>
      <w:start w:val="2"/>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decimal"/>
      <w:start w:val="11"/>
    </w:lvl>
  </w:abstractNum>
  <w:abstractNum w:abstractNumId="56">
    <w:nsid w:val="6590700B"/>
    <w:multiLevelType w:val="hybridMultilevel"/>
    <w:lvl w:ilvl="0">
      <w:lvlJc w:val="left"/>
      <w:lvlText w:val="%1."/>
      <w:numFmt w:val="decimal"/>
      <w:start w:val="14"/>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3"/>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4"/>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2"/>
    </w:lvl>
  </w:abstractNum>
  <w:abstractNum w:abstractNumId="77">
    <w:nsid w:val="3B0FD379"/>
    <w:multiLevelType w:val="hybridMultilevel"/>
    <w:lvl w:ilvl="0">
      <w:lvlJc w:val="left"/>
      <w:lvlText w:val="%1."/>
      <w:numFmt w:val="decimal"/>
      <w:start w:val="3"/>
    </w:lvl>
  </w:abstractNum>
  <w:abstractNum w:abstractNumId="78">
    <w:nsid w:val="68EB2F63"/>
    <w:multiLevelType w:val="hybridMultilevel"/>
    <w:lvl w:ilvl="0">
      <w:lvlJc w:val="left"/>
      <w:lvlText w:val="*"/>
      <w:numFmt w:val="bullet"/>
      <w:start w:val="1"/>
    </w:lvl>
    <w:lvl w:ilvl="1">
      <w:lvlJc w:val="left"/>
      <w:lvlText w:val="%2"/>
      <w:numFmt w:val="decimal"/>
      <w:start w:val="104"/>
    </w:lvl>
  </w:abstractNum>
  <w:abstractNum w:abstractNumId="79">
    <w:nsid w:val="4962813B"/>
    <w:multiLevelType w:val="hybridMultilevel"/>
    <w:lvl w:ilvl="0">
      <w:lvlJc w:val="left"/>
      <w:lvlText w:val="**"/>
      <w:numFmt w:val="bullet"/>
      <w:start w:val="1"/>
    </w:lvl>
    <w:lvl w:ilvl="1">
      <w:lvlJc w:val="left"/>
      <w:lvlText w:val="%2"/>
      <w:numFmt w:val="decimal"/>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2024-05-01T16:10:28Z</dcterms:created>
  <dcterms:modified xsi:type="dcterms:W3CDTF">2024-05-01T16:10:28Z</dcterms:modified>
</cp:coreProperties>
</file>