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Bitterman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Disc Medicine, Inc.</w:t>
              </w:r>
            </w:hyperlink>
            <w:r>
              <w:rPr/>
              <w:t xml:space="preserve"> [ </w:t>
            </w:r>
            <w:r>
              <w:rPr>
                <w:rFonts w:ascii="Times;serif" w:hAnsi="Times;serif"/>
                <w:color w:val="0000FF"/>
                <w:sz w:val="24"/>
                <w:shd w:fill="FFFFFF" w:val="clear"/>
              </w:rPr>
              <w:t>IRON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01/23/2024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24"/>
        <w:gridCol w:w="446"/>
        <w:gridCol w:w="751"/>
        <w:gridCol w:w="1150"/>
        <w:gridCol w:w="98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01/23/2024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67.65</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703,660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01/23/2024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67.65</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198,326</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51,000</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91747" TargetMode="External"/><Relationship Id="rId4" Type="http://schemas.openxmlformats.org/officeDocument/2006/relationships/hyperlink" Target="http://www.sec.gov/cgi-bin/browse-edgar?action=getcompany&amp;CIK=000181673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804</Words>
  <Characters>4359</Characters>
  <CharactersWithSpaces>5089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