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jc w:val="center"/>
              <w:ind w:right="4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0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9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Ratcliffe Liam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10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1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45.69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7,136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-5708650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20" w:firstLine="5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2024 annual meeting of its stockholders, or (ii) the one-year anniversary of the grant date, subject to the Reporting Person's continued service on such vesting date.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47100" TargetMode="External"/><Relationship Id="rId9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2023-06-09T17:23:05Z</dcterms:created>
  <dcterms:modified xsi:type="dcterms:W3CDTF">2023-06-09T17:23:05Z</dcterms:modified>
</cp:coreProperties>
</file>