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2819400</wp:posOffset>
            </wp:positionH>
            <wp:positionV relativeFrom="page">
              <wp:posOffset>1591310</wp:posOffset>
            </wp:positionV>
            <wp:extent cx="2130425" cy="1212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30425" cy="1212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202</w:t>
      </w:r>
      <w:r>
        <w:rPr>
          <w:sz w:val="1"/>
          <w:szCs w:val="1"/>
          <w:color w:val="auto"/>
        </w:rPr>
        <w:drawing>
          <wp:inline distT="0" distB="0" distL="0" distR="0">
            <wp:extent cx="113665" cy="163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63830"/>
                    </a:xfrm>
                    <a:prstGeom prst="rect">
                      <a:avLst/>
                    </a:prstGeom>
                    <a:noFill/>
                    <a:ln>
                      <a:noFill/>
                    </a:ln>
                  </pic:spPr>
                </pic:pic>
              </a:graphicData>
            </a:graphic>
          </wp:inline>
        </w:drawing>
      </w:r>
      <w:r>
        <w:rPr>
          <w:rFonts w:ascii="Arial" w:cs="Arial" w:eastAsia="Arial" w:hAnsi="Arial"/>
          <w:sz w:val="26"/>
          <w:szCs w:val="26"/>
          <w:b w:val="1"/>
          <w:bCs w:val="1"/>
          <w:color w:val="auto"/>
        </w:rPr>
        <w:t xml:space="preserve">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534670</wp:posOffset>
            </wp:positionH>
            <wp:positionV relativeFrom="page">
              <wp:posOffset>456565</wp:posOffset>
            </wp:positionV>
            <wp:extent cx="6701790"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1790" cy="55880"/>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2720340</wp:posOffset>
                </wp:positionH>
                <wp:positionV relativeFrom="paragraph">
                  <wp:posOffset>69215</wp:posOffset>
                </wp:positionV>
                <wp:extent cx="118872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5.45pt" to="307.8pt,5.45pt" o:allowincell="f" strokecolor="#000000" strokeweight="1.08pt"/>
            </w:pict>
          </mc:Fallback>
        </mc:AlternateConten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2720340</wp:posOffset>
                </wp:positionH>
                <wp:positionV relativeFrom="paragraph">
                  <wp:posOffset>69215</wp:posOffset>
                </wp:positionV>
                <wp:extent cx="118872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5.45pt" to="307.8pt,5.45pt" o:allowincell="f" strokecolor="#000000" strokeweight="1.1999pt"/>
            </w:pict>
          </mc:Fallback>
        </mc:AlternateConten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-116840</wp:posOffset>
            </wp:positionV>
            <wp:extent cx="106045" cy="106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2024</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-116840</wp:posOffset>
            </wp:positionV>
            <wp:extent cx="106045" cy="10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5"/>
          <w:szCs w:val="15"/>
          <w:b w:val="1"/>
          <w:bCs w:val="1"/>
          <w:color w:val="auto"/>
        </w:rPr>
        <w:t>For the transition period from ___________to___________</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2720340</wp:posOffset>
                </wp:positionH>
                <wp:positionV relativeFrom="paragraph">
                  <wp:posOffset>69850</wp:posOffset>
                </wp:positionV>
                <wp:extent cx="11887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5.5pt" to="307.8pt,5.5pt" o:allowincell="f" strokecolor="#000000" strokeweight="1.0799pt"/>
            </w:pict>
          </mc:Fallback>
        </mc:AlternateConten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Disc Medicine,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2720340</wp:posOffset>
                </wp:positionH>
                <wp:positionV relativeFrom="paragraph">
                  <wp:posOffset>69850</wp:posOffset>
                </wp:positionV>
                <wp:extent cx="11887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5.5pt" to="307.8pt,5.5pt" o:allowincell="f" strokecolor="#000000" strokeweight="1.0799pt"/>
            </w:pict>
          </mc:Fallback>
        </mc:AlternateConten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jc w:val="center"/>
              <w:ind w:left="865"/>
              <w:spacing w:after="0"/>
              <w:rPr>
                <w:sz w:val="20"/>
                <w:szCs w:val="20"/>
                <w:color w:val="auto"/>
              </w:rPr>
            </w:pPr>
            <w:r>
              <w:rPr>
                <w:rFonts w:ascii="Arial" w:cs="Arial" w:eastAsia="Arial" w:hAnsi="Arial"/>
                <w:sz w:val="15"/>
                <w:szCs w:val="15"/>
                <w:b w:val="1"/>
                <w:bCs w:val="1"/>
                <w:color w:val="auto"/>
                <w:w w:val="94"/>
              </w:rPr>
              <w:t>Delaware</w:t>
            </w: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85-1612845</w:t>
            </w:r>
          </w:p>
        </w:tc>
        <w:tc>
          <w:tcPr>
            <w:tcW w:w="1780" w:type="dxa"/>
            <w:vAlign w:val="bottom"/>
          </w:tcPr>
          <w:p>
            <w:pPr>
              <w:spacing w:after="0"/>
              <w:rPr>
                <w:sz w:val="14"/>
                <w:szCs w:val="14"/>
                <w:color w:val="auto"/>
              </w:rPr>
            </w:pPr>
          </w:p>
        </w:tc>
      </w:tr>
      <w:tr>
        <w:trPr>
          <w:trHeight w:val="170"/>
        </w:trPr>
        <w:tc>
          <w:tcPr>
            <w:tcW w:w="4280" w:type="dxa"/>
            <w:vAlign w:val="bottom"/>
          </w:tcPr>
          <w:p>
            <w:pPr>
              <w:jc w:val="center"/>
              <w:ind w:left="845"/>
              <w:spacing w:after="0" w:line="171" w:lineRule="exact"/>
              <w:rPr>
                <w:sz w:val="20"/>
                <w:szCs w:val="20"/>
                <w:color w:val="auto"/>
              </w:rPr>
            </w:pPr>
            <w:r>
              <w:rPr>
                <w:rFonts w:ascii="Arial" w:cs="Arial" w:eastAsia="Arial" w:hAnsi="Arial"/>
                <w:sz w:val="15"/>
                <w:szCs w:val="15"/>
                <w:b w:val="1"/>
                <w:bCs w:val="1"/>
                <w:color w:val="auto"/>
                <w:w w:val="91"/>
              </w:rPr>
              <w:t>(State or other jurisdiction of</w:t>
            </w: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center"/>
              <w:ind w:right="60"/>
              <w:spacing w:after="0" w:line="171" w:lineRule="exact"/>
              <w:rPr>
                <w:sz w:val="20"/>
                <w:szCs w:val="20"/>
                <w:color w:val="auto"/>
              </w:rPr>
            </w:pPr>
            <w:r>
              <w:rPr>
                <w:rFonts w:ascii="Arial" w:cs="Arial" w:eastAsia="Arial" w:hAnsi="Arial"/>
                <w:sz w:val="15"/>
                <w:szCs w:val="15"/>
                <w:b w:val="1"/>
                <w:bCs w:val="1"/>
                <w:color w:val="auto"/>
                <w:w w:val="93"/>
              </w:rPr>
              <w:t>(I.R.S. Employer</w:t>
            </w:r>
          </w:p>
        </w:tc>
        <w:tc>
          <w:tcPr>
            <w:tcW w:w="1780" w:type="dxa"/>
            <w:vAlign w:val="bottom"/>
          </w:tcPr>
          <w:p>
            <w:pPr>
              <w:spacing w:after="0"/>
              <w:rPr>
                <w:sz w:val="14"/>
                <w:szCs w:val="14"/>
                <w:color w:val="auto"/>
              </w:rPr>
            </w:pPr>
          </w:p>
        </w:tc>
      </w:tr>
      <w:tr>
        <w:trPr>
          <w:trHeight w:val="173"/>
        </w:trPr>
        <w:tc>
          <w:tcPr>
            <w:tcW w:w="4280" w:type="dxa"/>
            <w:vAlign w:val="bottom"/>
          </w:tcPr>
          <w:p>
            <w:pPr>
              <w:jc w:val="center"/>
              <w:ind w:left="845"/>
              <w:spacing w:after="0"/>
              <w:rPr>
                <w:sz w:val="20"/>
                <w:szCs w:val="20"/>
                <w:color w:val="auto"/>
              </w:rPr>
            </w:pPr>
            <w:r>
              <w:rPr>
                <w:rFonts w:ascii="Arial" w:cs="Arial" w:eastAsia="Arial" w:hAnsi="Arial"/>
                <w:sz w:val="15"/>
                <w:szCs w:val="15"/>
                <w:b w:val="1"/>
                <w:bCs w:val="1"/>
                <w:color w:val="auto"/>
                <w:w w:val="91"/>
              </w:rPr>
              <w:t>incorporation or organization)</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3"/>
              </w:rPr>
              <w:t>Identification No.)</w:t>
            </w:r>
          </w:p>
        </w:tc>
        <w:tc>
          <w:tcPr>
            <w:tcW w:w="1780" w:type="dxa"/>
            <w:vAlign w:val="bottom"/>
          </w:tcPr>
          <w:p>
            <w:pPr>
              <w:spacing w:after="0"/>
              <w:rPr>
                <w:sz w:val="15"/>
                <w:szCs w:val="15"/>
                <w:color w:val="auto"/>
              </w:rPr>
            </w:pPr>
          </w:p>
        </w:tc>
      </w:tr>
      <w:tr>
        <w:trPr>
          <w:trHeight w:val="216"/>
        </w:trPr>
        <w:tc>
          <w:tcPr>
            <w:tcW w:w="4280" w:type="dxa"/>
            <w:vAlign w:val="bottom"/>
          </w:tcPr>
          <w:p>
            <w:pPr>
              <w:jc w:val="center"/>
              <w:ind w:left="845"/>
              <w:spacing w:after="0"/>
              <w:rPr>
                <w:sz w:val="20"/>
                <w:szCs w:val="20"/>
                <w:color w:val="auto"/>
              </w:rPr>
            </w:pPr>
            <w:r>
              <w:rPr>
                <w:rFonts w:ascii="Arial" w:cs="Arial" w:eastAsia="Arial" w:hAnsi="Arial"/>
                <w:sz w:val="15"/>
                <w:szCs w:val="15"/>
                <w:b w:val="1"/>
                <w:bCs w:val="1"/>
                <w:color w:val="auto"/>
                <w:w w:val="89"/>
              </w:rPr>
              <w:t>321 Arsenal Street, Suite 101</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2"/>
        </w:trPr>
        <w:tc>
          <w:tcPr>
            <w:tcW w:w="4280" w:type="dxa"/>
            <w:vAlign w:val="bottom"/>
          </w:tcPr>
          <w:p>
            <w:pPr>
              <w:jc w:val="center"/>
              <w:ind w:left="845"/>
              <w:spacing w:after="0"/>
              <w:rPr>
                <w:sz w:val="20"/>
                <w:szCs w:val="20"/>
                <w:color w:val="auto"/>
              </w:rPr>
            </w:pPr>
            <w:r>
              <w:rPr>
                <w:rFonts w:ascii="Arial" w:cs="Arial" w:eastAsia="Arial" w:hAnsi="Arial"/>
                <w:sz w:val="15"/>
                <w:szCs w:val="15"/>
                <w:b w:val="1"/>
                <w:bCs w:val="1"/>
                <w:color w:val="auto"/>
                <w:w w:val="89"/>
              </w:rPr>
              <w:t>Watertown, Massachusetts</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b w:val="1"/>
                <w:bCs w:val="1"/>
                <w:color w:val="auto"/>
              </w:rPr>
              <w:t>02472</w:t>
            </w: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73"/>
        </w:trPr>
        <w:tc>
          <w:tcPr>
            <w:tcW w:w="4280" w:type="dxa"/>
            <w:vAlign w:val="bottom"/>
          </w:tcPr>
          <w:p>
            <w:pPr>
              <w:jc w:val="center"/>
              <w:ind w:left="845"/>
              <w:spacing w:after="0"/>
              <w:rPr>
                <w:sz w:val="20"/>
                <w:szCs w:val="20"/>
                <w:color w:val="auto"/>
              </w:rPr>
            </w:pPr>
            <w:r>
              <w:rPr>
                <w:rFonts w:ascii="Arial" w:cs="Arial" w:eastAsia="Arial" w:hAnsi="Arial"/>
                <w:sz w:val="15"/>
                <w:szCs w:val="15"/>
                <w:b w:val="1"/>
                <w:bCs w:val="1"/>
                <w:color w:val="auto"/>
                <w:w w:val="88"/>
              </w:rPr>
              <w:t>(Address of principal executive offices)</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(Zip Code)</w:t>
            </w:r>
          </w:p>
        </w:tc>
        <w:tc>
          <w:tcPr>
            <w:tcW w:w="1780" w:type="dxa"/>
            <w:vAlign w:val="bottom"/>
          </w:tcPr>
          <w:p>
            <w:pPr>
              <w:spacing w:after="0"/>
              <w:rPr>
                <w:sz w:val="15"/>
                <w:szCs w:val="15"/>
                <w:color w:val="auto"/>
              </w:rPr>
            </w:pPr>
          </w:p>
        </w:tc>
      </w:tr>
      <w:tr>
        <w:trPr>
          <w:trHeight w:val="192"/>
        </w:trPr>
        <w:tc>
          <w:tcPr>
            <w:tcW w:w="8140" w:type="dxa"/>
            <w:vAlign w:val="bottom"/>
            <w:gridSpan w:val="4"/>
          </w:tcPr>
          <w:p>
            <w:pPr>
              <w:jc w:val="center"/>
              <w:ind w:left="2225"/>
              <w:spacing w:after="0"/>
              <w:rPr>
                <w:sz w:val="20"/>
                <w:szCs w:val="20"/>
                <w:color w:val="auto"/>
              </w:rPr>
            </w:pPr>
            <w:r>
              <w:rPr>
                <w:rFonts w:ascii="Arial" w:cs="Arial" w:eastAsia="Arial" w:hAnsi="Arial"/>
                <w:sz w:val="15"/>
                <w:szCs w:val="15"/>
                <w:b w:val="1"/>
                <w:bCs w:val="1"/>
                <w:color w:val="auto"/>
                <w:w w:val="89"/>
              </w:rPr>
              <w:t>Registrant’s telephone number, including area code: (617) 674-9274</w:t>
            </w: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4"/>
        </w:trPr>
        <w:tc>
          <w:tcPr>
            <w:tcW w:w="7160" w:type="dxa"/>
            <w:vAlign w:val="bottom"/>
            <w:gridSpan w:val="3"/>
          </w:tcPr>
          <w:p>
            <w:pPr>
              <w:jc w:val="center"/>
              <w:ind w:left="3205"/>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4"/>
        </w:trPr>
        <w:tc>
          <w:tcPr>
            <w:tcW w:w="4280" w:type="dxa"/>
            <w:vAlign w:val="bottom"/>
          </w:tcPr>
          <w:p>
            <w:pPr>
              <w:spacing w:after="0"/>
              <w:rPr>
                <w:sz w:val="16"/>
                <w:szCs w:val="16"/>
                <w:color w:val="auto"/>
              </w:rPr>
            </w:pPr>
          </w:p>
        </w:tc>
        <w:tc>
          <w:tcPr>
            <w:tcW w:w="288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94"/>
              </w:rPr>
              <w:t>Trading</w:t>
            </w:r>
          </w:p>
        </w:tc>
        <w:tc>
          <w:tcPr>
            <w:tcW w:w="328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6"/>
              </w:rPr>
              <w:t>Name of each exchange</w:t>
            </w:r>
          </w:p>
        </w:tc>
      </w:tr>
      <w:tr>
        <w:trPr>
          <w:trHeight w:val="171"/>
        </w:trPr>
        <w:tc>
          <w:tcPr>
            <w:tcW w:w="4280" w:type="dxa"/>
            <w:vAlign w:val="bottom"/>
            <w:tcBorders>
              <w:bottom w:val="single" w:sz="8" w:color="auto"/>
            </w:tcBorders>
          </w:tcPr>
          <w:p>
            <w:pPr>
              <w:jc w:val="center"/>
              <w:ind w:right="485"/>
              <w:spacing w:after="0" w:line="171" w:lineRule="exact"/>
              <w:rPr>
                <w:sz w:val="20"/>
                <w:szCs w:val="20"/>
                <w:color w:val="auto"/>
              </w:rPr>
            </w:pPr>
            <w:r>
              <w:rPr>
                <w:rFonts w:ascii="Arial" w:cs="Arial" w:eastAsia="Arial" w:hAnsi="Arial"/>
                <w:sz w:val="15"/>
                <w:szCs w:val="15"/>
                <w:b w:val="1"/>
                <w:bCs w:val="1"/>
                <w:color w:val="auto"/>
                <w:w w:val="86"/>
              </w:rPr>
              <w:t>Title of each class</w:t>
            </w:r>
          </w:p>
        </w:tc>
        <w:tc>
          <w:tcPr>
            <w:tcW w:w="2880" w:type="dxa"/>
            <w:vAlign w:val="bottom"/>
            <w:tcBorders>
              <w:bottom w:val="single" w:sz="8" w:color="auto"/>
            </w:tcBorders>
            <w:gridSpan w:val="2"/>
          </w:tcPr>
          <w:p>
            <w:pPr>
              <w:jc w:val="center"/>
              <w:ind w:right="1000"/>
              <w:spacing w:after="0" w:line="171" w:lineRule="exact"/>
              <w:rPr>
                <w:sz w:val="20"/>
                <w:szCs w:val="20"/>
                <w:color w:val="auto"/>
              </w:rPr>
            </w:pPr>
            <w:r>
              <w:rPr>
                <w:rFonts w:ascii="Arial" w:cs="Arial" w:eastAsia="Arial" w:hAnsi="Arial"/>
                <w:sz w:val="15"/>
                <w:szCs w:val="15"/>
                <w:b w:val="1"/>
                <w:bCs w:val="1"/>
                <w:color w:val="auto"/>
                <w:w w:val="88"/>
              </w:rPr>
              <w:t>Symbol(s)</w:t>
            </w:r>
          </w:p>
        </w:tc>
        <w:tc>
          <w:tcPr>
            <w:tcW w:w="3280" w:type="dxa"/>
            <w:vAlign w:val="bottom"/>
            <w:tcBorders>
              <w:bottom w:val="single" w:sz="8" w:color="auto"/>
            </w:tcBorders>
            <w:gridSpan w:val="3"/>
          </w:tcPr>
          <w:p>
            <w:pPr>
              <w:jc w:val="center"/>
              <w:ind w:right="360"/>
              <w:spacing w:after="0" w:line="171" w:lineRule="exact"/>
              <w:rPr>
                <w:sz w:val="20"/>
                <w:szCs w:val="20"/>
                <w:color w:val="auto"/>
              </w:rPr>
            </w:pPr>
            <w:r>
              <w:rPr>
                <w:rFonts w:ascii="Arial" w:cs="Arial" w:eastAsia="Arial" w:hAnsi="Arial"/>
                <w:sz w:val="15"/>
                <w:szCs w:val="15"/>
                <w:b w:val="1"/>
                <w:bCs w:val="1"/>
                <w:color w:val="auto"/>
                <w:w w:val="87"/>
              </w:rPr>
              <w:t>on which registered</w:t>
            </w:r>
          </w:p>
        </w:tc>
      </w:tr>
      <w:tr>
        <w:trPr>
          <w:trHeight w:val="164"/>
        </w:trPr>
        <w:tc>
          <w:tcPr>
            <w:tcW w:w="4280" w:type="dxa"/>
            <w:vAlign w:val="bottom"/>
          </w:tcPr>
          <w:p>
            <w:pPr>
              <w:jc w:val="center"/>
              <w:ind w:right="485"/>
              <w:spacing w:after="0" w:line="164" w:lineRule="exact"/>
              <w:rPr>
                <w:sz w:val="20"/>
                <w:szCs w:val="20"/>
                <w:color w:val="auto"/>
              </w:rPr>
            </w:pPr>
            <w:r>
              <w:rPr>
                <w:rFonts w:ascii="Arial" w:cs="Arial" w:eastAsia="Arial" w:hAnsi="Arial"/>
                <w:sz w:val="15"/>
                <w:szCs w:val="15"/>
                <w:b w:val="1"/>
                <w:bCs w:val="1"/>
                <w:color w:val="auto"/>
                <w:w w:val="91"/>
              </w:rPr>
              <w:t>Common Stock, $0.0001 Par Value</w:t>
            </w:r>
          </w:p>
        </w:tc>
        <w:tc>
          <w:tcPr>
            <w:tcW w:w="2880" w:type="dxa"/>
            <w:vAlign w:val="bottom"/>
            <w:gridSpan w:val="2"/>
          </w:tcPr>
          <w:p>
            <w:pPr>
              <w:jc w:val="center"/>
              <w:ind w:right="1000"/>
              <w:spacing w:after="0" w:line="164" w:lineRule="exact"/>
              <w:rPr>
                <w:sz w:val="20"/>
                <w:szCs w:val="20"/>
                <w:color w:val="auto"/>
              </w:rPr>
            </w:pPr>
            <w:r>
              <w:rPr>
                <w:rFonts w:ascii="Arial" w:cs="Arial" w:eastAsia="Arial" w:hAnsi="Arial"/>
                <w:sz w:val="15"/>
                <w:szCs w:val="15"/>
                <w:b w:val="1"/>
                <w:bCs w:val="1"/>
                <w:color w:val="auto"/>
              </w:rPr>
              <w:t>IRON</w:t>
            </w:r>
          </w:p>
        </w:tc>
        <w:tc>
          <w:tcPr>
            <w:tcW w:w="3280" w:type="dxa"/>
            <w:vAlign w:val="bottom"/>
            <w:gridSpan w:val="3"/>
          </w:tcPr>
          <w:p>
            <w:pPr>
              <w:jc w:val="center"/>
              <w:ind w:right="360"/>
              <w:spacing w:after="0" w:line="164" w:lineRule="exact"/>
              <w:rPr>
                <w:sz w:val="20"/>
                <w:szCs w:val="20"/>
                <w:color w:val="auto"/>
              </w:rPr>
            </w:pPr>
            <w:r>
              <w:rPr>
                <w:rFonts w:ascii="Arial" w:cs="Arial" w:eastAsia="Arial" w:hAnsi="Arial"/>
                <w:sz w:val="15"/>
                <w:szCs w:val="15"/>
                <w:b w:val="1"/>
                <w:bCs w:val="1"/>
                <w:color w:val="auto"/>
                <w:w w:val="93"/>
              </w:rPr>
              <w:t>The Nasdaq Global Market</w:t>
            </w:r>
          </w:p>
        </w:tc>
      </w:tr>
      <w:tr>
        <w:trPr>
          <w:trHeight w:val="211"/>
        </w:trPr>
        <w:tc>
          <w:tcPr>
            <w:tcW w:w="7160" w:type="dxa"/>
            <w:vAlign w:val="bottom"/>
            <w:gridSpan w:val="3"/>
          </w:tcPr>
          <w:p>
            <w:pPr>
              <w:jc w:val="center"/>
              <w:ind w:left="3205"/>
              <w:spacing w:after="0"/>
              <w:rPr>
                <w:sz w:val="20"/>
                <w:szCs w:val="20"/>
                <w:color w:val="auto"/>
              </w:rPr>
            </w:pPr>
            <w:r>
              <w:rPr>
                <w:rFonts w:ascii="Arial" w:cs="Arial" w:eastAsia="Arial" w:hAnsi="Arial"/>
                <w:sz w:val="15"/>
                <w:szCs w:val="15"/>
                <w:b w:val="1"/>
                <w:bCs w:val="1"/>
                <w:color w:val="auto"/>
                <w:w w:val="89"/>
              </w:rPr>
              <w:t>Securities registered pursuant to Section 12(g) of the Act:</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4280" w:type="dxa"/>
            <w:vAlign w:val="bottom"/>
          </w:tcPr>
          <w:p>
            <w:pPr>
              <w:spacing w:after="0"/>
              <w:rPr>
                <w:sz w:val="16"/>
                <w:szCs w:val="16"/>
                <w:color w:val="auto"/>
              </w:rPr>
            </w:pPr>
          </w:p>
        </w:tc>
        <w:tc>
          <w:tcPr>
            <w:tcW w:w="288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85"/>
              </w:rPr>
              <w:t>None</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02"/>
        </w:trPr>
        <w:tc>
          <w:tcPr>
            <w:tcW w:w="42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98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45"/>
        </w:trPr>
        <w:tc>
          <w:tcPr>
            <w:tcW w:w="8140" w:type="dxa"/>
            <w:vAlign w:val="bottom"/>
            <w:gridSpan w:val="4"/>
          </w:tcPr>
          <w:p>
            <w:pPr>
              <w:ind w:left="480"/>
              <w:spacing w:after="0"/>
              <w:rPr>
                <w:sz w:val="20"/>
                <w:szCs w:val="20"/>
                <w:color w:val="auto"/>
              </w:rPr>
            </w:pPr>
            <w:r>
              <w:rPr>
                <w:rFonts w:ascii="Arial" w:cs="Arial" w:eastAsia="Arial" w:hAnsi="Arial"/>
                <w:sz w:val="16"/>
                <w:szCs w:val="16"/>
                <w:b w:val="1"/>
                <w:bCs w:val="1"/>
                <w:color w:val="auto"/>
                <w:w w:val="85"/>
              </w:rPr>
              <w:t>Indicate by check mark if the registrant is a well-known seasoned issuer, as defined in Rule 405 of the Securities Act.</w:t>
            </w:r>
          </w:p>
        </w:tc>
        <w:tc>
          <w:tcPr>
            <w:tcW w:w="520" w:type="dxa"/>
            <w:vAlign w:val="bottom"/>
          </w:tcPr>
          <w:p>
            <w:pPr>
              <w:ind w:left="20"/>
              <w:spacing w:after="0"/>
              <w:rPr>
                <w:sz w:val="20"/>
                <w:szCs w:val="20"/>
                <w:color w:val="auto"/>
              </w:rPr>
            </w:pPr>
            <w:r>
              <w:rPr>
                <w:rFonts w:ascii="Arial" w:cs="Arial" w:eastAsia="Arial" w:hAnsi="Arial"/>
                <w:sz w:val="16"/>
                <w:szCs w:val="16"/>
                <w:b w:val="1"/>
                <w:bCs w:val="1"/>
                <w:color w:val="auto"/>
              </w:rPr>
              <w:t>Yes</w:t>
            </w:r>
          </w:p>
        </w:tc>
        <w:tc>
          <w:tcPr>
            <w:tcW w:w="1780" w:type="dxa"/>
            <w:vAlign w:val="bottom"/>
          </w:tcPr>
          <w:p>
            <w:pPr>
              <w:ind w:left="120"/>
              <w:spacing w:after="0"/>
              <w:rPr>
                <w:sz w:val="20"/>
                <w:szCs w:val="20"/>
                <w:color w:val="auto"/>
              </w:rPr>
            </w:pPr>
            <w:r>
              <w:rPr>
                <w:rFonts w:ascii="Arial" w:cs="Arial" w:eastAsia="Arial" w:hAnsi="Arial"/>
                <w:sz w:val="16"/>
                <w:szCs w:val="16"/>
                <w:b w:val="1"/>
                <w:bCs w:val="1"/>
                <w:color w:val="auto"/>
              </w:rPr>
              <w:t>No</w:t>
            </w:r>
          </w:p>
        </w:tc>
      </w:tr>
      <w:tr>
        <w:trPr>
          <w:trHeight w:val="252"/>
        </w:trPr>
        <w:tc>
          <w:tcPr>
            <w:tcW w:w="8140" w:type="dxa"/>
            <w:vAlign w:val="bottom"/>
            <w:gridSpan w:val="4"/>
          </w:tcPr>
          <w:p>
            <w:pPr>
              <w:ind w:left="480"/>
              <w:spacing w:after="0"/>
              <w:rPr>
                <w:sz w:val="20"/>
                <w:szCs w:val="20"/>
                <w:color w:val="auto"/>
              </w:rPr>
            </w:pPr>
            <w:r>
              <w:rPr>
                <w:rFonts w:ascii="Arial" w:cs="Arial" w:eastAsia="Arial" w:hAnsi="Arial"/>
                <w:sz w:val="16"/>
                <w:szCs w:val="16"/>
                <w:b w:val="1"/>
                <w:bCs w:val="1"/>
                <w:color w:val="auto"/>
                <w:w w:val="84"/>
              </w:rPr>
              <w:t>Indicate by check mark if the registrant is not required to file reports pursuant to Section 13 or Section 15(d) of the Act.</w:t>
            </w:r>
          </w:p>
        </w:tc>
        <w:tc>
          <w:tcPr>
            <w:tcW w:w="520" w:type="dxa"/>
            <w:vAlign w:val="bottom"/>
          </w:tcPr>
          <w:p>
            <w:pPr>
              <w:ind w:left="160"/>
              <w:spacing w:after="0"/>
              <w:rPr>
                <w:sz w:val="20"/>
                <w:szCs w:val="20"/>
                <w:color w:val="auto"/>
              </w:rPr>
            </w:pPr>
            <w:r>
              <w:rPr>
                <w:rFonts w:ascii="Arial" w:cs="Arial" w:eastAsia="Arial" w:hAnsi="Arial"/>
                <w:sz w:val="16"/>
                <w:szCs w:val="16"/>
                <w:b w:val="1"/>
                <w:bCs w:val="1"/>
                <w:color w:val="auto"/>
              </w:rPr>
              <w:t>Yes</w:t>
            </w:r>
          </w:p>
        </w:tc>
        <w:tc>
          <w:tcPr>
            <w:tcW w:w="1780" w:type="dxa"/>
            <w:vAlign w:val="bottom"/>
          </w:tcPr>
          <w:p>
            <w:pPr>
              <w:ind w:left="260"/>
              <w:spacing w:after="0"/>
              <w:rPr>
                <w:sz w:val="20"/>
                <w:szCs w:val="20"/>
                <w:color w:val="auto"/>
              </w:rPr>
            </w:pPr>
            <w:r>
              <w:rPr>
                <w:rFonts w:ascii="Arial" w:cs="Arial" w:eastAsia="Arial" w:hAnsi="Arial"/>
                <w:sz w:val="16"/>
                <w:szCs w:val="16"/>
                <w:b w:val="1"/>
                <w:bCs w:val="1"/>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-265430</wp:posOffset>
            </wp:positionV>
            <wp:extent cx="97155"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-265430</wp:posOffset>
            </wp:positionV>
            <wp:extent cx="97155"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-105410</wp:posOffset>
            </wp:positionV>
            <wp:extent cx="97155"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-105410</wp:posOffset>
            </wp:positionV>
            <wp:extent cx="97155"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97155" cy="97155"/>
                    </a:xfrm>
                    <a:prstGeom prst="rect">
                      <a:avLst/>
                    </a:prstGeom>
                    <a:noFill/>
                  </pic:spPr>
                </pic:pic>
              </a:graphicData>
            </a:graphic>
          </wp:anchor>
        </w:drawing>
      </w:r>
    </w:p>
    <w:p>
      <w:pPr>
        <w:spacing w:after="0" w:line="33" w:lineRule="exact"/>
        <w:rPr>
          <w:sz w:val="20"/>
          <w:szCs w:val="20"/>
          <w:color w:val="auto"/>
        </w:rPr>
      </w:pPr>
    </w:p>
    <w:p>
      <w:pPr>
        <w:jc w:val="both"/>
        <w:ind w:firstLine="490"/>
        <w:spacing w:after="0" w:line="314" w:lineRule="auto"/>
        <w:rPr>
          <w:sz w:val="20"/>
          <w:szCs w:val="20"/>
          <w:color w:val="auto"/>
        </w:rPr>
      </w:pPr>
      <w:r>
        <w:rPr>
          <w:rFonts w:ascii="Arial" w:cs="Arial" w:eastAsia="Arial" w:hAnsi="Arial"/>
          <w:sz w:val="13"/>
          <w:szCs w:val="13"/>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tabs>
          <w:tab w:leader="none" w:pos="1420" w:val="left"/>
        </w:tabs>
        <w:rPr>
          <w:sz w:val="20"/>
          <w:szCs w:val="20"/>
          <w:color w:val="auto"/>
        </w:rPr>
      </w:pPr>
      <w:r>
        <w:rPr>
          <w:rFonts w:ascii="Arial" w:cs="Arial" w:eastAsia="Arial" w:hAnsi="Arial"/>
          <w:sz w:val="16"/>
          <w:szCs w:val="16"/>
          <w:b w:val="1"/>
          <w:bCs w:val="1"/>
          <w:color w:val="auto"/>
        </w:rPr>
        <w:t>for the past 90 days.</w:t>
      </w:r>
      <w:r>
        <w:rPr>
          <w:sz w:val="20"/>
          <w:szCs w:val="20"/>
          <w:color w:val="auto"/>
        </w:rPr>
        <w:tab/>
      </w:r>
      <w:r>
        <w:rPr>
          <w:rFonts w:ascii="Arial" w:cs="Arial" w:eastAsia="Arial" w:hAnsi="Arial"/>
          <w:sz w:val="15"/>
          <w:szCs w:val="15"/>
          <w:b w:val="1"/>
          <w:bCs w:val="1"/>
          <w:color w:val="auto"/>
        </w:rPr>
        <w:t xml:space="preserve">Yes </w:t>
      </w:r>
      <w:r>
        <w:rPr>
          <w:sz w:val="1"/>
          <w:szCs w:val="1"/>
          <w:color w:val="auto"/>
        </w:rPr>
        <w:drawing>
          <wp:inline distT="0" distB="0" distL="0" distR="0">
            <wp:extent cx="97155"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5"/>
          <w:szCs w:val="15"/>
          <w:b w:val="1"/>
          <w:bCs w:val="1"/>
          <w:color w:val="auto"/>
        </w:rPr>
        <w:t xml:space="preserve">  No </w:t>
      </w:r>
      <w:r>
        <w:rPr>
          <w:sz w:val="1"/>
          <w:szCs w:val="1"/>
          <w:color w:val="auto"/>
        </w:rPr>
        <w:drawing>
          <wp:inline distT="0" distB="0" distL="0" distR="0">
            <wp:extent cx="9715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51" w:lineRule="exact"/>
        <w:rPr>
          <w:sz w:val="20"/>
          <w:szCs w:val="20"/>
          <w:color w:val="auto"/>
        </w:rPr>
      </w:pPr>
    </w:p>
    <w:p>
      <w:pPr>
        <w:ind w:right="160" w:firstLine="490"/>
        <w:spacing w:after="0" w:line="313" w:lineRule="auto"/>
        <w:rPr>
          <w:sz w:val="20"/>
          <w:szCs w:val="20"/>
          <w:color w:val="auto"/>
        </w:rPr>
      </w:pPr>
      <w:r>
        <w:rPr>
          <w:rFonts w:ascii="Arial" w:cs="Arial" w:eastAsia="Arial" w:hAnsi="Arial"/>
          <w:sz w:val="13"/>
          <w:szCs w:val="13"/>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300"/>
        <w:spacing w:after="0" w:line="232" w:lineRule="auto"/>
        <w:rPr>
          <w:sz w:val="20"/>
          <w:szCs w:val="20"/>
          <w:color w:val="auto"/>
        </w:rPr>
      </w:pPr>
      <w:r>
        <w:rPr>
          <w:rFonts w:ascii="Arial" w:cs="Arial" w:eastAsia="Arial" w:hAnsi="Arial"/>
          <w:sz w:val="16"/>
          <w:szCs w:val="16"/>
          <w:b w:val="1"/>
          <w:bCs w:val="1"/>
          <w:color w:val="auto"/>
        </w:rPr>
        <w:t xml:space="preserve">No </w:t>
      </w:r>
      <w:r>
        <w:rPr>
          <w:sz w:val="1"/>
          <w:szCs w:val="1"/>
          <w:color w:val="auto"/>
        </w:rPr>
        <w:drawing>
          <wp:inline distT="0" distB="0" distL="0" distR="0">
            <wp:extent cx="9715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-104775</wp:posOffset>
            </wp:positionV>
            <wp:extent cx="9715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97155" cy="97155"/>
                    </a:xfrm>
                    <a:prstGeom prst="rect">
                      <a:avLst/>
                    </a:prstGeom>
                    <a:noFill/>
                  </pic:spPr>
                </pic:pic>
              </a:graphicData>
            </a:graphic>
          </wp:anchor>
        </w:drawing>
      </w:r>
    </w:p>
    <w:p>
      <w:pPr>
        <w:spacing w:after="0" w:line="34" w:lineRule="exact"/>
        <w:rPr>
          <w:sz w:val="20"/>
          <w:szCs w:val="20"/>
          <w:color w:val="auto"/>
        </w:rPr>
      </w:pPr>
    </w:p>
    <w:p>
      <w:pPr>
        <w:jc w:val="both"/>
        <w:ind w:right="140" w:firstLine="490"/>
        <w:spacing w:after="0" w:line="236"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440"/>
          </w:cols>
          <w:pgMar w:left="900" w:top="822" w:right="900" w:bottom="1021"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Large accelerated filer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-90805</wp:posOffset>
            </wp:positionV>
            <wp:extent cx="9207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88" w:lineRule="exact"/>
        <w:rPr>
          <w:sz w:val="20"/>
          <w:szCs w:val="20"/>
          <w:color w:val="auto"/>
        </w:rPr>
      </w:pPr>
    </w:p>
    <w:p>
      <w:pPr>
        <w:sectPr>
          <w:pgSz w:w="12240" w:h="15840" w:orient="portrait"/>
          <w:cols w:equalWidth="0" w:num="2">
            <w:col w:w="7160" w:space="720"/>
            <w:col w:w="2560"/>
          </w:cols>
          <w:pgMar w:left="900" w:top="822" w:right="900" w:bottom="1021" w:gutter="0" w:footer="0" w:header="0"/>
          <w:type w:val="continuous"/>
        </w:sectPr>
      </w:pPr>
    </w:p>
    <w:p>
      <w:pPr>
        <w:spacing w:after="0"/>
        <w:rPr>
          <w:sz w:val="20"/>
          <w:szCs w:val="20"/>
          <w:color w:val="auto"/>
        </w:rPr>
      </w:pPr>
      <w:r>
        <w:rPr>
          <w:rFonts w:ascii="Arial" w:cs="Arial" w:eastAsia="Arial" w:hAnsi="Arial"/>
          <w:sz w:val="13"/>
          <w:szCs w:val="13"/>
          <w:b w:val="1"/>
          <w:bCs w:val="1"/>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-92075</wp:posOffset>
            </wp:positionV>
            <wp:extent cx="9207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86" w:lineRule="exact"/>
        <w:rPr>
          <w:sz w:val="20"/>
          <w:szCs w:val="20"/>
          <w:color w:val="auto"/>
        </w:rPr>
      </w:pPr>
    </w:p>
    <w:p>
      <w:pPr>
        <w:sectPr>
          <w:pgSz w:w="12240" w:h="15840" w:orient="portrait"/>
          <w:cols w:equalWidth="0" w:num="2">
            <w:col w:w="7160" w:space="720"/>
            <w:col w:w="2560"/>
          </w:cols>
          <w:pgMar w:left="900" w:top="822" w:right="900" w:bottom="1021" w:gutter="0" w:footer="0" w:header="0"/>
          <w:type w:val="continuous"/>
        </w:sectPr>
      </w:pPr>
    </w:p>
    <w:p>
      <w:pPr>
        <w:ind w:left="7880"/>
        <w:spacing w:after="0"/>
        <w:rPr>
          <w:sz w:val="20"/>
          <w:szCs w:val="20"/>
          <w:color w:val="auto"/>
        </w:rPr>
      </w:pPr>
      <w:r>
        <w:rPr>
          <w:rFonts w:ascii="Arial" w:cs="Arial" w:eastAsia="Arial" w:hAnsi="Arial"/>
          <w:sz w:val="13"/>
          <w:szCs w:val="13"/>
          <w:b w:val="1"/>
          <w:bCs w:val="1"/>
          <w:color w:val="auto"/>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6414770</wp:posOffset>
            </wp:positionH>
            <wp:positionV relativeFrom="paragraph">
              <wp:posOffset>-90805</wp:posOffset>
            </wp:positionV>
            <wp:extent cx="9207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ectPr>
          <w:pgSz w:w="12240" w:h="15840" w:orient="portrait"/>
          <w:cols w:equalWidth="0" w:num="1">
            <w:col w:w="10440"/>
          </w:cols>
          <w:pgMar w:left="900" w:top="822" w:right="900" w:bottom="1021" w:gutter="0" w:footer="0" w:header="0"/>
          <w:type w:val="continuous"/>
        </w:sectPr>
      </w:pPr>
    </w:p>
    <w:p>
      <w:pPr>
        <w:spacing w:after="0" w:line="74" w:lineRule="exact"/>
        <w:rPr>
          <w:sz w:val="20"/>
          <w:szCs w:val="20"/>
          <w:color w:val="auto"/>
        </w:rPr>
      </w:pPr>
    </w:p>
    <w:p>
      <w:pPr>
        <w:ind w:right="100" w:firstLine="490"/>
        <w:spacing w:after="0" w:line="259" w:lineRule="auto"/>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7155" cy="971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37" w:lineRule="exact"/>
        <w:rPr>
          <w:sz w:val="20"/>
          <w:szCs w:val="20"/>
          <w:color w:val="auto"/>
        </w:rPr>
      </w:pPr>
    </w:p>
    <w:p>
      <w:pPr>
        <w:ind w:right="340" w:firstLine="490"/>
        <w:spacing w:after="0" w:line="314" w:lineRule="auto"/>
        <w:rPr>
          <w:sz w:val="20"/>
          <w:szCs w:val="20"/>
          <w:color w:val="auto"/>
        </w:rPr>
      </w:pPr>
      <w:r>
        <w:rPr>
          <w:rFonts w:ascii="Arial" w:cs="Arial" w:eastAsia="Arial" w:hAnsi="Arial"/>
          <w:sz w:val="13"/>
          <w:szCs w:val="13"/>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31" w:lineRule="auto"/>
        <w:rPr>
          <w:sz w:val="20"/>
          <w:szCs w:val="20"/>
          <w:color w:val="auto"/>
        </w:rPr>
      </w:pPr>
      <w:r>
        <w:rPr>
          <w:rFonts w:ascii="Arial" w:cs="Arial" w:eastAsia="Arial" w:hAnsi="Arial"/>
          <w:sz w:val="16"/>
          <w:szCs w:val="16"/>
          <w:b w:val="1"/>
          <w:bCs w:val="1"/>
          <w:color w:val="auto"/>
        </w:rPr>
        <w:t xml:space="preserve">issued its audit report. </w:t>
      </w:r>
      <w:r>
        <w:rPr>
          <w:sz w:val="1"/>
          <w:szCs w:val="1"/>
          <w:color w:val="auto"/>
        </w:rPr>
        <w:drawing>
          <wp:inline distT="0" distB="0" distL="0" distR="0">
            <wp:extent cx="97155"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53" w:lineRule="exact"/>
        <w:rPr>
          <w:sz w:val="20"/>
          <w:szCs w:val="20"/>
          <w:color w:val="auto"/>
        </w:rPr>
      </w:pPr>
    </w:p>
    <w:p>
      <w:pPr>
        <w:ind w:right="240" w:firstLine="490"/>
        <w:spacing w:after="0" w:line="256" w:lineRule="auto"/>
        <w:rPr>
          <w:sz w:val="20"/>
          <w:szCs w:val="20"/>
          <w:color w:val="auto"/>
        </w:rPr>
      </w:pPr>
      <w:r>
        <w:rPr>
          <w:rFonts w:ascii="Arial" w:cs="Arial" w:eastAsia="Arial" w:hAnsi="Arial"/>
          <w:sz w:val="16"/>
          <w:szCs w:val="16"/>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7155" cy="971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42" w:lineRule="exact"/>
        <w:rPr>
          <w:sz w:val="20"/>
          <w:szCs w:val="20"/>
          <w:color w:val="auto"/>
        </w:rPr>
      </w:pPr>
    </w:p>
    <w:p>
      <w:pPr>
        <w:ind w:right="60" w:firstLine="490"/>
        <w:spacing w:after="0" w:line="275" w:lineRule="auto"/>
        <w:rPr>
          <w:sz w:val="20"/>
          <w:szCs w:val="20"/>
          <w:color w:val="auto"/>
        </w:rPr>
      </w:pPr>
      <w:r>
        <w:rPr>
          <w:rFonts w:ascii="Arial" w:cs="Arial" w:eastAsia="Arial" w:hAnsi="Arial"/>
          <w:sz w:val="15"/>
          <w:szCs w:val="15"/>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97155" cy="971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46" w:lineRule="exact"/>
        <w:rPr>
          <w:sz w:val="20"/>
          <w:szCs w:val="20"/>
          <w:color w:val="auto"/>
        </w:rPr>
      </w:pPr>
    </w:p>
    <w:p>
      <w:pPr>
        <w:ind w:left="480"/>
        <w:spacing w:after="0"/>
        <w:tabs>
          <w:tab w:leader="none" w:pos="7880" w:val="left"/>
        </w:tabs>
        <w:rPr>
          <w:sz w:val="20"/>
          <w:szCs w:val="20"/>
          <w:color w:val="auto"/>
        </w:rPr>
      </w:pPr>
      <w:r>
        <w:rPr>
          <w:rFonts w:ascii="Arial" w:cs="Arial" w:eastAsia="Arial" w:hAnsi="Arial"/>
          <w:sz w:val="14"/>
          <w:szCs w:val="14"/>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b w:val="1"/>
          <w:bCs w:val="1"/>
          <w:color w:val="auto"/>
        </w:rPr>
        <w:t xml:space="preserve">Yes </w:t>
      </w:r>
      <w:r>
        <w:rPr>
          <w:sz w:val="1"/>
          <w:szCs w:val="1"/>
          <w:color w:val="auto"/>
        </w:rPr>
        <w:drawing>
          <wp:inline distT="0" distB="0" distL="0" distR="0">
            <wp:extent cx="97155" cy="971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r>
        <w:rPr>
          <w:rFonts w:ascii="Arial" w:cs="Arial" w:eastAsia="Arial" w:hAnsi="Arial"/>
          <w:sz w:val="15"/>
          <w:szCs w:val="15"/>
          <w:b w:val="1"/>
          <w:bCs w:val="1"/>
          <w:color w:val="auto"/>
        </w:rPr>
        <w:t xml:space="preserve">  No </w:t>
      </w:r>
      <w:r>
        <w:rPr>
          <w:sz w:val="1"/>
          <w:szCs w:val="1"/>
          <w:color w:val="auto"/>
        </w:rPr>
        <w:drawing>
          <wp:inline distT="0" distB="0" distL="0" distR="0">
            <wp:extent cx="97155" cy="971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51" w:lineRule="exact"/>
        <w:rPr>
          <w:sz w:val="20"/>
          <w:szCs w:val="20"/>
          <w:color w:val="auto"/>
        </w:rPr>
      </w:pPr>
    </w:p>
    <w:p>
      <w:pPr>
        <w:ind w:right="20" w:firstLine="490"/>
        <w:spacing w:after="0" w:line="236" w:lineRule="auto"/>
        <w:rPr>
          <w:sz w:val="20"/>
          <w:szCs w:val="20"/>
          <w:color w:val="auto"/>
        </w:rPr>
      </w:pPr>
      <w:r>
        <w:rPr>
          <w:rFonts w:ascii="Arial" w:cs="Arial" w:eastAsia="Arial" w:hAnsi="Arial"/>
          <w:sz w:val="16"/>
          <w:szCs w:val="16"/>
          <w:b w:val="1"/>
          <w:bCs w:val="1"/>
          <w:color w:val="auto"/>
        </w:rPr>
        <w:t>The aggregate market value of Common Stock held by non-affiliates of the registrant computed by reference to the price of the registrant’s Common Stock as of June 30, 2024, the last business day of the registrant’s most recently completed second fiscal quarter, was approximately $983.0 million (based on the last reported sale price on the Nasdaq Global Market as of such date).</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As of February 21, 2025, there were 34,569,042 shares of the registrant’s Common Stock, $0.0001 par value per share, outstanding.</w:t>
      </w:r>
    </w:p>
    <w:p>
      <w:pPr>
        <w:spacing w:after="0" w:line="121"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8" w:lineRule="exact"/>
        <w:rPr>
          <w:sz w:val="20"/>
          <w:szCs w:val="20"/>
          <w:color w:val="auto"/>
        </w:rPr>
      </w:pPr>
    </w:p>
    <w:p>
      <w:pPr>
        <w:ind w:right="20" w:firstLine="490"/>
        <w:spacing w:after="0" w:line="236" w:lineRule="auto"/>
        <w:rPr>
          <w:sz w:val="20"/>
          <w:szCs w:val="20"/>
          <w:color w:val="auto"/>
        </w:rPr>
      </w:pPr>
      <w:r>
        <w:rPr>
          <w:rFonts w:ascii="Arial" w:cs="Arial" w:eastAsia="Arial" w:hAnsi="Arial"/>
          <w:sz w:val="16"/>
          <w:szCs w:val="16"/>
          <w:b w:val="1"/>
          <w:bCs w:val="1"/>
          <w:color w:val="auto"/>
        </w:rPr>
        <w:t>Portions of the registrant’s Proxy Statement for its 2025 Annual Meeting of Stockholders, which the registrant intends to file with the Securities and Exchange Commission not later than 120 days after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143510</wp:posOffset>
            </wp:positionV>
            <wp:extent cx="6701790" cy="54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701790" cy="54610"/>
                    </a:xfrm>
                    <a:prstGeom prst="rect">
                      <a:avLst/>
                    </a:prstGeom>
                    <a:noFill/>
                  </pic:spPr>
                </pic:pic>
              </a:graphicData>
            </a:graphic>
          </wp:anchor>
        </w:drawing>
      </w:r>
    </w:p>
    <w:p>
      <w:pPr>
        <w:sectPr>
          <w:pgSz w:w="12240" w:h="15840" w:orient="portrait"/>
          <w:cols w:equalWidth="0" w:num="1">
            <w:col w:w="10440"/>
          </w:cols>
          <w:pgMar w:left="900" w:top="822" w:right="900" w:bottom="1021"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ind w:left="4400"/>
        <w:spacing w:after="0"/>
        <w:rPr>
          <w:sz w:val="20"/>
          <w:szCs w:val="20"/>
          <w:color w:val="auto"/>
        </w:rPr>
      </w:pPr>
      <w:r>
        <w:rPr>
          <w:rFonts w:ascii="Arial" w:cs="Arial" w:eastAsia="Arial" w:hAnsi="Arial"/>
          <w:sz w:val="20"/>
          <w:szCs w:val="20"/>
          <w:b w:val="1"/>
          <w:bCs w:val="1"/>
          <w:color w:val="auto"/>
        </w:rPr>
        <w:t>Disc Medicine, Inc.</w:t>
      </w:r>
    </w:p>
    <w:p>
      <w:pPr>
        <w:ind w:left="4980"/>
        <w:spacing w:after="0" w:line="237" w:lineRule="auto"/>
        <w:rPr>
          <w:sz w:val="20"/>
          <w:szCs w:val="20"/>
          <w:color w:val="auto"/>
        </w:rPr>
      </w:pPr>
      <w:r>
        <w:rPr>
          <w:rFonts w:ascii="Arial" w:cs="Arial" w:eastAsia="Arial" w:hAnsi="Arial"/>
          <w:sz w:val="20"/>
          <w:szCs w:val="20"/>
          <w:b w:val="1"/>
          <w:bCs w:val="1"/>
          <w:color w:val="auto"/>
        </w:rPr>
        <w:t>Index</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6167755</wp:posOffset>
            </wp:positionH>
            <wp:positionV relativeFrom="paragraph">
              <wp:posOffset>12700</wp:posOffset>
            </wp:positionV>
            <wp:extent cx="467995" cy="10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467995" cy="1079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PART I</w:t>
      </w:r>
    </w:p>
    <w:p>
      <w:pPr>
        <w:spacing w:after="0" w:line="228" w:lineRule="exact"/>
        <w:rPr>
          <w:sz w:val="20"/>
          <w:szCs w:val="20"/>
          <w:color w:val="auto"/>
        </w:rPr>
      </w:pPr>
    </w:p>
    <w:p>
      <w:pPr>
        <w:spacing w:after="0"/>
        <w:tabs>
          <w:tab w:leader="none" w:pos="800" w:val="left"/>
          <w:tab w:leader="dot" w:pos="10020" w:val="left"/>
        </w:tabs>
        <w:rPr>
          <w:sz w:val="20"/>
          <w:szCs w:val="20"/>
          <w:color w:val="auto"/>
        </w:rPr>
      </w:pPr>
      <w:r>
        <w:rPr>
          <w:rFonts w:ascii="Arial" w:cs="Arial" w:eastAsia="Arial" w:hAnsi="Arial"/>
          <w:sz w:val="20"/>
          <w:szCs w:val="20"/>
          <w:b w:val="1"/>
          <w:bCs w:val="1"/>
          <w:color w:val="auto"/>
        </w:rPr>
        <w:t>Item 1.</w:t>
        <w:tab/>
        <w:t>Business</w:t>
      </w:r>
      <w:r>
        <w:rPr>
          <w:sz w:val="20"/>
          <w:szCs w:val="20"/>
          <w:color w:val="auto"/>
        </w:rPr>
        <w:tab/>
      </w:r>
      <w:r>
        <w:rPr>
          <w:rFonts w:ascii="Arial" w:cs="Arial" w:eastAsia="Arial" w:hAnsi="Arial"/>
          <w:sz w:val="17"/>
          <w:szCs w:val="17"/>
          <w:b w:val="1"/>
          <w:bCs w:val="1"/>
          <w:color w:val="auto"/>
        </w:rPr>
        <w:t>1</w:t>
      </w:r>
    </w:p>
    <w:p>
      <w:pPr>
        <w:spacing w:after="0"/>
        <w:tabs>
          <w:tab w:leader="dot" w:pos="9960" w:val="left"/>
        </w:tabs>
        <w:rPr>
          <w:sz w:val="20"/>
          <w:szCs w:val="20"/>
          <w:color w:val="auto"/>
        </w:rPr>
      </w:pPr>
      <w:r>
        <w:rPr>
          <w:rFonts w:ascii="Arial" w:cs="Arial" w:eastAsia="Arial" w:hAnsi="Arial"/>
          <w:sz w:val="20"/>
          <w:szCs w:val="20"/>
          <w:b w:val="1"/>
          <w:bCs w:val="1"/>
          <w:color w:val="auto"/>
        </w:rPr>
        <w:t>Item 1A. Risk Factors</w:t>
      </w:r>
      <w:r>
        <w:rPr>
          <w:sz w:val="20"/>
          <w:szCs w:val="20"/>
          <w:color w:val="auto"/>
        </w:rPr>
        <w:tab/>
      </w:r>
      <w:r>
        <w:rPr>
          <w:rFonts w:ascii="Arial" w:cs="Arial" w:eastAsia="Arial" w:hAnsi="Arial"/>
          <w:sz w:val="17"/>
          <w:szCs w:val="17"/>
          <w:b w:val="1"/>
          <w:bCs w:val="1"/>
          <w:color w:val="auto"/>
        </w:rPr>
        <w:t>46</w:t>
      </w:r>
    </w:p>
    <w:p>
      <w:pPr>
        <w:spacing w:after="0"/>
        <w:tabs>
          <w:tab w:leader="dot" w:pos="9960" w:val="left"/>
        </w:tabs>
        <w:rPr>
          <w:sz w:val="20"/>
          <w:szCs w:val="20"/>
          <w:color w:val="auto"/>
        </w:rPr>
      </w:pPr>
      <w:r>
        <w:rPr>
          <w:rFonts w:ascii="Arial" w:cs="Arial" w:eastAsia="Arial" w:hAnsi="Arial"/>
          <w:sz w:val="20"/>
          <w:szCs w:val="20"/>
          <w:b w:val="1"/>
          <w:bCs w:val="1"/>
          <w:color w:val="auto"/>
        </w:rPr>
        <w:t>Item 1B.  Unresolved Staff Comments</w:t>
      </w:r>
      <w:r>
        <w:rPr>
          <w:sz w:val="20"/>
          <w:szCs w:val="20"/>
          <w:color w:val="auto"/>
        </w:rPr>
        <w:tab/>
      </w:r>
      <w:r>
        <w:rPr>
          <w:rFonts w:ascii="Arial" w:cs="Arial" w:eastAsia="Arial" w:hAnsi="Arial"/>
          <w:sz w:val="17"/>
          <w:szCs w:val="17"/>
          <w:b w:val="1"/>
          <w:bCs w:val="1"/>
          <w:color w:val="auto"/>
        </w:rPr>
        <w:t>98</w:t>
      </w:r>
    </w:p>
    <w:p>
      <w:pPr>
        <w:spacing w:after="0"/>
        <w:tabs>
          <w:tab w:leader="dot" w:pos="9960" w:val="left"/>
        </w:tabs>
        <w:rPr>
          <w:sz w:val="20"/>
          <w:szCs w:val="20"/>
          <w:color w:val="auto"/>
        </w:rPr>
      </w:pPr>
      <w:r>
        <w:rPr>
          <w:rFonts w:ascii="Arial" w:cs="Arial" w:eastAsia="Arial" w:hAnsi="Arial"/>
          <w:sz w:val="20"/>
          <w:szCs w:val="20"/>
          <w:b w:val="1"/>
          <w:bCs w:val="1"/>
          <w:color w:val="auto"/>
        </w:rPr>
        <w:t>Item 1C.  Cybersecurity</w:t>
      </w:r>
      <w:r>
        <w:rPr>
          <w:sz w:val="20"/>
          <w:szCs w:val="20"/>
          <w:color w:val="auto"/>
        </w:rPr>
        <w:tab/>
      </w:r>
      <w:r>
        <w:rPr>
          <w:rFonts w:ascii="Arial" w:cs="Arial" w:eastAsia="Arial" w:hAnsi="Arial"/>
          <w:sz w:val="17"/>
          <w:szCs w:val="17"/>
          <w:b w:val="1"/>
          <w:bCs w:val="1"/>
          <w:color w:val="auto"/>
        </w:rPr>
        <w:t>98</w:t>
      </w:r>
    </w:p>
    <w:p>
      <w:pPr>
        <w:spacing w:after="0"/>
        <w:tabs>
          <w:tab w:leader="none" w:pos="800" w:val="left"/>
          <w:tab w:leader="dot" w:pos="9960" w:val="left"/>
        </w:tabs>
        <w:rPr>
          <w:sz w:val="20"/>
          <w:szCs w:val="20"/>
          <w:color w:val="auto"/>
        </w:rPr>
      </w:pPr>
      <w:r>
        <w:rPr>
          <w:rFonts w:ascii="Arial" w:cs="Arial" w:eastAsia="Arial" w:hAnsi="Arial"/>
          <w:sz w:val="20"/>
          <w:szCs w:val="20"/>
          <w:b w:val="1"/>
          <w:bCs w:val="1"/>
          <w:color w:val="auto"/>
        </w:rPr>
        <w:t>Item 2.</w:t>
        <w:tab/>
        <w:t>Properties</w:t>
      </w:r>
      <w:r>
        <w:rPr>
          <w:sz w:val="20"/>
          <w:szCs w:val="20"/>
          <w:color w:val="auto"/>
        </w:rPr>
        <w:tab/>
      </w:r>
      <w:r>
        <w:rPr>
          <w:rFonts w:ascii="Arial" w:cs="Arial" w:eastAsia="Arial" w:hAnsi="Arial"/>
          <w:sz w:val="17"/>
          <w:szCs w:val="17"/>
          <w:b w:val="1"/>
          <w:bCs w:val="1"/>
          <w:color w:val="auto"/>
        </w:rPr>
        <w:t>98</w:t>
      </w:r>
    </w:p>
    <w:p>
      <w:pPr>
        <w:spacing w:after="0" w:line="1" w:lineRule="exact"/>
        <w:rPr>
          <w:sz w:val="20"/>
          <w:szCs w:val="20"/>
          <w:color w:val="auto"/>
        </w:rPr>
      </w:pPr>
    </w:p>
    <w:p>
      <w:pPr>
        <w:spacing w:after="0"/>
        <w:tabs>
          <w:tab w:leader="none" w:pos="800" w:val="left"/>
          <w:tab w:leader="dot" w:pos="9960" w:val="left"/>
        </w:tabs>
        <w:rPr>
          <w:sz w:val="20"/>
          <w:szCs w:val="20"/>
          <w:color w:val="auto"/>
        </w:rPr>
      </w:pPr>
      <w:r>
        <w:rPr>
          <w:rFonts w:ascii="Arial" w:cs="Arial" w:eastAsia="Arial" w:hAnsi="Arial"/>
          <w:sz w:val="20"/>
          <w:szCs w:val="20"/>
          <w:b w:val="1"/>
          <w:bCs w:val="1"/>
          <w:color w:val="auto"/>
        </w:rPr>
        <w:t>Item 3.</w:t>
        <w:tab/>
        <w:t>Legal Proceedings</w:t>
      </w:r>
      <w:r>
        <w:rPr>
          <w:sz w:val="20"/>
          <w:szCs w:val="20"/>
          <w:color w:val="auto"/>
        </w:rPr>
        <w:tab/>
      </w:r>
      <w:r>
        <w:rPr>
          <w:rFonts w:ascii="Arial" w:cs="Arial" w:eastAsia="Arial" w:hAnsi="Arial"/>
          <w:sz w:val="17"/>
          <w:szCs w:val="17"/>
          <w:b w:val="1"/>
          <w:bCs w:val="1"/>
          <w:color w:val="auto"/>
        </w:rPr>
        <w:t>99</w:t>
      </w:r>
    </w:p>
    <w:p>
      <w:pPr>
        <w:spacing w:after="0"/>
        <w:tabs>
          <w:tab w:leader="none" w:pos="800" w:val="left"/>
          <w:tab w:leader="dot" w:pos="9960" w:val="left"/>
        </w:tabs>
        <w:rPr>
          <w:sz w:val="20"/>
          <w:szCs w:val="20"/>
          <w:color w:val="auto"/>
        </w:rPr>
      </w:pPr>
      <w:r>
        <w:rPr>
          <w:rFonts w:ascii="Arial" w:cs="Arial" w:eastAsia="Arial" w:hAnsi="Arial"/>
          <w:sz w:val="20"/>
          <w:szCs w:val="20"/>
          <w:b w:val="1"/>
          <w:bCs w:val="1"/>
          <w:color w:val="auto"/>
        </w:rPr>
        <w:t>Item 4.</w:t>
        <w:tab/>
        <w:t>Mine Safety Disclosures</w:t>
      </w:r>
      <w:r>
        <w:rPr>
          <w:sz w:val="20"/>
          <w:szCs w:val="20"/>
          <w:color w:val="auto"/>
        </w:rPr>
        <w:tab/>
      </w:r>
      <w:r>
        <w:rPr>
          <w:rFonts w:ascii="Arial" w:cs="Arial" w:eastAsia="Arial" w:hAnsi="Arial"/>
          <w:sz w:val="17"/>
          <w:szCs w:val="17"/>
          <w:b w:val="1"/>
          <w:bCs w:val="1"/>
          <w:color w:val="auto"/>
        </w:rPr>
        <w:t>99</w:t>
      </w:r>
    </w:p>
    <w:p>
      <w:pPr>
        <w:spacing w:after="0" w:line="231"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PART II</w:t>
      </w:r>
    </w:p>
    <w:p>
      <w:pPr>
        <w:spacing w:after="0" w:line="22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w:t>
      </w:r>
    </w:p>
    <w:p>
      <w:pPr>
        <w:ind w:left="820"/>
        <w:spacing w:after="0"/>
        <w:tabs>
          <w:tab w:leader="dot" w:pos="9920" w:val="left"/>
        </w:tabs>
        <w:rPr>
          <w:sz w:val="20"/>
          <w:szCs w:val="20"/>
          <w:color w:val="auto"/>
        </w:rPr>
      </w:pPr>
      <w:r>
        <w:rPr>
          <w:rFonts w:ascii="Arial" w:cs="Arial" w:eastAsia="Arial" w:hAnsi="Arial"/>
          <w:sz w:val="20"/>
          <w:szCs w:val="20"/>
          <w:b w:val="1"/>
          <w:bCs w:val="1"/>
          <w:color w:val="auto"/>
        </w:rPr>
        <w:t>Securities</w:t>
      </w:r>
      <w:r>
        <w:rPr>
          <w:sz w:val="20"/>
          <w:szCs w:val="20"/>
          <w:color w:val="auto"/>
        </w:rPr>
        <w:tab/>
      </w:r>
      <w:r>
        <w:rPr>
          <w:rFonts w:ascii="Arial" w:cs="Arial" w:eastAsia="Arial" w:hAnsi="Arial"/>
          <w:sz w:val="17"/>
          <w:szCs w:val="17"/>
          <w:b w:val="1"/>
          <w:bCs w:val="1"/>
          <w:color w:val="auto"/>
        </w:rPr>
        <w:t>100</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6.</w:t>
        <w:tab/>
        <w:t>Reserved</w:t>
      </w:r>
      <w:r>
        <w:rPr>
          <w:sz w:val="20"/>
          <w:szCs w:val="20"/>
          <w:color w:val="auto"/>
        </w:rPr>
        <w:tab/>
      </w:r>
      <w:r>
        <w:rPr>
          <w:rFonts w:ascii="Arial" w:cs="Arial" w:eastAsia="Arial" w:hAnsi="Arial"/>
          <w:sz w:val="17"/>
          <w:szCs w:val="17"/>
          <w:b w:val="1"/>
          <w:bCs w:val="1"/>
          <w:color w:val="auto"/>
        </w:rPr>
        <w:t>101</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7.</w:t>
        <w:tab/>
        <w:t>Management’s Discussion and Analysis of Financial Condition and Results of Operations</w:t>
      </w:r>
      <w:r>
        <w:rPr>
          <w:sz w:val="20"/>
          <w:szCs w:val="20"/>
          <w:color w:val="auto"/>
        </w:rPr>
        <w:tab/>
      </w:r>
      <w:r>
        <w:rPr>
          <w:rFonts w:ascii="Arial" w:cs="Arial" w:eastAsia="Arial" w:hAnsi="Arial"/>
          <w:sz w:val="17"/>
          <w:szCs w:val="17"/>
          <w:b w:val="1"/>
          <w:bCs w:val="1"/>
          <w:color w:val="auto"/>
        </w:rPr>
        <w:t>102</w:t>
      </w:r>
    </w:p>
    <w:p>
      <w:pPr>
        <w:spacing w:after="0"/>
        <w:tabs>
          <w:tab w:leader="dot" w:pos="9920" w:val="left"/>
        </w:tabs>
        <w:rPr>
          <w:sz w:val="20"/>
          <w:szCs w:val="20"/>
          <w:color w:val="auto"/>
        </w:rPr>
      </w:pPr>
      <w:r>
        <w:rPr>
          <w:rFonts w:ascii="Arial" w:cs="Arial" w:eastAsia="Arial" w:hAnsi="Arial"/>
          <w:sz w:val="20"/>
          <w:szCs w:val="20"/>
          <w:b w:val="1"/>
          <w:bCs w:val="1"/>
          <w:color w:val="auto"/>
        </w:rPr>
        <w:t>Item 7A. Quantitative and Qualitative Disclosures About Market Risk</w:t>
      </w:r>
      <w:r>
        <w:rPr>
          <w:sz w:val="20"/>
          <w:szCs w:val="20"/>
          <w:color w:val="auto"/>
        </w:rPr>
        <w:tab/>
      </w:r>
      <w:r>
        <w:rPr>
          <w:rFonts w:ascii="Arial" w:cs="Arial" w:eastAsia="Arial" w:hAnsi="Arial"/>
          <w:sz w:val="17"/>
          <w:szCs w:val="17"/>
          <w:b w:val="1"/>
          <w:bCs w:val="1"/>
          <w:color w:val="auto"/>
        </w:rPr>
        <w:t>111</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8.</w:t>
        <w:tab/>
        <w:t>Financial Statements and Supplementary Data</w:t>
      </w:r>
      <w:r>
        <w:rPr>
          <w:sz w:val="20"/>
          <w:szCs w:val="20"/>
          <w:color w:val="auto"/>
        </w:rPr>
        <w:tab/>
      </w:r>
      <w:r>
        <w:rPr>
          <w:rFonts w:ascii="Arial" w:cs="Arial" w:eastAsia="Arial" w:hAnsi="Arial"/>
          <w:sz w:val="17"/>
          <w:szCs w:val="17"/>
          <w:b w:val="1"/>
          <w:bCs w:val="1"/>
          <w:color w:val="auto"/>
        </w:rPr>
        <w:t>112</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9.</w:t>
        <w:tab/>
        <w:t>Changes in and Disagreements With Accountants on Accounting and Financial Disclosure</w:t>
      </w:r>
      <w:r>
        <w:rPr>
          <w:sz w:val="20"/>
          <w:szCs w:val="20"/>
          <w:color w:val="auto"/>
        </w:rPr>
        <w:tab/>
      </w:r>
      <w:r>
        <w:rPr>
          <w:rFonts w:ascii="Arial" w:cs="Arial" w:eastAsia="Arial" w:hAnsi="Arial"/>
          <w:sz w:val="17"/>
          <w:szCs w:val="17"/>
          <w:b w:val="1"/>
          <w:bCs w:val="1"/>
          <w:color w:val="auto"/>
        </w:rPr>
        <w:t>141</w:t>
      </w:r>
    </w:p>
    <w:p>
      <w:pPr>
        <w:spacing w:after="0"/>
        <w:tabs>
          <w:tab w:leader="dot" w:pos="9920" w:val="left"/>
        </w:tabs>
        <w:rPr>
          <w:sz w:val="20"/>
          <w:szCs w:val="20"/>
          <w:color w:val="auto"/>
        </w:rPr>
      </w:pPr>
      <w:r>
        <w:rPr>
          <w:rFonts w:ascii="Arial" w:cs="Arial" w:eastAsia="Arial" w:hAnsi="Arial"/>
          <w:sz w:val="20"/>
          <w:szCs w:val="20"/>
          <w:b w:val="1"/>
          <w:bCs w:val="1"/>
          <w:color w:val="auto"/>
        </w:rPr>
        <w:t>Item 9A. Controls and Procedures</w:t>
      </w:r>
      <w:r>
        <w:rPr>
          <w:sz w:val="20"/>
          <w:szCs w:val="20"/>
          <w:color w:val="auto"/>
        </w:rPr>
        <w:tab/>
      </w:r>
      <w:r>
        <w:rPr>
          <w:rFonts w:ascii="Arial" w:cs="Arial" w:eastAsia="Arial" w:hAnsi="Arial"/>
          <w:sz w:val="17"/>
          <w:szCs w:val="17"/>
          <w:b w:val="1"/>
          <w:bCs w:val="1"/>
          <w:color w:val="auto"/>
        </w:rPr>
        <w:t>141</w:t>
      </w:r>
    </w:p>
    <w:p>
      <w:pPr>
        <w:spacing w:after="0"/>
        <w:tabs>
          <w:tab w:leader="dot" w:pos="9920" w:val="left"/>
        </w:tabs>
        <w:rPr>
          <w:sz w:val="20"/>
          <w:szCs w:val="20"/>
          <w:color w:val="auto"/>
        </w:rPr>
      </w:pPr>
      <w:r>
        <w:rPr>
          <w:rFonts w:ascii="Arial" w:cs="Arial" w:eastAsia="Arial" w:hAnsi="Arial"/>
          <w:sz w:val="20"/>
          <w:szCs w:val="20"/>
          <w:b w:val="1"/>
          <w:bCs w:val="1"/>
          <w:color w:val="auto"/>
        </w:rPr>
        <w:t>Item 9B.  Other Information</w:t>
      </w:r>
      <w:r>
        <w:rPr>
          <w:sz w:val="20"/>
          <w:szCs w:val="20"/>
          <w:color w:val="auto"/>
        </w:rPr>
        <w:tab/>
      </w:r>
      <w:r>
        <w:rPr>
          <w:rFonts w:ascii="Arial" w:cs="Arial" w:eastAsia="Arial" w:hAnsi="Arial"/>
          <w:sz w:val="17"/>
          <w:szCs w:val="17"/>
          <w:b w:val="1"/>
          <w:bCs w:val="1"/>
          <w:color w:val="auto"/>
        </w:rPr>
        <w:t>143</w:t>
      </w:r>
    </w:p>
    <w:p>
      <w:pPr>
        <w:spacing w:after="0"/>
        <w:tabs>
          <w:tab w:leader="dot" w:pos="9920" w:val="left"/>
        </w:tabs>
        <w:rPr>
          <w:sz w:val="20"/>
          <w:szCs w:val="20"/>
          <w:color w:val="auto"/>
        </w:rPr>
      </w:pPr>
      <w:r>
        <w:rPr>
          <w:rFonts w:ascii="Arial" w:cs="Arial" w:eastAsia="Arial" w:hAnsi="Arial"/>
          <w:sz w:val="20"/>
          <w:szCs w:val="20"/>
          <w:b w:val="1"/>
          <w:bCs w:val="1"/>
          <w:color w:val="auto"/>
        </w:rPr>
        <w:t>Item 9C.  Disclosures Regarding Foreign Jurisdictions That Prevent Inspections</w:t>
      </w:r>
      <w:r>
        <w:rPr>
          <w:sz w:val="20"/>
          <w:szCs w:val="20"/>
          <w:color w:val="auto"/>
        </w:rPr>
        <w:tab/>
      </w:r>
      <w:r>
        <w:rPr>
          <w:rFonts w:ascii="Arial" w:cs="Arial" w:eastAsia="Arial" w:hAnsi="Arial"/>
          <w:sz w:val="17"/>
          <w:szCs w:val="17"/>
          <w:b w:val="1"/>
          <w:bCs w:val="1"/>
          <w:color w:val="auto"/>
        </w:rPr>
        <w:t>143</w:t>
      </w:r>
    </w:p>
    <w:p>
      <w:pPr>
        <w:spacing w:after="0" w:line="228"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PART III</w:t>
      </w:r>
    </w:p>
    <w:p>
      <w:pPr>
        <w:spacing w:after="0" w:line="231" w:lineRule="exact"/>
        <w:rPr>
          <w:sz w:val="20"/>
          <w:szCs w:val="20"/>
          <w:color w:val="auto"/>
        </w:rPr>
      </w:pP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10.</w:t>
        <w:tab/>
        <w:t>Directors, Executive Officers and Corporate Governance</w:t>
      </w:r>
      <w:r>
        <w:rPr>
          <w:sz w:val="20"/>
          <w:szCs w:val="20"/>
          <w:color w:val="auto"/>
        </w:rPr>
        <w:tab/>
      </w:r>
      <w:r>
        <w:rPr>
          <w:rFonts w:ascii="Arial" w:cs="Arial" w:eastAsia="Arial" w:hAnsi="Arial"/>
          <w:sz w:val="17"/>
          <w:szCs w:val="17"/>
          <w:b w:val="1"/>
          <w:bCs w:val="1"/>
          <w:color w:val="auto"/>
        </w:rPr>
        <w:t>144</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11.</w:t>
        <w:tab/>
        <w:t>Executive Compensation</w:t>
      </w:r>
      <w:r>
        <w:rPr>
          <w:sz w:val="20"/>
          <w:szCs w:val="20"/>
          <w:color w:val="auto"/>
        </w:rPr>
        <w:tab/>
      </w:r>
      <w:r>
        <w:rPr>
          <w:rFonts w:ascii="Arial" w:cs="Arial" w:eastAsia="Arial" w:hAnsi="Arial"/>
          <w:sz w:val="17"/>
          <w:szCs w:val="17"/>
          <w:b w:val="1"/>
          <w:bCs w:val="1"/>
          <w:color w:val="auto"/>
        </w:rPr>
        <w:t>144</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r>
        <w:rPr>
          <w:sz w:val="20"/>
          <w:szCs w:val="20"/>
          <w:color w:val="auto"/>
        </w:rPr>
        <w:tab/>
      </w:r>
      <w:r>
        <w:rPr>
          <w:rFonts w:ascii="Arial" w:cs="Arial" w:eastAsia="Arial" w:hAnsi="Arial"/>
          <w:sz w:val="17"/>
          <w:szCs w:val="17"/>
          <w:b w:val="1"/>
          <w:bCs w:val="1"/>
          <w:color w:val="auto"/>
        </w:rPr>
        <w:t>144</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13.</w:t>
        <w:tab/>
        <w:t>Certain Relationships and Related Transactions, and Director Independence</w:t>
      </w:r>
      <w:r>
        <w:rPr>
          <w:sz w:val="20"/>
          <w:szCs w:val="20"/>
          <w:color w:val="auto"/>
        </w:rPr>
        <w:tab/>
      </w:r>
      <w:r>
        <w:rPr>
          <w:rFonts w:ascii="Arial" w:cs="Arial" w:eastAsia="Arial" w:hAnsi="Arial"/>
          <w:sz w:val="17"/>
          <w:szCs w:val="17"/>
          <w:b w:val="1"/>
          <w:bCs w:val="1"/>
          <w:color w:val="auto"/>
        </w:rPr>
        <w:t>144</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14.</w:t>
        <w:tab/>
        <w:t>Principal Accounting Fees and Services</w:t>
      </w:r>
      <w:r>
        <w:rPr>
          <w:sz w:val="20"/>
          <w:szCs w:val="20"/>
          <w:color w:val="auto"/>
        </w:rPr>
        <w:tab/>
      </w:r>
      <w:r>
        <w:rPr>
          <w:rFonts w:ascii="Arial" w:cs="Arial" w:eastAsia="Arial" w:hAnsi="Arial"/>
          <w:sz w:val="17"/>
          <w:szCs w:val="17"/>
          <w:b w:val="1"/>
          <w:bCs w:val="1"/>
          <w:color w:val="auto"/>
        </w:rPr>
        <w:t>144</w:t>
      </w:r>
    </w:p>
    <w:p>
      <w:pPr>
        <w:spacing w:after="0" w:line="232"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PART IV</w:t>
      </w:r>
    </w:p>
    <w:p>
      <w:pPr>
        <w:spacing w:after="0" w:line="231" w:lineRule="exact"/>
        <w:rPr>
          <w:sz w:val="20"/>
          <w:szCs w:val="20"/>
          <w:color w:val="auto"/>
        </w:rPr>
      </w:pP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15.</w:t>
        <w:tab/>
        <w:t>Exhibits, Financial Statement Schedules</w:t>
      </w:r>
      <w:r>
        <w:rPr>
          <w:sz w:val="20"/>
          <w:szCs w:val="20"/>
          <w:color w:val="auto"/>
        </w:rPr>
        <w:tab/>
      </w:r>
      <w:r>
        <w:rPr>
          <w:rFonts w:ascii="Arial" w:cs="Arial" w:eastAsia="Arial" w:hAnsi="Arial"/>
          <w:sz w:val="17"/>
          <w:szCs w:val="17"/>
          <w:b w:val="1"/>
          <w:bCs w:val="1"/>
          <w:color w:val="auto"/>
        </w:rPr>
        <w:t>145</w:t>
      </w:r>
    </w:p>
    <w:p>
      <w:pPr>
        <w:spacing w:after="0"/>
        <w:tabs>
          <w:tab w:leader="none" w:pos="800" w:val="left"/>
          <w:tab w:leader="dot" w:pos="9920" w:val="left"/>
        </w:tabs>
        <w:rPr>
          <w:sz w:val="20"/>
          <w:szCs w:val="20"/>
          <w:color w:val="auto"/>
        </w:rPr>
      </w:pPr>
      <w:r>
        <w:rPr>
          <w:rFonts w:ascii="Arial" w:cs="Arial" w:eastAsia="Arial" w:hAnsi="Arial"/>
          <w:sz w:val="20"/>
          <w:szCs w:val="20"/>
          <w:b w:val="1"/>
          <w:bCs w:val="1"/>
          <w:color w:val="auto"/>
        </w:rPr>
        <w:t>Item 16.</w:t>
        <w:tab/>
        <w:t>Form 10-K Summary</w:t>
      </w:r>
      <w:r>
        <w:rPr>
          <w:sz w:val="20"/>
          <w:szCs w:val="20"/>
          <w:color w:val="auto"/>
        </w:rPr>
        <w:tab/>
      </w:r>
      <w:r>
        <w:rPr>
          <w:rFonts w:ascii="Arial" w:cs="Arial" w:eastAsia="Arial" w:hAnsi="Arial"/>
          <w:sz w:val="17"/>
          <w:szCs w:val="17"/>
          <w:b w:val="1"/>
          <w:bCs w:val="1"/>
          <w:color w:val="auto"/>
        </w:rPr>
        <w:t>149</w:t>
      </w:r>
    </w:p>
    <w:p>
      <w:pPr>
        <w:spacing w:after="0"/>
        <w:tabs>
          <w:tab w:leader="dot" w:pos="9920" w:val="left"/>
        </w:tabs>
        <w:rPr>
          <w:sz w:val="20"/>
          <w:szCs w:val="20"/>
          <w:color w:val="auto"/>
        </w:rPr>
      </w:pPr>
      <w:r>
        <w:rPr>
          <w:rFonts w:ascii="Arial" w:cs="Arial" w:eastAsia="Arial" w:hAnsi="Arial"/>
          <w:sz w:val="20"/>
          <w:szCs w:val="20"/>
          <w:b w:val="1"/>
          <w:bCs w:val="1"/>
          <w:color w:val="auto"/>
        </w:rPr>
        <w:t>Signatures</w:t>
      </w:r>
      <w:r>
        <w:rPr>
          <w:sz w:val="20"/>
          <w:szCs w:val="20"/>
          <w:color w:val="auto"/>
        </w:rPr>
        <w:tab/>
      </w:r>
      <w:r>
        <w:rPr>
          <w:rFonts w:ascii="Arial" w:cs="Arial" w:eastAsia="Arial" w:hAnsi="Arial"/>
          <w:sz w:val="17"/>
          <w:szCs w:val="17"/>
          <w:b w:val="1"/>
          <w:bCs w:val="1"/>
          <w:color w:val="auto"/>
        </w:rPr>
        <w:t>150</w:t>
      </w:r>
    </w:p>
    <w:p>
      <w:pPr>
        <w:sectPr>
          <w:pgSz w:w="12240" w:h="15840" w:orient="portrait"/>
          <w:cols w:equalWidth="0" w:num="1">
            <w:col w:w="10280"/>
          </w:cols>
          <w:pgMar w:left="900" w:top="949"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w:t>
      </w:r>
    </w:p>
    <w:p>
      <w:pPr>
        <w:sectPr>
          <w:pgSz w:w="12240" w:h="15840" w:orient="portrait"/>
          <w:cols w:equalWidth="0" w:num="1">
            <w:col w:w="10280"/>
          </w:cols>
          <w:pgMar w:left="900" w:top="949" w:right="1060" w:bottom="21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4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125" w:lineRule="exact"/>
        <w:rPr>
          <w:sz w:val="20"/>
          <w:szCs w:val="20"/>
          <w:color w:val="auto"/>
        </w:rPr>
      </w:pPr>
    </w:p>
    <w:p>
      <w:pPr>
        <w:jc w:val="both"/>
        <w:ind w:left="720"/>
        <w:spacing w:after="0" w:line="270" w:lineRule="auto"/>
        <w:rPr>
          <w:sz w:val="20"/>
          <w:szCs w:val="20"/>
          <w:color w:val="auto"/>
        </w:rPr>
      </w:pPr>
      <w:r>
        <w:rPr>
          <w:rFonts w:ascii="Arial" w:cs="Arial" w:eastAsia="Arial" w:hAnsi="Arial"/>
          <w:sz w:val="18"/>
          <w:szCs w:val="18"/>
          <w:b w:val="1"/>
          <w:bCs w:val="1"/>
          <w:color w:val="auto"/>
        </w:rPr>
        <w:t>the initiation, timing, progress, results, and cost of our research and development programs and our current and future preclinical studies and clinical trials, including our planned APOLLO clinical trial of bitopertin, our ongoing and planned clinical trials of DISC-0974 and our planned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-697865</wp:posOffset>
            </wp:positionV>
            <wp:extent cx="71120" cy="71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efficiently discover and develop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our ability and the potential to successfully manufacture our drug substances and product candidates for preclinical use, for clinical trials and on a larger scale for commercial use,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our ability to obtain funding for our operations necessary to complete further development and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7" w:lineRule="auto"/>
        <w:rPr>
          <w:sz w:val="20"/>
          <w:szCs w:val="20"/>
          <w:color w:val="auto"/>
        </w:rPr>
      </w:pPr>
      <w:r>
        <w:rPr>
          <w:rFonts w:ascii="Arial" w:cs="Arial" w:eastAsia="Arial" w:hAnsi="Arial"/>
          <w:sz w:val="20"/>
          <w:szCs w:val="20"/>
          <w:b w:val="1"/>
          <w:bCs w:val="1"/>
          <w:color w:val="auto"/>
        </w:rPr>
        <w:t>our ability to seek and obtain approval for bitopertin under the U.S. Food and Drug Administration’s, or FDA’s, Accelerated Approval Program, including the FDA's acceptance of the APOLLO clinical study as a post-marketing confirmatory trial, the timeline for a potential New Drug Application, or NDA, submission, and whether the NDA submission will meet the standards for accelerated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-535305</wp:posOffset>
            </wp:positionV>
            <wp:extent cx="71120" cy="71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obtain and maintain regulatory approval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commercialize our products,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pricing and reimbursement of our product candidates,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the implementation of our business model, and strategic plans for our business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720"/>
        <w:spacing w:after="0" w:line="233" w:lineRule="auto"/>
        <w:rPr>
          <w:sz w:val="20"/>
          <w:szCs w:val="20"/>
          <w:color w:val="auto"/>
        </w:rPr>
      </w:pPr>
      <w:r>
        <w:rPr>
          <w:rFonts w:ascii="Arial" w:cs="Arial" w:eastAsia="Arial" w:hAnsi="Arial"/>
          <w:sz w:val="20"/>
          <w:szCs w:val="20"/>
          <w:b w:val="1"/>
          <w:bCs w:val="1"/>
          <w:color w:val="auto"/>
        </w:rPr>
        <w:t>the scope of protection we are able to establish and maintain for intellectual property rights covering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estimates of our future expenses, revenues, capital requirements, and our needs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720"/>
        <w:spacing w:after="0" w:line="312" w:lineRule="auto"/>
        <w:rPr>
          <w:sz w:val="20"/>
          <w:szCs w:val="20"/>
          <w:color w:val="auto"/>
        </w:rPr>
      </w:pPr>
      <w:r>
        <w:rPr>
          <w:rFonts w:ascii="Arial" w:cs="Arial" w:eastAsia="Arial" w:hAnsi="Arial"/>
          <w:sz w:val="17"/>
          <w:szCs w:val="17"/>
          <w:b w:val="1"/>
          <w:bCs w:val="1"/>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-281305</wp:posOffset>
            </wp:positionV>
            <wp:extent cx="71120" cy="71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jc w:val="both"/>
        <w:ind w:left="720"/>
        <w:spacing w:after="0" w:line="233" w:lineRule="auto"/>
        <w:rPr>
          <w:sz w:val="20"/>
          <w:szCs w:val="20"/>
          <w:color w:val="auto"/>
        </w:rPr>
      </w:pPr>
      <w:r>
        <w:rPr>
          <w:rFonts w:ascii="Arial" w:cs="Arial" w:eastAsia="Arial" w:hAnsi="Arial"/>
          <w:sz w:val="20"/>
          <w:szCs w:val="20"/>
          <w:b w:val="1"/>
          <w:bCs w:val="1"/>
          <w:color w:val="auto"/>
        </w:rPr>
        <w:t>future agreements with third parties in connection with the commercialization of product candidates and any other approved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size and growth potential of the markets for our product candidates, and our ability to serve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remediate the material weakness in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rate and degree of market acceptance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regulatory developments in the United States and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our ability to contract with third-party suppliers and manufacturers and their ability to perform 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our ability to produce our products or product candidates with advantages in turnaround times or manufacturing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-82550</wp:posOffset>
            </wp:positionV>
            <wp:extent cx="71120" cy="71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success of competing therapies that are or may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attract and retain key scientific or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impact of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w:t>
      </w:r>
    </w:p>
    <w:p>
      <w:pPr>
        <w:sectPr>
          <w:pgSz w:w="12240" w:h="15840" w:orient="portrait"/>
          <w:cols w:equalWidth="0" w:num="1">
            <w:col w:w="10440"/>
          </w:cols>
          <w:pgMar w:left="900" w:top="949" w:right="900" w:bottom="157" w:gutter="0" w:footer="0" w:header="0"/>
        </w:sectPr>
      </w:pPr>
    </w:p>
    <w:bookmarkStart w:id="6" w:name="page7"/>
    <w:bookmarkEnd w:id="6"/>
    <w:p>
      <w:pPr>
        <w:ind w:left="720"/>
        <w:spacing w:after="0"/>
        <w:rPr>
          <w:sz w:val="20"/>
          <w:szCs w:val="20"/>
          <w:color w:val="auto"/>
        </w:rPr>
      </w:pPr>
      <w:r>
        <w:rPr>
          <w:rFonts w:ascii="Arial" w:cs="Arial" w:eastAsia="Arial" w:hAnsi="Arial"/>
          <w:sz w:val="20"/>
          <w:szCs w:val="20"/>
          <w:b w:val="1"/>
          <w:bCs w:val="1"/>
          <w:color w:val="auto"/>
        </w:rPr>
        <w:t>developments relating to our competitors and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720"/>
        <w:spacing w:after="0" w:line="342" w:lineRule="auto"/>
        <w:rPr>
          <w:sz w:val="20"/>
          <w:szCs w:val="20"/>
          <w:color w:val="auto"/>
        </w:rPr>
      </w:pPr>
      <w:r>
        <w:rPr>
          <w:rFonts w:ascii="Arial" w:cs="Arial" w:eastAsia="Arial" w:hAnsi="Arial"/>
          <w:sz w:val="15"/>
          <w:szCs w:val="15"/>
          <w:b w:val="1"/>
          <w:bCs w:val="1"/>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-582930</wp:posOffset>
            </wp:positionV>
            <wp:extent cx="71120" cy="71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other risks and uncertainties, including those listed under the caption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9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Annual Report on Form 10-K.</w:t>
      </w:r>
    </w:p>
    <w:p>
      <w:pPr>
        <w:sectPr>
          <w:pgSz w:w="12240" w:h="15840" w:orient="portrait"/>
          <w:cols w:equalWidth="0" w:num="1">
            <w:col w:w="10440"/>
          </w:cols>
          <w:pgMar w:left="900" w:top="964" w:right="90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iii</w:t>
      </w:r>
    </w:p>
    <w:p>
      <w:pPr>
        <w:sectPr>
          <w:pgSz w:w="12240" w:h="15840" w:orient="portrait"/>
          <w:cols w:equalWidth="0" w:num="1">
            <w:col w:w="10440"/>
          </w:cols>
          <w:pgMar w:left="900" w:top="964" w:right="900" w:bottom="158"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RISK FACTOR SUMMARY</w:t>
      </w:r>
    </w:p>
    <w:p>
      <w:pPr>
        <w:spacing w:after="0" w:line="248"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Annual Report on Form 10-K and our other filings with the Securities and Exchange Commission, or SEC, before making an investment decision regarding our common stock.</w:t>
      </w:r>
    </w:p>
    <w:p>
      <w:pPr>
        <w:spacing w:after="0" w:line="79" w:lineRule="exact"/>
        <w:rPr>
          <w:sz w:val="20"/>
          <w:szCs w:val="20"/>
          <w:color w:val="auto"/>
        </w:rPr>
      </w:pPr>
    </w:p>
    <w:p>
      <w:pPr>
        <w:jc w:val="both"/>
        <w:ind w:left="980"/>
        <w:spacing w:after="0" w:line="233" w:lineRule="auto"/>
        <w:rPr>
          <w:sz w:val="20"/>
          <w:szCs w:val="20"/>
          <w:color w:val="auto"/>
        </w:rPr>
      </w:pPr>
      <w:r>
        <w:rPr>
          <w:rFonts w:ascii="Arial" w:cs="Arial" w:eastAsia="Arial" w:hAnsi="Arial"/>
          <w:sz w:val="20"/>
          <w:szCs w:val="20"/>
          <w:b w:val="1"/>
          <w:bCs w:val="1"/>
          <w:color w:val="auto"/>
        </w:rPr>
        <w:t>Our limited operating history may make it difficult for you to evaluate the success of our business to date and to assess our future viability.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-242570</wp:posOffset>
            </wp:positionV>
            <wp:extent cx="71120" cy="71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We have incurred significant net losses since our inception and anticipate that we will continue to incur losses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We have no products approved for commercial sale and have not generated any revenue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-90170</wp:posOffset>
            </wp:positionV>
            <wp:extent cx="71120" cy="71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Our existing and any future indebtedness could adversely affect our ability to operate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-97790</wp:posOffset>
            </wp:positionV>
            <wp:extent cx="71120" cy="71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53" w:lineRule="auto"/>
        <w:rPr>
          <w:sz w:val="20"/>
          <w:szCs w:val="20"/>
          <w:color w:val="auto"/>
        </w:rPr>
      </w:pPr>
      <w:r>
        <w:rPr>
          <w:rFonts w:ascii="Arial" w:cs="Arial" w:eastAsia="Arial" w:hAnsi="Arial"/>
          <w:sz w:val="19"/>
          <w:szCs w:val="19"/>
          <w:b w:val="1"/>
          <w:bCs w:val="1"/>
          <w:color w:val="auto"/>
        </w:rPr>
        <w:t>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-397510</wp:posOffset>
            </wp:positionV>
            <wp:extent cx="71120" cy="71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-389890</wp:posOffset>
            </wp:positionV>
            <wp:extent cx="71120" cy="71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52" w:lineRule="auto"/>
        <w:rPr>
          <w:sz w:val="20"/>
          <w:szCs w:val="20"/>
          <w:color w:val="auto"/>
        </w:rPr>
      </w:pPr>
      <w:r>
        <w:rPr>
          <w:rFonts w:ascii="Arial" w:cs="Arial" w:eastAsia="Arial" w:hAnsi="Arial"/>
          <w:sz w:val="19"/>
          <w:szCs w:val="19"/>
          <w:b w:val="1"/>
          <w:b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-395605</wp:posOffset>
            </wp:positionV>
            <wp:extent cx="71120" cy="71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If we experience delays or difficulties in the enrollment of patients in clinical trials, our receipt of necessary regulatory approvals could be delayed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-243205</wp:posOffset>
            </wp:positionV>
            <wp:extent cx="71120" cy="71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70" w:lineRule="auto"/>
        <w:rPr>
          <w:sz w:val="20"/>
          <w:szCs w:val="20"/>
          <w:color w:val="auto"/>
        </w:rPr>
      </w:pPr>
      <w:r>
        <w:rPr>
          <w:rFonts w:ascii="Arial" w:cs="Arial" w:eastAsia="Arial" w:hAnsi="Arial"/>
          <w:sz w:val="18"/>
          <w:szCs w:val="18"/>
          <w:b w:val="1"/>
          <w:b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-697865</wp:posOffset>
            </wp:positionV>
            <wp:extent cx="71120" cy="71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980"/>
        <w:spacing w:after="0" w:line="274" w:lineRule="auto"/>
        <w:rPr>
          <w:sz w:val="20"/>
          <w:szCs w:val="20"/>
          <w:color w:val="auto"/>
        </w:rPr>
      </w:pPr>
      <w:r>
        <w:rPr>
          <w:rFonts w:ascii="Arial" w:cs="Arial" w:eastAsia="Arial" w:hAnsi="Arial"/>
          <w:sz w:val="18"/>
          <w:szCs w:val="18"/>
          <w:b w:val="1"/>
          <w:b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-408940</wp:posOffset>
            </wp:positionV>
            <wp:extent cx="71120" cy="71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7"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980"/>
        <w:spacing w:after="0" w:line="253" w:lineRule="auto"/>
        <w:rPr>
          <w:sz w:val="20"/>
          <w:szCs w:val="20"/>
          <w:color w:val="auto"/>
        </w:rPr>
      </w:pPr>
      <w:r>
        <w:rPr>
          <w:rFonts w:ascii="Arial" w:cs="Arial" w:eastAsia="Arial" w:hAnsi="Arial"/>
          <w:sz w:val="19"/>
          <w:szCs w:val="19"/>
          <w:b w:val="1"/>
          <w:b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-397510</wp:posOffset>
            </wp:positionV>
            <wp:extent cx="71120" cy="71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We face substantial competition, which may result in others discovering, developing, or commercializing products before or more successfully than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-243205</wp:posOffset>
            </wp:positionV>
            <wp:extent cx="71120" cy="71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b w:val="1"/>
          <w:bCs w:val="1"/>
          <w:color w:val="auto"/>
        </w:rPr>
        <w:t>If our current product candidates or any future product candidates do not achieve broad market acceptance, the revenue that we generate from our sales may be limited, and we may never become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-266700</wp:posOffset>
            </wp:positionV>
            <wp:extent cx="71120" cy="71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49" w:right="90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iv</w:t>
      </w:r>
    </w:p>
    <w:p>
      <w:pPr>
        <w:sectPr>
          <w:pgSz w:w="12240" w:h="15840" w:orient="portrait"/>
          <w:cols w:equalWidth="0" w:num="1">
            <w:col w:w="10440"/>
          </w:cols>
          <w:pgMar w:left="900" w:top="949" w:right="900" w:bottom="158" w:gutter="0" w:footer="0" w:header="0"/>
          <w:type w:val="continuous"/>
        </w:sectPr>
      </w:pPr>
    </w:p>
    <w:bookmarkStart w:id="8" w:name="page9"/>
    <w:bookmarkEnd w:id="8"/>
    <w:p>
      <w:pPr>
        <w:jc w:val="both"/>
        <w:ind w:left="980"/>
        <w:spacing w:after="0" w:line="291" w:lineRule="auto"/>
        <w:rPr>
          <w:sz w:val="20"/>
          <w:szCs w:val="20"/>
          <w:color w:val="auto"/>
        </w:rPr>
      </w:pPr>
      <w:r>
        <w:rPr>
          <w:rFonts w:ascii="Arial" w:cs="Arial" w:eastAsia="Arial" w:hAnsi="Arial"/>
          <w:sz w:val="17"/>
          <w:szCs w:val="17"/>
          <w:b w:val="1"/>
          <w:b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-560705</wp:posOffset>
            </wp:positionV>
            <wp:extent cx="71120" cy="71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We might not realize the anticipated benefits of our current collaborations with Mabwell or NIH, or any other collaborations we enter into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71" w:lineRule="auto"/>
        <w:rPr>
          <w:sz w:val="20"/>
          <w:szCs w:val="20"/>
          <w:color w:val="auto"/>
        </w:rPr>
      </w:pPr>
      <w:r>
        <w:rPr>
          <w:rFonts w:ascii="Arial" w:cs="Arial" w:eastAsia="Arial" w:hAnsi="Arial"/>
          <w:sz w:val="18"/>
          <w:szCs w:val="18"/>
          <w:b w:val="1"/>
          <w:b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-552450</wp:posOffset>
            </wp:positionV>
            <wp:extent cx="71120" cy="711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980"/>
        <w:spacing w:after="0" w:line="341" w:lineRule="auto"/>
        <w:rPr>
          <w:sz w:val="20"/>
          <w:szCs w:val="20"/>
          <w:color w:val="auto"/>
        </w:rPr>
      </w:pPr>
      <w:r>
        <w:rPr>
          <w:rFonts w:ascii="Arial" w:cs="Arial" w:eastAsia="Arial" w:hAnsi="Arial"/>
          <w:sz w:val="15"/>
          <w:szCs w:val="15"/>
          <w:b w:val="1"/>
          <w:b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-581025</wp:posOffset>
            </wp:positionV>
            <wp:extent cx="71120" cy="711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53"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We may not obtain or grant licenses or sublicenses to intellectual property rights in all markets on equally or sufficiently favorable terms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5" w:lineRule="auto"/>
        <w:rPr>
          <w:sz w:val="20"/>
          <w:szCs w:val="20"/>
          <w:color w:val="auto"/>
        </w:rPr>
      </w:pPr>
      <w:r>
        <w:rPr>
          <w:rFonts w:ascii="Arial" w:cs="Arial" w:eastAsia="Arial" w:hAnsi="Arial"/>
          <w:sz w:val="20"/>
          <w:szCs w:val="20"/>
          <w:b w:val="1"/>
          <w:b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-387985</wp:posOffset>
            </wp:positionV>
            <wp:extent cx="71120" cy="71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b w:val="1"/>
          <w:b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-266700</wp:posOffset>
            </wp:positionV>
            <wp:extent cx="71120" cy="71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980"/>
        <w:spacing w:after="0" w:line="336" w:lineRule="auto"/>
        <w:rPr>
          <w:sz w:val="20"/>
          <w:szCs w:val="20"/>
          <w:color w:val="auto"/>
        </w:rPr>
      </w:pPr>
      <w:r>
        <w:rPr>
          <w:rFonts w:ascii="Arial" w:cs="Arial" w:eastAsia="Arial" w:hAnsi="Arial"/>
          <w:sz w:val="15"/>
          <w:szCs w:val="15"/>
          <w:b w:val="1"/>
          <w:bCs w:val="1"/>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ultimately lead to expedited approval of our product candidates, or approval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-725170</wp:posOffset>
            </wp:positionV>
            <wp:extent cx="71120" cy="71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57" w:lineRule="exact"/>
        <w:rPr>
          <w:sz w:val="20"/>
          <w:szCs w:val="20"/>
          <w:color w:val="auto"/>
        </w:rPr>
      </w:pPr>
    </w:p>
    <w:p>
      <w:pPr>
        <w:jc w:val="both"/>
        <w:ind w:left="980"/>
        <w:spacing w:after="0" w:line="270" w:lineRule="auto"/>
        <w:rPr>
          <w:sz w:val="20"/>
          <w:szCs w:val="20"/>
          <w:color w:val="auto"/>
        </w:rPr>
      </w:pPr>
      <w:r>
        <w:rPr>
          <w:rFonts w:ascii="Arial" w:cs="Arial" w:eastAsia="Arial" w:hAnsi="Arial"/>
          <w:sz w:val="18"/>
          <w:szCs w:val="18"/>
          <w:b w:val="1"/>
          <w:b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-697865</wp:posOffset>
            </wp:positionV>
            <wp:extent cx="71120" cy="71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Our future success depends on our ability to retain key executives and experienced scientists and to attract, retain, and motivate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-243205</wp:posOffset>
            </wp:positionV>
            <wp:extent cx="71120" cy="71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351" w:lineRule="auto"/>
        <w:rPr>
          <w:sz w:val="20"/>
          <w:szCs w:val="20"/>
          <w:color w:val="auto"/>
        </w:rPr>
      </w:pPr>
      <w:r>
        <w:rPr>
          <w:rFonts w:ascii="Arial" w:cs="Arial" w:eastAsia="Arial" w:hAnsi="Arial"/>
          <w:sz w:val="15"/>
          <w:szCs w:val="15"/>
          <w:b w:val="1"/>
          <w:b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-439420</wp:posOffset>
            </wp:positionV>
            <wp:extent cx="71120" cy="71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6"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Unfavorable global economic conditions could adversely affect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The market price of our common stock is expected to be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-98425</wp:posOffset>
            </wp:positionV>
            <wp:extent cx="71120" cy="711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980"/>
        <w:spacing w:after="0" w:line="233" w:lineRule="auto"/>
        <w:rPr>
          <w:sz w:val="20"/>
          <w:szCs w:val="20"/>
          <w:color w:val="auto"/>
        </w:rPr>
      </w:pPr>
      <w:r>
        <w:rPr>
          <w:rFonts w:ascii="Arial" w:cs="Arial" w:eastAsia="Arial" w:hAnsi="Arial"/>
          <w:sz w:val="20"/>
          <w:szCs w:val="20"/>
          <w:b w:val="1"/>
          <w:bCs w:val="1"/>
          <w:color w:val="auto"/>
        </w:rPr>
        <w:t>We have incurred and will continue to incur increased costs and increased demands upon management as a result of complying with the laws and regulations affecting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-242570</wp:posOffset>
            </wp:positionV>
            <wp:extent cx="71120" cy="71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980"/>
        <w:spacing w:after="0" w:line="237" w:lineRule="auto"/>
        <w:rPr>
          <w:sz w:val="20"/>
          <w:szCs w:val="20"/>
          <w:color w:val="auto"/>
        </w:rPr>
      </w:pPr>
      <w:r>
        <w:rPr>
          <w:rFonts w:ascii="Arial" w:cs="Arial" w:eastAsia="Arial" w:hAnsi="Arial"/>
          <w:sz w:val="20"/>
          <w:szCs w:val="20"/>
          <w:b w:val="1"/>
          <w:b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-535305</wp:posOffset>
            </wp:positionV>
            <wp:extent cx="71120" cy="71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firstLine="490"/>
        <w:spacing w:after="0" w:line="234" w:lineRule="auto"/>
        <w:rPr>
          <w:sz w:val="20"/>
          <w:szCs w:val="20"/>
          <w:color w:val="auto"/>
        </w:rPr>
      </w:pPr>
      <w:r>
        <w:rPr>
          <w:rFonts w:ascii="Arial" w:cs="Arial" w:eastAsia="Arial" w:hAnsi="Arial"/>
          <w:sz w:val="20"/>
          <w:szCs w:val="20"/>
          <w:b w:val="1"/>
          <w:bCs w:val="1"/>
          <w:color w:val="auto"/>
        </w:rPr>
        <w:t>This section contains forward-looking statements. You should refer to the explanation of the qualifications and limitations on forward-looking statements beginning on page ii.</w:t>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w:t>
      </w:r>
    </w:p>
    <w:p>
      <w:pPr>
        <w:sectPr>
          <w:pgSz w:w="12240" w:h="15840" w:orient="portrait"/>
          <w:cols w:equalWidth="0" w:num="1">
            <w:col w:w="10440"/>
          </w:cols>
          <w:pgMar w:left="900" w:top="974" w:right="900" w:bottom="181"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PART I</w:t>
      </w:r>
    </w:p>
    <w:p>
      <w:pPr>
        <w:spacing w:after="0" w:line="249"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Except where the context otherwise requires or where otherwise indicated, the terms “Disc,” “we,” “us,” “our,” “our company,” “the company,” and “our business” refer to Disc Medicine, Inc. and its consolidated subsidiaries.</w:t>
      </w:r>
    </w:p>
    <w:p>
      <w:pPr>
        <w:spacing w:after="0" w:line="100"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0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in AURORA and BEACON are eligible to participate in HELIOS, an ongoing open-label, long-term extension study of bitopertin in EPP and XLP. We are also planning APOLLO, a randomized, double-blind, placebo-controlled clinical trial of bitopertin in EPP and XLP patients.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108"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data and changes in hepcidin, iron, and hemoglobin levels for additional patients, as well as longer follow-up. In December 2024, we presented additional analyses of the Phase 1b study in anemia of MF and initiated the open-label Phase 2 portion of this clinical trial in patients with anemia of MF. We expect to report initial data from this Phase 2 trial in the second half of 2025. We also expect to report data from the multiple-ascending dose, or MAD, portion of the Phase 1b trial in patients with non-dialysis dependent CKD and anemia in the 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w:t>
      </w:r>
    </w:p>
    <w:p>
      <w:pPr>
        <w:sectPr>
          <w:pgSz w:w="12240" w:h="15840" w:orient="portrait"/>
          <w:cols w:equalWidth="0" w:num="1">
            <w:col w:w="10440"/>
          </w:cols>
          <w:pgMar w:left="900" w:top="118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10440"/>
          </w:cols>
          <w:pgMar w:left="900" w:top="1189" w:right="900" w:bottom="181" w:gutter="0" w:footer="0" w:header="0"/>
          <w:type w:val="continuous"/>
        </w:sectPr>
      </w:pPr>
    </w:p>
    <w:bookmarkStart w:id="11" w:name="page12"/>
    <w:bookmarkEnd w:id="11"/>
    <w:p>
      <w:pPr>
        <w:jc w:val="both"/>
        <w:spacing w:after="0" w:line="233" w:lineRule="auto"/>
        <w:rPr>
          <w:sz w:val="20"/>
          <w:szCs w:val="20"/>
          <w:color w:val="auto"/>
        </w:rPr>
      </w:pPr>
      <w:r>
        <w:rPr>
          <w:rFonts w:ascii="Arial" w:cs="Arial" w:eastAsia="Arial" w:hAnsi="Arial"/>
          <w:sz w:val="20"/>
          <w:szCs w:val="20"/>
          <w:b w:val="1"/>
          <w:bCs w:val="1"/>
          <w:color w:val="auto"/>
        </w:rPr>
        <w:t>has an extended serum half-life as compared to DISC-0974. We believe this profile may be desirable in certain subsets of patients with anemia associated with inflammatory diseases.</w:t>
      </w:r>
    </w:p>
    <w:p>
      <w:pPr>
        <w:spacing w:after="0" w:line="132"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or SAD, portion of the Phase 1 clinical trial of DISC-3405 in healthy volunteers in June 2024. We presented data from the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Approach</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and clinical data, we believe our product candidate portfolio, by targeting fundamental pathways in red blood cell biology, has the potential to address a range of hematologic diseases in which modification of iron and heme plays a critical function.</w:t>
      </w:r>
    </w:p>
    <w:p>
      <w:pPr>
        <w:spacing w:after="0" w:line="96"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are focused on therapeutic approaches that modulate heme and iron to address diseases of heme biosynthesis and red blood cell production, and we target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94"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 Our current pipeline is focused on the following three approaches:</w:t>
      </w:r>
    </w:p>
    <w:p>
      <w:pPr>
        <w:spacing w:after="0" w:line="100"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Modulating the heme biosynthesis pathway, which is anticipated to be useful in diseases caused by excesses in toxic heme pathway metabolites, e.g.,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385" w:lineRule="auto"/>
        <w:rPr>
          <w:sz w:val="20"/>
          <w:szCs w:val="20"/>
          <w:color w:val="auto"/>
        </w:rPr>
      </w:pPr>
      <w:r>
        <w:rPr>
          <w:rFonts w:ascii="Arial" w:cs="Arial" w:eastAsia="Arial" w:hAnsi="Arial"/>
          <w:sz w:val="15"/>
          <w:szCs w:val="15"/>
          <w:b w:val="1"/>
          <w:bCs w:val="1"/>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-309880</wp:posOffset>
            </wp:positionV>
            <wp:extent cx="71120" cy="71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9"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Decreasing iron availability, which is anticipated to lower red blood cell production in diseases of excessive red cell production, e.g., 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w:t>
      </w:r>
    </w:p>
    <w:p>
      <w:pPr>
        <w:sectPr>
          <w:pgSz w:w="12240" w:h="15840" w:orient="portrait"/>
          <w:cols w:equalWidth="0" w:num="1">
            <w:col w:w="10440"/>
          </w:cols>
          <w:pgMar w:left="900" w:top="960" w:right="900" w:bottom="181"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Our Pipeline</w:t>
      </w:r>
    </w:p>
    <w:p>
      <w:pPr>
        <w:spacing w:after="0" w:line="129"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are building an innovative pipeline of product candidates that aim to modify fundamental biological pathways associated with the formation and function of red blood cells. We have obtained exclusive, worldwide licenses for the development and commercialization of bitopertin, DISC-0974, and DISC-0998, and exclusive rights for DISC-3405 and related antibodies in all territories outside of Greater China and Southeast Asia.</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Clinical-Stage Product Candidates</w:t>
      </w:r>
    </w:p>
    <w:p>
      <w:pPr>
        <w:spacing w:after="0" w:line="131"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The diagram below reflects the status of the clinical-stage product candidates, bitopertin, DISC-0974 and DISC-3405, and clinical trials that have been completed, are ongoing or are expected to initiate by the end of 2025. The timelines shown reflect our current expectations and beliefs based on our internal plans and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6632575" cy="2774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6632575" cy="277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20" w:right="960" w:hanging="2277"/>
        <w:spacing w:after="0" w:line="234" w:lineRule="auto"/>
        <w:tabs>
          <w:tab w:leader="none" w:pos="1007" w:val="left"/>
        </w:tabs>
        <w:numPr>
          <w:ilvl w:val="0"/>
          <w:numId w:val="1"/>
        </w:numPr>
        <w:rPr>
          <w:rFonts w:ascii="Arial" w:cs="Arial" w:eastAsia="Arial" w:hAnsi="Arial"/>
          <w:sz w:val="10"/>
          <w:szCs w:val="10"/>
          <w:b w:val="1"/>
          <w:bCs w:val="1"/>
          <w:color w:val="787878"/>
        </w:rPr>
      </w:pPr>
      <w:r>
        <w:rPr>
          <w:rFonts w:ascii="Arial" w:cs="Arial" w:eastAsia="Arial" w:hAnsi="Arial"/>
          <w:sz w:val="14"/>
          <w:szCs w:val="14"/>
          <w:b w:val="1"/>
          <w:bCs w:val="1"/>
          <w:color w:val="787878"/>
        </w:rPr>
        <w:t>Bitopertin in-licensed from Roche; ‡ DISC-0974 and DISC-0998 in-licensed from AbbVie; *DISC-3405 in-licensed from Mabwell (formerly MWTX-003); **Investigator initiated trial with the NIH</w:t>
      </w:r>
    </w:p>
    <w:p>
      <w:pPr>
        <w:spacing w:after="0" w:line="242"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We also plan to develop bitopertin, DISC-0974 and DISC-3405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trial began in July 2023.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Preclinical-Stage Product Candidates</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We also have preclinical-stage programs in development. This includes DISC-0998: a separate, preclinical anti-HJV monoclonal antibody, which is also designed to target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3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p>
    <w:p>
      <w:pPr>
        <w:spacing w:after="0" w:line="117" w:lineRule="exact"/>
        <w:rPr>
          <w:sz w:val="20"/>
          <w:szCs w:val="20"/>
          <w:color w:val="auto"/>
        </w:rPr>
      </w:pPr>
    </w:p>
    <w:p>
      <w:pPr>
        <w:jc w:val="both"/>
        <w:ind w:left="720"/>
        <w:spacing w:after="0" w:line="286" w:lineRule="auto"/>
        <w:rPr>
          <w:sz w:val="20"/>
          <w:szCs w:val="20"/>
          <w:color w:val="auto"/>
        </w:rPr>
      </w:pPr>
      <w:r>
        <w:rPr>
          <w:rFonts w:ascii="Arial" w:cs="Arial" w:eastAsia="Arial" w:hAnsi="Arial"/>
          <w:sz w:val="17"/>
          <w:szCs w:val="17"/>
          <w:b w:val="1"/>
          <w:bCs w:val="1"/>
          <w:color w:val="auto"/>
        </w:rPr>
        <w:t>Obtain regulatory approval for and successfully commercialize bitopertin for the treatment of patients with EPP and XLP, and expand into other diseases characterized by dysregulation of the heme biosynthesis pathway. In multiple clinical trials conducted by Roche in other indications, 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the compelling preclinical data we have generated, and the results of our BEACON and AURORA Phase 2 clinical trials, we believe bitopertin has the potential to be a disease-modifying treatment for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-1141730</wp:posOffset>
            </wp:positionV>
            <wp:extent cx="71120" cy="71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10440"/>
          </w:cols>
          <w:pgMar w:left="900" w:top="949" w:right="900" w:bottom="181" w:gutter="0" w:footer="0" w:header="0"/>
          <w:type w:val="continuous"/>
        </w:sectPr>
      </w:pPr>
    </w:p>
    <w:bookmarkStart w:id="13" w:name="page14"/>
    <w:bookmarkEnd w:id="13"/>
    <w:p>
      <w:pPr>
        <w:jc w:val="both"/>
        <w:ind w:left="180"/>
        <w:spacing w:after="0" w:line="252" w:lineRule="auto"/>
        <w:rPr>
          <w:sz w:val="20"/>
          <w:szCs w:val="20"/>
          <w:color w:val="auto"/>
        </w:rPr>
      </w:pPr>
      <w:r>
        <w:rPr>
          <w:rFonts w:ascii="Arial" w:cs="Arial" w:eastAsia="Arial" w:hAnsi="Arial"/>
          <w:sz w:val="19"/>
          <w:szCs w:val="19"/>
          <w:b w:val="1"/>
          <w:bCs w:val="1"/>
          <w:color w:val="auto"/>
        </w:rPr>
        <w:t>patients. In our end-of-Phase 2 meeting, the FDA agreed with the potential for reduction of PPIX to serve as a surrogate endpoint to support a potential accelerated approval of bitopertin in EPP and XLP. Under the FDA’s Accelerated Approval Program, we would have the potential to submit an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also plan to explore the potential of bitopertin to treat other hematologic diseases, including DBA.</w:t>
      </w:r>
    </w:p>
    <w:p>
      <w:pPr>
        <w:spacing w:after="0" w:line="137" w:lineRule="exact"/>
        <w:rPr>
          <w:sz w:val="20"/>
          <w:szCs w:val="20"/>
          <w:color w:val="auto"/>
        </w:rPr>
      </w:pPr>
    </w:p>
    <w:p>
      <w:pPr>
        <w:jc w:val="both"/>
        <w:ind w:left="180"/>
        <w:spacing w:after="0" w:line="284" w:lineRule="auto"/>
        <w:rPr>
          <w:sz w:val="20"/>
          <w:szCs w:val="20"/>
          <w:color w:val="auto"/>
        </w:rPr>
      </w:pPr>
      <w:r>
        <w:rPr>
          <w:rFonts w:ascii="Arial" w:cs="Arial" w:eastAsia="Arial" w:hAnsi="Arial"/>
          <w:sz w:val="17"/>
          <w:szCs w:val="17"/>
          <w:b w:val="1"/>
          <w:bCs w:val="1"/>
          <w:color w:val="auto"/>
        </w:rPr>
        <w:t>Advance the clinical development of DISC-0974 for the treatment of anemia associated with MF, CKD and other inflammatory diseases. We are initially developing our lead hepcidin-suppressing program, DISC-0974, for the treatment of anemia associated with MF and CKD. Our Phase 1, placebo-controlled, single-ascending dose clinical trial of DISC-0974 in healthy volunteers showed an acceptable tolerability profile and evidence of target engagement and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In December 2024, we presented additional analyses of the Phase 1b study in anemia of MF and initiated the open-label Phase 2 portion of this clinical trial in patients with anemia of MF. We expect to report initial data from this Phase 2 trial in the second half of 2025 and final data in 2026. We also expect to report data from the MAD portion of the Phase 1b trial in patients with non-dialysis dependent CKD and anemia in the second half of 2025. Subject to the results of such MAD portion of the study, we expect to initiate and report initial data from a Phase 2 clinical trial in patients with non-dialysis dependent CKD and anemia in 2026. We also plan to further expand the development of DISC-0974 into anemias associated with other inflammatory diseases, such as inflammatory bowel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-2162175</wp:posOffset>
            </wp:positionV>
            <wp:extent cx="71120" cy="711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6" w:lineRule="exact"/>
        <w:rPr>
          <w:sz w:val="20"/>
          <w:szCs w:val="20"/>
          <w:color w:val="auto"/>
        </w:rPr>
      </w:pPr>
    </w:p>
    <w:p>
      <w:pPr>
        <w:jc w:val="both"/>
        <w:ind w:left="180"/>
        <w:spacing w:after="0" w:line="285" w:lineRule="auto"/>
        <w:rPr>
          <w:sz w:val="20"/>
          <w:szCs w:val="20"/>
          <w:color w:val="auto"/>
        </w:rPr>
      </w:pPr>
      <w:r>
        <w:rPr>
          <w:rFonts w:ascii="Arial" w:cs="Arial" w:eastAsia="Arial" w:hAnsi="Arial"/>
          <w:sz w:val="17"/>
          <w:szCs w:val="17"/>
          <w:b w:val="1"/>
          <w:bCs w:val="1"/>
          <w:color w:val="auto"/>
        </w:rPr>
        <w:t>Advance the clinical development of DISC-3405 for the treatment of PV and expand into other diseases associated with excess iron availability. The second program in our iron homeostasis portfolio is DISC-3405, which is designed to induce hepcidin production. The inhibition of TMPRSS6 has been shown in non-clinical studies to increase hepcidin levels and restrict iron availability, and DISC-3405 demonstrated activity in disease models of PV and beta-thalassemia. In clinical trials conducted by third parties, iron restriction through a hepcidin mechanism resulted in disease control in patients with PV. We presented interim data from the SAD portion of our Phase 1 clinical trial of DISC-3405 in healthy volunteers in June 2024 and presented data from the MAD portion of such study in December 2024. We expect to develop DISC-3405 for the treatment of PV and other hematologic disorders, and plan to initiate a Phase 2 clinical trial of DISC-3405 in PV in the first half of 2025 and report data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-1285240</wp:posOffset>
            </wp:positionV>
            <wp:extent cx="71120" cy="711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4" w:lineRule="exact"/>
        <w:rPr>
          <w:sz w:val="20"/>
          <w:szCs w:val="20"/>
          <w:color w:val="auto"/>
        </w:rPr>
      </w:pPr>
    </w:p>
    <w:p>
      <w:pPr>
        <w:jc w:val="both"/>
        <w:ind w:left="180"/>
        <w:spacing w:after="0" w:line="285" w:lineRule="auto"/>
        <w:rPr>
          <w:sz w:val="20"/>
          <w:szCs w:val="20"/>
          <w:color w:val="auto"/>
        </w:rPr>
      </w:pPr>
      <w:r>
        <w:rPr>
          <w:rFonts w:ascii="Arial" w:cs="Arial" w:eastAsia="Arial" w:hAnsi="Arial"/>
          <w:sz w:val="17"/>
          <w:szCs w:val="17"/>
          <w:b w:val="1"/>
          <w:bCs w:val="1"/>
          <w:color w:val="auto"/>
        </w:rPr>
        <w:t>Continue to build our pipeline through internal research or business development. Though we have yet to generate complete clinical data for each of our product candidates,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-1579880</wp:posOffset>
            </wp:positionV>
            <wp:extent cx="71120" cy="711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180"/>
        <w:spacing w:after="0" w:line="328" w:lineRule="auto"/>
        <w:rPr>
          <w:sz w:val="20"/>
          <w:szCs w:val="20"/>
          <w:color w:val="auto"/>
        </w:rPr>
      </w:pPr>
      <w:r>
        <w:rPr>
          <w:rFonts w:ascii="Arial" w:cs="Arial" w:eastAsia="Arial" w:hAnsi="Arial"/>
          <w:sz w:val="15"/>
          <w:szCs w:val="15"/>
          <w:b w:val="1"/>
          <w:bCs w:val="1"/>
          <w:color w:val="auto"/>
        </w:rPr>
        <w:t>Opportunistically evaluate strategic collaborations to maximize the value of our product candidates and preclinical programs. We have obtained exclusive, worldwide licenses for the development and commercialization of bitopertin, DISC-0974, and DISC-0998, and exclusive rights for DISC-3405 (formerly MWTX-003)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-1306195</wp:posOffset>
            </wp:positionV>
            <wp:extent cx="71120" cy="71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9900"/>
          </w:cols>
          <w:pgMar w:left="144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4</w:t>
      </w:r>
    </w:p>
    <w:p>
      <w:pPr>
        <w:sectPr>
          <w:pgSz w:w="12240" w:h="15840" w:orient="portrait"/>
          <w:cols w:equalWidth="0" w:num="1">
            <w:col w:w="9900"/>
          </w:cols>
          <w:pgMar w:left="1440" w:top="960" w:right="900" w:bottom="181"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Our Corporate History and Team</w:t>
      </w:r>
    </w:p>
    <w:p>
      <w:pPr>
        <w:spacing w:after="0" w:line="129"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preparing for the potential commercialization of bitopertin, if approved, and establishing and maintaining our intellectual property portfolio.</w:t>
      </w:r>
    </w:p>
    <w:p>
      <w:pPr>
        <w:spacing w:after="0" w:line="9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Tibsovo, Casgevy, and Roxadustat, as well as numerous late-stage clinical and approved therapies for other therapeutic areas. Our team has significant previous experience at leading biotechnology and pharmaceutical companies, including Acceleron Pharma, Inc., Agios Pharmaceuticals, Inc., Albireo Pharma, Inc., Bristol-Myers Squibb Company, CRISPR Therapeutics AG, FibroGen, Inc., Genzyme Corporation, Johnson &amp; Johnson, Merck &amp; Co., Inc., Pfizer Inc., Replimune Group Inc., Takeda Pharmaceutical Co., Vertex Pharmaceuticals Incorporated,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Heme Biosynthesis Modulation Portfolio</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Heme Biosynthesis: Fundamental to Erythropoiesis</w:t>
      </w:r>
    </w:p>
    <w:p>
      <w:pPr>
        <w:spacing w:after="0" w:line="131"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174625</wp:posOffset>
            </wp:positionV>
            <wp:extent cx="5106670" cy="1927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5106670" cy="192786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10440"/>
          </w:cols>
          <w:pgMar w:left="900" w:top="949" w:right="900" w:bottom="181" w:gutter="0" w:footer="0" w:header="0"/>
          <w:type w:val="continuous"/>
        </w:sectPr>
      </w:pPr>
    </w:p>
    <w:bookmarkStart w:id="15" w:name="page16"/>
    <w:bookmarkEnd w:id="15"/>
    <w:p>
      <w:pPr>
        <w:ind w:left="87"/>
        <w:spacing w:after="0"/>
        <w:rPr>
          <w:sz w:val="20"/>
          <w:szCs w:val="20"/>
          <w:color w:val="auto"/>
        </w:rPr>
      </w:pPr>
      <w:r>
        <w:rPr>
          <w:rFonts w:ascii="Arial" w:cs="Arial" w:eastAsia="Arial" w:hAnsi="Arial"/>
          <w:sz w:val="20"/>
          <w:szCs w:val="20"/>
          <w:b w:val="1"/>
          <w:bCs w:val="1"/>
          <w:color w:val="auto"/>
        </w:rPr>
        <w:t>Heme Biosynthesis as a Therapeutic Target for Diseases</w:t>
      </w:r>
    </w:p>
    <w:p>
      <w:pPr>
        <w:spacing w:after="0" w:line="129" w:lineRule="exact"/>
        <w:rPr>
          <w:sz w:val="20"/>
          <w:szCs w:val="20"/>
          <w:color w:val="auto"/>
        </w:rPr>
      </w:pPr>
    </w:p>
    <w:p>
      <w:pPr>
        <w:jc w:val="both"/>
        <w:ind w:left="7" w:firstLine="490"/>
        <w:spacing w:after="0" w:line="284" w:lineRule="auto"/>
        <w:rPr>
          <w:sz w:val="20"/>
          <w:szCs w:val="20"/>
          <w:color w:val="auto"/>
        </w:rPr>
      </w:pPr>
      <w:r>
        <w:rPr>
          <w:rFonts w:ascii="Arial" w:cs="Arial" w:eastAsia="Arial" w:hAnsi="Arial"/>
          <w:sz w:val="17"/>
          <w:szCs w:val="17"/>
          <w:b w:val="1"/>
          <w:bCs w:val="1"/>
          <w:color w:val="auto"/>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Erythropoietic Porphyrias</w:t>
      </w:r>
    </w:p>
    <w:p>
      <w:pPr>
        <w:spacing w:after="0" w:line="131" w:lineRule="exact"/>
        <w:rPr>
          <w:sz w:val="20"/>
          <w:szCs w:val="20"/>
          <w:color w:val="auto"/>
        </w:rPr>
      </w:pPr>
    </w:p>
    <w:p>
      <w:pPr>
        <w:jc w:val="both"/>
        <w:ind w:left="7" w:firstLine="490"/>
        <w:spacing w:after="0" w:line="319" w:lineRule="auto"/>
        <w:rPr>
          <w:sz w:val="20"/>
          <w:szCs w:val="20"/>
          <w:color w:val="auto"/>
        </w:rPr>
      </w:pPr>
      <w:r>
        <w:rPr>
          <w:rFonts w:ascii="Arial" w:cs="Arial" w:eastAsia="Arial" w:hAnsi="Arial"/>
          <w:sz w:val="15"/>
          <w:szCs w:val="15"/>
          <w:b w:val="1"/>
          <w:bCs w:val="1"/>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w:t>
      </w:r>
    </w:p>
    <w:p>
      <w:pPr>
        <w:spacing w:after="0" w:line="7" w:lineRule="exact"/>
        <w:rPr>
          <w:sz w:val="20"/>
          <w:szCs w:val="20"/>
          <w:color w:val="auto"/>
        </w:rPr>
      </w:pPr>
    </w:p>
    <w:p>
      <w:pPr>
        <w:ind w:left="7" w:hanging="7"/>
        <w:spacing w:after="0" w:line="254" w:lineRule="auto"/>
        <w:tabs>
          <w:tab w:leader="none" w:pos="304"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cosynthase, or UROS, enzyme. As shown below, mutations in the FECH and ALAS2 enzymes lead to a pathological accumulation of PPIX, and as a result, patients with EPP or XLP typically have high levels of PPIX.</w:t>
      </w: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180975</wp:posOffset>
            </wp:positionV>
            <wp:extent cx="3200400" cy="2811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32004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7" w:firstLine="490"/>
        <w:spacing w:after="0" w:line="336" w:lineRule="auto"/>
        <w:rPr>
          <w:sz w:val="20"/>
          <w:szCs w:val="20"/>
          <w:color w:val="auto"/>
        </w:rPr>
      </w:pPr>
      <w:r>
        <w:rPr>
          <w:rFonts w:ascii="Arial" w:cs="Arial" w:eastAsia="Arial" w:hAnsi="Arial"/>
          <w:sz w:val="15"/>
          <w:szCs w:val="15"/>
          <w:b w:val="1"/>
          <w:bCs w:val="1"/>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w:t>
      </w:r>
    </w:p>
    <w:p>
      <w:pPr>
        <w:sectPr>
          <w:pgSz w:w="12240" w:h="15840" w:orient="portrait"/>
          <w:cols w:equalWidth="0" w:num="1">
            <w:col w:w="10447"/>
          </w:cols>
          <w:pgMar w:left="893" w:top="949" w:right="900" w:bottom="181" w:gutter="0" w:footer="0" w:header="0"/>
        </w:sectPr>
      </w:pPr>
    </w:p>
    <w:p>
      <w:pPr>
        <w:spacing w:after="0" w:line="283" w:lineRule="exact"/>
        <w:rPr>
          <w:sz w:val="20"/>
          <w:szCs w:val="20"/>
          <w:color w:val="auto"/>
        </w:rPr>
      </w:pPr>
    </w:p>
    <w:p>
      <w:pPr>
        <w:jc w:val="center"/>
        <w:ind w:right="13"/>
        <w:spacing w:after="0"/>
        <w:rPr>
          <w:sz w:val="20"/>
          <w:szCs w:val="20"/>
          <w:color w:val="auto"/>
        </w:rPr>
      </w:pPr>
      <w:r>
        <w:rPr>
          <w:rFonts w:ascii="Arial" w:cs="Arial" w:eastAsia="Arial" w:hAnsi="Arial"/>
          <w:sz w:val="17"/>
          <w:szCs w:val="17"/>
          <w:b w:val="1"/>
          <w:bCs w:val="1"/>
          <w:color w:val="auto"/>
        </w:rPr>
        <w:t>6</w:t>
      </w:r>
    </w:p>
    <w:p>
      <w:pPr>
        <w:sectPr>
          <w:pgSz w:w="12240" w:h="15840" w:orient="portrait"/>
          <w:cols w:equalWidth="0" w:num="1">
            <w:col w:w="10447"/>
          </w:cols>
          <w:pgMar w:left="893" w:top="949" w:right="900" w:bottom="181" w:gutter="0" w:footer="0" w:header="0"/>
          <w:type w:val="continuous"/>
        </w:sectPr>
      </w:pPr>
    </w:p>
    <w:bookmarkStart w:id="16" w:name="page17"/>
    <w:bookmarkEnd w:id="16"/>
    <w:p>
      <w:pPr>
        <w:jc w:val="both"/>
        <w:spacing w:after="0" w:line="328" w:lineRule="auto"/>
        <w:rPr>
          <w:sz w:val="20"/>
          <w:szCs w:val="20"/>
          <w:color w:val="auto"/>
        </w:rPr>
      </w:pPr>
      <w:r>
        <w:rPr>
          <w:rFonts w:ascii="Arial" w:cs="Arial" w:eastAsia="Arial" w:hAnsi="Arial"/>
          <w:sz w:val="15"/>
          <w:szCs w:val="15"/>
          <w:b w:val="1"/>
          <w:bCs w:val="1"/>
          <w:color w:val="auto"/>
        </w:rPr>
        <w:t>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Recent analyses we completed of medical claims data using the ICD-10 code for EPP suggests there are approximately 14,000 diagnosed patients in the U.S.</w:t>
      </w:r>
    </w:p>
    <w:p>
      <w:pPr>
        <w:spacing w:after="0" w:line="7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97"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Current Treatment Options for Erythropoietic Porphyrias</w:t>
      </w:r>
    </w:p>
    <w:p>
      <w:pPr>
        <w:spacing w:after="0" w:line="12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adults with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102"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Solution: Bitopertin, an Oral, Selective GlyT1 Inhibitor</w:t>
      </w:r>
    </w:p>
    <w:p>
      <w:pPr>
        <w:spacing w:after="0" w:line="131"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10440"/>
          </w:cols>
          <w:pgMar w:left="900" w:top="960" w:right="900" w:bottom="181"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174625</wp:posOffset>
            </wp:positionV>
            <wp:extent cx="5363210" cy="129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5363210"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We are initially focused on the ability of bitopertin to suppress the accumulation of PPIX. Based on its mechanism of action, we believe bitopertin has the potential to be a disease-modifying treatment for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119380</wp:posOffset>
            </wp:positionV>
            <wp:extent cx="3105785" cy="2086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3105785" cy="208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97"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Data</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the lead indication after completing over 30 clinical trials in more than 4,000 individuals. Roche conducted a pilot study for the treatment of anemia in 12 patients with beta-thalassemia, a population with a normal heme biosynthesis pathway; this trial did not show consistent increases</w:t>
      </w:r>
    </w:p>
    <w:p>
      <w:pPr>
        <w:sectPr>
          <w:pgSz w:w="12240" w:h="15840" w:orient="portrait"/>
          <w:cols w:equalWidth="0" w:num="1">
            <w:col w:w="10440"/>
          </w:cols>
          <w:pgMar w:left="900" w:top="949" w:right="900" w:bottom="181" w:gutter="0" w:footer="0" w:header="0"/>
        </w:sect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8</w:t>
      </w:r>
    </w:p>
    <w:p>
      <w:pPr>
        <w:sectPr>
          <w:pgSz w:w="12240" w:h="15840" w:orient="portrait"/>
          <w:cols w:equalWidth="0" w:num="1">
            <w:col w:w="10440"/>
          </w:cols>
          <w:pgMar w:left="900" w:top="949" w:right="900" w:bottom="181" w:gutter="0" w:footer="0" w:header="0"/>
          <w:type w:val="continuous"/>
        </w:sectPr>
      </w:pPr>
    </w:p>
    <w:bookmarkStart w:id="18" w:name="page19"/>
    <w:bookmarkEnd w:id="18"/>
    <w:p>
      <w:pPr>
        <w:jc w:val="both"/>
        <w:spacing w:after="0" w:line="336" w:lineRule="auto"/>
        <w:rPr>
          <w:sz w:val="20"/>
          <w:szCs w:val="20"/>
          <w:color w:val="auto"/>
        </w:rPr>
      </w:pPr>
      <w:r>
        <w:rPr>
          <w:rFonts w:ascii="Arial" w:cs="Arial" w:eastAsia="Arial" w:hAnsi="Arial"/>
          <w:sz w:val="15"/>
          <w:szCs w:val="15"/>
          <w:b w:val="1"/>
          <w:bCs w:val="1"/>
          <w:color w:val="auto"/>
        </w:rPr>
        <w:t>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A mild, dose-dependent decrease in heme biosynthesis was observed in multiple clinical trials, which manifested as a decrease in hemoglobin of approximately 0.5 to 2 g/dL that stabilized after approximately 16 weeks, the approximate lifespan of a red blood cell.</w:t>
      </w:r>
    </w:p>
    <w:p>
      <w:pPr>
        <w:spacing w:after="0" w:line="62"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180340</wp:posOffset>
            </wp:positionV>
            <wp:extent cx="5563870" cy="2098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5563870" cy="209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BEACON: Completed Phase 2 Clinical Trial in Patients with EPP and XLP</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July 2022, we initiated BEACON, a Phase 2 clinical trial of bitopertin in EPP and XLP patients conducted at sites in Australia. The study was a randomized, open-label, parallel-dose clinical trial designed to evaluate the safety, tolerability, and efficacy of bitopertin. It enrolled 22 adult patients and four adolescent patients with EPP or XLP. The study primarily assessed changes in levels of PPIX as well as the PK profile, safety and tolerability of bitopertin in EPP or XLP patients. It also included measures of photosensitivity, daylight tolerance, pain and exploratory biomarkers of hepatobiliary disease. Patients received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The trial design is summarized in the figure below. Participants in the BEACON trial are eligible to participate in HELIOS, an ongoing open-label, long-term extension study of bitopertin in EPP and XLP.</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10440"/>
          </w:cols>
          <w:pgMar w:left="900" w:top="960" w:right="900" w:bottom="181"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BEACON Trial Design: Open-Label, Phase 2 Clinical Trial of Bitopertin in Patients with EPP</w:t>
      </w:r>
    </w:p>
    <w:p>
      <w:pPr>
        <w:jc w:val="center"/>
        <w:spacing w:after="0" w:line="237" w:lineRule="auto"/>
        <w:rPr>
          <w:sz w:val="20"/>
          <w:szCs w:val="20"/>
          <w:color w:val="auto"/>
        </w:rPr>
      </w:pPr>
      <w:r>
        <w:rPr>
          <w:rFonts w:ascii="Arial" w:cs="Arial" w:eastAsia="Arial" w:hAnsi="Arial"/>
          <w:sz w:val="20"/>
          <w:szCs w:val="20"/>
          <w:b w:val="1"/>
          <w:bCs w:val="1"/>
          <w:color w:val="auto"/>
        </w:rPr>
        <w:t>or XLP (N = 22 adults, N = 4 adolescents)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127635</wp:posOffset>
            </wp:positionV>
            <wp:extent cx="5944870" cy="1652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3">
                      <a:extLst>
                        <a:ext uri="{28A0092B-C50C-407E-A947-70E740481C1C}"/>
                      </a:extLst>
                    </a:blip>
                    <a:srcRect/>
                    <a:stretch>
                      <a:fillRect/>
                    </a:stretch>
                  </pic:blipFill>
                  <pic:spPr bwMode="auto">
                    <a:xfrm>
                      <a:off x="0" y="0"/>
                      <a:ext cx="5944870"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Interim data from BEACON were presented at the European Hematology Association, or EHA, annual meeting in June 2023 and at the American Society of Hematology, or ASH, annual meeting in December 2023. Additional analyses were presented at the EHA annual meeting in June 2024 and at the ASH annual meeting in December 2024. Twenty-one of the 22 enrolled adults and three of the four enrolled adolescents completed the study. The average age of the adult participants was 44 years, with 64% being female. Bitopertin significantly reduced PPIX in both the adult and adolescent populations, with reductions of whole blood metal-free PPIX of &gt;40% compared to baseline in the overall adult study population, and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79%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adult participants showed a &gt;3-fold improvement in average time to prodrome, as compared to baseline (p&lt;0.001). The proportion of adult participants who conducted a sunlight challenge that did not elicit a prodrome increased from 7% at baseline to 55% while taking bitopertin. Of the adult participants that completed the treatment period (n=21), nearly all reported improvements in quality of life measures, with 20 of 21 reporting that their EPP was “much better” or “a little better”, 19 of 21 reporting that their EPP was “not at all” or “mild” in severity, and 18 of 21 reporting that EPP impacted their quality of life in the last 7 days “not at all” or “a little bit”.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BEACON: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6632575" cy="1927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6632575" cy="192786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10440"/>
          </w:cols>
          <w:pgMar w:left="900" w:top="949" w:right="900" w:bottom="181"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t>BEACON: Associations between PPIX Reductions and Light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145415</wp:posOffset>
            </wp:positionV>
            <wp:extent cx="3954780" cy="2086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3954780" cy="208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Safety analyses showed no serious adverse events, stable hemoglobin levels, and no anemia adverse events reported. There was one discontinuation due to an adverse event that was assessed as probably related to bitopertin treatment: a Grade 3 headache in an adult participant. Overall, 59% of adult participants and 100% of adolescent participants reported dizziness, 18% of adult participants and zero adolescent participants reported headache, and 14% of adult participants and zero adolescent participants reported nausea.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AURORA: Completed Phase 2 Clinical Trial in Patients with EPP</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Separately, in October 2022 we initiated AURORA, a Phase 2, randomized, double-blind, placebo-controlled, parallel dosing trial in 75 adult patients with EPP conducted at sites in the United States. We enrolled patients into a placebo group (n=24), a 20 mg/day dose group (n=26) and a 60 mg/day dose group (n=25),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included assessments of blood PPIX levels, with a primary endpoint of percent change in whole blood metal-free PPIX, and patient photosensitivity, including a secondary endpoint of cumulative total time in sunlight between 10:00 a.m. and 6:00 p.m. on days without pain observed over the 4-month treatment period. The FDA has previously approved afamelanotide for the treatment of photosensitivity in adult EPP patients on the basis of a clinical endpoint measuring a change in pain-free time spent in sunlight in treated patients, relative to patients treated with placebo. Additional study measures included time to prodrome, hepatobiliary markers, quality of life, safety and tolerability, among others. The trial design is summarized in the figure below. Participants in the AURORA trial are eligible to participate in HELIOS, an ongoing open-label, long-term extension study of bitopertin in EPP and XLP.</w:t>
      </w:r>
    </w:p>
    <w:p>
      <w:pPr>
        <w:spacing w:after="0" w:line="200" w:lineRule="exact"/>
        <w:rPr>
          <w:sz w:val="20"/>
          <w:szCs w:val="20"/>
          <w:color w:val="auto"/>
        </w:rPr>
      </w:pPr>
    </w:p>
    <w:p>
      <w:pPr>
        <w:spacing w:after="0" w:line="223" w:lineRule="exact"/>
        <w:rPr>
          <w:sz w:val="20"/>
          <w:szCs w:val="20"/>
          <w:color w:val="auto"/>
        </w:rPr>
      </w:pPr>
    </w:p>
    <w:p>
      <w:pPr>
        <w:jc w:val="center"/>
        <w:spacing w:after="0" w:line="233" w:lineRule="auto"/>
        <w:rPr>
          <w:sz w:val="20"/>
          <w:szCs w:val="20"/>
          <w:color w:val="auto"/>
        </w:rPr>
      </w:pPr>
      <w:r>
        <w:rPr>
          <w:rFonts w:ascii="Arial" w:cs="Arial" w:eastAsia="Arial" w:hAnsi="Arial"/>
          <w:sz w:val="20"/>
          <w:szCs w:val="20"/>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127635</wp:posOffset>
            </wp:positionV>
            <wp:extent cx="5163185" cy="15176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6">
                      <a:extLst>
                        <a:ext uri="{28A0092B-C50C-407E-A947-70E740481C1C}"/>
                      </a:extLst>
                    </a:blip>
                    <a:srcRect/>
                    <a:stretch>
                      <a:fillRect/>
                    </a:stretch>
                  </pic:blipFill>
                  <pic:spPr bwMode="auto">
                    <a:xfrm>
                      <a:off x="0" y="0"/>
                      <a:ext cx="516318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We presented topline data from AURORA in April 2024. Additional analyses were presented at the EHA annual meeting in June 2024 and at the ASH annual meeting in December 2024. Seventy-two of the 75 participants completed the study. With respect to the primary endpoint, bitopertin resulted in significant, dose-dependent, and sustained reductions in whole blood PPIX levels compared to baseline (-21.6% for 20 mg (p=0.003 vs placebo) and -40.7% for 60 mg (p&lt;0.001 vs placebo); the placebo group had mean increases of +8.0%). As in BEACON, most of the PPIX reduction occurred in the first 6 weeks of treatment. With respect to clinical efficacy endpoints, there were substantial and dose-dependent reductions in phototoxic reactions with pain during the 4-month study period, consisting of a 75% reduction in the incidence rate of new phototoxic reactions with pain at the 60 mg dose</w:t>
      </w:r>
    </w:p>
    <w:p>
      <w:pPr>
        <w:sectPr>
          <w:pgSz w:w="12240" w:h="15840" w:orient="portrait"/>
          <w:cols w:equalWidth="0" w:num="1">
            <w:col w:w="10440"/>
          </w:cols>
          <w:pgMar w:left="900" w:top="949" w:right="900" w:bottom="181"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10440"/>
          </w:cols>
          <w:pgMar w:left="900" w:top="949" w:right="900" w:bottom="181" w:gutter="0" w:footer="0" w:header="0"/>
          <w:type w:val="continuous"/>
        </w:sectPr>
      </w:pPr>
    </w:p>
    <w:bookmarkStart w:id="21" w:name="page22"/>
    <w:bookmarkEnd w:id="21"/>
    <w:p>
      <w:pPr>
        <w:jc w:val="both"/>
        <w:spacing w:after="0" w:line="284" w:lineRule="auto"/>
        <w:rPr>
          <w:sz w:val="20"/>
          <w:szCs w:val="20"/>
          <w:color w:val="auto"/>
        </w:rPr>
      </w:pPr>
      <w:r>
        <w:rPr>
          <w:rFonts w:ascii="Arial" w:cs="Arial" w:eastAsia="Arial" w:hAnsi="Arial"/>
          <w:sz w:val="17"/>
          <w:szCs w:val="17"/>
          <w:b w:val="1"/>
          <w:bCs w:val="1"/>
          <w:color w:val="auto"/>
        </w:rPr>
        <w:t>group compared to placebo (p=0.011), and a 60% reduction in the 20 mg dose group compared to placebo (p=0.109). Fewer bitopertin-treated patients reported a phototoxic event compared to placebo (19% for 20 mg and 12% for 60 mg compared to 46% for placebo). There were also dose-dependent improvements in quality-of-life scores as measured by the Patient Global Impression of Change, or PGIC, scale, which were statistically significant for the 60 mg dose: 77% of completers at 20 mg and 86% at 60 mg (p=0.022 vs placebo) reported that their EPP was “much better” compared with 50% for placebo. With respect to cumulative total time in sunlight on days without pain, bitopertin-treated patients recorded a mean of 175.1 hours at 20 mg and 153.1 hours at 60 mg, compared with 133.9 hours for placebo. While the magnitude of the improvement in the bitopertin-treated patients from baseline was comparable to that observed in the BEACON study, the benefit in the placebo arm in the AURORA trial was greater than expected and the results were not statistically significant compared to placebo. In addition, there were large improvements in light tolerance from baseline in 20 mg and 60 mg bitopertin treatment groups as measured by time to prodrome, but the results were not statistically significant relative to placebo. However, a post-hoc longitudinal analysis showed time-dependent improvement in light tolerance that was nominally significant compared to placebo in both the 20 mg (p=0.026) and 60 mg (p=0.013) dose groups, and a two-fold improvement in light tolerance relative to baseline in both 20 mg and 60 mg dose groups. Greater PPIX reductions were associated with improvements in multiple light tolerance measures, including cumulative total time in light, average time in sunlight without pain, change from baseline in time to prodrome, as well as PGIC, and evaluation of the time course of phototoxic reactions and sunlight exposure showed greater treatment effect in the time period after the PPIX nadir was reached, including elimination of observed phototoxic reactions in the 60 mg dose group.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AURORA: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153035</wp:posOffset>
            </wp:positionV>
            <wp:extent cx="4154170" cy="2078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7">
                      <a:extLst>
                        <a:ext uri="{28A0092B-C50C-407E-A947-70E740481C1C}"/>
                      </a:extLst>
                    </a:blip>
                    <a:srcRect/>
                    <a:stretch>
                      <a:fillRect/>
                    </a:stretch>
                  </pic:blipFill>
                  <pic:spPr bwMode="auto">
                    <a:xfrm>
                      <a:off x="0" y="0"/>
                      <a:ext cx="4154170"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AURORA: Association between PPIX Change and Clinical Measures with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151765</wp:posOffset>
            </wp:positionV>
            <wp:extent cx="4146550" cy="2393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8">
                      <a:extLst>
                        <a:ext uri="{28A0092B-C50C-407E-A947-70E740481C1C}"/>
                      </a:extLst>
                    </a:blip>
                    <a:srcRect/>
                    <a:stretch>
                      <a:fillRect/>
                    </a:stretch>
                  </pic:blipFill>
                  <pic:spPr bwMode="auto">
                    <a:xfrm>
                      <a:off x="0" y="0"/>
                      <a:ext cx="4146550" cy="239395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10440"/>
          </w:cols>
          <w:pgMar w:left="900" w:top="960" w:right="900" w:bottom="181"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1456690</wp:posOffset>
            </wp:positionH>
            <wp:positionV relativeFrom="page">
              <wp:posOffset>601980</wp:posOffset>
            </wp:positionV>
            <wp:extent cx="4858385" cy="2270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4858385" cy="227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Bitopertin was generally well tolerated in both dose groups with no serious adverse events and stable hemoglobin levels. Two patients discontinued treatment due to treatment-emergent adverse events, both in the 60 mg dose group and both of which were assessed as possibly related to bitopertin: one due to dizziness and one due to a skin rash. The most common adverse event reported with bitopertin treatment was dizziness: n=4 in the 20 mg dose group and n=11 in the 60 mg dose group, compared with n=4 in the placebo group (median durations of 4.5, 5, and 2 days,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Safety Data from Selected Clinical Trials Conducted by Roche</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comprehensive data package from Roche’s healthy volunteer trials provides further support for bitopertin's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NDA Plans for Bitopertin in EPP and XLP and our Planned Post-Marketing Confirmatory Trial (APOLLO)</w:t>
      </w:r>
    </w:p>
    <w:p>
      <w:pPr>
        <w:spacing w:after="0" w:line="131" w:lineRule="exact"/>
        <w:rPr>
          <w:sz w:val="20"/>
          <w:szCs w:val="20"/>
          <w:color w:val="auto"/>
        </w:rPr>
      </w:pPr>
    </w:p>
    <w:p>
      <w:pPr>
        <w:jc w:val="both"/>
        <w:ind w:firstLine="446"/>
        <w:spacing w:after="0" w:line="336" w:lineRule="auto"/>
        <w:rPr>
          <w:sz w:val="20"/>
          <w:szCs w:val="20"/>
          <w:color w:val="auto"/>
        </w:rPr>
      </w:pPr>
      <w:r>
        <w:rPr>
          <w:rFonts w:ascii="Arial" w:cs="Arial" w:eastAsia="Arial" w:hAnsi="Arial"/>
          <w:sz w:val="15"/>
          <w:szCs w:val="15"/>
          <w:b w:val="1"/>
          <w:bCs w:val="1"/>
          <w:color w:val="auto"/>
        </w:rPr>
        <w:t>In our end-of-Phase 2 meeting with the FDA in September 2024, the FDA agreed with the potential for reduction of PPIX to serve as a surrogate endpoint to support a potential accelerated approval of bitopertin in EPP and XLP. Under the FDA’s Accelerated Approval Program, we would have the potential to submit an NDA for bitopertin in EPP and XLP based on our existing data, and we would be required to conduct a post-marketing confirmatory clinical trial. In our Type C meeting with the FDA in December 2024, we aligned with the FDA on the design of our APOLLO post-marketing confirmatory trial. Key features of the trial include:</w:t>
      </w:r>
    </w:p>
    <w:p>
      <w:pPr>
        <w:spacing w:after="0" w:line="77"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Co-primary endpoints of average monthly total time in sunlight without pain between 10:00 a.m. and 6:00 p.m. during the last month of the six-month treatment period and percent change from baseline in whole blood metal-free PPIX after six months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Other measures of efficacy such as occurrence of phototoxic reactions, cumulative total pain-free time in sunlight, PGIC, and time to prodrome;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-243205</wp:posOffset>
            </wp:positionV>
            <wp:extent cx="71120" cy="71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980" w:right="3440"/>
        <w:spacing w:after="0" w:line="462" w:lineRule="auto"/>
        <w:rPr>
          <w:sz w:val="20"/>
          <w:szCs w:val="20"/>
          <w:color w:val="auto"/>
        </w:rPr>
      </w:pPr>
      <w:r>
        <w:rPr>
          <w:rFonts w:ascii="Arial" w:cs="Arial" w:eastAsia="Arial" w:hAnsi="Arial"/>
          <w:sz w:val="17"/>
          <w:szCs w:val="17"/>
          <w:b w:val="1"/>
          <w:bCs w:val="1"/>
          <w:color w:val="auto"/>
        </w:rPr>
        <w:t>Selection of 60 mg dose of bitopertin and six-month treatment duration; Inclusion of patients aged 12+ with EPP, including XLP; and Double-blind, placebo-controlled study with ~150 patients randomized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-675640</wp:posOffset>
            </wp:positionV>
            <wp:extent cx="71120" cy="71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-443865</wp:posOffset>
            </wp:positionV>
            <wp:extent cx="71120" cy="71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-212090</wp:posOffset>
            </wp:positionV>
            <wp:extent cx="71120" cy="71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144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10440"/>
          </w:cols>
          <w:pgMar w:left="900" w:top="1440" w:right="900" w:bottom="181" w:gutter="0" w:footer="0" w:header="0"/>
          <w:type w:val="continuous"/>
        </w:sectPr>
      </w:pPr>
    </w:p>
    <w:bookmarkStart w:id="23" w:name="page24"/>
    <w:bookmarkEnd w:id="23"/>
    <w:p>
      <w:pPr>
        <w:jc w:val="both"/>
        <w:ind w:firstLine="451"/>
        <w:spacing w:after="0" w:line="252" w:lineRule="auto"/>
        <w:rPr>
          <w:sz w:val="20"/>
          <w:szCs w:val="20"/>
          <w:color w:val="auto"/>
        </w:rPr>
      </w:pPr>
      <w:r>
        <w:rPr>
          <w:rFonts w:ascii="Arial" w:cs="Arial" w:eastAsia="Arial" w:hAnsi="Arial"/>
          <w:sz w:val="19"/>
          <w:szCs w:val="19"/>
          <w:b w:val="1"/>
          <w:bCs w:val="1"/>
          <w:color w:val="auto"/>
        </w:rPr>
        <w:t>We plan to initiate the APOLLO trial by mid-2025 and plan to include sites in the United States, Canada, Europe and Australia. We anticipate submitting an NDA for accelerated approval of bitopertin in EPP and XLP in the second half of 2025. Based on the anticipated timing of our NDA submission, we expect enrollment for the APOLLO trial to be well underway by the Prescription Drug User Fee Act date for accelerated approval, if granted.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Bitopertin in Additional Indications: Diamond-Blackfan Anemia and Macrocytic Anemias</w:t>
      </w:r>
    </w:p>
    <w:p>
      <w:pPr>
        <w:spacing w:after="0" w:line="131"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began in July 2023.</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Iron Homeostasis Portfolio</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Hepcidin: The Master Regulator of Iron Homeostasis</w:t>
      </w:r>
    </w:p>
    <w:p>
      <w:pPr>
        <w:spacing w:after="0" w:line="12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10440"/>
          </w:cols>
          <w:pgMar w:left="900" w:top="960" w:right="900" w:bottom="181"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174625</wp:posOffset>
            </wp:positionV>
            <wp:extent cx="5649595" cy="2171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a:extLst>
                        <a:ext uri="{28A0092B-C50C-407E-A947-70E740481C1C}"/>
                      </a:extLst>
                    </a:blip>
                    <a:srcRect/>
                    <a:stretch>
                      <a:fillRect/>
                    </a:stretch>
                  </pic:blipFill>
                  <pic:spPr bwMode="auto">
                    <a:xfrm>
                      <a:off x="0" y="0"/>
                      <a:ext cx="56495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Hepcidin is a Therapeutic Target for Diseases of Iron Metabolism</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175895</wp:posOffset>
            </wp:positionV>
            <wp:extent cx="5649595" cy="1755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a:extLst>
                        <a:ext uri="{28A0092B-C50C-407E-A947-70E740481C1C}"/>
                      </a:extLst>
                    </a:blip>
                    <a:srcRect/>
                    <a:stretch>
                      <a:fillRect/>
                    </a:stretch>
                  </pic:blipFill>
                  <pic:spPr bwMode="auto">
                    <a:xfrm>
                      <a:off x="0" y="0"/>
                      <a:ext cx="5649595"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Hepcidin Suppression</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10440"/>
          </w:cols>
          <w:pgMar w:left="900" w:top="949" w:right="900" w:bottom="181"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Hepcidin Induction</w:t>
      </w:r>
    </w:p>
    <w:p>
      <w:pPr>
        <w:spacing w:after="0" w:line="129"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which we licensed from Mabwell,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Lead Hepcidin Suppression Program: DISC-0974 For the Treatment of Anemia of Inflammatory Diseases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Anemia Associated with Inflammatory Diseases</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Anemia of Myelofibrosis</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MF is a rare, chronic blood cancer that currently affects an estimated 25,000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6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9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Currently, patients with MF are treated with Janus Kinase, or JAK, inhibitors approved to treat intermediate or high risk MF, including ruxolitinib and fedratinib, which reduce splenomegaly and other symptoms, but typically worsen anemia to the point that patients frequently discontinue treatment.</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10440"/>
          </w:cols>
          <w:pgMar w:left="900" w:top="949" w:right="900" w:bottom="181"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174625</wp:posOffset>
            </wp:positionV>
            <wp:extent cx="3887470" cy="2620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a:extLst>
                        <a:ext uri="{28A0092B-C50C-407E-A947-70E740481C1C}"/>
                      </a:extLst>
                    </a:blip>
                    <a:srcRect/>
                    <a:stretch>
                      <a:fillRect/>
                    </a:stretch>
                  </pic:blipFill>
                  <pic:spPr bwMode="auto">
                    <a:xfrm>
                      <a:off x="0" y="0"/>
                      <a:ext cx="3887470"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180340</wp:posOffset>
            </wp:positionV>
            <wp:extent cx="2819400" cy="2107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a:extLst>
                        <a:ext uri="{28A0092B-C50C-407E-A947-70E740481C1C}"/>
                      </a:extLst>
                    </a:blip>
                    <a:srcRect/>
                    <a:stretch>
                      <a:fillRect/>
                    </a:stretch>
                  </pic:blipFill>
                  <pic:spPr bwMode="auto">
                    <a:xfrm>
                      <a:off x="0" y="0"/>
                      <a:ext cx="2819400" cy="210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Anemia of Chronic Kidney Disease</w:t>
      </w:r>
    </w:p>
    <w:p>
      <w:pPr>
        <w:spacing w:after="0" w:line="12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93"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10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 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ectPr>
          <w:pgSz w:w="12240" w:h="15840" w:orient="portrait"/>
          <w:cols w:equalWidth="0" w:num="1">
            <w:col w:w="10440"/>
          </w:cols>
          <w:pgMar w:left="900" w:top="949" w:right="900" w:bottom="18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10440"/>
          </w:cols>
          <w:pgMar w:left="900" w:top="949" w:right="900" w:bottom="181"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180340</wp:posOffset>
            </wp:positionV>
            <wp:extent cx="3592195" cy="256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extLst>
                    </a:blip>
                    <a:srcRect/>
                    <a:stretch>
                      <a:fillRect/>
                    </a:stretch>
                  </pic:blipFill>
                  <pic:spPr bwMode="auto">
                    <a:xfrm>
                      <a:off x="0" y="0"/>
                      <a:ext cx="3592195" cy="256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Solution: DISC-0974, an Anti-HJV Monoclonal Antibody</w:t>
      </w:r>
    </w:p>
    <w:p>
      <w:pPr>
        <w:spacing w:after="0" w:line="12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Hemojuvelin Has a Critical and Specific Role for Hepcidin Regulation and Homeostasis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10440"/>
          </w:cols>
          <w:pgMar w:left="900" w:top="949" w:right="900" w:bottom="181"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180340</wp:posOffset>
            </wp:positionV>
            <wp:extent cx="2334895" cy="2374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233489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182245</wp:posOffset>
            </wp:positionV>
            <wp:extent cx="3343910" cy="25438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1">
                      <a:extLst>
                        <a:ext uri="{28A0092B-C50C-407E-A947-70E740481C1C}"/>
                      </a:extLst>
                    </a:blip>
                    <a:srcRect/>
                    <a:stretch>
                      <a:fillRect/>
                    </a:stretch>
                  </pic:blipFill>
                  <pic:spPr bwMode="auto">
                    <a:xfrm>
                      <a:off x="0" y="0"/>
                      <a:ext cx="3343910" cy="254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Completed Phase 1 Clinical Trial</w:t>
      </w:r>
    </w:p>
    <w:p>
      <w:pPr>
        <w:spacing w:after="0" w:line="129"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w:t>
      </w:r>
    </w:p>
    <w:p>
      <w:pPr>
        <w:sectPr>
          <w:pgSz w:w="12240" w:h="15840" w:orient="portrait"/>
          <w:cols w:equalWidth="0" w:num="1">
            <w:col w:w="10440"/>
          </w:cols>
          <w:pgMar w:left="900" w:top="949" w:right="900" w:bottom="181"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10440"/>
          </w:cols>
          <w:pgMar w:left="900" w:top="949" w:right="900" w:bottom="181" w:gutter="0" w:footer="0" w:header="0"/>
          <w:type w:val="continuous"/>
        </w:sectPr>
      </w:pPr>
    </w:p>
    <w:bookmarkStart w:id="29" w:name="page30"/>
    <w:bookmarkEnd w:id="29"/>
    <w:p>
      <w:pPr>
        <w:jc w:val="both"/>
        <w:spacing w:after="0" w:line="382" w:lineRule="auto"/>
        <w:rPr>
          <w:sz w:val="20"/>
          <w:szCs w:val="20"/>
          <w:color w:val="auto"/>
        </w:rPr>
      </w:pPr>
      <w:r>
        <w:rPr>
          <w:rFonts w:ascii="Arial" w:cs="Arial" w:eastAsia="Arial" w:hAnsi="Arial"/>
          <w:sz w:val="15"/>
          <w:szCs w:val="15"/>
          <w:b w:val="1"/>
          <w:bCs w:val="1"/>
          <w:color w:val="auto"/>
        </w:rPr>
        <w:t>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174625</wp:posOffset>
            </wp:positionV>
            <wp:extent cx="5649595" cy="21475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extLst>
                    </a:blip>
                    <a:srcRect/>
                    <a:stretch>
                      <a:fillRect/>
                    </a:stretch>
                  </pic:blipFill>
                  <pic:spPr bwMode="auto">
                    <a:xfrm>
                      <a:off x="0" y="0"/>
                      <a:ext cx="5649595" cy="214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We have completed this Phase 1 clinical trial. Data from the Phase 1 clinical trial showed an acceptable tolerability profile and evidence of target engagement and iron mobilization and augmented erythropoiesis. Additional data are discussed below.</w:t>
      </w:r>
    </w:p>
    <w:p>
      <w:pPr>
        <w:spacing w:after="0" w:line="73"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180340</wp:posOffset>
            </wp:positionV>
            <wp:extent cx="5563870" cy="2098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a:extLst>
                        <a:ext uri="{28A0092B-C50C-407E-A947-70E740481C1C}"/>
                      </a:extLst>
                    </a:blip>
                    <a:srcRect/>
                    <a:stretch>
                      <a:fillRect/>
                    </a:stretch>
                  </pic:blipFill>
                  <pic:spPr bwMode="auto">
                    <a:xfrm>
                      <a:off x="0" y="0"/>
                      <a:ext cx="5563870" cy="209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Notably, at the 56 mg SC dose level, a single administration of DISC-0974 resulted in a statistically significant improvement in hemoglobin compared to placebo (+1.1 g/dL, p=0.009) at Day 42 and a marked increase in red blood cell count.</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10440"/>
          </w:cols>
          <w:pgMar w:left="900" w:top="960" w:right="900" w:bottom="181"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180340</wp:posOffset>
            </wp:positionV>
            <wp:extent cx="5259070" cy="1964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4">
                      <a:extLst>
                        <a:ext uri="{28A0092B-C50C-407E-A947-70E740481C1C}"/>
                      </a:extLst>
                    </a:blip>
                    <a:srcRect/>
                    <a:stretch>
                      <a:fillRect/>
                    </a:stretch>
                  </pic:blipFill>
                  <pic:spPr bwMode="auto">
                    <a:xfrm>
                      <a:off x="0" y="0"/>
                      <a:ext cx="5259070"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EHA meeting in June 2022 and the 2022 ASH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1b / 2 Clinical Development Program in Anemia of Inflammation</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Based on these findings, we initiated two Phase 1b/2 clinical trials of DISC-0974 in patients with anemia of different inflammatory diseases: a Phase 1b/2 clinical trial of DISC-0974 in patients with anemia of MF, which was initiated in June 2022, and a separate Phase 1b/2 clinical trial of DISC-0974 in patients with non-dialysis dependent CKD and anemia, which was initiated in February 2023. We presented interim data from both of these trials in December 2023 as well as additional interim data for anemia of MF in June 2024 and non-dialysis dependent CKD and anemia in October 2024, which included safety data and changes in hepcidin, iron, and hemoglobin levels for additional patients, as well as longer follow-up. In December 2024, we presented additional analyses of the Phase 1b study in anemia of MF and initiated a Phase 2 open-label clinical trial in patients with anemia of MF.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Ongoing Phase 1b/2 Clinical Trial in Patients with Anemia of Myelofibrosis</w:t>
      </w:r>
    </w:p>
    <w:p>
      <w:pPr>
        <w:spacing w:after="0" w:line="13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JAK inhibitors. The study is being conducted in two parts:</w:t>
      </w:r>
    </w:p>
    <w:p>
      <w:pPr>
        <w:spacing w:after="0" w:line="149" w:lineRule="exact"/>
        <w:rPr>
          <w:sz w:val="20"/>
          <w:szCs w:val="20"/>
          <w:color w:val="auto"/>
        </w:rPr>
      </w:pPr>
    </w:p>
    <w:p>
      <w:pPr>
        <w:jc w:val="both"/>
        <w:ind w:left="720"/>
        <w:spacing w:after="0" w:line="385" w:lineRule="auto"/>
        <w:rPr>
          <w:sz w:val="20"/>
          <w:szCs w:val="20"/>
          <w:color w:val="auto"/>
        </w:rPr>
      </w:pPr>
      <w:r>
        <w:rPr>
          <w:rFonts w:ascii="Arial" w:cs="Arial" w:eastAsia="Arial" w:hAnsi="Arial"/>
          <w:sz w:val="15"/>
          <w:szCs w:val="15"/>
          <w:b w:val="1"/>
          <w:bCs w:val="1"/>
          <w:color w:val="auto"/>
        </w:rPr>
        <w:t>Phase 1b (Dose-Escalation): Ascending, monthly doses of DISC-0974 administered for six months to patients with anemia of MF, (Hb levels &lt; 10 g/dL,), where a dose level is selected based on optimal increases in hemoglobin and serum iron;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-309880</wp:posOffset>
            </wp:positionV>
            <wp:extent cx="71120" cy="711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 w:lineRule="exact"/>
        <w:rPr>
          <w:sz w:val="20"/>
          <w:szCs w:val="20"/>
          <w:color w:val="auto"/>
        </w:rPr>
      </w:pPr>
    </w:p>
    <w:p>
      <w:pPr>
        <w:jc w:val="both"/>
        <w:ind w:left="720"/>
        <w:spacing w:after="0" w:line="273" w:lineRule="auto"/>
        <w:rPr>
          <w:sz w:val="20"/>
          <w:szCs w:val="20"/>
          <w:color w:val="auto"/>
        </w:rPr>
      </w:pPr>
      <w:r>
        <w:rPr>
          <w:rFonts w:ascii="Arial" w:cs="Arial" w:eastAsia="Arial" w:hAnsi="Arial"/>
          <w:sz w:val="18"/>
          <w:szCs w:val="18"/>
          <w:b w:val="1"/>
          <w:bCs w:val="1"/>
          <w:color w:val="auto"/>
        </w:rPr>
        <w:t>Phase 2 (Expansion Stage): Multiple doses of DISC-0974 administered once-a-month at the dose level selected from the Phase 1b portion of the study to patients with anemia of MF who are transfusion dependent or non-transfusion dependent, generally defined according to the baseline transfusion burden in a 12-week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-407035</wp:posOffset>
            </wp:positionV>
            <wp:extent cx="71120" cy="71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3"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Interim data from the Phase 1b part of this trial was first presented at the ASH annual meeting in December 2023, with additional interim data presented at the EHA annual meeting in June 2024. In December 2024, we presented additional analyses of this Phase 1b study at the ASH annual meeting. Of the 35 enrolled patients, data from 32 evaluable participants in the five dose cohorts (14 mg, 28 mg, 50 mg, 75 mg and 100 mg) were presented as of an October 17, 2024 data cutoff date. Two participants withdrew early from the trial due to an inadequate response, and two participants were not considered evaluable for efficacy due to incomplete transfusion data entry as of the October 17, 2024 data cutoff. Thirteen participants were taking concomitant JAK inhibitors. Twenty-two of the evaluable participants were non-transfusion dependent receiving no transfusions (nTD), five were transfusion dependent with one to two transfusions within a 12-week period at baseline (TD Low), and five were transfusion dependent with three to 12 transfusions within a 12-week period at baseline (TD High). DISC-0974 was administered subcutaneously at 14 mg (n=1), 28 mg (n=7), 50 mg (n=12), 75 mg (n=9), or 100 mg (n=6) every four weeks for up to six treatments; patients can remain on continuation treatment after the first six doses. Results demonstrated consistent, substantial decreases in hepcidin reaching &gt;75% from baseline and corresponding increases in serum iron across patients, which translated to increased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levels of reticulocyte hemoglobin and hemoglobin. 68% of baseline nTD patients achieved a hemoglobin increase of </w:t>
      </w:r>
      <w:r>
        <w:rPr>
          <w:sz w:val="1"/>
          <w:szCs w:val="1"/>
          <w:color w:val="auto"/>
        </w:rPr>
        <w:drawing>
          <wp:inline distT="0" distB="0" distL="0" distR="0">
            <wp:extent cx="142875" cy="12001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7">
                      <a:extLst>
                        <a:ext uri="{28A0092B-C50C-407E-A947-70E740481C1C}"/>
                      </a:extLst>
                    </a:blip>
                    <a:srcRect/>
                    <a:stretch>
                      <a:fillRect/>
                    </a:stretch>
                  </pic:blipFill>
                  <pic:spPr bwMode="auto">
                    <a:xfrm>
                      <a:off x="0" y="0"/>
                      <a:ext cx="142875" cy="120015"/>
                    </a:xfrm>
                    <a:prstGeom prst="rect">
                      <a:avLst/>
                    </a:prstGeom>
                    <a:noFill/>
                    <a:ln>
                      <a:noFill/>
                    </a:ln>
                  </pic:spPr>
                </pic:pic>
              </a:graphicData>
            </a:graphic>
          </wp:inline>
        </w:drawing>
        <w:drawing>
          <wp:inline distT="0" distB="0" distL="0" distR="0">
            <wp:extent cx="102870" cy="11049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8">
                      <a:extLst>
                        <a:ext uri="{28A0092B-C50C-407E-A947-70E740481C1C}"/>
                      </a:extLst>
                    </a:blip>
                    <a:srcRect/>
                    <a:stretch>
                      <a:fillRect/>
                    </a:stretch>
                  </pic:blipFill>
                  <pic:spPr bwMode="auto">
                    <a:xfrm>
                      <a:off x="0" y="0"/>
                      <a:ext cx="102870" cy="110490"/>
                    </a:xfrm>
                    <a:prstGeom prst="rect">
                      <a:avLst/>
                    </a:prstGeom>
                    <a:noFill/>
                    <a:ln>
                      <a:noFill/>
                    </a:ln>
                  </pic:spPr>
                </pic:pic>
              </a:graphicData>
            </a:graphic>
          </wp:inline>
        </w:drawing>
      </w:r>
      <w:r>
        <w:rPr>
          <w:rFonts w:ascii="Arial" w:cs="Arial" w:eastAsia="Arial" w:hAnsi="Arial"/>
          <w:sz w:val="17"/>
          <w:szCs w:val="17"/>
          <w:b w:val="1"/>
          <w:bCs w:val="1"/>
          <w:color w:val="auto"/>
        </w:rPr>
        <w:t xml:space="preserve"> g/dL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during the study period and 50% had sustained mean increases for </w:t>
      </w:r>
      <w:r>
        <w:rPr>
          <w:sz w:val="1"/>
          <w:szCs w:val="1"/>
          <w:color w:val="auto"/>
        </w:rPr>
        <w:drawing>
          <wp:inline distT="0" distB="0" distL="0" distR="0">
            <wp:extent cx="142875" cy="1200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extLst>
                    </a:blip>
                    <a:srcRect/>
                    <a:stretch>
                      <a:fillRect/>
                    </a:stretch>
                  </pic:blipFill>
                  <pic:spPr bwMode="auto">
                    <a:xfrm>
                      <a:off x="0" y="0"/>
                      <a:ext cx="142875" cy="120015"/>
                    </a:xfrm>
                    <a:prstGeom prst="rect">
                      <a:avLst/>
                    </a:prstGeom>
                    <a:noFill/>
                    <a:ln>
                      <a:noFill/>
                    </a:ln>
                  </pic:spPr>
                </pic:pic>
              </a:graphicData>
            </a:graphic>
          </wp:inline>
        </w:drawing>
        <w:drawing>
          <wp:inline distT="0" distB="0" distL="0" distR="0">
            <wp:extent cx="81915" cy="11049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0">
                      <a:extLst>
                        <a:ext uri="{28A0092B-C50C-407E-A947-70E740481C1C}"/>
                      </a:extLst>
                    </a:blip>
                    <a:srcRect/>
                    <a:stretch>
                      <a:fillRect/>
                    </a:stretch>
                  </pic:blipFill>
                  <pic:spPr bwMode="auto">
                    <a:xfrm>
                      <a:off x="0" y="0"/>
                      <a:ext cx="81915" cy="110490"/>
                    </a:xfrm>
                    <a:prstGeom prst="rect">
                      <a:avLst/>
                    </a:prstGeom>
                    <a:noFill/>
                    <a:ln>
                      <a:noFill/>
                    </a:ln>
                  </pic:spPr>
                </pic:pic>
              </a:graphicData>
            </a:graphic>
          </wp:inline>
        </w:drawing>
      </w:r>
      <w:r>
        <w:rPr>
          <w:rFonts w:ascii="Arial" w:cs="Arial" w:eastAsia="Arial" w:hAnsi="Arial"/>
          <w:sz w:val="15"/>
          <w:szCs w:val="15"/>
          <w:b w:val="1"/>
          <w:bCs w:val="1"/>
          <w:color w:val="auto"/>
        </w:rPr>
        <w:t xml:space="preserve"> weeks. 100% of TD Low patients achieved a </w:t>
      </w:r>
      <w:r>
        <w:rPr>
          <w:sz w:val="1"/>
          <w:szCs w:val="1"/>
          <w:color w:val="auto"/>
        </w:rPr>
        <w:drawing>
          <wp:inline distT="0" distB="0" distL="0" distR="0">
            <wp:extent cx="150495" cy="11811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1">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85420" cy="1123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2">
                      <a:extLst>
                        <a:ext uri="{28A0092B-C50C-407E-A947-70E740481C1C}"/>
                      </a:extLst>
                    </a:blip>
                    <a:srcRect/>
                    <a:stretch>
                      <a:fillRect/>
                    </a:stretch>
                  </pic:blipFill>
                  <pic:spPr bwMode="auto">
                    <a:xfrm>
                      <a:off x="0" y="0"/>
                      <a:ext cx="185420" cy="112395"/>
                    </a:xfrm>
                    <a:prstGeom prst="rect">
                      <a:avLst/>
                    </a:prstGeom>
                    <a:noFill/>
                    <a:ln>
                      <a:noFill/>
                    </a:ln>
                  </pic:spPr>
                </pic:pic>
              </a:graphicData>
            </a:graphic>
          </wp:inline>
        </w:drawing>
      </w:r>
      <w:r>
        <w:rPr>
          <w:rFonts w:ascii="Arial" w:cs="Arial" w:eastAsia="Arial" w:hAnsi="Arial"/>
          <w:sz w:val="15"/>
          <w:szCs w:val="15"/>
          <w:b w:val="1"/>
          <w:bCs w:val="1"/>
          <w:color w:val="auto"/>
        </w:rPr>
        <w:t xml:space="preserve"> reduction</w:t>
      </w:r>
    </w:p>
    <w:p>
      <w:pPr>
        <w:sectPr>
          <w:pgSz w:w="12240" w:h="15840" w:orient="portrait"/>
          <w:cols w:equalWidth="0" w:num="1">
            <w:col w:w="10440"/>
          </w:cols>
          <w:pgMar w:left="900" w:top="949" w:right="900" w:bottom="181"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10440"/>
          </w:cols>
          <w:pgMar w:left="900" w:top="949" w:right="900" w:bottom="181"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in transfusion requirement, and 80% of TD Low patients achieved transfusion independence, defined as no blood transfusions, over</w:t>
      </w:r>
    </w:p>
    <w:p>
      <w:pPr>
        <w:spacing w:after="0" w:line="5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a 16-week period. 60% of TD High patients achieved a </w:t>
      </w:r>
      <w:r>
        <w:rPr>
          <w:sz w:val="1"/>
          <w:szCs w:val="1"/>
          <w:color w:val="auto"/>
        </w:rPr>
        <w:drawing>
          <wp:inline distT="0" distB="0" distL="0" distR="0">
            <wp:extent cx="150495" cy="11811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3">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85420" cy="11239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4">
                      <a:extLst>
                        <a:ext uri="{28A0092B-C50C-407E-A947-70E740481C1C}"/>
                      </a:extLst>
                    </a:blip>
                    <a:srcRect/>
                    <a:stretch>
                      <a:fillRect/>
                    </a:stretch>
                  </pic:blipFill>
                  <pic:spPr bwMode="auto">
                    <a:xfrm>
                      <a:off x="0" y="0"/>
                      <a:ext cx="185420" cy="112395"/>
                    </a:xfrm>
                    <a:prstGeom prst="rect">
                      <a:avLst/>
                    </a:prstGeom>
                    <a:noFill/>
                    <a:ln>
                      <a:noFill/>
                    </a:ln>
                  </pic:spPr>
                </pic:pic>
              </a:graphicData>
            </a:graphic>
          </wp:inline>
        </w:drawing>
      </w:r>
      <w:r>
        <w:rPr>
          <w:rFonts w:ascii="Arial" w:cs="Arial" w:eastAsia="Arial" w:hAnsi="Arial"/>
          <w:sz w:val="20"/>
          <w:szCs w:val="20"/>
          <w:b w:val="1"/>
          <w:bCs w:val="1"/>
          <w:color w:val="auto"/>
        </w:rPr>
        <w:t xml:space="preserve"> reduction in transfusion requirement, and 40% of evaluable TD High patients achieved transfusion independence over a 12-week period. 54% of patients receiving concomitant JAK inhibitor therapy achieved a major hematologic response.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DISC-0974 Anemia of MF Phase 1b Clinical Trial Results: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6632575" cy="22313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5">
                      <a:extLst>
                        <a:ext uri="{28A0092B-C50C-407E-A947-70E740481C1C}"/>
                      </a:extLst>
                    </a:blip>
                    <a:srcRect/>
                    <a:stretch>
                      <a:fillRect/>
                    </a:stretch>
                  </pic:blipFill>
                  <pic:spPr bwMode="auto">
                    <a:xfrm>
                      <a:off x="0" y="0"/>
                      <a:ext cx="6632575" cy="223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20"/>
          <w:szCs w:val="20"/>
          <w:b w:val="1"/>
          <w:bCs w:val="1"/>
          <w:color w:val="auto"/>
        </w:rPr>
        <w:t>DISC-0974 was generally well-tolerated at all evaluated dose levels. Diarrhea was the only adverse event that was considered related to DISC-0974 and reported in two or more subjects. The majority of adverse events were not considered related to DISC-0974.</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Ongoing Phase 2 Clinical Trial in Patients with Anemia of Myelofibrosis</w:t>
      </w:r>
    </w:p>
    <w:p>
      <w:pPr>
        <w:spacing w:after="0" w:line="131"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In December 2024, we initiated the open-label Phase 2 part of our Phase 1b/2 clinical trial to evaluate the safety, tolerability and efficacy of DISC-0974 in patients with anemia of MF. The Phase 2 study design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123190</wp:posOffset>
            </wp:positionV>
            <wp:extent cx="6438900" cy="2334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6">
                      <a:extLst>
                        <a:ext uri="{28A0092B-C50C-407E-A947-70E740481C1C}"/>
                      </a:extLst>
                    </a:blip>
                    <a:srcRect/>
                    <a:stretch>
                      <a:fillRect/>
                    </a:stretch>
                  </pic:blipFill>
                  <pic:spPr bwMode="auto">
                    <a:xfrm>
                      <a:off x="0" y="0"/>
                      <a:ext cx="6438900" cy="233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787878"/>
        </w:rPr>
        <w:t>*Patients carried over from Phase 1b: nTD n=8, TD (Low + High) n=4</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We expect to report initial data from this Phase 2 trial in the second half of 2025 and final data in 2026.</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Ongoing Phase 1b/2 Clinical Trial in Patients with Non-Dialysis Dependent Chronic Kidney Disease (NDD-CKD)</w:t>
      </w:r>
    </w:p>
    <w:p>
      <w:pPr>
        <w:spacing w:after="0" w:line="132"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In February 2023, we initiated a Phase 1b/2 clinical trial to evaluate the safety, tolerability and efficacy of DISC-0974 in patients with CKD who are not receiving dialysis and are anemic. The study consists of two parts: a Phase 1b, randomized, placebo-controlled, single-ascending dose stage, where a dose level is selected based on optimal increases in serum iron; followed by an expansion stage where patients will receive multiple doses of DISC-0974 at the selected dose level. The study endpoints include hepcidin levels, serum iron and markers of iron mobilization and measures of anemia benefit such as hemoglobin.</w:t>
      </w:r>
    </w:p>
    <w:p>
      <w:pPr>
        <w:sectPr>
          <w:pgSz w:w="12240" w:h="15840" w:orient="portrait"/>
          <w:cols w:equalWidth="0" w:num="1">
            <w:col w:w="10440"/>
          </w:cols>
          <w:pgMar w:left="900" w:top="960" w:right="900" w:bottom="181"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10440"/>
          </w:cols>
          <w:pgMar w:left="900" w:top="960" w:right="900" w:bottom="181"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Phase 1b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145415</wp:posOffset>
            </wp:positionV>
            <wp:extent cx="5944870" cy="1487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7">
                      <a:extLst>
                        <a:ext uri="{28A0092B-C50C-407E-A947-70E740481C1C}"/>
                      </a:extLst>
                    </a:blip>
                    <a:srcRect/>
                    <a:stretch>
                      <a:fillRect/>
                    </a:stretch>
                  </pic:blipFill>
                  <pic:spPr bwMode="auto">
                    <a:xfrm>
                      <a:off x="0" y="0"/>
                      <a:ext cx="5944870"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Interim data from the Phase 1b part of this trial was first presented at the ASH annual meeting in December 2023, with additional interim data presented in October 2024. In the SAD portion of this trial, participants with Stage 2-5 non-dialysis dependent CKD were given a single dose of placebo (n=7) or DISC-0974 subcutaneously at 28 mg (n=9), 40 mg (n=6), or 60 mg (n=6). Dose escalation is ongoing in the SAD portion. This interim data set demonstrated substantial, durable, dose-dependent reduction in hepcidin from baseline compared to placebo across dose levels, with median reduction greater than 75% from baseline at highest dose level. There was meaningful and sustained increase in transferrin saturation from baseline compared to placebo across dose levels, with median increase up to three-fold from baseline at the highest dose level. In addition, there was early and sustained increase in mean reticulocyte hemoglobin from baseline across all dose groups through Day 22, with maximal mean values through Day 22 of +1.14 pg at 28 mg, +1.49 pg at 40 mg, and +1.53 pg at 60 mg, compared with +0.21 pg on placebo. Mean hemoglobin increased from baseline across dose groups over the study period, with changes greater than placebo as follows: +0.35 g/dL at 28 mg, +0.54 g/dL at 40 mg, and +0.55 g/dL at 60 mg. The mean maximal increase in hemoglobin was +0.8 g/dL at 40 mg and +0.7 g/dL at 60 mg compared with +0.2 g/dL on placebo, with a maximal observed individual increase in hemoglobin up to +0.95 g/dL at 28 mg, +1.5 g/dL at 40 mg, and +1.8 g/dL at 60 mg.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DISC-0974 Anemia of NDD-CKD Phase 1b Clinical Trial Interim Results: Hepcidin, Iron and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6632575" cy="17360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8">
                      <a:extLst>
                        <a:ext uri="{28A0092B-C50C-407E-A947-70E740481C1C}"/>
                      </a:extLst>
                    </a:blip>
                    <a:srcRect/>
                    <a:stretch>
                      <a:fillRect/>
                    </a:stretch>
                  </pic:blipFill>
                  <pic:spPr bwMode="auto">
                    <a:xfrm>
                      <a:off x="0" y="0"/>
                      <a:ext cx="6632575" cy="173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451"/>
        <w:spacing w:after="0" w:line="281" w:lineRule="auto"/>
        <w:rPr>
          <w:sz w:val="20"/>
          <w:szCs w:val="20"/>
          <w:color w:val="auto"/>
        </w:rPr>
      </w:pPr>
      <w:r>
        <w:rPr>
          <w:rFonts w:ascii="Arial" w:cs="Arial" w:eastAsia="Arial" w:hAnsi="Arial"/>
          <w:sz w:val="18"/>
          <w:szCs w:val="18"/>
          <w:b w:val="1"/>
          <w:bCs w:val="1"/>
          <w:color w:val="auto"/>
        </w:rPr>
        <w:t>DISC-0974 demonstrated acceptable safety and tolerability at all evaluated dose levels. The majority of adverse events were deemed not related to DISC-0974 and all adverse events assessed as treatment-related were Grade 1 or 2.</w:t>
      </w:r>
    </w:p>
    <w:p>
      <w:pPr>
        <w:spacing w:after="0" w:line="94"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9"/>
          <w:szCs w:val="19"/>
          <w:b w:val="1"/>
          <w:bCs w:val="1"/>
          <w:color w:val="auto"/>
        </w:rPr>
        <w:t>We expect to report data from the MAD portion of the trial in patients with non-dialysis dependent CKD and anemia in the second half of 2025. Subject to the results of such MAD portion of the study, we expect to initiate and report initial data from a Phase 2 clinical trial in patients with non-dialysis dependent CKD and anemia in 2026.</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Second Hepcidin Suppression Program: DISC-0998</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135"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 confirmed</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10440"/>
          </w:cols>
          <w:pgMar w:left="900" w:top="949" w:right="900" w:bottom="181" w:gutter="0" w:footer="0" w:header="0"/>
          <w:type w:val="continuous"/>
        </w:sectPr>
      </w:pPr>
    </w:p>
    <w:bookmarkStart w:id="33" w:name="page34"/>
    <w:bookmarkEnd w:id="33"/>
    <w:p>
      <w:pPr>
        <w:jc w:val="both"/>
        <w:spacing w:after="0" w:line="278" w:lineRule="auto"/>
        <w:rPr>
          <w:sz w:val="20"/>
          <w:szCs w:val="20"/>
          <w:color w:val="auto"/>
        </w:rPr>
      </w:pPr>
      <w:r>
        <w:rPr>
          <w:rFonts w:ascii="Arial" w:cs="Arial" w:eastAsia="Arial" w:hAnsi="Arial"/>
          <w:sz w:val="18"/>
          <w:szCs w:val="18"/>
          <w:b w:val="1"/>
          <w:bCs w:val="1"/>
          <w:color w:val="auto"/>
        </w:rPr>
        <w:t>in humans, it would suggest the potential for an infrequent dosing regimen (such as potentially once every 2 or 3 months). We expect that such a dosing regimen would be perceived as convenient by patients and promote compliance.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182245</wp:posOffset>
            </wp:positionV>
            <wp:extent cx="5477510" cy="30022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9">
                      <a:extLst>
                        <a:ext uri="{28A0092B-C50C-407E-A947-70E740481C1C}"/>
                      </a:extLst>
                    </a:blip>
                    <a:srcRect/>
                    <a:stretch>
                      <a:fillRect/>
                    </a:stretch>
                  </pic:blipFill>
                  <pic:spPr bwMode="auto">
                    <a:xfrm>
                      <a:off x="0" y="0"/>
                      <a:ext cx="5477510" cy="300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Hepcidin Induction Program</w:t>
      </w:r>
    </w:p>
    <w:p>
      <w:pPr>
        <w:spacing w:after="0" w:line="129"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DISC-3405, is a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174625</wp:posOffset>
            </wp:positionV>
            <wp:extent cx="2698750" cy="27539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0">
                      <a:extLst>
                        <a:ext uri="{28A0092B-C50C-407E-A947-70E740481C1C}"/>
                      </a:extLst>
                    </a:blip>
                    <a:srcRect/>
                    <a:stretch>
                      <a:fillRect/>
                    </a:stretch>
                  </pic:blipFill>
                  <pic:spPr bwMode="auto">
                    <a:xfrm>
                      <a:off x="0" y="0"/>
                      <a:ext cx="2698750" cy="2753995"/>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10440"/>
          </w:cols>
          <w:pgMar w:left="900" w:top="960" w:right="900" w:bottom="181"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Polycythemia Vera</w:t>
      </w:r>
    </w:p>
    <w:p>
      <w:pPr>
        <w:spacing w:after="0" w:line="12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9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Hereditary Hemochromatosis</w:t>
      </w:r>
    </w:p>
    <w:p>
      <w:pPr>
        <w:spacing w:after="0" w:line="129" w:lineRule="exact"/>
        <w:rPr>
          <w:sz w:val="20"/>
          <w:szCs w:val="20"/>
          <w:color w:val="auto"/>
        </w:rPr>
      </w:pPr>
    </w:p>
    <w:p>
      <w:pPr>
        <w:jc w:val="both"/>
        <w:ind w:firstLine="482"/>
        <w:spacing w:after="0" w:line="253" w:lineRule="auto"/>
        <w:tabs>
          <w:tab w:leader="none" w:pos="832"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p>
    <w:p>
      <w:pPr>
        <w:spacing w:after="0" w:line="118"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Iron Overload Disorders: Beta-Thalassemia and Myelodysplastic Syndromes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 increases in iron and, ultimately, accumulation of toxic iron levels in organs such as the heart, liver, and kidneys, as well as in the bone marrow, which exacerbates anemia.</w:t>
      </w:r>
    </w:p>
    <w:p>
      <w:pPr>
        <w:spacing w:after="0" w:line="123"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297" w:lineRule="exact"/>
        <w:rPr>
          <w:sz w:val="20"/>
          <w:szCs w:val="20"/>
          <w:color w:val="auto"/>
        </w:rPr>
      </w:pPr>
    </w:p>
    <w:p>
      <w:pPr>
        <w:jc w:val="both"/>
        <w:ind w:firstLine="490"/>
        <w:spacing w:after="0" w:line="320" w:lineRule="auto"/>
        <w:rPr>
          <w:sz w:val="20"/>
          <w:szCs w:val="20"/>
          <w:color w:val="auto"/>
        </w:rPr>
      </w:pPr>
      <w:r>
        <w:rPr>
          <w:rFonts w:ascii="Arial" w:cs="Arial" w:eastAsia="Arial" w:hAnsi="Arial"/>
          <w:sz w:val="15"/>
          <w:szCs w:val="15"/>
          <w:b w:val="1"/>
          <w:bCs w:val="1"/>
          <w:color w:val="auto"/>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A luspatercept label expansion study in the front-line setting of transfusion-dependent MDS showed a 58.5% response</w:t>
      </w:r>
    </w:p>
    <w:p>
      <w:pPr>
        <w:jc w:val="both"/>
        <w:spacing w:after="0" w:line="316" w:lineRule="auto"/>
        <w:rPr>
          <w:sz w:val="20"/>
          <w:szCs w:val="20"/>
          <w:color w:val="auto"/>
        </w:rPr>
      </w:pPr>
      <w:r>
        <w:rPr>
          <w:rFonts w:ascii="Arial" w:cs="Arial" w:eastAsia="Arial" w:hAnsi="Arial"/>
          <w:sz w:val="15"/>
          <w:szCs w:val="15"/>
          <w:b w:val="1"/>
          <w:bCs w:val="1"/>
          <w:color w:val="auto"/>
        </w:rPr>
        <w:t xml:space="preserve">rate for transfusion independence with concurrent mean Hgb increase of </w:t>
      </w:r>
      <w:r>
        <w:rPr>
          <w:sz w:val="1"/>
          <w:szCs w:val="1"/>
          <w:color w:val="auto"/>
        </w:rPr>
        <w:drawing>
          <wp:inline distT="0" distB="0" distL="0" distR="0">
            <wp:extent cx="144145" cy="12001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
                      <a:extLst>
                        <a:ext uri="{28A0092B-C50C-407E-A947-70E740481C1C}"/>
                      </a:extLst>
                    </a:blip>
                    <a:srcRect/>
                    <a:stretch>
                      <a:fillRect/>
                    </a:stretch>
                  </pic:blipFill>
                  <pic:spPr bwMode="auto">
                    <a:xfrm>
                      <a:off x="0" y="0"/>
                      <a:ext cx="144145" cy="120015"/>
                    </a:xfrm>
                    <a:prstGeom prst="rect">
                      <a:avLst/>
                    </a:prstGeom>
                    <a:noFill/>
                    <a:ln>
                      <a:noFill/>
                    </a:ln>
                  </pic:spPr>
                </pic:pic>
              </a:graphicData>
            </a:graphic>
          </wp:inline>
        </w:drawing>
        <w:drawing>
          <wp:inline distT="0" distB="0" distL="0" distR="0">
            <wp:extent cx="102870" cy="11049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
                      <a:extLst>
                        <a:ext uri="{28A0092B-C50C-407E-A947-70E740481C1C}"/>
                      </a:extLst>
                    </a:blip>
                    <a:srcRect/>
                    <a:stretch>
                      <a:fillRect/>
                    </a:stretch>
                  </pic:blipFill>
                  <pic:spPr bwMode="auto">
                    <a:xfrm>
                      <a:off x="0" y="0"/>
                      <a:ext cx="102870" cy="110490"/>
                    </a:xfrm>
                    <a:prstGeom prst="rect">
                      <a:avLst/>
                    </a:prstGeom>
                    <a:noFill/>
                    <a:ln>
                      <a:noFill/>
                    </a:ln>
                  </pic:spPr>
                </pic:pic>
              </a:graphicData>
            </a:graphic>
          </wp:inline>
        </w:drawing>
      </w:r>
      <w:r>
        <w:rPr>
          <w:rFonts w:ascii="Arial" w:cs="Arial" w:eastAsia="Arial" w:hAnsi="Arial"/>
          <w:sz w:val="15"/>
          <w:szCs w:val="15"/>
          <w:b w:val="1"/>
          <w:bCs w:val="1"/>
          <w:color w:val="auto"/>
        </w:rPr>
        <w:t xml:space="preserve"> g/dL. Based on these response rates, many patients do not respond and would benefit from an alternative treatment. Lentiglobin, marketed as Zynteglo, and exagamglogene autoemcel, marketed as Casgevy, are gene therapies that were approved by the FDA and EMA for the treatment of a subset of patients with</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10440"/>
          </w:cols>
          <w:pgMar w:left="900" w:top="949" w:right="900" w:bottom="181" w:gutter="0" w:footer="0" w:header="0"/>
          <w:type w:val="continuous"/>
        </w:sectPr>
      </w:pPr>
    </w:p>
    <w:bookmarkStart w:id="35" w:name="page36"/>
    <w:bookmarkEnd w:id="35"/>
    <w:p>
      <w:pPr>
        <w:jc w:val="both"/>
        <w:spacing w:after="0" w:line="382" w:lineRule="auto"/>
        <w:rPr>
          <w:sz w:val="20"/>
          <w:szCs w:val="20"/>
          <w:color w:val="auto"/>
        </w:rPr>
      </w:pPr>
      <w:r>
        <w:rPr>
          <w:rFonts w:ascii="Arial" w:cs="Arial" w:eastAsia="Arial" w:hAnsi="Arial"/>
          <w:sz w:val="15"/>
          <w:szCs w:val="15"/>
          <w:b w:val="1"/>
          <w:bCs w:val="1"/>
          <w:color w:val="auto"/>
        </w:rPr>
        <w:t>beta-thalassemia requiring RBC transfusions, but uptake has been limited. Patients with more advanced forms of MDS may receive additional therapies such as lenalidomide, demethylating agents such as 5-azacitidine and decitabine, and chemotherapy.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Solution: DISC-3405 (MWTX-003), an anti-TMPRSS6 monoclonal antibody</w:t>
      </w:r>
    </w:p>
    <w:p>
      <w:pPr>
        <w:spacing w:after="0" w:line="131"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Data</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Dose-dependent induction of endogenous hepcidin production in rodent and NHP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Increases in hepcidin, reductions in serum and liver iron, and increases in red blood cells in a murine model of beta-thalassemia;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Reductions in iron and hematocrit in a murine model of 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9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pacing w:after="0" w:line="253" w:lineRule="exact"/>
        <w:rPr>
          <w:sz w:val="20"/>
          <w:szCs w:val="20"/>
          <w:color w:val="auto"/>
        </w:rPr>
      </w:pPr>
    </w:p>
    <w:p>
      <w:pPr>
        <w:jc w:val="center"/>
        <w:spacing w:after="0" w:line="233" w:lineRule="auto"/>
        <w:rPr>
          <w:sz w:val="20"/>
          <w:szCs w:val="20"/>
          <w:color w:val="auto"/>
        </w:rPr>
      </w:pPr>
      <w:r>
        <w:rPr>
          <w:rFonts w:ascii="Arial" w:cs="Arial" w:eastAsia="Arial" w:hAnsi="Arial"/>
          <w:sz w:val="20"/>
          <w:szCs w:val="20"/>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77470</wp:posOffset>
            </wp:positionV>
            <wp:extent cx="3814445" cy="23514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6">
                      <a:extLst>
                        <a:ext uri="{28A0092B-C50C-407E-A947-70E740481C1C}"/>
                      </a:extLst>
                    </a:blip>
                    <a:srcRect/>
                    <a:stretch>
                      <a:fillRect/>
                    </a:stretch>
                  </pic:blipFill>
                  <pic:spPr bwMode="auto">
                    <a:xfrm>
                      <a:off x="0" y="0"/>
                      <a:ext cx="3814445" cy="235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90"/>
        <w:spacing w:after="0" w:line="295" w:lineRule="auto"/>
        <w:rPr>
          <w:sz w:val="20"/>
          <w:szCs w:val="20"/>
          <w:color w:val="auto"/>
        </w:rPr>
      </w:pPr>
      <w:r>
        <w:rPr>
          <w:rFonts w:ascii="Arial" w:cs="Arial" w:eastAsia="Arial" w:hAnsi="Arial"/>
          <w:sz w:val="16"/>
          <w:szCs w:val="16"/>
          <w:b w:val="1"/>
          <w:bCs w:val="1"/>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Arial" w:cs="Arial" w:eastAsia="Arial" w:hAnsi="Arial"/>
          <w:sz w:val="20"/>
          <w:szCs w:val="20"/>
          <w:b w:val="1"/>
          <w:bCs w:val="1"/>
          <w:color w:val="auto"/>
          <w:vertAlign w:val="superscript"/>
        </w:rPr>
        <w:t>V617F</w:t>
      </w:r>
      <w:r>
        <w:rPr>
          <w:rFonts w:ascii="Arial" w:cs="Arial" w:eastAsia="Arial" w:hAnsi="Arial"/>
          <w:sz w:val="16"/>
          <w:szCs w:val="16"/>
          <w:b w:val="1"/>
          <w:bCs w:val="1"/>
          <w:color w:val="auto"/>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 mice.</w:t>
      </w:r>
    </w:p>
    <w:p>
      <w:pPr>
        <w:sectPr>
          <w:pgSz w:w="12240" w:h="15840" w:orient="portrait"/>
          <w:cols w:equalWidth="0" w:num="1">
            <w:col w:w="10440"/>
          </w:cols>
          <w:pgMar w:left="900" w:top="960" w:right="900" w:bottom="18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10440"/>
          </w:cols>
          <w:pgMar w:left="900" w:top="960" w:right="900" w:bottom="181"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Phase 1 Clinical Trial</w:t>
      </w:r>
    </w:p>
    <w:p>
      <w:pPr>
        <w:spacing w:after="0" w:line="12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We initiated a Phase 1 clinical trial of DISC-3405 in healthy adult volunteers in October 2023. Interim data was presented from the SAD portion of the Phase 1 clinical trial in June 2024. We presented data from the MAD portion of the Phase 1 healthy volunteer study of DISC-3405 in December 2024. In the SAD portion of this trial, healthy males and females ages 18 to 65 were given a single dose of placebo (n=10) or DISC-3405 at 75 mg intravenously (IV) (n=6), 37.5 mg subcutaneously (SC) (n=6), 75 mg SC (n=6), 150 mg SC (n=6), or 300 mg SC (n=6). The MAD portion of this trial included placebo (n=4), 75 mg SC (n=6), and 150 mg SC (n=6) cohorts dosed every four weeks for a total of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129540</wp:posOffset>
            </wp:positionV>
            <wp:extent cx="5478780" cy="2449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7">
                      <a:extLst>
                        <a:ext uri="{28A0092B-C50C-407E-A947-70E740481C1C}"/>
                      </a:extLst>
                    </a:blip>
                    <a:srcRect/>
                    <a:stretch>
                      <a:fillRect/>
                    </a:stretch>
                  </pic:blipFill>
                  <pic:spPr bwMode="auto">
                    <a:xfrm>
                      <a:off x="0" y="0"/>
                      <a:ext cx="5478780" cy="244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In this trial, DISC-3405 produced dose-related increases in serum hepcidin with corresponding reductions in serum iron across all dose levels. DISC-3405 also resulted in deep reductions in serum iron (ranging maximally from 50% to 80% from baseline) that were sustained and support a once-monthly SC dosing regimen. In addition, single and repeat dosing of DISC-3405 demonstrated meaningful reductions in hematologic parameters, including reticulocyte hemoglobin, hemoglobin, and hematocrit.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DISC-3405 Phase 1 Healthy Volunteers Study: Hepcidin, Iron and Ferritin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6632575" cy="2031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extLst>
                    </a:blip>
                    <a:srcRect/>
                    <a:stretch>
                      <a:fillRect/>
                    </a:stretch>
                  </pic:blipFill>
                  <pic:spPr bwMode="auto">
                    <a:xfrm>
                      <a:off x="0" y="0"/>
                      <a:ext cx="6632575" cy="2031365"/>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10440"/>
          </w:cols>
          <w:pgMar w:left="900" w:top="949" w:right="900" w:bottom="181"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DISC-3405 Phase 1 Healthy Volunteers Study: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6632575" cy="2317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9">
                      <a:extLst>
                        <a:ext uri="{28A0092B-C50C-407E-A947-70E740481C1C}"/>
                      </a:extLst>
                    </a:blip>
                    <a:srcRect/>
                    <a:stretch>
                      <a:fillRect/>
                    </a:stretch>
                  </pic:blipFill>
                  <pic:spPr bwMode="auto">
                    <a:xfrm>
                      <a:off x="0" y="0"/>
                      <a:ext cx="6632575"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DISC-3405 was generally well-tolerated at all evaluated dose levels, with no serious adverse events greater than Grade 2, or adverse events leading to study withdrawal.</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Next Steps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expect to develop DISC-3405 for the treatment of PV and other hematologic disorders, and plan to initiate a Phase 2 clinical trial of DISC-3405 in PV in the first half of 2025 and report data in 2026.</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93"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Some of our product candidates are biological products. Manufacturing biologics can be particularly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92"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ongoing Phase 2 trials for bitopertin and DISC-0974, our ongoing Phase 1b trial for DISC-0974, our planned APOLLO post-marketing confirmatory trial for bitopertin, and our planned Phase 2 trial for DISC-3405. For example, to support our ongoing Phase 2 clinical trial of bitopertin, we have requalified, including establishing a shelf-life that would enable its use in clinical trials, Roche-manufactured drug substance and formulated it as film-coated tablets. To support APOLLO, our planned post-marketing confirmatory clinical trial of bitopertin, we have established the drug substance and drug product manufacturing process at a CDMO.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303"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A commercial-scale production process has been designed for bitopertin, including a four-step chemical synthesis and an optimized oral formulation. To support the commercial launch of bitopertin, if approved, we are in the process of establishing a validated drug substance and drug product manufacturing process at a CDMO.</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ectPr>
          <w:pgSz w:w="12240" w:h="15840" w:orient="portrait"/>
          <w:cols w:equalWidth="0" w:num="1">
            <w:col w:w="10440"/>
          </w:cols>
          <w:pgMar w:left="900" w:top="949" w:right="900" w:bottom="181"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10440"/>
          </w:cols>
          <w:pgMar w:left="900" w:top="949" w:right="900" w:bottom="181" w:gutter="0" w:footer="0" w:header="0"/>
          <w:type w:val="continuous"/>
        </w:sectPr>
      </w:pPr>
    </w:p>
    <w:bookmarkStart w:id="38" w:name="page39"/>
    <w:bookmarkEnd w:id="38"/>
    <w:p>
      <w:pPr>
        <w:jc w:val="both"/>
        <w:ind w:firstLine="490"/>
        <w:spacing w:after="0" w:line="326" w:lineRule="auto"/>
        <w:rPr>
          <w:sz w:val="20"/>
          <w:szCs w:val="20"/>
          <w:color w:val="auto"/>
        </w:rPr>
      </w:pPr>
      <w:r>
        <w:rPr>
          <w:rFonts w:ascii="Arial" w:cs="Arial" w:eastAsia="Arial" w:hAnsi="Arial"/>
          <w:sz w:val="15"/>
          <w:szCs w:val="15"/>
          <w:b w:val="1"/>
          <w:bCs w:val="1"/>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297"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 Inc., GlaxoSmithKline, plc, Incyte Corporation, Ionis Pharmaceuticals, Inc., Keros Therapeutics, Inc., Merck &amp; Co., Inc., Otsuka Pharmaceutical Co., Ltd. and Vifor Pharma AG, among others.</w:t>
      </w:r>
    </w:p>
    <w:p>
      <w:pPr>
        <w:spacing w:after="0" w:line="10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Dersimelagon, an oral MC1R agonist, is currently in Phase 3 development by Mitsubishi Tanabe Pharma Corporation for the treatment of EPP or XLP. Portal Therapeutics, a subsidiary of BridgeBio Pharma, Inc., is currently testing in a first-in-human Phase 1 clinical study in healthy volunteers, PORT-77, an ABCG2 inhibitor, with a development goal to reduce plasma PPIX in EPP.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95"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Bitopertin is a selective inhibitor of GlyT1 that we are developing to treat porphyrias and hematologic diseases. GlyT1 inhibition has been pursued in the past as an approach to treat schizophrenia. We are aware that Boehringer Ingelheim conducted a Phase 3 clinical study of BI 425809 (iclepertin), a GlyT1 inhibitor, for the improvement of cognition in patients with schizophrenia that failed to meet its primary endpoint.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w:t>
      </w:r>
    </w:p>
    <w:p>
      <w:pPr>
        <w:spacing w:after="0" w:line="74"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myelofibrosis Phase 3 trial by Bristol-Myers Squibb, and KER-050, which is in a Phase 2 trial by Keros, Inc. In addition, GlaxoSmithKline has developed Ojaara (momelotinib), a JAK2 kinase inhibitor that lowers hepcidin by inhibiting ALK2 (a kinase that is similar to but less specific than HJV), which was approved to treat myelofibrosis patients with anemia.</w:t>
      </w:r>
    </w:p>
    <w:p>
      <w:pPr>
        <w:spacing w:after="0" w:line="6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For the treatment of non-dialysis dependent CKD and anemia, there are several therapies approved or in clinical development, including, but not limited to, ESAs, oral hypoxia inducible factor-prolyl hydroxylase inhibitors, or HIF-PHIs,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p>
    <w:p>
      <w:pPr>
        <w:spacing w:after="0" w:line="108"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We are developing DISC-3405,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w:t>
      </w:r>
    </w:p>
    <w:p>
      <w:pPr>
        <w:sectPr>
          <w:pgSz w:w="12240" w:h="15840" w:orient="portrait"/>
          <w:cols w:equalWidth="0" w:num="1">
            <w:col w:w="10440"/>
          </w:cols>
          <w:pgMar w:left="900" w:top="960" w:right="900" w:bottom="181"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10440"/>
          </w:cols>
          <w:pgMar w:left="900" w:top="960" w:right="900" w:bottom="181" w:gutter="0" w:footer="0" w:header="0"/>
          <w:type w:val="continuous"/>
        </w:sectPr>
      </w:pPr>
    </w:p>
    <w:bookmarkStart w:id="39" w:name="page40"/>
    <w:bookmarkEnd w:id="39"/>
    <w:p>
      <w:pPr>
        <w:jc w:val="both"/>
        <w:spacing w:after="0" w:line="273" w:lineRule="auto"/>
        <w:rPr>
          <w:sz w:val="20"/>
          <w:szCs w:val="20"/>
          <w:color w:val="auto"/>
        </w:rPr>
      </w:pPr>
      <w:r>
        <w:rPr>
          <w:rFonts w:ascii="Arial" w:cs="Arial" w:eastAsia="Arial" w:hAnsi="Arial"/>
          <w:sz w:val="18"/>
          <w:szCs w:val="18"/>
          <w:b w:val="1"/>
          <w:bCs w:val="1"/>
          <w:color w:val="auto"/>
        </w:rPr>
        <w:t>Therapeutics, Inc., Agios Pharmaceuticals,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10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Collaborations and License Agreements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Exclusive License Agreement with AbbVie Deutschland GmbH &amp; Co. KG</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67"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In January 2025, we dosed the first patient in the Phase 2 clinical trial of DISC-0974. As a result, we made the first milestone payment of $3.0 million to AbbVie on January 31, 2025.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70"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59"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93"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Exclusive License Agreement with F. Hoffmann-La Roche Ltd and Hoffmann-La Roche Inc.</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10440"/>
          </w:cols>
          <w:pgMar w:left="900" w:top="960" w:right="900" w:bottom="181" w:gutter="0" w:footer="0" w:header="0"/>
          <w:type w:val="continuous"/>
        </w:sectPr>
      </w:pPr>
    </w:p>
    <w:bookmarkStart w:id="40" w:name="page41"/>
    <w:bookmarkEnd w:id="40"/>
    <w:p>
      <w:pPr>
        <w:jc w:val="both"/>
        <w:ind w:firstLine="490"/>
        <w:spacing w:after="0" w:line="268" w:lineRule="auto"/>
        <w:rPr>
          <w:sz w:val="20"/>
          <w:szCs w:val="20"/>
          <w:color w:val="auto"/>
        </w:rPr>
      </w:pPr>
      <w:r>
        <w:rPr>
          <w:rFonts w:ascii="Arial" w:cs="Arial" w:eastAsia="Arial" w:hAnsi="Arial"/>
          <w:sz w:val="18"/>
          <w:szCs w:val="18"/>
          <w:b w:val="1"/>
          <w:bCs w:val="1"/>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109"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7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milestones consist of a $10.0 million payment upon the initiation of the first Phase 3 clinical trial with a licensed product in a first indication, and a $15.0 million payment upon regulatory approval in the United States with a licensed product in a first indication. We will also pay Roche up to an aggregate of $120.0 million based on achievement of certain thresholds for annual net sales of licensed products. We are also obligated to pay a royalty on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96"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105"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93" w:lineRule="exact"/>
        <w:rPr>
          <w:sz w:val="20"/>
          <w:szCs w:val="20"/>
          <w:color w:val="auto"/>
        </w:rPr>
      </w:pPr>
    </w:p>
    <w:p>
      <w:pPr>
        <w:jc w:val="both"/>
        <w:ind w:firstLine="490"/>
        <w:spacing w:after="0" w:line="290" w:lineRule="auto"/>
        <w:rPr>
          <w:sz w:val="20"/>
          <w:szCs w:val="20"/>
          <w:color w:val="auto"/>
        </w:rPr>
      </w:pPr>
      <w:r>
        <w:rPr>
          <w:rFonts w:ascii="Arial" w:cs="Arial" w:eastAsia="Arial" w:hAnsi="Arial"/>
          <w:sz w:val="17"/>
          <w:szCs w:val="17"/>
          <w:b w:val="1"/>
          <w:bCs w:val="1"/>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Exclusive License Agreement with Mabwell Therapeutics, Inc.</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97"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Under the Mabwell Agreement, we paid an upfront payment of $10.0 million in March 2023. In addition, we are required to pay certain development and regulatory milestone payments for the licensed antibody products, for up to three indications, up to a maximum aggregate amount of $127.5 million, as well as certain commercial milestone payments for certain licensed antibody product net sales achievements, up to a maximum aggregate amount of $275.0 million. In October 2023, the first patient was dosed in the Phase 1 clinical trial in healthy volunteers of polycythemia vera for DISC-3405, resulting in a milestone payment of $5.0 million due to Mabwell. The next potential milestone payments include $10.0 million due upon the initiation of a Phase 2 clinical trial for DISC-3405 in a first indication and $5.0 million due upon the initiation of a Phase 1b clinical trial with a licensed product in a second indication. We are further obligated to pay a tiered percentage of revenue that we receive from our sublicensees (excluding revenue that is attributable to net sales on which royalty payments are due), ranging from a low third decile percentage</w:t>
      </w:r>
    </w:p>
    <w:p>
      <w:pPr>
        <w:sectPr>
          <w:pgSz w:w="12240" w:h="15840" w:orient="portrait"/>
          <w:cols w:equalWidth="0" w:num="1">
            <w:col w:w="10440"/>
          </w:cols>
          <w:pgMar w:left="900" w:top="960" w:right="900" w:bottom="181"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10440"/>
          </w:cols>
          <w:pgMar w:left="900" w:top="960" w:right="900" w:bottom="181" w:gutter="0" w:footer="0" w:header="0"/>
          <w:type w:val="continuous"/>
        </w:sectPr>
      </w:pPr>
    </w:p>
    <w:bookmarkStart w:id="41" w:name="page42"/>
    <w:bookmarkEnd w:id="41"/>
    <w:p>
      <w:pPr>
        <w:jc w:val="both"/>
        <w:ind w:left="7"/>
        <w:spacing w:after="0" w:line="273" w:lineRule="auto"/>
        <w:rPr>
          <w:sz w:val="20"/>
          <w:szCs w:val="20"/>
          <w:color w:val="auto"/>
        </w:rPr>
      </w:pPr>
      <w:r>
        <w:rPr>
          <w:rFonts w:ascii="Arial" w:cs="Arial" w:eastAsia="Arial" w:hAnsi="Arial"/>
          <w:sz w:val="18"/>
          <w:szCs w:val="18"/>
          <w:b w:val="1"/>
          <w:bCs w:val="1"/>
          <w:color w:val="auto"/>
        </w:rPr>
        <w:t>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102" w:lineRule="exact"/>
        <w:rPr>
          <w:sz w:val="20"/>
          <w:szCs w:val="20"/>
          <w:color w:val="auto"/>
        </w:rPr>
      </w:pPr>
    </w:p>
    <w:p>
      <w:pPr>
        <w:jc w:val="both"/>
        <w:ind w:left="7" w:firstLine="490"/>
        <w:spacing w:after="0" w:line="320" w:lineRule="auto"/>
        <w:rPr>
          <w:sz w:val="20"/>
          <w:szCs w:val="20"/>
          <w:color w:val="auto"/>
        </w:rPr>
      </w:pPr>
      <w:r>
        <w:rPr>
          <w:rFonts w:ascii="Arial" w:cs="Arial" w:eastAsia="Arial" w:hAnsi="Arial"/>
          <w:sz w:val="15"/>
          <w:szCs w:val="15"/>
          <w:b w:val="1"/>
          <w:bCs w:val="1"/>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w:t>
      </w:r>
    </w:p>
    <w:p>
      <w:pPr>
        <w:spacing w:after="0" w:line="1" w:lineRule="exact"/>
        <w:rPr>
          <w:sz w:val="20"/>
          <w:szCs w:val="20"/>
          <w:color w:val="auto"/>
        </w:rPr>
      </w:pPr>
    </w:p>
    <w:p>
      <w:pPr>
        <w:ind w:left="7" w:hanging="7"/>
        <w:spacing w:after="0" w:line="234" w:lineRule="auto"/>
        <w:tabs>
          <w:tab w:leader="none" w:pos="32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expiration of regulatory exclusivity for such licensed antibody product in such country, and (c) ten years from the first commercial sale of such licensed antibody product in such country.</w:t>
      </w:r>
    </w:p>
    <w:p>
      <w:pPr>
        <w:spacing w:after="0" w:line="130" w:lineRule="exact"/>
        <w:rPr>
          <w:sz w:val="20"/>
          <w:szCs w:val="20"/>
          <w:color w:val="auto"/>
        </w:rPr>
      </w:pPr>
    </w:p>
    <w:p>
      <w:pPr>
        <w:jc w:val="both"/>
        <w:ind w:left="7" w:firstLine="490"/>
        <w:spacing w:after="0" w:line="268" w:lineRule="auto"/>
        <w:rPr>
          <w:sz w:val="20"/>
          <w:szCs w:val="20"/>
          <w:color w:val="auto"/>
        </w:rPr>
      </w:pPr>
      <w:r>
        <w:rPr>
          <w:rFonts w:ascii="Arial" w:cs="Arial" w:eastAsia="Arial" w:hAnsi="Arial"/>
          <w:sz w:val="18"/>
          <w:szCs w:val="18"/>
          <w:b w:val="1"/>
          <w:bCs w:val="1"/>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Intellectual Property</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ind w:left="7" w:firstLine="490"/>
        <w:spacing w:after="0" w:line="291" w:lineRule="auto"/>
        <w:rPr>
          <w:sz w:val="20"/>
          <w:szCs w:val="20"/>
          <w:color w:val="auto"/>
        </w:rPr>
      </w:pPr>
      <w:r>
        <w:rPr>
          <w:rFonts w:ascii="Arial" w:cs="Arial" w:eastAsia="Arial" w:hAnsi="Arial"/>
          <w:sz w:val="17"/>
          <w:szCs w:val="17"/>
          <w:b w:val="1"/>
          <w:bCs w:val="1"/>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91" w:lineRule="exact"/>
        <w:rPr>
          <w:sz w:val="20"/>
          <w:szCs w:val="20"/>
          <w:color w:val="auto"/>
        </w:rPr>
      </w:pPr>
    </w:p>
    <w:p>
      <w:pPr>
        <w:jc w:val="both"/>
        <w:ind w:left="7" w:firstLine="490"/>
        <w:spacing w:after="0" w:line="236" w:lineRule="auto"/>
        <w:rPr>
          <w:sz w:val="20"/>
          <w:szCs w:val="20"/>
          <w:color w:val="auto"/>
        </w:rPr>
      </w:pPr>
      <w:r>
        <w:rPr>
          <w:rFonts w:ascii="Arial" w:cs="Arial" w:eastAsia="Arial" w:hAnsi="Arial"/>
          <w:sz w:val="20"/>
          <w:szCs w:val="20"/>
          <w:b w:val="1"/>
          <w:bCs w:val="1"/>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130" w:lineRule="exact"/>
        <w:rPr>
          <w:sz w:val="20"/>
          <w:szCs w:val="20"/>
          <w:color w:val="auto"/>
        </w:rPr>
      </w:pPr>
    </w:p>
    <w:p>
      <w:pPr>
        <w:jc w:val="both"/>
        <w:ind w:left="7" w:firstLine="490"/>
        <w:spacing w:after="0" w:line="288" w:lineRule="auto"/>
        <w:rPr>
          <w:sz w:val="20"/>
          <w:szCs w:val="20"/>
          <w:color w:val="auto"/>
        </w:rPr>
      </w:pPr>
      <w:r>
        <w:rPr>
          <w:rFonts w:ascii="Arial" w:cs="Arial" w:eastAsia="Arial" w:hAnsi="Arial"/>
          <w:sz w:val="17"/>
          <w:szCs w:val="17"/>
          <w:b w:val="1"/>
          <w:bCs w:val="1"/>
          <w:color w:val="auto"/>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92" w:lineRule="exact"/>
        <w:rPr>
          <w:sz w:val="20"/>
          <w:szCs w:val="20"/>
          <w:color w:val="auto"/>
        </w:rPr>
      </w:pPr>
    </w:p>
    <w:p>
      <w:pPr>
        <w:jc w:val="both"/>
        <w:ind w:left="7" w:firstLine="490"/>
        <w:spacing w:after="0" w:line="285" w:lineRule="auto"/>
        <w:rPr>
          <w:sz w:val="20"/>
          <w:szCs w:val="20"/>
          <w:color w:val="auto"/>
        </w:rPr>
      </w:pPr>
      <w:r>
        <w:rPr>
          <w:rFonts w:ascii="Arial" w:cs="Arial" w:eastAsia="Arial" w:hAnsi="Arial"/>
          <w:sz w:val="17"/>
          <w:szCs w:val="17"/>
          <w:b w:val="1"/>
          <w:bCs w:val="1"/>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96" w:lineRule="exact"/>
        <w:rPr>
          <w:sz w:val="20"/>
          <w:szCs w:val="20"/>
          <w:color w:val="auto"/>
        </w:rPr>
      </w:pPr>
    </w:p>
    <w:p>
      <w:pPr>
        <w:jc w:val="both"/>
        <w:ind w:left="7" w:firstLine="490"/>
        <w:spacing w:after="0" w:line="330" w:lineRule="auto"/>
        <w:rPr>
          <w:sz w:val="20"/>
          <w:szCs w:val="20"/>
          <w:color w:val="auto"/>
        </w:rPr>
      </w:pPr>
      <w:r>
        <w:rPr>
          <w:rFonts w:ascii="Arial" w:cs="Arial" w:eastAsia="Arial" w:hAnsi="Arial"/>
          <w:sz w:val="15"/>
          <w:szCs w:val="15"/>
          <w:b w:val="1"/>
          <w:bCs w:val="1"/>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ectPr>
          <w:pgSz w:w="12240" w:h="15840" w:orient="portrait"/>
          <w:cols w:equalWidth="0" w:num="1">
            <w:col w:w="10447"/>
          </w:cols>
          <w:pgMar w:left="893" w:top="960" w:right="900" w:bottom="181" w:gutter="0" w:footer="0" w:header="0"/>
        </w:sect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10447"/>
          </w:cols>
          <w:pgMar w:left="893" w:top="960" w:right="900" w:bottom="181"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Patent Portfolio</w:t>
      </w:r>
    </w:p>
    <w:p>
      <w:pPr>
        <w:spacing w:after="0" w:line="129"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Our patent portfolio includes patents and patent applications in the United States and selected jurisdictions outside of the United States. As of February 7, 2025, our patent portfolio in total consisted of 14 issued U.S. patents and 137 issued patents in foreign jurisdictions (e.g., Australia, China, United Kingdom, Germany, Mexico, Japan, and others), four PCT applications, 147 pending non-provisional applications (U.S., EP and other jurisdictions), and four pending U.S. provisional applications, which include claims directed to compositions and methods of use.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patent portfolio includes patents and applications with claims related to the following programs: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Heme Biosynthesis Modulation Portfolio - GlyT1 Inhibition - Bitopertin</w:t>
      </w:r>
    </w:p>
    <w:p>
      <w:pPr>
        <w:spacing w:after="0" w:line="131" w:lineRule="exact"/>
        <w:rPr>
          <w:sz w:val="20"/>
          <w:szCs w:val="20"/>
          <w:color w:val="auto"/>
        </w:rPr>
      </w:pPr>
    </w:p>
    <w:p>
      <w:pPr>
        <w:jc w:val="both"/>
        <w:ind w:firstLine="490"/>
        <w:spacing w:after="0" w:line="321" w:lineRule="auto"/>
        <w:rPr>
          <w:sz w:val="20"/>
          <w:szCs w:val="20"/>
          <w:color w:val="auto"/>
        </w:rPr>
      </w:pPr>
      <w:r>
        <w:rPr>
          <w:rFonts w:ascii="Arial" w:cs="Arial" w:eastAsia="Arial" w:hAnsi="Arial"/>
          <w:sz w:val="15"/>
          <w:szCs w:val="15"/>
          <w:b w:val="1"/>
          <w:bCs w:val="1"/>
          <w:color w:val="auto"/>
        </w:rPr>
        <w:t>With regard to our heme biosynthesis modulation program, we own eight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2045,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 Canada, China, Europe, Hong Kong, Japan, and Korea. One U.S patent has granted from the first patent family and is directed to methods of treating EPP or XLP with bitopertin. This patent is expected to expire in 2042, without accounting for any potential terminal disclaimers, additional patent term adjustments or available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patent family has entered the national phase in the U.S., Australia, Brazil, Canada, China, Europe, Israel, Japan, Korea, and Mexico.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and Japan. Our remaining two patent families are all directed to GlyT1 inhibitors (e.g., bitopertin) and methods of treating various disorders and conditions. These two patent families, upon grant, will have a twenty-year statutory expiration date from 2044 to 2045. We have also in-licensed multiple patent families from F. Hoffmann-La Roche Ltd and Hoffmann-La Roche Inc. comprising seven issued U.S. patents and additional granted patents in the following jurisdictions: Algeria, Australia, Austria, Belarus, Belgium, Brazil, Bulgaria, Canada, Chile, China, Croatia, Cyprus, Czech Republic, Denmark, Estonia, European Patent Convention, Finland, France, Germany, Great Britain, Greece, Gulf Cooperation Council, Hong Kong, Hungary, Indonesia, Ireland, Israel,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2025 and 2035, without accounting for any potential terminal disclaimers, available patent term adjustments or extensions. In particular, the first family is directed to composition of matter of bitopertin and processes of preparation. This family has an issued patent in the U.S. that expires in 2025.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10440"/>
          </w:cols>
          <w:pgMar w:left="900" w:top="949" w:right="900" w:bottom="181" w:gutter="0" w:footer="0" w:header="0"/>
          <w:type w:val="continuous"/>
        </w:sectPr>
      </w:pPr>
    </w:p>
    <w:bookmarkStart w:id="43" w:name="page44"/>
    <w:bookmarkEnd w:id="43"/>
    <w:p>
      <w:pPr>
        <w:jc w:val="both"/>
        <w:spacing w:after="0" w:line="286" w:lineRule="auto"/>
        <w:rPr>
          <w:sz w:val="20"/>
          <w:szCs w:val="20"/>
          <w:color w:val="auto"/>
        </w:rPr>
      </w:pPr>
      <w:r>
        <w:rPr>
          <w:rFonts w:ascii="Arial" w:cs="Arial" w:eastAsia="Arial" w:hAnsi="Arial"/>
          <w:sz w:val="17"/>
          <w:szCs w:val="17"/>
          <w:b w:val="1"/>
          <w:bCs w:val="1"/>
          <w:color w:val="auto"/>
        </w:rPr>
        <w:t>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95"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Several of the indications that we expect to pursue with bitopertin, including EPP, XLP and DBA, are rare diseases. We have received orphan drug designation from the FDA for bitopertin for the treatment of EPP and the European Committee for 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Iron Homeostasis Portfolio – Hepcidin Suppression – DISC-0974 and DISC-0998</w:t>
      </w:r>
    </w:p>
    <w:p>
      <w:pPr>
        <w:spacing w:after="0" w:line="131"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With regard to our iron homeostasis portfolio, including our DISC-0974 and DISC-0998 programs, we own nine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one PCT patent application that has entered the national phase in Australia, Brazil, Canada, China, Europe, Japan, Korea, Mexico, and United States, one PCT patent application that has entered the national phase in Australia, Brazil, Canada, China, Europe, Japan, Korea, Mexico, and United States, one pending PCT patent application, and two pending U.S. provisional applications. These patent families contain claims directed at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applications are expected to expire between, 2040 and 2045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306"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also in-license a patent family from AbbVie comprised of four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seven pending non-provisional applications in the United States, Australia, Brazil, Canada, China, Europe, and Japan. Any patents that issue on these pending non-provisional applications are likewise expected to expire in 2032, without accounting for any potential terminal disclaimers, available patent term adjustments or extensions.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Iron Homeostasis Portfolio – Hepcidin Induction – MWTX-001, MWTX-002, and DISC-3405 (formerly MWTX-003)</w:t>
      </w:r>
    </w:p>
    <w:p>
      <w:pPr>
        <w:spacing w:after="0" w:line="132"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With regard to our TMPRSS6 inhibitor program, we in-license a patent family from Mabwell comprised of nine pending non-provisional applications in Australia, Canada, Europe, India, Japan, Korea, and United States; and one pending PCT application. These in-licensed patent applications include composition of matter claims to antibodies designed to inhibit TMPRSS6, including MWTX-001, MWTX-002, and DISC-3405, as well as method of treatment and use claims related to diseases of iron metabolism (e.g., PV). Two U.S patents have been granted from the in-licensed patent family and are directed to the DISC-3405 TMPRSS antibody. These patents are expected to expire in 2041, without accounting for any potential terminal disclaimers, available patent term adjustments or extensions. We also own one pending PCT application directed to methods of treatment claims related to diseases of iron metabolism. This application, upon grant, will have a twenty-year statutory expiration date of 2044, without accounting for any potential terminal disclaimers, available patent term adjustments or extensions. We also own one provisional patent application directed to TMPRSS6 antibody formulations. This application, upon grant, will have a twenty-year statutory expiration date of 2046. Further, several of the above owned patent applications within our iron homeostasis portfolio are Joint Improvement Patents according to the Mabwell Agreement, whereby we own the patent applications and any patents granted thereon jointly with Mabwell, and we hold an exclusive license to Mabwell’s interest in the patent applications and any patents granted thereon pursuant to the Mabwell Agreement.</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10440"/>
          </w:cols>
          <w:pgMar w:left="900" w:top="960" w:right="900" w:bottom="181" w:gutter="0" w:footer="0" w:header="0"/>
          <w:type w:val="continuous"/>
        </w:sectPr>
      </w:pPr>
    </w:p>
    <w:bookmarkStart w:id="44" w:name="page45"/>
    <w:bookmarkEnd w:id="44"/>
    <w:p>
      <w:pPr>
        <w:jc w:val="both"/>
        <w:ind w:firstLine="490"/>
        <w:spacing w:after="0" w:line="287" w:lineRule="auto"/>
        <w:rPr>
          <w:sz w:val="20"/>
          <w:szCs w:val="20"/>
          <w:color w:val="auto"/>
        </w:rPr>
      </w:pPr>
      <w:r>
        <w:rPr>
          <w:rFonts w:ascii="Arial" w:cs="Arial" w:eastAsia="Arial" w:hAnsi="Arial"/>
          <w:sz w:val="17"/>
          <w:szCs w:val="17"/>
          <w:b w:val="1"/>
          <w:bCs w:val="1"/>
          <w:color w:val="auto"/>
        </w:rPr>
        <w:t>We also own a first patent family comprising one patent in India and seven pending non-provisional applications in U.S., Europe, Japan, Australia, Canada, and China, and a second and third patent family each comprising one non-provisional application in the U.S. These patent families are directed to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patents that issue from the non-provisional application in the second or third families are expected to expire in 2041 and 2044, respectively, without accounting for any potential terminal disclaimers, available patent term adjustments or extensions.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Term</w:t>
      </w:r>
    </w:p>
    <w:p>
      <w:pPr>
        <w:spacing w:after="0" w:line="131"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30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Secrets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0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Governmental Regulation</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10440"/>
          </w:cols>
          <w:pgMar w:left="900" w:top="960" w:right="900" w:bottom="181" w:gutter="0" w:footer="0" w:header="0"/>
          <w:type w:val="continuous"/>
        </w:sectPr>
      </w:pPr>
    </w:p>
    <w:bookmarkStart w:id="45" w:name="page46"/>
    <w:bookmarkEnd w:id="45"/>
    <w:p>
      <w:pPr>
        <w:jc w:val="both"/>
        <w:ind w:firstLine="490"/>
        <w:spacing w:after="0" w:line="285" w:lineRule="auto"/>
        <w:rPr>
          <w:sz w:val="20"/>
          <w:szCs w:val="20"/>
          <w:color w:val="auto"/>
        </w:rPr>
      </w:pPr>
      <w:r>
        <w:rPr>
          <w:rFonts w:ascii="Arial" w:cs="Arial" w:eastAsia="Arial" w:hAnsi="Arial"/>
          <w:sz w:val="17"/>
          <w:szCs w:val="17"/>
          <w:b w:val="1"/>
          <w:bCs w:val="1"/>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94"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p>
    <w:p>
      <w:pPr>
        <w:spacing w:after="0" w:line="119"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completion of extensive preclinical studies in accordance with applicable regulations, including studies conducted in accordance with good laboratory practice, or GLP,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submission to the FDA of an IND which must become effective before clinical trials may begin and must be updated annually and when certain changes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-243205</wp:posOffset>
            </wp:positionV>
            <wp:extent cx="71120" cy="711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3" w:lineRule="auto"/>
        <w:rPr>
          <w:sz w:val="20"/>
          <w:szCs w:val="20"/>
          <w:color w:val="auto"/>
        </w:rPr>
      </w:pPr>
      <w:r>
        <w:rPr>
          <w:rFonts w:ascii="Arial" w:cs="Arial" w:eastAsia="Arial" w:hAnsi="Arial"/>
          <w:sz w:val="20"/>
          <w:szCs w:val="20"/>
          <w:b w:val="1"/>
          <w:bCs w:val="1"/>
          <w:color w:val="auto"/>
        </w:rPr>
        <w:t>approval by an institutional review board, or IRB,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-242570</wp:posOffset>
            </wp:positionV>
            <wp:extent cx="71120" cy="711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-389255</wp:posOffset>
            </wp:positionV>
            <wp:extent cx="71120" cy="71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preparation and submission to the FDA of an NDA or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-97790</wp:posOffset>
            </wp:positionV>
            <wp:extent cx="71120" cy="711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determination by the FDA within 60 days of its receipt of an NDA or BLA to file the application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-90170</wp:posOffset>
            </wp:positionV>
            <wp:extent cx="71120" cy="711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jc w:val="both"/>
        <w:ind w:left="980"/>
        <w:spacing w:after="0" w:line="297" w:lineRule="auto"/>
        <w:rPr>
          <w:sz w:val="20"/>
          <w:szCs w:val="20"/>
          <w:color w:val="auto"/>
        </w:rPr>
      </w:pPr>
      <w:r>
        <w:rPr>
          <w:rFonts w:ascii="Arial" w:cs="Arial" w:eastAsia="Arial" w:hAnsi="Arial"/>
          <w:sz w:val="17"/>
          <w:szCs w:val="17"/>
          <w:b w:val="1"/>
          <w:bCs w:val="1"/>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-419735</wp:posOffset>
            </wp:positionV>
            <wp:extent cx="71120" cy="711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980" w:right="120"/>
        <w:spacing w:after="0" w:line="421" w:lineRule="auto"/>
        <w:rPr>
          <w:sz w:val="20"/>
          <w:szCs w:val="20"/>
          <w:color w:val="auto"/>
        </w:rPr>
      </w:pPr>
      <w:r>
        <w:rPr>
          <w:rFonts w:ascii="Arial" w:cs="Arial" w:eastAsia="Arial" w:hAnsi="Arial"/>
          <w:sz w:val="18"/>
          <w:szCs w:val="18"/>
          <w:b w:val="1"/>
          <w:bCs w:val="1"/>
          <w:color w:val="auto"/>
        </w:rPr>
        <w:t>satisfactory completion of FDA audit of the clinical trial sites that generated the data in support of the NDA or BLA; payment of user fees for FDA review of the NDA or BLA, unless a waiver is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-419735</wp:posOffset>
            </wp:positionV>
            <wp:extent cx="71120" cy="711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-187960</wp:posOffset>
            </wp:positionV>
            <wp:extent cx="71120" cy="711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980"/>
        <w:spacing w:after="0" w:line="254" w:lineRule="auto"/>
        <w:rPr>
          <w:sz w:val="20"/>
          <w:szCs w:val="20"/>
          <w:color w:val="auto"/>
        </w:rPr>
      </w:pPr>
      <w:r>
        <w:rPr>
          <w:rFonts w:ascii="Arial" w:cs="Arial" w:eastAsia="Arial" w:hAnsi="Arial"/>
          <w:sz w:val="19"/>
          <w:szCs w:val="19"/>
          <w:b w:val="1"/>
          <w:bCs w:val="1"/>
          <w:color w:val="auto"/>
        </w:rPr>
        <w:t>FDA review and approval of the NDA or BLA, including, where applicable, consideration of the views of any FDA advisory committee, prior to any commercial marketing or sale of the drug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-252095</wp:posOffset>
            </wp:positionV>
            <wp:extent cx="71120" cy="711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Studies and Clinical Trials for Drugs and Biologics</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Before testing any drug or biologic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9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w:t>
      </w:r>
    </w:p>
    <w:p>
      <w:pPr>
        <w:sectPr>
          <w:pgSz w:w="12240" w:h="15840" w:orient="portrait"/>
          <w:cols w:equalWidth="0" w:num="1">
            <w:col w:w="10440"/>
          </w:cols>
          <w:pgMar w:left="900" w:top="960" w:right="900" w:bottom="181"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10440"/>
          </w:cols>
          <w:pgMar w:left="900" w:top="960" w:right="900" w:bottom="181" w:gutter="0" w:footer="0" w:header="0"/>
          <w:type w:val="continuous"/>
        </w:sectPr>
      </w:pPr>
    </w:p>
    <w:bookmarkStart w:id="46" w:name="page47"/>
    <w:bookmarkEnd w:id="46"/>
    <w:p>
      <w:pPr>
        <w:jc w:val="both"/>
        <w:spacing w:after="0" w:line="270" w:lineRule="auto"/>
        <w:rPr>
          <w:sz w:val="20"/>
          <w:szCs w:val="20"/>
          <w:color w:val="auto"/>
        </w:rPr>
      </w:pPr>
      <w:r>
        <w:rPr>
          <w:rFonts w:ascii="Arial" w:cs="Arial" w:eastAsia="Arial" w:hAnsi="Arial"/>
          <w:sz w:val="18"/>
          <w:szCs w:val="18"/>
          <w:b w:val="1"/>
          <w:bCs w:val="1"/>
          <w:color w:val="auto"/>
        </w:rPr>
        <w:t>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105"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9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10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9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Clinical trials to evaluate therapeutic indications to support NDAs and BLAs for marketing approval are typically conducted in three sequential phases, which may overlap.</w:t>
      </w:r>
    </w:p>
    <w:p>
      <w:pPr>
        <w:spacing w:after="0" w:line="147" w:lineRule="exact"/>
        <w:rPr>
          <w:sz w:val="20"/>
          <w:szCs w:val="20"/>
          <w:color w:val="auto"/>
        </w:rPr>
      </w:pPr>
    </w:p>
    <w:p>
      <w:pPr>
        <w:jc w:val="both"/>
        <w:ind w:left="980"/>
        <w:spacing w:after="0" w:line="291" w:lineRule="auto"/>
        <w:rPr>
          <w:sz w:val="20"/>
          <w:szCs w:val="20"/>
          <w:color w:val="auto"/>
        </w:rPr>
      </w:pPr>
      <w:r>
        <w:rPr>
          <w:rFonts w:ascii="Arial" w:cs="Arial" w:eastAsia="Arial" w:hAnsi="Arial"/>
          <w:sz w:val="17"/>
          <w:szCs w:val="17"/>
          <w:b w:val="1"/>
          <w:bCs w:val="1"/>
          <w:color w:val="auto"/>
        </w:rPr>
        <w:t>Phase 1 - 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-560705</wp:posOffset>
            </wp:positionV>
            <wp:extent cx="71120" cy="71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jc w:val="both"/>
        <w:ind w:left="980"/>
        <w:spacing w:after="0" w:line="274" w:lineRule="auto"/>
        <w:rPr>
          <w:sz w:val="20"/>
          <w:szCs w:val="20"/>
          <w:color w:val="auto"/>
        </w:rPr>
      </w:pPr>
      <w:r>
        <w:rPr>
          <w:rFonts w:ascii="Arial" w:cs="Arial" w:eastAsia="Arial" w:hAnsi="Arial"/>
          <w:sz w:val="18"/>
          <w:szCs w:val="18"/>
          <w:b w:val="1"/>
          <w:bCs w:val="1"/>
          <w:color w:val="auto"/>
        </w:rPr>
        <w:t>Phase 2 - 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-408940</wp:posOffset>
            </wp:positionV>
            <wp:extent cx="71120" cy="71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7" w:lineRule="exact"/>
        <w:rPr>
          <w:sz w:val="20"/>
          <w:szCs w:val="20"/>
          <w:color w:val="auto"/>
        </w:rPr>
      </w:pPr>
    </w:p>
    <w:p>
      <w:pPr>
        <w:jc w:val="both"/>
        <w:ind w:left="980"/>
        <w:spacing w:after="0" w:line="252" w:lineRule="auto"/>
        <w:rPr>
          <w:sz w:val="20"/>
          <w:szCs w:val="20"/>
          <w:color w:val="auto"/>
        </w:rPr>
      </w:pPr>
      <w:r>
        <w:rPr>
          <w:rFonts w:ascii="Arial" w:cs="Arial" w:eastAsia="Arial" w:hAnsi="Arial"/>
          <w:sz w:val="19"/>
          <w:szCs w:val="19"/>
          <w:b w:val="1"/>
          <w:bCs w:val="1"/>
          <w:color w:val="auto"/>
        </w:rPr>
        <w:t>Phase 3 - 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-832485</wp:posOffset>
            </wp:positionV>
            <wp:extent cx="71120" cy="71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59"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w:t>
      </w:r>
    </w:p>
    <w:p>
      <w:pPr>
        <w:sectPr>
          <w:pgSz w:w="12240" w:h="15840" w:orient="portrait"/>
          <w:cols w:equalWidth="0" w:num="1">
            <w:col w:w="10440"/>
          </w:cols>
          <w:pgMar w:left="900" w:top="960" w:right="900" w:bottom="181"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10440"/>
          </w:cols>
          <w:pgMar w:left="900" w:top="960" w:right="900" w:bottom="181" w:gutter="0" w:footer="0" w:header="0"/>
          <w:type w:val="continuous"/>
        </w:sectPr>
      </w:pPr>
    </w:p>
    <w:bookmarkStart w:id="47" w:name="page48"/>
    <w:bookmarkEnd w:id="47"/>
    <w:p>
      <w:pPr>
        <w:jc w:val="both"/>
        <w:spacing w:after="0" w:line="288" w:lineRule="auto"/>
        <w:rPr>
          <w:sz w:val="20"/>
          <w:szCs w:val="20"/>
          <w:color w:val="auto"/>
        </w:rPr>
      </w:pPr>
      <w:r>
        <w:rPr>
          <w:rFonts w:ascii="Arial" w:cs="Arial" w:eastAsia="Arial" w:hAnsi="Arial"/>
          <w:sz w:val="17"/>
          <w:szCs w:val="17"/>
          <w:b w:val="1"/>
          <w:bCs w:val="1"/>
          <w:color w:val="auto"/>
        </w:rPr>
        <w:t>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9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Marketing Approval for Drugs and Biologics</w:t>
      </w:r>
    </w:p>
    <w:p>
      <w:pPr>
        <w:spacing w:after="0" w:line="131"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108"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91"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29"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90"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10440"/>
          </w:cols>
          <w:pgMar w:left="900" w:top="960" w:right="900" w:bottom="181" w:gutter="0" w:footer="0" w:header="0"/>
          <w:type w:val="continuous"/>
        </w:sectPr>
      </w:pPr>
    </w:p>
    <w:bookmarkStart w:id="48" w:name="page49"/>
    <w:bookmarkEnd w:id="48"/>
    <w:p>
      <w:pPr>
        <w:jc w:val="both"/>
        <w:spacing w:after="0" w:line="233" w:lineRule="auto"/>
        <w:rPr>
          <w:sz w:val="20"/>
          <w:szCs w:val="20"/>
          <w:color w:val="auto"/>
        </w:rPr>
      </w:pPr>
      <w:r>
        <w:rPr>
          <w:rFonts w:ascii="Arial" w:cs="Arial" w:eastAsia="Arial" w:hAnsi="Arial"/>
          <w:sz w:val="20"/>
          <w:szCs w:val="20"/>
          <w:b w:val="1"/>
          <w:bCs w:val="1"/>
          <w:color w:val="auto"/>
        </w:rPr>
        <w:t>before approving an NDA or BLA, the FDA may inspect one or more clinical trial sites to assure compliance with GCP and other requirements and the integrity of the clinical data submitted to the FDA.</w:t>
      </w:r>
    </w:p>
    <w:p>
      <w:pPr>
        <w:spacing w:after="0" w:line="132"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303"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Orphan Drug Designation and Exclusivity</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0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0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FDA may further reevaluate its regulations and policies under the Orphan Drug Act. It is unclear as to how, if at all, the FDA may change the orphan drug regulations and policies in the future.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Rare Pediatric Disease Designation and Priority Review Vouchers</w:t>
      </w:r>
    </w:p>
    <w:p>
      <w:pPr>
        <w:spacing w:after="0" w:line="131"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w:t>
      </w:r>
    </w:p>
    <w:p>
      <w:pPr>
        <w:sectPr>
          <w:pgSz w:w="12240" w:h="15840" w:orient="portrait"/>
          <w:cols w:equalWidth="0" w:num="1">
            <w:col w:w="10440"/>
          </w:cols>
          <w:pgMar w:left="900" w:top="960" w:right="900" w:bottom="181"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10440"/>
          </w:cols>
          <w:pgMar w:left="900" w:top="960" w:right="900" w:bottom="181" w:gutter="0" w:footer="0" w:header="0"/>
          <w:type w:val="continuous"/>
        </w:sectPr>
      </w:pPr>
    </w:p>
    <w:bookmarkStart w:id="49" w:name="page50"/>
    <w:bookmarkEnd w:id="49"/>
    <w:p>
      <w:pPr>
        <w:jc w:val="both"/>
        <w:spacing w:after="0" w:line="327" w:lineRule="auto"/>
        <w:rPr>
          <w:sz w:val="20"/>
          <w:szCs w:val="20"/>
          <w:color w:val="auto"/>
        </w:rPr>
      </w:pPr>
      <w:r>
        <w:rPr>
          <w:rFonts w:ascii="Arial" w:cs="Arial" w:eastAsia="Arial" w:hAnsi="Arial"/>
          <w:sz w:val="15"/>
          <w:szCs w:val="15"/>
          <w:b w:val="1"/>
          <w:bCs w:val="1"/>
          <w:color w:val="auto"/>
        </w:rPr>
        <w:t>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Under current statutory provisions, the FDA may award a priority review voucher for an approved rare pediatric disease product application only if the sponsor has received rare pediatric disease designation for the drug by December 20, 2024, and after September 30, 2026, the FDA may not award any rare pediatric disease priority review vouchers. Congress may vote to reauthorize this program, but its future remains uncertain.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Expedited Development and Review Programs for Drugs and Biologics</w:t>
      </w:r>
    </w:p>
    <w:p>
      <w:pPr>
        <w:spacing w:after="0" w:line="13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and biologics to get them to patients more quickly than standard FDA review timelines typically permit.</w:t>
      </w:r>
    </w:p>
    <w:p>
      <w:pPr>
        <w:spacing w:after="0" w:line="105"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94"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70"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9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generally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00"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Pediatric Information and Pediatric Exclusivity</w:t>
      </w:r>
    </w:p>
    <w:p>
      <w:pPr>
        <w:sectPr>
          <w:pgSz w:w="12240" w:h="15840" w:orient="portrait"/>
          <w:cols w:equalWidth="0" w:num="1">
            <w:col w:w="10440"/>
          </w:cols>
          <w:pgMar w:left="900" w:top="960" w:right="900" w:bottom="181"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w:t>
      </w:r>
    </w:p>
    <w:p>
      <w:pPr>
        <w:sectPr>
          <w:pgSz w:w="12240" w:h="15840" w:orient="portrait"/>
          <w:cols w:equalWidth="0" w:num="1">
            <w:col w:w="10440"/>
          </w:cols>
          <w:pgMar w:left="900" w:top="960" w:right="900" w:bottom="181" w:gutter="0" w:footer="0" w:header="0"/>
          <w:type w:val="continuous"/>
        </w:sectPr>
      </w:pPr>
    </w:p>
    <w:bookmarkStart w:id="50" w:name="page51"/>
    <w:bookmarkEnd w:id="50"/>
    <w:p>
      <w:pPr>
        <w:jc w:val="both"/>
        <w:ind w:firstLine="490"/>
        <w:spacing w:after="0" w:line="284" w:lineRule="auto"/>
        <w:rPr>
          <w:sz w:val="20"/>
          <w:szCs w:val="20"/>
          <w:color w:val="auto"/>
        </w:rPr>
      </w:pPr>
      <w:r>
        <w:rPr>
          <w:rFonts w:ascii="Arial" w:cs="Arial" w:eastAsia="Arial" w:hAnsi="Arial"/>
          <w:sz w:val="17"/>
          <w:szCs w:val="17"/>
          <w:b w:val="1"/>
          <w:bCs w:val="1"/>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99"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Post-Approval Requirements for Drugs and Biologics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12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100"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306"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w:t>
      </w:r>
    </w:p>
    <w:p>
      <w:pPr>
        <w:sectPr>
          <w:pgSz w:w="12240" w:h="15840" w:orient="portrait"/>
          <w:cols w:equalWidth="0" w:num="1">
            <w:col w:w="10440"/>
          </w:cols>
          <w:pgMar w:left="900" w:top="960" w:right="900" w:bottom="181"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10440"/>
          </w:cols>
          <w:pgMar w:left="900" w:top="960" w:right="900" w:bottom="181" w:gutter="0" w:footer="0" w:header="0"/>
          <w:type w:val="continuous"/>
        </w:sectPr>
      </w:pPr>
    </w:p>
    <w:bookmarkStart w:id="51" w:name="page52"/>
    <w:bookmarkEnd w:id="51"/>
    <w:p>
      <w:pPr>
        <w:jc w:val="both"/>
        <w:spacing w:after="0" w:line="233" w:lineRule="auto"/>
        <w:rPr>
          <w:sz w:val="20"/>
          <w:szCs w:val="20"/>
          <w:color w:val="auto"/>
        </w:rPr>
      </w:pPr>
      <w:r>
        <w:rPr>
          <w:rFonts w:ascii="Arial" w:cs="Arial" w:eastAsia="Arial" w:hAnsi="Arial"/>
          <w:sz w:val="20"/>
          <w:szCs w:val="20"/>
          <w:b w:val="1"/>
          <w:bCs w:val="1"/>
          <w:color w:val="auto"/>
        </w:rPr>
        <w:t>or clinical trials to assess new safety risks, or imposition of distribution or other restrictions under a REMS. Other potential consequences include, among other things:</w:t>
      </w:r>
    </w:p>
    <w:p>
      <w:pPr>
        <w:spacing w:after="0" w:line="146"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restrictions on the marketing or manufacturing of the product, complete withdrawal of the product from the market or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the issuance of safety alerts, Dear Healthcare Provider letters, press releases or other communications containing warnings or other safety information about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fines, warning letters or holds on post-approval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-98425</wp:posOffset>
            </wp:positionV>
            <wp:extent cx="71120" cy="71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refusal of the FDA to approve applications or supplements to approved applications, or suspension or revocation of product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product seizure or detention, or refusal to permit the import or export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-98425</wp:posOffset>
            </wp:positionV>
            <wp:extent cx="71120" cy="711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-98425</wp:posOffset>
            </wp:positionV>
            <wp:extent cx="71120" cy="71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consent decrees, corporate integrity agreements, debarment or exclusion from federal healthcare programs;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-83185</wp:posOffset>
            </wp:positionV>
            <wp:extent cx="71120" cy="711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mandated modification of promotional materials and labeling and issuance of corrective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-97790</wp:posOffset>
            </wp:positionV>
            <wp:extent cx="71120" cy="71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Patent Term Restoration and Marketing Exclusivity</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102"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Biosimilars and Exclusivity</w:t>
      </w:r>
    </w:p>
    <w:p>
      <w:pPr>
        <w:spacing w:after="0" w:line="13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w:t>
      </w:r>
    </w:p>
    <w:p>
      <w:pPr>
        <w:sectPr>
          <w:pgSz w:w="12240" w:h="15840" w:orient="portrait"/>
          <w:cols w:equalWidth="0" w:num="1">
            <w:col w:w="10440"/>
          </w:cols>
          <w:pgMar w:left="900" w:top="960" w:right="900" w:bottom="18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42</w:t>
      </w:r>
    </w:p>
    <w:p>
      <w:pPr>
        <w:sectPr>
          <w:pgSz w:w="12240" w:h="15840" w:orient="portrait"/>
          <w:cols w:equalWidth="0" w:num="1">
            <w:col w:w="10440"/>
          </w:cols>
          <w:pgMar w:left="900" w:top="960" w:right="900" w:bottom="181" w:gutter="0" w:footer="0" w:header="0"/>
          <w:type w:val="continuous"/>
        </w:sectPr>
      </w:pPr>
    </w:p>
    <w:bookmarkStart w:id="52" w:name="page53"/>
    <w:bookmarkEnd w:id="52"/>
    <w:p>
      <w:pPr>
        <w:jc w:val="both"/>
        <w:spacing w:after="0" w:line="251" w:lineRule="auto"/>
        <w:rPr>
          <w:sz w:val="20"/>
          <w:szCs w:val="20"/>
          <w:color w:val="auto"/>
        </w:rPr>
      </w:pPr>
      <w:r>
        <w:rPr>
          <w:rFonts w:ascii="Arial" w:cs="Arial" w:eastAsia="Arial" w:hAnsi="Arial"/>
          <w:sz w:val="19"/>
          <w:szCs w:val="19"/>
          <w:b w:val="1"/>
          <w:bCs w:val="1"/>
          <w:color w:val="auto"/>
        </w:rPr>
        <w:t>the biologic and the reference biologic may be alternated or switched after one has been previously administered without increasing safety risks or risks of diminished efficacy relative to exclusive use of the reference biologic.</w:t>
      </w:r>
    </w:p>
    <w:p>
      <w:pPr>
        <w:spacing w:after="0" w:line="12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102"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Regulatory Matters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95"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7"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1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Healthcare Laws</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Reform Measures</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the Patient Protection and Affordable Care Act, as amended by the Health Care and Education Reconciliation Act of 2010, or collectively, the ACA,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w:t>
      </w:r>
    </w:p>
    <w:p>
      <w:pPr>
        <w:sectPr>
          <w:pgSz w:w="12240" w:h="15840" w:orient="portrait"/>
          <w:cols w:equalWidth="0" w:num="1">
            <w:col w:w="10440"/>
          </w:cols>
          <w:pgMar w:left="900" w:top="960" w:right="900" w:bottom="18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10440"/>
          </w:cols>
          <w:pgMar w:left="900" w:top="960" w:right="900" w:bottom="181" w:gutter="0" w:footer="0" w:header="0"/>
          <w:type w:val="continuous"/>
        </w:sectPr>
      </w:pPr>
    </w:p>
    <w:bookmarkStart w:id="53" w:name="page54"/>
    <w:bookmarkEnd w:id="53"/>
    <w:p>
      <w:pPr>
        <w:jc w:val="both"/>
        <w:spacing w:after="0" w:line="289" w:lineRule="auto"/>
        <w:rPr>
          <w:sz w:val="20"/>
          <w:szCs w:val="20"/>
          <w:color w:val="auto"/>
        </w:rPr>
      </w:pPr>
      <w:r>
        <w:rPr>
          <w:rFonts w:ascii="Arial" w:cs="Arial" w:eastAsia="Arial" w:hAnsi="Arial"/>
          <w:sz w:val="17"/>
          <w:szCs w:val="17"/>
          <w:b w:val="1"/>
          <w:bCs w:val="1"/>
          <w:color w:val="auto"/>
        </w:rPr>
        <w:t>care organizations; subjected manufacturers to new annual fees and taxes for certain branded prescription drugs; created a Medicare Part D coverage gap discount program, under which manufacturers were required to agree to offer 70% point-of-sale discounts off negotiated prices of applicable brand drugs to eligible beneficiaries during their coverage gap period, as a condition for the manufacturer’s outpatient drugs to be covered under Medicare Part D (later revised by the Inflation Reduction Act); and provided incentives to programs that increase the federal government’s comparative effectiveness research.</w:t>
      </w:r>
    </w:p>
    <w:p>
      <w:pPr>
        <w:spacing w:after="0" w:line="93" w:lineRule="exact"/>
        <w:rPr>
          <w:sz w:val="20"/>
          <w:szCs w:val="20"/>
          <w:color w:val="auto"/>
        </w:rPr>
      </w:pPr>
    </w:p>
    <w:p>
      <w:pPr>
        <w:jc w:val="both"/>
        <w:ind w:firstLine="490"/>
        <w:spacing w:after="0" w:line="318" w:lineRule="auto"/>
        <w:rPr>
          <w:sz w:val="20"/>
          <w:szCs w:val="20"/>
          <w:color w:val="auto"/>
        </w:rPr>
      </w:pPr>
      <w:r>
        <w:rPr>
          <w:rFonts w:ascii="Arial" w:cs="Arial" w:eastAsia="Arial" w:hAnsi="Arial"/>
          <w:sz w:val="15"/>
          <w:szCs w:val="15"/>
          <w:b w:val="1"/>
          <w:bCs w:val="1"/>
          <w:color w:val="auto"/>
        </w:rPr>
        <w:t>Since its enactment, there have been numerous judicial, administrative, executive, and legislative challenges to certain aspects of the ACA. On June 17, 2021, for example, the U.S. Supreme Court dismissed the most recent judicial challenge to the ACA</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 xml:space="preserve">brought by several states without specifically ruling on the constitutionality of the ACA. In </w:t>
      </w:r>
      <w:r>
        <w:rPr>
          <w:sz w:val="1"/>
          <w:szCs w:val="1"/>
          <w:color w:val="auto"/>
        </w:rPr>
        <w:drawing>
          <wp:inline distT="0" distB="0" distL="0" distR="0">
            <wp:extent cx="140970" cy="1155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2">
                      <a:extLst>
                        <a:ext uri="{28A0092B-C50C-407E-A947-70E740481C1C}"/>
                      </a:extLst>
                    </a:blip>
                    <a:srcRect/>
                    <a:stretch>
                      <a:fillRect/>
                    </a:stretch>
                  </pic:blipFill>
                  <pic:spPr bwMode="auto">
                    <a:xfrm>
                      <a:off x="0" y="0"/>
                      <a:ext cx="140970" cy="115570"/>
                    </a:xfrm>
                    <a:prstGeom prst="rect">
                      <a:avLst/>
                    </a:prstGeom>
                    <a:noFill/>
                    <a:ln>
                      <a:noFill/>
                    </a:ln>
                  </pic:spPr>
                </pic:pic>
              </a:graphicData>
            </a:graphic>
          </wp:inline>
        </w:drawing>
        <w:drawing>
          <wp:inline distT="0" distB="0" distL="0" distR="0">
            <wp:extent cx="118110" cy="11557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3">
                      <a:extLst>
                        <a:ext uri="{28A0092B-C50C-407E-A947-70E740481C1C}"/>
                      </a:extLst>
                    </a:blip>
                    <a:srcRect/>
                    <a:stretch>
                      <a:fillRect/>
                    </a:stretch>
                  </pic:blipFill>
                  <pic:spPr bwMode="auto">
                    <a:xfrm>
                      <a:off x="0" y="0"/>
                      <a:ext cx="118110" cy="115570"/>
                    </a:xfrm>
                    <a:prstGeom prst="rect">
                      <a:avLst/>
                    </a:prstGeom>
                    <a:noFill/>
                    <a:ln>
                      <a:noFill/>
                    </a:ln>
                  </pic:spPr>
                </pic:pic>
              </a:graphicData>
            </a:graphic>
          </wp:inline>
        </w:drawing>
        <w:drawing>
          <wp:inline distT="0" distB="0" distL="0" distR="0">
            <wp:extent cx="93980" cy="11557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4">
                      <a:extLst>
                        <a:ext uri="{28A0092B-C50C-407E-A947-70E740481C1C}"/>
                      </a:extLst>
                    </a:blip>
                    <a:srcRect/>
                    <a:stretch>
                      <a:fillRect/>
                    </a:stretch>
                  </pic:blipFill>
                  <pic:spPr bwMode="auto">
                    <a:xfrm>
                      <a:off x="0" y="0"/>
                      <a:ext cx="93980" cy="115570"/>
                    </a:xfrm>
                    <a:prstGeom prst="rect">
                      <a:avLst/>
                    </a:prstGeom>
                    <a:noFill/>
                    <a:ln>
                      <a:noFill/>
                    </a:ln>
                  </pic:spPr>
                </pic:pic>
              </a:graphicData>
            </a:graphic>
          </wp:inline>
        </w:drawing>
        <w:drawing>
          <wp:inline distT="0" distB="0" distL="0" distR="0">
            <wp:extent cx="146050" cy="863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5">
                      <a:extLst>
                        <a:ext uri="{28A0092B-C50C-407E-A947-70E740481C1C}"/>
                      </a:extLst>
                    </a:blip>
                    <a:srcRect/>
                    <a:stretch>
                      <a:fillRect/>
                    </a:stretch>
                  </pic:blipFill>
                  <pic:spPr bwMode="auto">
                    <a:xfrm>
                      <a:off x="0" y="0"/>
                      <a:ext cx="146050" cy="86360"/>
                    </a:xfrm>
                    <a:prstGeom prst="rect">
                      <a:avLst/>
                    </a:prstGeom>
                    <a:noFill/>
                    <a:ln>
                      <a:noFill/>
                    </a:ln>
                  </pic:spPr>
                </pic:pic>
              </a:graphicData>
            </a:graphic>
          </wp:inline>
        </w:drawing>
        <w:drawing>
          <wp:inline distT="0" distB="0" distL="0" distR="0">
            <wp:extent cx="186690" cy="863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6">
                      <a:extLst>
                        <a:ext uri="{28A0092B-C50C-407E-A947-70E740481C1C}"/>
                      </a:extLst>
                    </a:blip>
                    <a:srcRect/>
                    <a:stretch>
                      <a:fillRect/>
                    </a:stretch>
                  </pic:blipFill>
                  <pic:spPr bwMode="auto">
                    <a:xfrm>
                      <a:off x="0" y="0"/>
                      <a:ext cx="186690" cy="86360"/>
                    </a:xfrm>
                    <a:prstGeom prst="rect">
                      <a:avLst/>
                    </a:prstGeom>
                    <a:noFill/>
                    <a:ln>
                      <a:noFill/>
                    </a:ln>
                  </pic:spPr>
                </pic:pic>
              </a:graphicData>
            </a:graphic>
          </wp:inline>
        </w:drawing>
        <w:drawing>
          <wp:inline distT="0" distB="0" distL="0" distR="0">
            <wp:extent cx="90805" cy="1155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7">
                      <a:extLst>
                        <a:ext uri="{28A0092B-C50C-407E-A947-70E740481C1C}"/>
                      </a:extLst>
                    </a:blip>
                    <a:srcRect/>
                    <a:stretch>
                      <a:fillRect/>
                    </a:stretch>
                  </pic:blipFill>
                  <pic:spPr bwMode="auto">
                    <a:xfrm>
                      <a:off x="0" y="0"/>
                      <a:ext cx="90805" cy="115570"/>
                    </a:xfrm>
                    <a:prstGeom prst="rect">
                      <a:avLst/>
                    </a:prstGeom>
                    <a:noFill/>
                    <a:ln>
                      <a:noFill/>
                    </a:ln>
                  </pic:spPr>
                </pic:pic>
              </a:graphicData>
            </a:graphic>
          </wp:inline>
        </w:drawing>
        <w:drawing>
          <wp:inline distT="0" distB="0" distL="0" distR="0">
            <wp:extent cx="115570" cy="13462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8">
                      <a:extLst>
                        <a:ext uri="{28A0092B-C50C-407E-A947-70E740481C1C}"/>
                      </a:extLst>
                    </a:blip>
                    <a:srcRect/>
                    <a:stretch>
                      <a:fillRect/>
                    </a:stretch>
                  </pic:blipFill>
                  <pic:spPr bwMode="auto">
                    <a:xfrm>
                      <a:off x="0" y="0"/>
                      <a:ext cx="115570" cy="134620"/>
                    </a:xfrm>
                    <a:prstGeom prst="rect">
                      <a:avLst/>
                    </a:prstGeom>
                    <a:noFill/>
                    <a:ln>
                      <a:noFill/>
                    </a:ln>
                  </pic:spPr>
                </pic:pic>
              </a:graphicData>
            </a:graphic>
          </wp:inline>
        </w:drawing>
        <w:drawing>
          <wp:inline distT="0" distB="0" distL="0" distR="0">
            <wp:extent cx="107950" cy="1155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9">
                      <a:extLst>
                        <a:ext uri="{28A0092B-C50C-407E-A947-70E740481C1C}"/>
                      </a:extLst>
                    </a:blip>
                    <a:srcRect/>
                    <a:stretch>
                      <a:fillRect/>
                    </a:stretch>
                  </pic:blipFill>
                  <pic:spPr bwMode="auto">
                    <a:xfrm>
                      <a:off x="0" y="0"/>
                      <a:ext cx="107950" cy="115570"/>
                    </a:xfrm>
                    <a:prstGeom prst="rect">
                      <a:avLst/>
                    </a:prstGeom>
                    <a:noFill/>
                    <a:ln>
                      <a:noFill/>
                    </a:ln>
                  </pic:spPr>
                </pic:pic>
              </a:graphicData>
            </a:graphic>
          </wp:inline>
        </w:drawing>
      </w:r>
      <w:r>
        <w:rPr>
          <w:rFonts w:ascii="Arial" w:cs="Arial" w:eastAsia="Arial" w:hAnsi="Arial"/>
          <w:sz w:val="17"/>
          <w:szCs w:val="17"/>
          <w:b w:val="1"/>
          <w:bCs w:val="1"/>
          <w:color w:val="auto"/>
        </w:rPr>
        <w:t xml:space="preserve"> executive orders have been issued (and we anticipate that additional executive orders will be issued under the current administration) that have sought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 It is unclear how these healthcare reform measures will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-798195</wp:posOffset>
            </wp:positionV>
            <wp:extent cx="43815" cy="59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0">
                      <a:extLst>
                        <a:ext uri="{28A0092B-C50C-407E-A947-70E740481C1C}"/>
                      </a:extLst>
                    </a:blip>
                    <a:srcRect/>
                    <a:stretch>
                      <a:fillRect/>
                    </a:stretch>
                  </pic:blipFill>
                  <pic:spPr bwMode="auto">
                    <a:xfrm>
                      <a:off x="0" y="0"/>
                      <a:ext cx="43815" cy="59055"/>
                    </a:xfrm>
                    <a:prstGeom prst="rect">
                      <a:avLst/>
                    </a:prstGeom>
                    <a:noFill/>
                  </pic:spPr>
                </pic:pic>
              </a:graphicData>
            </a:graphic>
          </wp:anchor>
        </w:drawing>
      </w:r>
    </w:p>
    <w:p>
      <w:pPr>
        <w:spacing w:after="0" w:line="8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Other legislative changes have been proposed and adopted in the United States since the Affordable Care Act was enacted. For example, the U.S. American Rescue Plan Act of 2021 eliminated the statutory Medicaid drug rebate cap, previously set at 100% of a drug’s average manufacturer price, for single source and innovator multiple source drugs, starting January 1, 2024. Due to the Statutory Pay-As-You-Go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96" w:lineRule="exact"/>
        <w:rPr>
          <w:sz w:val="20"/>
          <w:szCs w:val="20"/>
          <w:color w:val="auto"/>
        </w:rPr>
      </w:pPr>
    </w:p>
    <w:p>
      <w:pPr>
        <w:jc w:val="both"/>
        <w:ind w:firstLine="490"/>
        <w:spacing w:after="0" w:line="320" w:lineRule="auto"/>
        <w:rPr>
          <w:sz w:val="20"/>
          <w:szCs w:val="20"/>
          <w:color w:val="auto"/>
        </w:rPr>
      </w:pPr>
      <w:r>
        <w:rPr>
          <w:rFonts w:ascii="Arial" w:cs="Arial" w:eastAsia="Arial" w:hAnsi="Arial"/>
          <w:sz w:val="15"/>
          <w:szCs w:val="15"/>
          <w:b w:val="1"/>
          <w:bCs w:val="1"/>
          <w:color w:val="auto"/>
        </w:rPr>
        <w:t>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w:t>
      </w:r>
    </w:p>
    <w:p>
      <w:pPr>
        <w:spacing w:after="0" w:line="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 xml:space="preserve">and delay until January 1, </w:t>
      </w:r>
      <w:r>
        <w:rPr>
          <w:sz w:val="1"/>
          <w:szCs w:val="1"/>
          <w:color w:val="auto"/>
        </w:rPr>
        <w:drawing>
          <wp:inline distT="0" distB="0" distL="0" distR="0">
            <wp:extent cx="144145" cy="11239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1">
                      <a:extLst>
                        <a:ext uri="{28A0092B-C50C-407E-A947-70E740481C1C}"/>
                      </a:extLst>
                    </a:blip>
                    <a:srcRect/>
                    <a:stretch>
                      <a:fillRect/>
                    </a:stretch>
                  </pic:blipFill>
                  <pic:spPr bwMode="auto">
                    <a:xfrm>
                      <a:off x="0" y="0"/>
                      <a:ext cx="144145" cy="112395"/>
                    </a:xfrm>
                    <a:prstGeom prst="rect">
                      <a:avLst/>
                    </a:prstGeom>
                    <a:noFill/>
                    <a:ln>
                      <a:noFill/>
                    </a:ln>
                  </pic:spPr>
                </pic:pic>
              </a:graphicData>
            </a:graphic>
          </wp:inline>
        </w:drawing>
        <w:drawing>
          <wp:inline distT="0" distB="0" distL="0" distR="0">
            <wp:extent cx="142875" cy="11239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2">
                      <a:extLst>
                        <a:ext uri="{28A0092B-C50C-407E-A947-70E740481C1C}"/>
                      </a:extLst>
                    </a:blip>
                    <a:srcRect/>
                    <a:stretch>
                      <a:fillRect/>
                    </a:stretch>
                  </pic:blipFill>
                  <pic:spPr bwMode="auto">
                    <a:xfrm>
                      <a:off x="0" y="0"/>
                      <a:ext cx="142875" cy="112395"/>
                    </a:xfrm>
                    <a:prstGeom prst="rect">
                      <a:avLst/>
                    </a:prstGeom>
                    <a:noFill/>
                    <a:ln>
                      <a:noFill/>
                    </a:ln>
                  </pic:spPr>
                </pic:pic>
              </a:graphicData>
            </a:graphic>
          </wp:inline>
        </w:drawing>
        <w:drawing>
          <wp:inline distT="0" distB="0" distL="0" distR="0">
            <wp:extent cx="123190" cy="1155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3">
                      <a:extLst>
                        <a:ext uri="{28A0092B-C50C-407E-A947-70E740481C1C}"/>
                      </a:extLst>
                    </a:blip>
                    <a:srcRect/>
                    <a:stretch>
                      <a:fillRect/>
                    </a:stretch>
                  </pic:blipFill>
                  <pic:spPr bwMode="auto">
                    <a:xfrm>
                      <a:off x="0" y="0"/>
                      <a:ext cx="123190" cy="115570"/>
                    </a:xfrm>
                    <a:prstGeom prst="rect">
                      <a:avLst/>
                    </a:prstGeom>
                    <a:noFill/>
                    <a:ln>
                      <a:noFill/>
                    </a:ln>
                  </pic:spPr>
                </pic:pic>
              </a:graphicData>
            </a:graphic>
          </wp:inline>
        </w:drawing>
        <w:drawing>
          <wp:inline distT="0" distB="0" distL="0" distR="0">
            <wp:extent cx="72390" cy="863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4">
                      <a:extLst>
                        <a:ext uri="{28A0092B-C50C-407E-A947-70E740481C1C}"/>
                      </a:extLst>
                    </a:blip>
                    <a:srcRect/>
                    <a:stretch>
                      <a:fillRect/>
                    </a:stretch>
                  </pic:blipFill>
                  <pic:spPr bwMode="auto">
                    <a:xfrm>
                      <a:off x="0" y="0"/>
                      <a:ext cx="72390" cy="86360"/>
                    </a:xfrm>
                    <a:prstGeom prst="rect">
                      <a:avLst/>
                    </a:prstGeom>
                    <a:noFill/>
                    <a:ln>
                      <a:noFill/>
                    </a:ln>
                  </pic:spPr>
                </pic:pic>
              </a:graphicData>
            </a:graphic>
          </wp:inline>
        </w:drawing>
      </w:r>
      <w:r>
        <w:rPr>
          <w:rFonts w:ascii="Arial" w:cs="Arial" w:eastAsia="Arial" w:hAnsi="Arial"/>
          <w:sz w:val="17"/>
          <w:szCs w:val="17"/>
          <w:b w:val="1"/>
          <w:bCs w:val="1"/>
          <w:color w:val="auto"/>
        </w:rPr>
        <w:t xml:space="preserv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U.S. Environmental, Health and Safety Laws and Regulations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5"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102"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31"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As of December 31, 2024, we had 84 full-time employees, including 34 who hold Ph.D. or M.D. degrees, and no part-time employees. Of the full-time employees, 60 employees are engaged in research and development and 24 employees are engaged in</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44</w:t>
      </w:r>
    </w:p>
    <w:p>
      <w:pPr>
        <w:sectPr>
          <w:pgSz w:w="12240" w:h="15840" w:orient="portrait"/>
          <w:cols w:equalWidth="0" w:num="1">
            <w:col w:w="10440"/>
          </w:cols>
          <w:pgMar w:left="900" w:top="960" w:right="900" w:bottom="181" w:gutter="0" w:footer="0" w:header="0"/>
          <w:type w:val="continuous"/>
        </w:sectPr>
      </w:pPr>
    </w:p>
    <w:bookmarkStart w:id="54" w:name="page55"/>
    <w:bookmarkEnd w:id="54"/>
    <w:p>
      <w:pPr>
        <w:jc w:val="both"/>
        <w:spacing w:after="0" w:line="309" w:lineRule="auto"/>
        <w:rPr>
          <w:sz w:val="20"/>
          <w:szCs w:val="20"/>
          <w:color w:val="auto"/>
        </w:rPr>
      </w:pPr>
      <w:r>
        <w:rPr>
          <w:rFonts w:ascii="Arial" w:cs="Arial" w:eastAsia="Arial" w:hAnsi="Arial"/>
          <w:sz w:val="17"/>
          <w:szCs w:val="17"/>
          <w:b w:val="1"/>
          <w:bCs w:val="1"/>
          <w:color w:val="auto"/>
        </w:rPr>
        <w:t>management or selling, general and administrative activities. None of our employees are subject to a collective bargaining agreement or represented by a trade or labor union. We consider our relationship with our employees to be good.</w:t>
      </w:r>
    </w:p>
    <w:p>
      <w:pPr>
        <w:spacing w:after="0" w:line="75"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129"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Our principal office is located at 321 Arsenal Street, Suite 101, Watertown, MA 02472, where we lease and sublease a total of approximately 16,847 square feet of office space. The lease and sublease terms will end in December 2029 and November 2026, respectively.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From time to time, we may be involved in various other claims and legal proceedings relating to claims arising out of our operations. We are not currently a party to any material legal proceedings.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3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10440"/>
          </w:cols>
          <w:pgMar w:left="900" w:top="960" w:right="900" w:bottom="181" w:gutter="0" w:footer="0" w:header="0"/>
          <w:type w:val="continuous"/>
        </w:sectPr>
      </w:pPr>
    </w:p>
    <w:bookmarkStart w:id="55" w:name="page56"/>
    <w:bookmarkEnd w:id="55"/>
    <w:p>
      <w:pPr>
        <w:spacing w:after="0"/>
        <w:tabs>
          <w:tab w:leader="none" w:pos="10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Limited Operating History, Financial Position and Capital Requirements</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Our limited operating history may make it difficult for you to evaluate the success of our business to date and to assess our future viability.</w:t>
      </w:r>
    </w:p>
    <w:p>
      <w:pPr>
        <w:spacing w:after="0" w:line="13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07"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have incurred significant net losses since our inception and anticipate that we will continue to incur losses for the foreseeable future.</w:t>
      </w:r>
    </w:p>
    <w:p>
      <w:pPr>
        <w:spacing w:after="0" w:line="132"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Our net losses were $109.4 million and $76.4 million for the years ended December 31, 2024 and 2023, respectively. We had an accumulated deficit of $298.0 million as of December 31, 2024. Substantially all of our net losses have resulted from costs incurred in connection with our research and development programs and from selling,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69"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4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our ability to successfully open clinical trial sites and recruit and retain subjects for clinical trials and any delays caused by difficulties in such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our ability to obtain regulatory approval for our product candidates, and the timing and scope of any such approvals we may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the timing and cost of, and level of investment in, research and development activities relating to our product candidates, which may change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720"/>
        <w:spacing w:after="0" w:line="281" w:lineRule="auto"/>
        <w:rPr>
          <w:sz w:val="20"/>
          <w:szCs w:val="20"/>
          <w:color w:val="auto"/>
        </w:rPr>
      </w:pPr>
      <w:r>
        <w:rPr>
          <w:rFonts w:ascii="Arial" w:cs="Arial" w:eastAsia="Arial" w:hAnsi="Arial"/>
          <w:sz w:val="18"/>
          <w:szCs w:val="18"/>
          <w:b w:val="1"/>
          <w:bCs w:val="1"/>
          <w:color w:val="auto"/>
        </w:rPr>
        <w:t>the cost of manufacturing our product candidates and products, should they receive regulatory approval, which may vary depending on the quantity of production and the terms of our agreements with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-266700</wp:posOffset>
            </wp:positionV>
            <wp:extent cx="71120" cy="711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attract, hire and retain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46</w:t>
      </w:r>
    </w:p>
    <w:p>
      <w:pPr>
        <w:sectPr>
          <w:pgSz w:w="12240" w:h="15840" w:orient="portrait"/>
          <w:cols w:equalWidth="0" w:num="1">
            <w:col w:w="10440"/>
          </w:cols>
          <w:pgMar w:left="900" w:top="949" w:right="900" w:bottom="181" w:gutter="0" w:footer="0" w:header="0"/>
          <w:type w:val="continuous"/>
        </w:sectPr>
      </w:pPr>
    </w:p>
    <w:bookmarkStart w:id="56" w:name="page57"/>
    <w:bookmarkEnd w:id="56"/>
    <w:p>
      <w:pPr>
        <w:ind w:left="720"/>
        <w:spacing w:after="0"/>
        <w:rPr>
          <w:sz w:val="20"/>
          <w:szCs w:val="20"/>
          <w:color w:val="auto"/>
        </w:rPr>
      </w:pPr>
      <w:r>
        <w:rPr>
          <w:rFonts w:ascii="Arial" w:cs="Arial" w:eastAsia="Arial" w:hAnsi="Arial"/>
          <w:sz w:val="20"/>
          <w:szCs w:val="20"/>
          <w:b w:val="1"/>
          <w:bCs w:val="1"/>
          <w:color w:val="auto"/>
        </w:rPr>
        <w:t>expenditures that we will or may incur to develop additional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the level of demand for our products should they receive regulatory approval, which may vary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risk/benefit profile, cost and reimbursement policies with respect to our product candidates, if approved, and existing and potential future therapeutics that compete with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540"/>
        <w:spacing w:after="0" w:line="391" w:lineRule="auto"/>
        <w:rPr>
          <w:sz w:val="20"/>
          <w:szCs w:val="20"/>
          <w:color w:val="auto"/>
        </w:rPr>
      </w:pPr>
      <w:r>
        <w:rPr>
          <w:rFonts w:ascii="Arial" w:cs="Arial" w:eastAsia="Arial" w:hAnsi="Arial"/>
          <w:sz w:val="19"/>
          <w:szCs w:val="19"/>
          <w:b w:val="1"/>
          <w:bCs w:val="1"/>
          <w:color w:val="auto"/>
        </w:rPr>
        <w:t>the changing and volatile U.S. and global economic environments, including as a result of public health crises; and future accounting pronouncements or changes in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-410845</wp:posOffset>
            </wp:positionV>
            <wp:extent cx="71120" cy="711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-179070</wp:posOffset>
            </wp:positionV>
            <wp:extent cx="71120" cy="711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firstLine="490"/>
        <w:spacing w:after="0" w:line="269" w:lineRule="auto"/>
        <w:rPr>
          <w:sz w:val="20"/>
          <w:szCs w:val="20"/>
          <w:color w:val="auto"/>
        </w:rPr>
      </w:pPr>
      <w:r>
        <w:rPr>
          <w:rFonts w:ascii="Arial" w:cs="Arial" w:eastAsia="Arial" w:hAnsi="Arial"/>
          <w:sz w:val="18"/>
          <w:szCs w:val="18"/>
          <w:b w:val="1"/>
          <w:bCs w:val="1"/>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no products approved for commercial sale and have not generated any revenue from product sales.</w:t>
      </w:r>
    </w:p>
    <w:p>
      <w:pPr>
        <w:spacing w:after="0" w:line="13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successfully complete our ongoing and planned preclinical studies for our current and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-83185</wp:posOffset>
            </wp:positionV>
            <wp:extent cx="71120" cy="71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timely file and receive acceptance of our Investigational New Drug applications, or INDs, in order to commence our planned clinical trials or future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successfully enroll subjects in and complete, our ongoing and planned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initiate and successfully complete all safety and efficacy studies necessary to obtain U.S. and foreign regulatory approval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successfully address the prevalence, duration and severity of potential side effects or other safety issues experienced with our product candidates,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5" w:lineRule="auto"/>
        <w:rPr>
          <w:sz w:val="20"/>
          <w:szCs w:val="20"/>
          <w:color w:val="auto"/>
        </w:rPr>
      </w:pPr>
      <w:r>
        <w:rPr>
          <w:rFonts w:ascii="Arial" w:cs="Arial" w:eastAsia="Arial" w:hAnsi="Arial"/>
          <w:sz w:val="20"/>
          <w:szCs w:val="20"/>
          <w:b w:val="1"/>
          <w:bCs w:val="1"/>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-387985</wp:posOffset>
            </wp:positionV>
            <wp:extent cx="71120" cy="711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establish and maintain clinical and commercial manufacturing capabilities or make arrangements with third-party manufacturers for clinical supply and commercial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900"/>
        <w:spacing w:after="0" w:line="505" w:lineRule="auto"/>
        <w:rPr>
          <w:sz w:val="20"/>
          <w:szCs w:val="20"/>
          <w:color w:val="auto"/>
        </w:rPr>
      </w:pPr>
      <w:r>
        <w:rPr>
          <w:rFonts w:ascii="Arial" w:cs="Arial" w:eastAsia="Arial" w:hAnsi="Arial"/>
          <w:sz w:val="15"/>
          <w:szCs w:val="15"/>
          <w:b w:val="1"/>
          <w:bCs w:val="1"/>
          <w:color w:val="auto"/>
        </w:rPr>
        <w:t>obtain and maintain patent and trade secret protection or regulatory exclusivity for our product candidates; launch commercial sales of our products, if and when approved, whether alone or in collaboration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-419735</wp:posOffset>
            </wp:positionV>
            <wp:extent cx="71120" cy="711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-187960</wp:posOffset>
            </wp:positionV>
            <wp:extent cx="71120" cy="711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720"/>
        <w:spacing w:after="0" w:line="234" w:lineRule="auto"/>
        <w:rPr>
          <w:sz w:val="20"/>
          <w:szCs w:val="20"/>
          <w:color w:val="auto"/>
        </w:rPr>
      </w:pPr>
      <w:r>
        <w:rPr>
          <w:rFonts w:ascii="Arial" w:cs="Arial" w:eastAsia="Arial" w:hAnsi="Arial"/>
          <w:sz w:val="20"/>
          <w:szCs w:val="20"/>
          <w:b w:val="1"/>
          <w:bCs w:val="1"/>
          <w:color w:val="auto"/>
        </w:rPr>
        <w:t>obtain and maintain acceptance of our products, if and when approved, by patients, the medical community and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position our product candidates to effectively compete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obtain and maintain healthcare coverage and adequate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enforce and defend intellectual property rights and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maintain a continued acceptable safety profile of our products following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existing and any future indebtedness could adversely affect our ability to operate our business.</w:t>
      </w:r>
    </w:p>
    <w:p>
      <w:pPr>
        <w:sectPr>
          <w:pgSz w:w="12240" w:h="15840" w:orient="portrait"/>
          <w:cols w:equalWidth="0" w:num="1">
            <w:col w:w="10440"/>
          </w:cols>
          <w:pgMar w:left="900" w:top="964" w:right="900" w:bottom="181"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10440"/>
          </w:cols>
          <w:pgMar w:left="900" w:top="964" w:right="900" w:bottom="181" w:gutter="0" w:footer="0" w:header="0"/>
          <w:type w:val="continuous"/>
        </w:sectPr>
      </w:pPr>
    </w:p>
    <w:bookmarkStart w:id="57" w:name="page58"/>
    <w:bookmarkEnd w:id="57"/>
    <w:p>
      <w:pPr>
        <w:jc w:val="both"/>
        <w:ind w:firstLine="490"/>
        <w:spacing w:after="0" w:line="269" w:lineRule="auto"/>
        <w:rPr>
          <w:sz w:val="20"/>
          <w:szCs w:val="20"/>
          <w:color w:val="auto"/>
        </w:rPr>
      </w:pPr>
      <w:r>
        <w:rPr>
          <w:rFonts w:ascii="Arial" w:cs="Arial" w:eastAsia="Arial" w:hAnsi="Arial"/>
          <w:sz w:val="18"/>
          <w:szCs w:val="18"/>
          <w:b w:val="1"/>
          <w:bCs w:val="1"/>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10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104"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6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If we raise any additional debt financing, the terms of such additional debt could further restrict our operating and financial flexibility.</w:t>
      </w:r>
    </w:p>
    <w:p>
      <w:pPr>
        <w:spacing w:after="0" w:line="25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b w:val="1"/>
          <w:b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75"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9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believe that our cash, cash equivalents and marketable securities, including the net proceeds of our January 2025 underwritten public offering, will enable us to fund operating expenses and capital expenditure requirements into 2028,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timing and progress of preclinical and clinical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number and scope of preclinical and clinical programs we decide to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our ability to raise additional funds to the extent necessary to complete clinical development of and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our ability to establish new and maintain existing licensing or collaboration arrangements and the progress of the development efforts of third parties with whom we may enter into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our ability to maintain our current research and development programs and to establish new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successful initiation, enrollment and completion of clinical trials with safety, tolerability and efficacy profiles that are satisfactory to the FDA or any comparable foreign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48</w:t>
      </w:r>
    </w:p>
    <w:p>
      <w:pPr>
        <w:sectPr>
          <w:pgSz w:w="12240" w:h="15840" w:orient="portrait"/>
          <w:cols w:equalWidth="0" w:num="1">
            <w:col w:w="10440"/>
          </w:cols>
          <w:pgMar w:left="900" w:top="960" w:right="900" w:bottom="181" w:gutter="0" w:footer="0" w:header="0"/>
          <w:type w:val="continuous"/>
        </w:sectPr>
      </w:pPr>
    </w:p>
    <w:bookmarkStart w:id="58" w:name="page59"/>
    <w:bookmarkEnd w:id="58"/>
    <w:p>
      <w:pPr>
        <w:ind w:left="720"/>
        <w:spacing w:after="0"/>
        <w:rPr>
          <w:sz w:val="20"/>
          <w:szCs w:val="20"/>
          <w:color w:val="auto"/>
        </w:rPr>
      </w:pPr>
      <w:r>
        <w:rPr>
          <w:rFonts w:ascii="Arial" w:cs="Arial" w:eastAsia="Arial" w:hAnsi="Arial"/>
          <w:sz w:val="17"/>
          <w:szCs w:val="17"/>
          <w:b w:val="1"/>
          <w:bCs w:val="1"/>
          <w:color w:val="auto"/>
        </w:rPr>
        <w:t>the receipt and related terms of regulatory approvals from applicable regulatory authorities for any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-83185</wp:posOffset>
            </wp:positionV>
            <wp:extent cx="71120" cy="711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availability of raw materials for use in production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establishing agreements with third-party manufacturers for supply of product candidate components for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-68580</wp:posOffset>
            </wp:positionV>
            <wp:extent cx="71120" cy="711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our ability to obtain and maintain patents, trade secret protection and regulatory exclusivity, both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protect our other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commercializing product candidates, if and when approved, whether alone or in collaboration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obtaining and maintaining third-party insurance coverage and adequate reimbursement for any approved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-83185</wp:posOffset>
            </wp:positionV>
            <wp:extent cx="71120" cy="711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potential additional expenses attributable to adjusting our development plans (including any supply related matters) to any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108"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9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rights to our technologies or product candidates.</w:t>
      </w:r>
    </w:p>
    <w:p>
      <w:pPr>
        <w:spacing w:after="0" w:line="132"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99"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10440"/>
          </w:cols>
          <w:pgMar w:left="900" w:top="974" w:right="900" w:bottom="181"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Risks Related to the Discovery and Development of Our Product Candidates</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133" w:lineRule="exact"/>
        <w:rPr>
          <w:sz w:val="20"/>
          <w:szCs w:val="20"/>
          <w:color w:val="auto"/>
        </w:rPr>
      </w:pPr>
    </w:p>
    <w:p>
      <w:pPr>
        <w:jc w:val="both"/>
        <w:ind w:firstLine="490"/>
        <w:spacing w:after="0" w:line="322" w:lineRule="auto"/>
        <w:rPr>
          <w:sz w:val="20"/>
          <w:szCs w:val="20"/>
          <w:color w:val="auto"/>
        </w:rPr>
      </w:pPr>
      <w:r>
        <w:rPr>
          <w:rFonts w:ascii="Arial" w:cs="Arial" w:eastAsia="Arial" w:hAnsi="Arial"/>
          <w:sz w:val="15"/>
          <w:szCs w:val="15"/>
          <w:b w:val="1"/>
          <w:bCs w:val="1"/>
          <w:color w:val="auto"/>
        </w:rPr>
        <w:t>We currently have only three product candidates in clinical development, none of which has yet progressed into a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129"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be delayed in obtaining regulatory approval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not obtain regulatory approval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obtain regulatory approval for indications or patient populations that are not as broad as intended or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continue to be subject to post-marketing testing requirements;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experience having the product removed from the market after obtaining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33"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50</w:t>
      </w:r>
    </w:p>
    <w:p>
      <w:pPr>
        <w:sectPr>
          <w:pgSz w:w="12240" w:h="15840" w:orient="portrait"/>
          <w:cols w:equalWidth="0" w:num="1">
            <w:col w:w="10440"/>
          </w:cols>
          <w:pgMar w:left="900" w:top="949" w:right="900" w:bottom="181" w:gutter="0" w:footer="0" w:header="0"/>
          <w:type w:val="continuous"/>
        </w:sectPr>
      </w:pPr>
    </w:p>
    <w:bookmarkStart w:id="60" w:name="page61"/>
    <w:bookmarkEnd w:id="60"/>
    <w:p>
      <w:pPr>
        <w:jc w:val="both"/>
        <w:spacing w:after="0" w:line="235" w:lineRule="auto"/>
        <w:rPr>
          <w:sz w:val="20"/>
          <w:szCs w:val="20"/>
          <w:color w:val="auto"/>
        </w:rPr>
      </w:pPr>
      <w:r>
        <w:rPr>
          <w:rFonts w:ascii="Arial" w:cs="Arial" w:eastAsia="Arial" w:hAnsi="Arial"/>
          <w:sz w:val="20"/>
          <w:szCs w:val="20"/>
          <w:b w:val="1"/>
          <w:bCs w:val="1"/>
          <w:color w:val="auto"/>
        </w:rPr>
        <w:t>The patient populations for our product candidates are limited to those with specific hematologic diseases. We cannot be certain that the patient populations for each specific disease will be large enough to allow us to successfully obtain approval for and commercialize our product candidates and achieve profitability.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product development involves a lengthy and expensive process, with an uncertain outcome.</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0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Additionally, some of the clinical trials we conduct, such as our completed BEACON Phase 2 clinical trial of bitopertin and our ongoing Phase 2 clinical trial of DISC-0974,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94"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1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95"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w:t>
      </w:r>
    </w:p>
    <w:p>
      <w:pPr>
        <w:sectPr>
          <w:pgSz w:w="12240" w:h="15840" w:orient="portrait"/>
          <w:cols w:equalWidth="0" w:num="1">
            <w:col w:w="10440"/>
          </w:cols>
          <w:pgMar w:left="900" w:top="960" w:right="900" w:bottom="181"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10440"/>
          </w:cols>
          <w:pgMar w:left="900" w:top="960" w:right="900" w:bottom="181" w:gutter="0" w:footer="0" w:header="0"/>
          <w:type w:val="continuous"/>
        </w:sectPr>
      </w:pPr>
    </w:p>
    <w:bookmarkStart w:id="61" w:name="page62"/>
    <w:bookmarkEnd w:id="61"/>
    <w:p>
      <w:pPr>
        <w:jc w:val="both"/>
        <w:spacing w:after="0" w:line="237" w:lineRule="auto"/>
        <w:rPr>
          <w:sz w:val="20"/>
          <w:szCs w:val="20"/>
          <w:color w:val="auto"/>
        </w:rPr>
      </w:pPr>
      <w:r>
        <w:rPr>
          <w:rFonts w:ascii="Arial" w:cs="Arial" w:eastAsia="Arial" w:hAnsi="Arial"/>
          <w:sz w:val="20"/>
          <w:szCs w:val="20"/>
          <w:b w:val="1"/>
          <w:bCs w:val="1"/>
          <w:color w:val="auto"/>
        </w:rPr>
        <w:t>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254"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3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 in patients with anemia of MF in December 2023, June 2024, and December 2024, and from our Phase 1b DISC-0974 trial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9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93"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may incur additional costs or experience delays in initiating or completing, or ultimately be unable to complete, the development and commercialization of our product candidates.</w:t>
      </w:r>
    </w:p>
    <w:p>
      <w:pPr>
        <w:spacing w:after="0" w:line="13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120"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we may receive feedback from regulatory authorities that requires us to modify the design or implementation of our preclinical studies or clinical trials or to delay or terminate 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54" w:lineRule="auto"/>
        <w:rPr>
          <w:sz w:val="20"/>
          <w:szCs w:val="20"/>
          <w:color w:val="auto"/>
        </w:rPr>
      </w:pPr>
      <w:r>
        <w:rPr>
          <w:rFonts w:ascii="Arial" w:cs="Arial" w:eastAsia="Arial" w:hAnsi="Arial"/>
          <w:sz w:val="19"/>
          <w:szCs w:val="19"/>
          <w:b w:val="1"/>
          <w:bCs w:val="1"/>
          <w:color w:val="auto"/>
        </w:rPr>
        <w:t>regulators or institutional review boards, or IRBs, or ethics committees may delay or may not authorize us or our investigators to commence a clinical trial or conduct a clinical trial at a prospective trial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71120" cy="711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720"/>
        <w:spacing w:after="0" w:line="252" w:lineRule="auto"/>
        <w:rPr>
          <w:sz w:val="20"/>
          <w:szCs w:val="20"/>
          <w:color w:val="auto"/>
        </w:rPr>
      </w:pPr>
      <w:r>
        <w:rPr>
          <w:rFonts w:ascii="Arial" w:cs="Arial" w:eastAsia="Arial" w:hAnsi="Arial"/>
          <w:sz w:val="19"/>
          <w:szCs w:val="19"/>
          <w:b w:val="1"/>
          <w:bCs w:val="1"/>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-395605</wp:posOffset>
            </wp:positionV>
            <wp:extent cx="71120" cy="711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720"/>
        <w:spacing w:after="0" w:line="274" w:lineRule="auto"/>
        <w:rPr>
          <w:sz w:val="20"/>
          <w:szCs w:val="20"/>
          <w:color w:val="auto"/>
        </w:rPr>
      </w:pPr>
      <w:r>
        <w:rPr>
          <w:rFonts w:ascii="Arial" w:cs="Arial" w:eastAsia="Arial" w:hAnsi="Arial"/>
          <w:sz w:val="18"/>
          <w:szCs w:val="18"/>
          <w:b w:val="1"/>
          <w:bCs w:val="1"/>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-408940</wp:posOffset>
            </wp:positionV>
            <wp:extent cx="71120" cy="711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52</w:t>
      </w:r>
    </w:p>
    <w:p>
      <w:pPr>
        <w:sectPr>
          <w:pgSz w:w="12240" w:h="15840" w:orient="portrait"/>
          <w:cols w:equalWidth="0" w:num="1">
            <w:col w:w="10440"/>
          </w:cols>
          <w:pgMar w:left="900" w:top="960" w:right="900" w:bottom="181" w:gutter="0" w:footer="0" w:header="0"/>
          <w:type w:val="continuous"/>
        </w:sectPr>
      </w:pPr>
    </w:p>
    <w:bookmarkStart w:id="62" w:name="page63"/>
    <w:bookmarkEnd w:id="62"/>
    <w:p>
      <w:pPr>
        <w:jc w:val="both"/>
        <w:ind w:left="720"/>
        <w:spacing w:after="0" w:line="233" w:lineRule="auto"/>
        <w:rPr>
          <w:sz w:val="20"/>
          <w:szCs w:val="20"/>
          <w:color w:val="auto"/>
        </w:rPr>
      </w:pPr>
      <w:r>
        <w:rPr>
          <w:rFonts w:ascii="Arial" w:cs="Arial" w:eastAsia="Arial" w:hAnsi="Arial"/>
          <w:sz w:val="20"/>
          <w:szCs w:val="20"/>
          <w:b w:val="1"/>
          <w:bCs w:val="1"/>
          <w:color w:val="auto"/>
        </w:rPr>
        <w:t>preclinical studies or clinical trials of our product candidates may not produce differentiated or clinically significant results across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720"/>
        <w:spacing w:after="0" w:line="253" w:lineRule="auto"/>
        <w:rPr>
          <w:sz w:val="20"/>
          <w:szCs w:val="20"/>
          <w:color w:val="auto"/>
        </w:rPr>
      </w:pPr>
      <w:r>
        <w:rPr>
          <w:rFonts w:ascii="Arial" w:cs="Arial" w:eastAsia="Arial" w:hAnsi="Arial"/>
          <w:sz w:val="19"/>
          <w:szCs w:val="19"/>
          <w:b w:val="1"/>
          <w:bCs w:val="1"/>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-397510</wp:posOffset>
            </wp:positionV>
            <wp:extent cx="71120" cy="711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720"/>
        <w:spacing w:after="0" w:line="291" w:lineRule="auto"/>
        <w:rPr>
          <w:sz w:val="20"/>
          <w:szCs w:val="20"/>
          <w:color w:val="auto"/>
        </w:rPr>
      </w:pPr>
      <w:r>
        <w:rPr>
          <w:rFonts w:ascii="Arial" w:cs="Arial" w:eastAsia="Arial" w:hAnsi="Arial"/>
          <w:sz w:val="17"/>
          <w:szCs w:val="17"/>
          <w:b w:val="1"/>
          <w:bCs w:val="1"/>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-560705</wp:posOffset>
            </wp:positionV>
            <wp:extent cx="71120" cy="711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jc w:val="both"/>
        <w:ind w:left="720"/>
        <w:spacing w:after="0" w:line="274" w:lineRule="auto"/>
        <w:rPr>
          <w:sz w:val="20"/>
          <w:szCs w:val="20"/>
          <w:color w:val="auto"/>
        </w:rPr>
      </w:pPr>
      <w:r>
        <w:rPr>
          <w:rFonts w:ascii="Arial" w:cs="Arial" w:eastAsia="Arial" w:hAnsi="Arial"/>
          <w:sz w:val="18"/>
          <w:szCs w:val="18"/>
          <w:b w:val="1"/>
          <w:bCs w:val="1"/>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-408940</wp:posOffset>
            </wp:positionV>
            <wp:extent cx="71120" cy="711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cost of clinical trials of our product candidates may be greater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96" w:lineRule="auto"/>
        <w:rPr>
          <w:sz w:val="20"/>
          <w:szCs w:val="20"/>
          <w:color w:val="auto"/>
        </w:rPr>
      </w:pPr>
      <w:r>
        <w:rPr>
          <w:rFonts w:ascii="Arial" w:cs="Arial" w:eastAsia="Arial" w:hAnsi="Arial"/>
          <w:sz w:val="17"/>
          <w:szCs w:val="17"/>
          <w:b w:val="1"/>
          <w:bCs w:val="1"/>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-417830</wp:posOffset>
            </wp:positionV>
            <wp:extent cx="71120" cy="711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any future collaborators may conduct clinical trials in ways they view as advantageous to them but that are suboptimal for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regulators may revise the requirements for approving our product candidates, or such requirements may not be as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29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1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10440"/>
          </w:cols>
          <w:pgMar w:left="900" w:top="974" w:right="900" w:bottom="181" w:gutter="0" w:footer="0" w:header="0"/>
          <w:type w:val="continuous"/>
        </w:sectPr>
      </w:pPr>
    </w:p>
    <w:bookmarkStart w:id="63" w:name="page64"/>
    <w:bookmarkEnd w:id="63"/>
    <w:p>
      <w:pPr>
        <w:jc w:val="both"/>
        <w:spacing w:after="0" w:line="233" w:lineRule="auto"/>
        <w:rPr>
          <w:sz w:val="20"/>
          <w:szCs w:val="20"/>
          <w:color w:val="auto"/>
        </w:rPr>
      </w:pPr>
      <w:r>
        <w:rPr>
          <w:rFonts w:ascii="Arial" w:cs="Arial" w:eastAsia="Arial" w:hAnsi="Arial"/>
          <w:sz w:val="20"/>
          <w:szCs w:val="20"/>
          <w:b w:val="1"/>
          <w:bCs w:val="1"/>
          <w:color w:val="auto"/>
        </w:rPr>
        <w:t>If we experience delays or difficulties in the enrollment of patients in clinical trials, our receipt of necessary regulatory approvals could be delayed or prevented.</w:t>
      </w:r>
    </w:p>
    <w:p>
      <w:pPr>
        <w:spacing w:after="0" w:line="13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105"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12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12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Patient enrollment may be affected by other factors, including:</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severity of the disease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efforts to obtain and maintain patient consents and facilitate timely enrollment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ability to monitor patients adequately during and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risk that patients enrolled in clinical trials will drop out of the clinical trials before clinical trial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ability to recruit clinical trial investigators with the appropriate competencies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reporting of the preliminary results of any of our clinical trials;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factors we may not be able to control, including the impacts of any public health crises, that may limit patients, principal investigators or staff or clinical site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3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have announced positive initial data from a Phase 1b/2 clinical trial of DISC-0974 in patients with non-dialysis dependent CKD and anemia. However, there can be no assurance that DISC-0974 will achieve the desired effects in this indication. Additionally, we announced positive results from a Phase 1 clinical trial of DISC-3405 in healthy adult volunteers in December 2024,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09"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54</w:t>
      </w:r>
    </w:p>
    <w:p>
      <w:pPr>
        <w:sectPr>
          <w:pgSz w:w="12240" w:h="15840" w:orient="portrait"/>
          <w:cols w:equalWidth="0" w:num="1">
            <w:col w:w="10440"/>
          </w:cols>
          <w:pgMar w:left="900" w:top="960" w:right="900" w:bottom="181" w:gutter="0" w:footer="0" w:header="0"/>
          <w:type w:val="continuous"/>
        </w:sectPr>
      </w:pPr>
    </w:p>
    <w:bookmarkStart w:id="64" w:name="page65"/>
    <w:bookmarkEnd w:id="64"/>
    <w:p>
      <w:pPr>
        <w:jc w:val="both"/>
        <w:spacing w:after="0" w:line="235" w:lineRule="auto"/>
        <w:rPr>
          <w:sz w:val="20"/>
          <w:szCs w:val="20"/>
          <w:color w:val="auto"/>
        </w:rPr>
      </w:pPr>
      <w:r>
        <w:rPr>
          <w:rFonts w:ascii="Arial" w:cs="Arial" w:eastAsia="Arial" w:hAnsi="Arial"/>
          <w:sz w:val="20"/>
          <w:szCs w:val="20"/>
          <w:b w:val="1"/>
          <w:b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133"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200" w:lineRule="exact"/>
        <w:rPr>
          <w:sz w:val="20"/>
          <w:szCs w:val="20"/>
          <w:color w:val="auto"/>
        </w:rPr>
      </w:pPr>
    </w:p>
    <w:p>
      <w:pPr>
        <w:spacing w:after="0" w:line="338"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0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133"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w:t>
      </w:r>
    </w:p>
    <w:p>
      <w:pPr>
        <w:sectPr>
          <w:pgSz w:w="12240" w:h="15840" w:orient="portrait"/>
          <w:cols w:equalWidth="0" w:num="1">
            <w:col w:w="10440"/>
          </w:cols>
          <w:pgMar w:left="900" w:top="960" w:right="900" w:bottom="181"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10440"/>
          </w:cols>
          <w:pgMar w:left="900" w:top="960" w:right="900" w:bottom="181" w:gutter="0" w:footer="0" w:header="0"/>
          <w:type w:val="continuous"/>
        </w:sectPr>
      </w:pPr>
    </w:p>
    <w:bookmarkStart w:id="65" w:name="page66"/>
    <w:bookmarkEnd w:id="65"/>
    <w:p>
      <w:pPr>
        <w:jc w:val="both"/>
        <w:spacing w:after="0" w:line="270" w:lineRule="auto"/>
        <w:rPr>
          <w:sz w:val="20"/>
          <w:szCs w:val="20"/>
          <w:color w:val="auto"/>
        </w:rPr>
      </w:pPr>
      <w:r>
        <w:rPr>
          <w:rFonts w:ascii="Arial" w:cs="Arial" w:eastAsia="Arial" w:hAnsi="Arial"/>
          <w:sz w:val="18"/>
          <w:szCs w:val="18"/>
          <w:b w:val="1"/>
          <w:bCs w:val="1"/>
          <w:color w:val="auto"/>
        </w:rPr>
        <w:t>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133"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We conducted BEACON, our Phase 2 open-label, parallel-dose clinical trial of bitopertin in EPP and XLP patients, at sites in Australia. All participants in BEACON are eligible to participate in HELIOS, an open-label, long-term extension study of bitopertin in EPP and XLP patients, that we are also conducting in Australia. We are also planning to conduct APOLLO, a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118"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the research methodology used may not be successful in identifying potential indications and/or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-82550</wp:posOffset>
            </wp:positionV>
            <wp:extent cx="71120" cy="711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potential product candidates may, after further study, be shown to have harmful adverse effects or other characteristics that indicate they are unlikely to be effective products;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74" w:lineRule="auto"/>
        <w:rPr>
          <w:sz w:val="20"/>
          <w:szCs w:val="20"/>
          <w:color w:val="auto"/>
        </w:rPr>
      </w:pPr>
      <w:r>
        <w:rPr>
          <w:rFonts w:ascii="Arial" w:cs="Arial" w:eastAsia="Arial" w:hAnsi="Arial"/>
          <w:sz w:val="18"/>
          <w:szCs w:val="18"/>
          <w:b w:val="1"/>
          <w:bCs w:val="1"/>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-408940</wp:posOffset>
            </wp:positionV>
            <wp:extent cx="71120" cy="711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2"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59"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w:t>
      </w:r>
    </w:p>
    <w:p>
      <w:pPr>
        <w:sectPr>
          <w:pgSz w:w="12240" w:h="15840" w:orient="portrait"/>
          <w:cols w:equalWidth="0" w:num="1">
            <w:col w:w="10440"/>
          </w:cols>
          <w:pgMar w:left="900" w:top="960" w:right="900" w:bottom="181" w:gutter="0" w:footer="0" w:header="0"/>
          <w:type w:val="continuous"/>
        </w:sectPr>
      </w:pPr>
    </w:p>
    <w:bookmarkStart w:id="66" w:name="page67"/>
    <w:bookmarkEnd w:id="66"/>
    <w:p>
      <w:pPr>
        <w:jc w:val="both"/>
        <w:ind w:firstLine="490"/>
        <w:spacing w:after="0" w:line="324" w:lineRule="auto"/>
        <w:rPr>
          <w:sz w:val="20"/>
          <w:szCs w:val="20"/>
          <w:color w:val="auto"/>
        </w:rPr>
      </w:pPr>
      <w:r>
        <w:rPr>
          <w:rFonts w:ascii="Arial" w:cs="Arial" w:eastAsia="Arial" w:hAnsi="Arial"/>
          <w:sz w:val="15"/>
          <w:szCs w:val="15"/>
          <w:b w:val="1"/>
          <w:bCs w:val="1"/>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306"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8" w:lineRule="exact"/>
        <w:rPr>
          <w:sz w:val="20"/>
          <w:szCs w:val="20"/>
          <w:color w:val="auto"/>
        </w:rPr>
      </w:pPr>
    </w:p>
    <w:p>
      <w:pPr>
        <w:ind w:left="720"/>
        <w:spacing w:after="0" w:line="369" w:lineRule="auto"/>
        <w:rPr>
          <w:sz w:val="20"/>
          <w:szCs w:val="20"/>
          <w:color w:val="auto"/>
        </w:rPr>
      </w:pPr>
      <w:r>
        <w:rPr>
          <w:rFonts w:ascii="Arial" w:cs="Arial" w:eastAsia="Arial" w:hAnsi="Arial"/>
          <w:sz w:val="20"/>
          <w:szCs w:val="20"/>
          <w:b w:val="1"/>
          <w:bCs w:val="1"/>
          <w:color w:val="auto"/>
        </w:rPr>
        <w:t>the FDA or comparable foreign regulatory authorities may disagree with the design or implementation of our clinical trials; we may not be able to enroll a sufficient number of patients in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-407670</wp:posOffset>
            </wp:positionV>
            <wp:extent cx="71120" cy="711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-175895</wp:posOffset>
            </wp:positionV>
            <wp:extent cx="71120" cy="711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we may be unable to demonstrate to the satisfaction of the FDA or comparable foreign regulatory authorities that a product candidate is safe and effective for its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results of clinical trials may not meet the level of statistical significance required by the FDA or comparable foreign regulatory authorities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we may be unable to demonstrate that a product candidate’s clinical and other benefits outweigh its safety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FDA or comparable foreign regulatory authorities may disagree with our interpretation of data from preclinical studies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78" w:lineRule="auto"/>
        <w:rPr>
          <w:sz w:val="20"/>
          <w:szCs w:val="20"/>
          <w:color w:val="auto"/>
        </w:rPr>
      </w:pPr>
      <w:r>
        <w:rPr>
          <w:rFonts w:ascii="Arial" w:cs="Arial" w:eastAsia="Arial" w:hAnsi="Arial"/>
          <w:sz w:val="18"/>
          <w:szCs w:val="18"/>
          <w:b w:val="1"/>
          <w:bCs w:val="1"/>
          <w:color w:val="auto"/>
        </w:rPr>
        <w:t>the data collected from clinical trials of our product candidates may not be sufficient to support the submission of an NDA, BLA or other submission or to obtain regulatory approval in the United States or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-263525</wp:posOffset>
            </wp:positionV>
            <wp:extent cx="71120" cy="711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ind w:left="720"/>
        <w:spacing w:after="0" w:line="312" w:lineRule="auto"/>
        <w:rPr>
          <w:sz w:val="20"/>
          <w:szCs w:val="20"/>
          <w:color w:val="auto"/>
        </w:rPr>
      </w:pPr>
      <w:r>
        <w:rPr>
          <w:rFonts w:ascii="Arial" w:cs="Arial" w:eastAsia="Arial" w:hAnsi="Arial"/>
          <w:sz w:val="17"/>
          <w:szCs w:val="17"/>
          <w:b w:val="1"/>
          <w:bCs w:val="1"/>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-281305</wp:posOffset>
            </wp:positionV>
            <wp:extent cx="71120" cy="711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approval policies or regulations of the FDA or comparable foreign regulatory authorities may significantly change such that our clinical data are insufficient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18"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10440"/>
          </w:cols>
          <w:pgMar w:left="900" w:top="960" w:right="900" w:bottom="181" w:gutter="0" w:footer="0" w:header="0"/>
          <w:type w:val="continuous"/>
        </w:sectPr>
      </w:pPr>
    </w:p>
    <w:bookmarkStart w:id="67" w:name="page68"/>
    <w:bookmarkEnd w:id="67"/>
    <w:p>
      <w:pPr>
        <w:jc w:val="both"/>
        <w:ind w:firstLine="490"/>
        <w:spacing w:after="0" w:line="289" w:lineRule="auto"/>
        <w:rPr>
          <w:sz w:val="20"/>
          <w:szCs w:val="20"/>
          <w:color w:val="auto"/>
        </w:rPr>
      </w:pPr>
      <w:r>
        <w:rPr>
          <w:rFonts w:ascii="Arial" w:cs="Arial" w:eastAsia="Arial" w:hAnsi="Arial"/>
          <w:sz w:val="17"/>
          <w:szCs w:val="17"/>
          <w:b w:val="1"/>
          <w:bCs w:val="1"/>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9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“Business - Competition” for examples of the competition that our product candidates face.</w:t>
      </w:r>
    </w:p>
    <w:p>
      <w:pPr>
        <w:spacing w:after="0" w:line="94"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108"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100"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58</w:t>
      </w:r>
    </w:p>
    <w:p>
      <w:pPr>
        <w:sectPr>
          <w:pgSz w:w="12240" w:h="15840" w:orient="portrait"/>
          <w:cols w:equalWidth="0" w:num="1">
            <w:col w:w="10440"/>
          </w:cols>
          <w:pgMar w:left="900" w:top="960" w:right="900" w:bottom="181" w:gutter="0" w:footer="0" w:header="0"/>
          <w:type w:val="continuous"/>
        </w:sectPr>
      </w:pPr>
    </w:p>
    <w:bookmarkStart w:id="68" w:name="page69"/>
    <w:bookmarkEnd w:id="68"/>
    <w:p>
      <w:pPr>
        <w:jc w:val="both"/>
        <w:spacing w:after="0" w:line="235" w:lineRule="auto"/>
        <w:rPr>
          <w:sz w:val="20"/>
          <w:szCs w:val="20"/>
          <w:color w:val="auto"/>
        </w:rPr>
      </w:pPr>
      <w:r>
        <w:rPr>
          <w:rFonts w:ascii="Arial" w:cs="Arial" w:eastAsia="Arial" w:hAnsi="Arial"/>
          <w:sz w:val="20"/>
          <w:szCs w:val="20"/>
          <w:b w:val="1"/>
          <w:b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33"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non-dialysis dependent CKD.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112"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If our current product candidates or any future product candidates do not achieve broad market acceptance, the revenue that we generate from our sales may be limited, and we may never become profitable.</w:t>
      </w:r>
    </w:p>
    <w:p>
      <w:pPr>
        <w:spacing w:after="0" w:line="132"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103"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0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efficacy of our current product candidates and any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prevalence and severity of adverse events associated with our current product candidates and any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the clinical indications for which our product candidates are approved and the approved claims that we may make for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10440"/>
          </w:cols>
          <w:pgMar w:left="900" w:top="960" w:right="900" w:bottom="181" w:gutter="0" w:footer="0" w:header="0"/>
          <w:type w:val="continuous"/>
        </w:sectPr>
      </w:pPr>
    </w:p>
    <w:bookmarkStart w:id="69" w:name="page70"/>
    <w:bookmarkEnd w:id="69"/>
    <w:p>
      <w:pPr>
        <w:jc w:val="both"/>
        <w:ind w:left="720"/>
        <w:spacing w:after="0" w:line="252" w:lineRule="auto"/>
        <w:rPr>
          <w:sz w:val="20"/>
          <w:szCs w:val="20"/>
          <w:color w:val="auto"/>
        </w:rPr>
      </w:pPr>
      <w:r>
        <w:rPr>
          <w:rFonts w:ascii="Arial" w:cs="Arial" w:eastAsia="Arial" w:hAnsi="Arial"/>
          <w:sz w:val="19"/>
          <w:szCs w:val="19"/>
          <w:b w:val="1"/>
          <w:bCs w:val="1"/>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-395605</wp:posOffset>
            </wp:positionV>
            <wp:extent cx="71120" cy="711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120"/>
        <w:spacing w:after="0" w:line="505" w:lineRule="auto"/>
        <w:rPr>
          <w:sz w:val="20"/>
          <w:szCs w:val="20"/>
          <w:color w:val="auto"/>
        </w:rPr>
      </w:pPr>
      <w:r>
        <w:rPr>
          <w:rFonts w:ascii="Arial" w:cs="Arial" w:eastAsia="Arial" w:hAnsi="Arial"/>
          <w:sz w:val="15"/>
          <w:szCs w:val="15"/>
          <w:b w:val="1"/>
          <w:bCs w:val="1"/>
          <w:color w:val="auto"/>
        </w:rPr>
        <w:t>the relative convenience and ease of administration of our current product candidates and any future product candidates; the cost of treatment compared with the economic and clinical benefit of alternative treatments or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-419735</wp:posOffset>
            </wp:positionV>
            <wp:extent cx="71120" cy="711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-189865</wp:posOffset>
            </wp:positionV>
            <wp:extent cx="71120" cy="711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720"/>
        <w:spacing w:after="0" w:line="234" w:lineRule="auto"/>
        <w:rPr>
          <w:sz w:val="20"/>
          <w:szCs w:val="20"/>
          <w:color w:val="auto"/>
        </w:rPr>
      </w:pPr>
      <w:r>
        <w:rPr>
          <w:rFonts w:ascii="Arial" w:cs="Arial" w:eastAsia="Arial" w:hAnsi="Arial"/>
          <w:sz w:val="20"/>
          <w:szCs w:val="20"/>
          <w:b w:val="1"/>
          <w:bCs w:val="1"/>
          <w:color w:val="auto"/>
        </w:rPr>
        <w:t>the availability of adequate coverage or reimbursement by third-party payors, including government healthcare programs such as Medicare and Medicaid and other healthcare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price concessions required by third-party payors to obtain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the willingness of patients to pay out-of-pocket in the absence of adequate coverage and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the extent and strength of our marketing and distribution of our current product candidates and any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the safety, efficacy, and other potential advantages over, and availability of, alternative treatments already used or that may later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52" w:lineRule="auto"/>
        <w:rPr>
          <w:sz w:val="20"/>
          <w:szCs w:val="20"/>
          <w:color w:val="auto"/>
        </w:rPr>
      </w:pPr>
      <w:r>
        <w:rPr>
          <w:rFonts w:ascii="Arial" w:cs="Arial" w:eastAsia="Arial" w:hAnsi="Arial"/>
          <w:sz w:val="19"/>
          <w:szCs w:val="19"/>
          <w:b w:val="1"/>
          <w:bCs w:val="1"/>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-395605</wp:posOffset>
            </wp:positionV>
            <wp:extent cx="71120" cy="711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the timing of market introduction of our current product candidates and any future product candidates, as well as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600"/>
        <w:spacing w:after="0" w:line="376" w:lineRule="auto"/>
        <w:rPr>
          <w:sz w:val="20"/>
          <w:szCs w:val="20"/>
          <w:color w:val="auto"/>
        </w:rPr>
      </w:pPr>
      <w:r>
        <w:rPr>
          <w:rFonts w:ascii="Arial" w:cs="Arial" w:eastAsia="Arial" w:hAnsi="Arial"/>
          <w:sz w:val="20"/>
          <w:szCs w:val="20"/>
          <w:b w:val="1"/>
          <w:bCs w:val="1"/>
          <w:color w:val="auto"/>
        </w:rPr>
        <w:t>our ability to offer our current product candidates and any future product candidates for sale at competitive prices; the willingness of the target patient population to try new therapies and of physicians to prescribe these therapies; the extent and strength of our third-party manufacturer and supplier support; the approval of other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-873760</wp:posOffset>
            </wp:positionV>
            <wp:extent cx="71120" cy="711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-641985</wp:posOffset>
            </wp:positionV>
            <wp:extent cx="71120" cy="711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-412115</wp:posOffset>
            </wp:positionV>
            <wp:extent cx="71120" cy="711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-180340</wp:posOffset>
            </wp:positionV>
            <wp:extent cx="71120" cy="711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720"/>
        <w:spacing w:after="0" w:line="234" w:lineRule="auto"/>
        <w:rPr>
          <w:sz w:val="20"/>
          <w:szCs w:val="20"/>
          <w:color w:val="auto"/>
        </w:rPr>
      </w:pPr>
      <w:r>
        <w:rPr>
          <w:rFonts w:ascii="Arial" w:cs="Arial" w:eastAsia="Arial" w:hAnsi="Arial"/>
          <w:sz w:val="20"/>
          <w:szCs w:val="20"/>
          <w:b w:val="1"/>
          <w:bCs w:val="1"/>
          <w:color w:val="auto"/>
        </w:rPr>
        <w:t>adverse publicity about our current product candidates and any future product candidates or favorable publicity about competitive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potential product liability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11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105"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w:t>
      </w:r>
    </w:p>
    <w:p>
      <w:pPr>
        <w:sectPr>
          <w:pgSz w:w="12240" w:h="15840" w:orient="portrait"/>
          <w:cols w:equalWidth="0" w:num="1">
            <w:col w:w="10440"/>
          </w:cols>
          <w:pgMar w:left="900" w:top="974" w:right="900" w:bottom="181"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w:t>
      </w:r>
    </w:p>
    <w:p>
      <w:pPr>
        <w:sectPr>
          <w:pgSz w:w="12240" w:h="15840" w:orient="portrait"/>
          <w:cols w:equalWidth="0" w:num="1">
            <w:col w:w="10440"/>
          </w:cols>
          <w:pgMar w:left="900" w:top="974" w:right="900" w:bottom="181" w:gutter="0" w:footer="0" w:header="0"/>
          <w:type w:val="continuous"/>
        </w:sectPr>
      </w:pPr>
    </w:p>
    <w:bookmarkStart w:id="70" w:name="page71"/>
    <w:bookmarkEnd w:id="70"/>
    <w:p>
      <w:pPr>
        <w:jc w:val="both"/>
        <w:spacing w:after="0" w:line="284" w:lineRule="auto"/>
        <w:rPr>
          <w:sz w:val="20"/>
          <w:szCs w:val="20"/>
          <w:color w:val="auto"/>
        </w:rPr>
      </w:pPr>
      <w:r>
        <w:rPr>
          <w:rFonts w:ascii="Arial" w:cs="Arial" w:eastAsia="Arial" w:hAnsi="Arial"/>
          <w:sz w:val="17"/>
          <w:szCs w:val="17"/>
          <w:b w:val="1"/>
          <w:bCs w:val="1"/>
          <w:color w:val="auto"/>
        </w:rPr>
        <w:t>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14"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restrictions on the marketing or manufacturing of the product, withdrawal of the product from the market or voluntary or mandatory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manufacturing delays and supply disruptions where regulatory inspections identify observations of noncompliance requiring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revisions to the labeling, including limitation on approved uses or the addition of additional warnings, contraindications or other safety information, including boxed warnings;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imposition of a REMS which may include distribution or use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requirements to conduct additional post-market clinical trials to assess the safety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clinical trial 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fines, warning letters or other regulatory enforcement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refusal by the FDA to approve pending applications or supplements to approved applications filed by us or suspension or revocation of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2840"/>
        <w:spacing w:after="0" w:line="369" w:lineRule="auto"/>
        <w:rPr>
          <w:sz w:val="20"/>
          <w:szCs w:val="20"/>
          <w:color w:val="auto"/>
        </w:rPr>
      </w:pPr>
      <w:r>
        <w:rPr>
          <w:rFonts w:ascii="Arial" w:cs="Arial" w:eastAsia="Arial" w:hAnsi="Arial"/>
          <w:sz w:val="20"/>
          <w:szCs w:val="20"/>
          <w:b w:val="1"/>
          <w:bCs w:val="1"/>
          <w:color w:val="auto"/>
        </w:rPr>
        <w:t>product seizure or detention, or refusal to permit the import or export of products; and 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-407670</wp:posOffset>
            </wp:positionV>
            <wp:extent cx="71120" cy="711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-175895</wp:posOffset>
            </wp:positionV>
            <wp:extent cx="71120" cy="711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firstLine="490"/>
        <w:spacing w:after="0" w:line="330" w:lineRule="auto"/>
        <w:rPr>
          <w:sz w:val="20"/>
          <w:szCs w:val="20"/>
          <w:color w:val="auto"/>
        </w:rPr>
      </w:pPr>
      <w:r>
        <w:rPr>
          <w:rFonts w:ascii="Arial" w:cs="Arial" w:eastAsia="Arial" w:hAnsi="Arial"/>
          <w:sz w:val="15"/>
          <w:szCs w:val="15"/>
          <w:b w:val="1"/>
          <w:bCs w:val="1"/>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1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do not have the ability to independently conduct clinical trials. We have relied on and expect to continue to rely on medical institutions, clinical investigators, contract laboratories and other third parties, such as CROs, to conduct or otherwise support our clinical trials for our product candidates, including our planned APOLLO clinical trial of bitopertin in EPP and XLP,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10440"/>
          </w:cols>
          <w:pgMar w:left="900" w:top="960" w:right="900" w:bottom="181" w:gutter="0" w:footer="0" w:header="0"/>
          <w:type w:val="continuous"/>
        </w:sectPr>
      </w:pPr>
    </w:p>
    <w:bookmarkStart w:id="71" w:name="page72"/>
    <w:bookmarkEnd w:id="71"/>
    <w:p>
      <w:pPr>
        <w:jc w:val="both"/>
        <w:ind w:firstLine="490"/>
        <w:spacing w:after="0" w:line="285" w:lineRule="auto"/>
        <w:rPr>
          <w:sz w:val="20"/>
          <w:szCs w:val="20"/>
          <w:color w:val="auto"/>
        </w:rPr>
      </w:pPr>
      <w:r>
        <w:rPr>
          <w:rFonts w:ascii="Arial" w:cs="Arial" w:eastAsia="Arial" w:hAnsi="Arial"/>
          <w:sz w:val="17"/>
          <w:szCs w:val="17"/>
          <w:b w:val="1"/>
          <w:bCs w:val="1"/>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100"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08"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9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Although we designed our ongoing Phase 1b/2 clinical trials of DISC-0974 and our ongoing Phase 2 clinical trial of bitopertin, are designing our planned APOLLO clinical trial of bitopertin and our planned Phase 2 clinical trial of DISC-3405, and intend to design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have staffing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fail to comply with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experience regulatory compliance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undergo changes in priorities or become financially distressed;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form relationships with other entities, some of which may be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12"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w:t>
      </w:r>
    </w:p>
    <w:p>
      <w:pPr>
        <w:sectPr>
          <w:pgSz w:w="12240" w:h="15840" w:orient="portrait"/>
          <w:cols w:equalWidth="0" w:num="1">
            <w:col w:w="10440"/>
          </w:cols>
          <w:pgMar w:left="900" w:top="960" w:right="900" w:bottom="181"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62</w:t>
      </w:r>
    </w:p>
    <w:p>
      <w:pPr>
        <w:sectPr>
          <w:pgSz w:w="12240" w:h="15840" w:orient="portrait"/>
          <w:cols w:equalWidth="0" w:num="1">
            <w:col w:w="10440"/>
          </w:cols>
          <w:pgMar w:left="900" w:top="960" w:right="900" w:bottom="181" w:gutter="0" w:footer="0" w:header="0"/>
          <w:type w:val="continuous"/>
        </w:sectPr>
      </w:pPr>
    </w:p>
    <w:bookmarkStart w:id="72" w:name="page73"/>
    <w:bookmarkEnd w:id="72"/>
    <w:p>
      <w:pPr>
        <w:jc w:val="both"/>
        <w:spacing w:after="0" w:line="252" w:lineRule="auto"/>
        <w:rPr>
          <w:sz w:val="20"/>
          <w:szCs w:val="20"/>
          <w:color w:val="auto"/>
        </w:rPr>
      </w:pPr>
      <w:r>
        <w:rPr>
          <w:rFonts w:ascii="Arial" w:cs="Arial" w:eastAsia="Arial" w:hAnsi="Arial"/>
          <w:sz w:val="19"/>
          <w:szCs w:val="19"/>
          <w:b w:val="1"/>
          <w:bCs w:val="1"/>
          <w:color w:val="auto"/>
        </w:rPr>
        <w:t>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might not realize the anticipated benefits of our current collaborations with Mabwell or NIH, or any other collaborations we enter into in the future.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Research, development, commercialization and/or strategic collaborations, including those that we have with Mabwell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NIH, are subject to numerous risks, which include the following:</w:t>
      </w:r>
    </w:p>
    <w:p>
      <w:pPr>
        <w:spacing w:after="0" w:line="145" w:lineRule="exact"/>
        <w:rPr>
          <w:sz w:val="20"/>
          <w:szCs w:val="20"/>
          <w:color w:val="auto"/>
        </w:rPr>
      </w:pPr>
    </w:p>
    <w:p>
      <w:pPr>
        <w:jc w:val="both"/>
        <w:ind w:left="720"/>
        <w:spacing w:after="0" w:line="312" w:lineRule="auto"/>
        <w:rPr>
          <w:sz w:val="20"/>
          <w:szCs w:val="20"/>
          <w:color w:val="auto"/>
        </w:rPr>
      </w:pPr>
      <w:r>
        <w:rPr>
          <w:rFonts w:ascii="Arial" w:cs="Arial" w:eastAsia="Arial" w:hAnsi="Arial"/>
          <w:sz w:val="17"/>
          <w:szCs w:val="17"/>
          <w:b w:val="1"/>
          <w:bCs w:val="1"/>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-281305</wp:posOffset>
            </wp:positionV>
            <wp:extent cx="71120" cy="711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jc w:val="both"/>
        <w:ind w:left="720"/>
        <w:spacing w:after="0" w:line="235" w:lineRule="auto"/>
        <w:rPr>
          <w:sz w:val="20"/>
          <w:szCs w:val="20"/>
          <w:color w:val="auto"/>
        </w:rPr>
      </w:pPr>
      <w:r>
        <w:rPr>
          <w:rFonts w:ascii="Arial" w:cs="Arial" w:eastAsia="Arial" w:hAnsi="Arial"/>
          <w:sz w:val="20"/>
          <w:szCs w:val="20"/>
          <w:b w:val="1"/>
          <w:bCs w:val="1"/>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-387985</wp:posOffset>
            </wp:positionV>
            <wp:extent cx="71120" cy="711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b w:val="1"/>
          <w:bCs w:val="1"/>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-552450</wp:posOffset>
            </wp:positionV>
            <wp:extent cx="71120" cy="711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720"/>
        <w:spacing w:after="0" w:line="281" w:lineRule="auto"/>
        <w:rPr>
          <w:sz w:val="20"/>
          <w:szCs w:val="20"/>
          <w:color w:val="auto"/>
        </w:rPr>
      </w:pPr>
      <w:r>
        <w:rPr>
          <w:rFonts w:ascii="Arial" w:cs="Arial" w:eastAsia="Arial" w:hAnsi="Arial"/>
          <w:sz w:val="18"/>
          <w:szCs w:val="18"/>
          <w:b w:val="1"/>
          <w:bCs w:val="1"/>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-266700</wp:posOffset>
            </wp:positionV>
            <wp:extent cx="71120" cy="711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720"/>
        <w:spacing w:after="0" w:line="281" w:lineRule="auto"/>
        <w:rPr>
          <w:sz w:val="20"/>
          <w:szCs w:val="20"/>
          <w:color w:val="auto"/>
        </w:rPr>
      </w:pPr>
      <w:r>
        <w:rPr>
          <w:rFonts w:ascii="Arial" w:cs="Arial" w:eastAsia="Arial" w:hAnsi="Arial"/>
          <w:sz w:val="18"/>
          <w:szCs w:val="18"/>
          <w:b w:val="1"/>
          <w:bCs w:val="1"/>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-266700</wp:posOffset>
            </wp:positionV>
            <wp:extent cx="71120" cy="711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720"/>
        <w:spacing w:after="0" w:line="312" w:lineRule="auto"/>
        <w:rPr>
          <w:sz w:val="20"/>
          <w:szCs w:val="20"/>
          <w:color w:val="auto"/>
        </w:rPr>
      </w:pPr>
      <w:r>
        <w:rPr>
          <w:rFonts w:ascii="Arial" w:cs="Arial" w:eastAsia="Arial" w:hAnsi="Arial"/>
          <w:sz w:val="17"/>
          <w:szCs w:val="17"/>
          <w:b w:val="1"/>
          <w:bCs w:val="1"/>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-281305</wp:posOffset>
            </wp:positionV>
            <wp:extent cx="71120" cy="71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collaborators might not be in compliance with laws applicable to their activities under the collaboration, which could impact the collaboration and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disputes might arise between a collaborator and us that could cause a delay or termination of the collaboration or result in costly litigation that diverts management attention and resources;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collaborations might be terminated, which could result in a need for additional capital to pursue further research, development and/or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9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130"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Our product development programs and the potential commercialization of our product candidates will require substantial additional cash to fund expenses. For some of our product candidates, we may decide to collaborate with pharmaceutical and</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10440"/>
          </w:cols>
          <w:pgMar w:left="900" w:top="960" w:right="900" w:bottom="181" w:gutter="0" w:footer="0" w:header="0"/>
          <w:type w:val="continuous"/>
        </w:sectPr>
      </w:pPr>
    </w:p>
    <w:bookmarkStart w:id="73" w:name="page74"/>
    <w:bookmarkEnd w:id="73"/>
    <w:p>
      <w:pPr>
        <w:jc w:val="both"/>
        <w:spacing w:after="0" w:line="233" w:lineRule="auto"/>
        <w:rPr>
          <w:sz w:val="20"/>
          <w:szCs w:val="20"/>
          <w:color w:val="auto"/>
        </w:rPr>
      </w:pPr>
      <w:r>
        <w:rPr>
          <w:rFonts w:ascii="Arial" w:cs="Arial" w:eastAsia="Arial" w:hAnsi="Arial"/>
          <w:sz w:val="20"/>
          <w:szCs w:val="20"/>
          <w:b w:val="1"/>
          <w:bCs w:val="1"/>
          <w:color w:val="auto"/>
        </w:rPr>
        <w:t>biotechnology companies, such as our collaborations with Mabwell and NIH, for the development and potential commercialization of those product candidates.</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96"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8"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0"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3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do not currently own or operate, nor do we have any plans to establish in the future, any manufacturing facilities. Although we believe we have obtained sufficient material to produce bitopertin tablets to complete our ongoing Phase 2 clinical trial, and DISC-0974 vials to complete our ongoing Phase 1b/2 clinical trials, we cannot be sure we have correctly estimated our drug product and API requirements or that such drug product or API will not expire before we want to use it.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5" w:lineRule="exact"/>
        <w:rPr>
          <w:sz w:val="20"/>
          <w:szCs w:val="20"/>
          <w:color w:val="auto"/>
        </w:rPr>
      </w:pPr>
    </w:p>
    <w:p>
      <w:pPr>
        <w:jc w:val="both"/>
        <w:ind w:firstLine="490"/>
        <w:spacing w:after="0" w:line="313" w:lineRule="auto"/>
        <w:rPr>
          <w:sz w:val="20"/>
          <w:szCs w:val="20"/>
          <w:color w:val="auto"/>
        </w:rPr>
      </w:pPr>
      <w:r>
        <w:rPr>
          <w:rFonts w:ascii="Arial" w:cs="Arial" w:eastAsia="Arial" w:hAnsi="Arial"/>
          <w:sz w:val="15"/>
          <w:szCs w:val="15"/>
          <w:b w:val="1"/>
          <w:bCs w:val="1"/>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64</w:t>
      </w:r>
    </w:p>
    <w:p>
      <w:pPr>
        <w:sectPr>
          <w:pgSz w:w="12240" w:h="15840" w:orient="portrait"/>
          <w:cols w:equalWidth="0" w:num="1">
            <w:col w:w="10440"/>
          </w:cols>
          <w:pgMar w:left="900" w:top="960" w:right="900" w:bottom="181" w:gutter="0" w:footer="0" w:header="0"/>
          <w:type w:val="continuous"/>
        </w:sectPr>
      </w:pPr>
    </w:p>
    <w:bookmarkStart w:id="74" w:name="page75"/>
    <w:bookmarkEnd w:id="74"/>
    <w:p>
      <w:pPr>
        <w:jc w:val="both"/>
        <w:spacing w:after="0" w:line="228" w:lineRule="auto"/>
        <w:rPr>
          <w:sz w:val="20"/>
          <w:szCs w:val="20"/>
          <w:color w:val="auto"/>
        </w:rPr>
      </w:pPr>
      <w:r>
        <w:rPr>
          <w:rFonts w:ascii="Arial" w:cs="Arial" w:eastAsia="Arial" w:hAnsi="Arial"/>
          <w:sz w:val="20"/>
          <w:szCs w:val="20"/>
          <w:b w:val="1"/>
          <w:bCs w:val="1"/>
          <w:color w:val="auto"/>
        </w:rPr>
        <w:t>the future, we may need to find alternative manufacturing facilities, which would significantly impact our ability to develop, obtain regulatory approval for or market our product candidates, if approved.</w:t>
      </w:r>
    </w:p>
    <w:p>
      <w:pPr>
        <w:spacing w:after="0" w:line="120"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7"/>
          <w:szCs w:val="17"/>
          <w:b w:val="1"/>
          <w:bCs w:val="1"/>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99"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8"/>
          <w:szCs w:val="18"/>
          <w:b w:val="1"/>
          <w:bCs w:val="1"/>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1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may be unable to establish any additional agreements with CDMOs or do so on acceptable terms. Reliance on CDMOs entails additional risks, including:</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reliance on the third party for regulatory compliance and quality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possible breach of the manufacturing agreement by the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possible misappropriation of our proprietary information, including our trade secrets and know-how;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the possible termination or nonrenewal of the agreement by the third party at a time that is costly or inconvenient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-68580</wp:posOffset>
            </wp:positionV>
            <wp:extent cx="71120" cy="711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55"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133"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there have been Congressional legislative proposals, such as the bill titled the BIOSECURE Act that was previously considered (and not enacted) in Congress, which would have, among other things, prohibited U.S. federal funding in connection with biotechnology equipment or services produced or provided by certain named Chinese “biotechnology companies of concern” (which includes WuXi AppTech (Hong Kong) Limited and its affiliates, or WuXi) and loans and grants to, and federal contracts with any entity that uses biotechnology equipment or services from one of these entities. The legislation would also have given the federal government the authority to name additional “biotechnology companies of concern” that are engaged in research activities with the Chinese government and that pose a risk of U.S. national security. We currently rely on certain foreign or foreign-owned third-party vendors, including WuXi and its affiliates, to manufacture certain materials used in clinical trials of our product candidates or to provide services in connection with certain clinical trials or certain discovery activities. Our engagement with these foreign and foreign-owned vendors may be subject to new U.S. legislation similar to the proposed BIOSECURE Act, investigations, sanctions,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as it develops to determine the effect, if any, on our contractual relationships.</w:t>
      </w:r>
    </w:p>
    <w:p>
      <w:pPr>
        <w:spacing w:after="0" w:line="30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ectPr>
          <w:pgSz w:w="12240" w:h="15840" w:orient="portrait"/>
          <w:cols w:equalWidth="0" w:num="1">
            <w:col w:w="10440"/>
          </w:cols>
          <w:pgMar w:left="900" w:top="95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10440"/>
          </w:cols>
          <w:pgMar w:left="900" w:top="950" w:right="900" w:bottom="181" w:gutter="0" w:footer="0" w:header="0"/>
          <w:type w:val="continuous"/>
        </w:sectPr>
      </w:pPr>
    </w:p>
    <w:bookmarkStart w:id="75" w:name="page76"/>
    <w:bookmarkEnd w:id="75"/>
    <w:p>
      <w:pPr>
        <w:jc w:val="both"/>
        <w:spacing w:after="0" w:line="278" w:lineRule="auto"/>
        <w:rPr>
          <w:sz w:val="20"/>
          <w:szCs w:val="20"/>
          <w:color w:val="auto"/>
        </w:rPr>
      </w:pPr>
      <w:r>
        <w:rPr>
          <w:rFonts w:ascii="Arial" w:cs="Arial" w:eastAsia="Arial" w:hAnsi="Arial"/>
          <w:sz w:val="18"/>
          <w:szCs w:val="18"/>
          <w:b w:val="1"/>
          <w:b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9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Any negative impact of such matters on our third-party suppliers and manufacturers may also have an adverse impact on our results of operations or financial condition.</w:t>
      </w:r>
    </w:p>
    <w:p>
      <w:pPr>
        <w:spacing w:after="0" w:line="10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93"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13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9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66</w:t>
      </w:r>
    </w:p>
    <w:p>
      <w:pPr>
        <w:sectPr>
          <w:pgSz w:w="12240" w:h="15840" w:orient="portrait"/>
          <w:cols w:equalWidth="0" w:num="1">
            <w:col w:w="10440"/>
          </w:cols>
          <w:pgMar w:left="900" w:top="960" w:right="900" w:bottom="181"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99" w:lineRule="exact"/>
        <w:rPr>
          <w:sz w:val="20"/>
          <w:szCs w:val="20"/>
          <w:color w:val="auto"/>
        </w:rPr>
      </w:pPr>
    </w:p>
    <w:p>
      <w:pPr>
        <w:jc w:val="both"/>
        <w:ind w:firstLine="490"/>
        <w:spacing w:after="0" w:line="314" w:lineRule="auto"/>
        <w:rPr>
          <w:sz w:val="20"/>
          <w:szCs w:val="20"/>
          <w:color w:val="auto"/>
        </w:rPr>
      </w:pPr>
      <w:r>
        <w:rPr>
          <w:rFonts w:ascii="Arial" w:cs="Arial" w:eastAsia="Arial" w:hAnsi="Arial"/>
          <w:sz w:val="15"/>
          <w:szCs w:val="15"/>
          <w:b w:val="1"/>
          <w:bCs w:val="1"/>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292"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b w:val="1"/>
          <w:bCs w:val="1"/>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97" w:lineRule="exact"/>
        <w:rPr>
          <w:sz w:val="20"/>
          <w:szCs w:val="20"/>
          <w:color w:val="auto"/>
        </w:rPr>
      </w:pPr>
    </w:p>
    <w:p>
      <w:pPr>
        <w:jc w:val="both"/>
        <w:ind w:firstLine="490"/>
        <w:spacing w:after="0" w:line="316" w:lineRule="auto"/>
        <w:rPr>
          <w:sz w:val="20"/>
          <w:szCs w:val="20"/>
          <w:color w:val="auto"/>
        </w:rPr>
      </w:pPr>
      <w:r>
        <w:rPr>
          <w:rFonts w:ascii="Arial" w:cs="Arial" w:eastAsia="Arial" w:hAnsi="Arial"/>
          <w:sz w:val="15"/>
          <w:szCs w:val="15"/>
          <w:b w:val="1"/>
          <w:bCs w:val="1"/>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67" w:lineRule="exact"/>
        <w:rPr>
          <w:sz w:val="20"/>
          <w:szCs w:val="20"/>
          <w:color w:val="auto"/>
        </w:rPr>
      </w:pPr>
    </w:p>
    <w:p>
      <w:pPr>
        <w:jc w:val="both"/>
        <w:ind w:firstLine="490"/>
        <w:spacing w:after="0" w:line="313" w:lineRule="auto"/>
        <w:rPr>
          <w:sz w:val="20"/>
          <w:szCs w:val="20"/>
          <w:color w:val="auto"/>
        </w:rPr>
      </w:pPr>
      <w:r>
        <w:rPr>
          <w:rFonts w:ascii="Arial" w:cs="Arial" w:eastAsia="Arial" w:hAnsi="Arial"/>
          <w:sz w:val="15"/>
          <w:szCs w:val="15"/>
          <w:b w:val="1"/>
          <w:bCs w:val="1"/>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298"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10440"/>
          </w:cols>
          <w:pgMar w:left="900" w:top="949" w:right="900" w:bottom="181" w:gutter="0" w:footer="0" w:header="0"/>
          <w:type w:val="continuous"/>
        </w:sectPr>
      </w:pPr>
    </w:p>
    <w:bookmarkStart w:id="77" w:name="page78"/>
    <w:bookmarkEnd w:id="77"/>
    <w:p>
      <w:pPr>
        <w:jc w:val="both"/>
        <w:ind w:firstLine="490"/>
        <w:spacing w:after="0" w:line="285" w:lineRule="auto"/>
        <w:rPr>
          <w:sz w:val="20"/>
          <w:szCs w:val="20"/>
          <w:color w:val="auto"/>
        </w:rPr>
      </w:pPr>
      <w:r>
        <w:rPr>
          <w:rFonts w:ascii="Arial" w:cs="Arial" w:eastAsia="Arial" w:hAnsi="Arial"/>
          <w:sz w:val="17"/>
          <w:szCs w:val="17"/>
          <w:b w:val="1"/>
          <w:bCs w:val="1"/>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91"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5"/>
          <w:szCs w:val="15"/>
          <w:b w:val="1"/>
          <w:bCs w:val="1"/>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inter partes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 -eligible,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307" w:lineRule="exact"/>
        <w:rPr>
          <w:sz w:val="20"/>
          <w:szCs w:val="20"/>
          <w:color w:val="auto"/>
        </w:rPr>
      </w:pPr>
    </w:p>
    <w:p>
      <w:pPr>
        <w:jc w:val="both"/>
        <w:ind w:firstLine="490"/>
        <w:spacing w:after="0" w:line="319" w:lineRule="auto"/>
        <w:rPr>
          <w:sz w:val="20"/>
          <w:szCs w:val="20"/>
          <w:color w:val="auto"/>
        </w:rPr>
      </w:pPr>
      <w:r>
        <w:rPr>
          <w:rFonts w:ascii="Arial" w:cs="Arial" w:eastAsia="Arial" w:hAnsi="Arial"/>
          <w:sz w:val="15"/>
          <w:szCs w:val="15"/>
          <w:b w:val="1"/>
          <w:bCs w:val="1"/>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67"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7"/>
          <w:szCs w:val="17"/>
          <w:b w:val="1"/>
          <w:bCs w:val="1"/>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b w:val="1"/>
          <w:bCs w:val="1"/>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1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92"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68</w:t>
      </w:r>
    </w:p>
    <w:p>
      <w:pPr>
        <w:sectPr>
          <w:pgSz w:w="12240" w:h="15840" w:orient="portrait"/>
          <w:cols w:equalWidth="0" w:num="1">
            <w:col w:w="10440"/>
          </w:cols>
          <w:pgMar w:left="900" w:top="960" w:right="900" w:bottom="181" w:gutter="0" w:footer="0" w:header="0"/>
          <w:type w:val="continuous"/>
        </w:sectPr>
      </w:pPr>
    </w:p>
    <w:bookmarkStart w:id="78" w:name="page79"/>
    <w:bookmarkEnd w:id="78"/>
    <w:p>
      <w:pPr>
        <w:jc w:val="both"/>
        <w:spacing w:after="0" w:line="382" w:lineRule="auto"/>
        <w:rPr>
          <w:sz w:val="20"/>
          <w:szCs w:val="20"/>
          <w:color w:val="auto"/>
        </w:rPr>
      </w:pPr>
      <w:r>
        <w:rPr>
          <w:rFonts w:ascii="Arial" w:cs="Arial" w:eastAsia="Arial" w:hAnsi="Arial"/>
          <w:sz w:val="15"/>
          <w:szCs w:val="15"/>
          <w:b w:val="1"/>
          <w:bCs w:val="1"/>
          <w:color w:val="auto"/>
        </w:rPr>
        <w:t>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13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86"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adequately protect and enforce our trade secrets, our business and competitive position would be harmed.</w:t>
      </w:r>
    </w:p>
    <w:p>
      <w:pPr>
        <w:spacing w:after="0" w:line="15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9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95"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w:t>
      </w:r>
    </w:p>
    <w:p>
      <w:pPr>
        <w:sectPr>
          <w:pgSz w:w="12240" w:h="15840" w:orient="portrait"/>
          <w:cols w:equalWidth="0" w:num="1">
            <w:col w:w="10440"/>
          </w:cols>
          <w:pgMar w:left="900" w:top="960" w:right="900" w:bottom="181"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10440"/>
          </w:cols>
          <w:pgMar w:left="900" w:top="960" w:right="900" w:bottom="181" w:gutter="0" w:footer="0" w:header="0"/>
          <w:type w:val="continuous"/>
        </w:sectPr>
      </w:pPr>
    </w:p>
    <w:bookmarkStart w:id="79" w:name="page80"/>
    <w:bookmarkEnd w:id="79"/>
    <w:p>
      <w:pPr>
        <w:jc w:val="both"/>
        <w:spacing w:after="0" w:line="235" w:lineRule="auto"/>
        <w:rPr>
          <w:sz w:val="20"/>
          <w:szCs w:val="20"/>
          <w:color w:val="auto"/>
        </w:rPr>
      </w:pPr>
      <w:r>
        <w:rPr>
          <w:rFonts w:ascii="Arial" w:cs="Arial" w:eastAsia="Arial" w:hAnsi="Arial"/>
          <w:sz w:val="20"/>
          <w:szCs w:val="20"/>
          <w:b w:val="1"/>
          <w:bCs w:val="1"/>
          <w:color w:val="auto"/>
        </w:rPr>
        <w:t>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33"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We may initiate, become a defendant in or otherwise become party to lawsuits to protect or enforce our intellectual property rights, which could be expensive, time-consuming, and unsuccessful.</w:t>
      </w:r>
    </w:p>
    <w:p>
      <w:pPr>
        <w:spacing w:after="0" w:line="132"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37"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299"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70</w:t>
      </w:r>
    </w:p>
    <w:p>
      <w:pPr>
        <w:sectPr>
          <w:pgSz w:w="12240" w:h="15840" w:orient="portrait"/>
          <w:cols w:equalWidth="0" w:num="1">
            <w:col w:w="10440"/>
          </w:cols>
          <w:pgMar w:left="900" w:top="960" w:right="900" w:bottom="181" w:gutter="0" w:footer="0" w:header="0"/>
          <w:type w:val="continuous"/>
        </w:sectPr>
      </w:pPr>
    </w:p>
    <w:bookmarkStart w:id="80" w:name="page81"/>
    <w:bookmarkEnd w:id="80"/>
    <w:p>
      <w:pPr>
        <w:jc w:val="both"/>
        <w:ind w:firstLine="490"/>
        <w:spacing w:after="0" w:line="252" w:lineRule="auto"/>
        <w:rPr>
          <w:sz w:val="20"/>
          <w:szCs w:val="20"/>
          <w:color w:val="auto"/>
        </w:rPr>
      </w:pPr>
      <w:r>
        <w:rPr>
          <w:rFonts w:ascii="Arial" w:cs="Arial" w:eastAsia="Arial" w:hAnsi="Arial"/>
          <w:sz w:val="19"/>
          <w:szCs w:val="19"/>
          <w:b w:val="1"/>
          <w:bCs w:val="1"/>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12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93"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310"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10440"/>
          </w:cols>
          <w:pgMar w:left="900" w:top="960" w:right="900" w:bottom="181" w:gutter="0" w:footer="0" w:header="0"/>
          <w:type w:val="continuous"/>
        </w:sectPr>
      </w:pPr>
    </w:p>
    <w:bookmarkStart w:id="81" w:name="page82"/>
    <w:bookmarkEnd w:id="81"/>
    <w:p>
      <w:pPr>
        <w:jc w:val="both"/>
        <w:spacing w:after="0" w:line="235" w:lineRule="auto"/>
        <w:rPr>
          <w:sz w:val="20"/>
          <w:szCs w:val="20"/>
          <w:color w:val="auto"/>
        </w:rPr>
      </w:pPr>
      <w:r>
        <w:rPr>
          <w:rFonts w:ascii="Arial" w:cs="Arial" w:eastAsia="Arial" w:hAnsi="Arial"/>
          <w:sz w:val="20"/>
          <w:szCs w:val="20"/>
          <w:b w:val="1"/>
          <w:bCs w:val="1"/>
          <w:color w:val="auto"/>
        </w:rPr>
        <w:t>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3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If a third party claims that we infringe, misappropriate or otherwise violate its intellectual property rights, we may face a number of issues, including, but not limited to:</w:t>
      </w:r>
    </w:p>
    <w:p>
      <w:pPr>
        <w:spacing w:after="0" w:line="147" w:lineRule="exact"/>
        <w:rPr>
          <w:sz w:val="20"/>
          <w:szCs w:val="20"/>
          <w:color w:val="auto"/>
        </w:rPr>
      </w:pPr>
    </w:p>
    <w:p>
      <w:pPr>
        <w:jc w:val="both"/>
        <w:ind w:left="720"/>
        <w:spacing w:after="0" w:line="235" w:lineRule="auto"/>
        <w:rPr>
          <w:sz w:val="20"/>
          <w:szCs w:val="20"/>
          <w:color w:val="auto"/>
        </w:rPr>
      </w:pPr>
      <w:r>
        <w:rPr>
          <w:rFonts w:ascii="Arial" w:cs="Arial" w:eastAsia="Arial" w:hAnsi="Arial"/>
          <w:sz w:val="20"/>
          <w:szCs w:val="20"/>
          <w:b w:val="1"/>
          <w:bCs w:val="1"/>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-387985</wp:posOffset>
            </wp:positionV>
            <wp:extent cx="71120" cy="711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720"/>
        <w:spacing w:after="0" w:line="237" w:lineRule="auto"/>
        <w:rPr>
          <w:sz w:val="20"/>
          <w:szCs w:val="20"/>
          <w:color w:val="auto"/>
        </w:rPr>
      </w:pPr>
      <w:r>
        <w:rPr>
          <w:rFonts w:ascii="Arial" w:cs="Arial" w:eastAsia="Arial" w:hAnsi="Arial"/>
          <w:sz w:val="20"/>
          <w:szCs w:val="20"/>
          <w:b w:val="1"/>
          <w:bCs w:val="1"/>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-535940</wp:posOffset>
            </wp:positionV>
            <wp:extent cx="71120" cy="711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720"/>
        <w:spacing w:after="0" w:line="237" w:lineRule="auto"/>
        <w:rPr>
          <w:sz w:val="20"/>
          <w:szCs w:val="20"/>
          <w:color w:val="auto"/>
        </w:rPr>
      </w:pPr>
      <w:r>
        <w:rPr>
          <w:rFonts w:ascii="Arial" w:cs="Arial" w:eastAsia="Arial" w:hAnsi="Arial"/>
          <w:sz w:val="20"/>
          <w:szCs w:val="20"/>
          <w:b w:val="1"/>
          <w:bCs w:val="1"/>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-535305</wp:posOffset>
            </wp:positionV>
            <wp:extent cx="71120" cy="711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720"/>
        <w:spacing w:after="0" w:line="273" w:lineRule="auto"/>
        <w:rPr>
          <w:sz w:val="20"/>
          <w:szCs w:val="20"/>
          <w:color w:val="auto"/>
        </w:rPr>
      </w:pPr>
      <w:r>
        <w:rPr>
          <w:rFonts w:ascii="Arial" w:cs="Arial" w:eastAsia="Arial" w:hAnsi="Arial"/>
          <w:sz w:val="18"/>
          <w:szCs w:val="18"/>
          <w:b w:val="1"/>
          <w:bCs w:val="1"/>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-407035</wp:posOffset>
            </wp:positionV>
            <wp:extent cx="71120" cy="711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7"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-389255</wp:posOffset>
            </wp:positionV>
            <wp:extent cx="71120" cy="711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5" w:lineRule="auto"/>
        <w:rPr>
          <w:sz w:val="20"/>
          <w:szCs w:val="20"/>
          <w:color w:val="auto"/>
        </w:rPr>
      </w:pPr>
      <w:r>
        <w:rPr>
          <w:rFonts w:ascii="Arial" w:cs="Arial" w:eastAsia="Arial" w:hAnsi="Arial"/>
          <w:sz w:val="20"/>
          <w:szCs w:val="20"/>
          <w:b w:val="1"/>
          <w:bCs w:val="1"/>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-387985</wp:posOffset>
            </wp:positionV>
            <wp:extent cx="71120" cy="711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6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24"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72</w:t>
      </w:r>
    </w:p>
    <w:p>
      <w:pPr>
        <w:sectPr>
          <w:pgSz w:w="12240" w:h="15840" w:orient="portrait"/>
          <w:cols w:equalWidth="0" w:num="1">
            <w:col w:w="10440"/>
          </w:cols>
          <w:pgMar w:left="900" w:top="960" w:right="900" w:bottom="181" w:gutter="0" w:footer="0" w:header="0"/>
          <w:type w:val="continuous"/>
        </w:sectPr>
      </w:pPr>
    </w:p>
    <w:bookmarkStart w:id="82" w:name="page83"/>
    <w:bookmarkEnd w:id="82"/>
    <w:p>
      <w:pPr>
        <w:jc w:val="both"/>
        <w:spacing w:after="0" w:line="285" w:lineRule="auto"/>
        <w:rPr>
          <w:sz w:val="20"/>
          <w:szCs w:val="20"/>
          <w:color w:val="auto"/>
        </w:rPr>
      </w:pPr>
      <w:r>
        <w:rPr>
          <w:rFonts w:ascii="Arial" w:cs="Arial" w:eastAsia="Arial" w:hAnsi="Arial"/>
          <w:sz w:val="17"/>
          <w:szCs w:val="17"/>
          <w:b w:val="1"/>
          <w:bCs w:val="1"/>
          <w:color w:val="auto"/>
        </w:rPr>
        <w:t>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5"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b w:val="1"/>
          <w:bCs w:val="1"/>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120"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5"/>
          <w:szCs w:val="15"/>
          <w:b w:val="1"/>
          <w:bCs w:val="1"/>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292"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5"/>
          <w:szCs w:val="15"/>
          <w:b w:val="1"/>
          <w:bCs w:val="1"/>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7"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4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may not obtain or grant licenses or sublicenses to intellectual property rights in all markets on equally or sufficiently favorable terms with third parties.</w:t>
      </w:r>
    </w:p>
    <w:p>
      <w:pPr>
        <w:sectPr>
          <w:pgSz w:w="12240" w:h="15840" w:orient="portrait"/>
          <w:cols w:equalWidth="0" w:num="1">
            <w:col w:w="10440"/>
          </w:cols>
          <w:pgMar w:left="900" w:top="960" w:right="900" w:bottom="181"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10440"/>
          </w:cols>
          <w:pgMar w:left="900" w:top="960" w:right="900" w:bottom="181" w:gutter="0" w:footer="0" w:header="0"/>
          <w:type w:val="continuous"/>
        </w:sectPr>
      </w:pPr>
    </w:p>
    <w:bookmarkStart w:id="83" w:name="page84"/>
    <w:bookmarkEnd w:id="83"/>
    <w:p>
      <w:pPr>
        <w:jc w:val="both"/>
        <w:ind w:firstLine="490"/>
        <w:spacing w:after="0" w:line="284" w:lineRule="auto"/>
        <w:rPr>
          <w:sz w:val="20"/>
          <w:szCs w:val="20"/>
          <w:color w:val="auto"/>
        </w:rPr>
      </w:pPr>
      <w:r>
        <w:rPr>
          <w:rFonts w:ascii="Arial" w:cs="Arial" w:eastAsia="Arial" w:hAnsi="Arial"/>
          <w:sz w:val="17"/>
          <w:szCs w:val="17"/>
          <w:b w:val="1"/>
          <w:bCs w:val="1"/>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33"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 - 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8"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Disputes may also arise between us and our licensors regarding intellectual property subject to a license agreement, including:</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scope of rights granted under the license agreement and other interpretation-related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whether and the extent to which our technology and processes infringe, misappropriate or otherwise violate intellectual property rights of the licensor that is not subject to the 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our right to sublicense patent and other rights to third parties under collaborative development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720"/>
        <w:spacing w:after="0" w:line="309" w:lineRule="auto"/>
        <w:rPr>
          <w:sz w:val="20"/>
          <w:szCs w:val="20"/>
          <w:color w:val="auto"/>
        </w:rPr>
      </w:pPr>
      <w:r>
        <w:rPr>
          <w:rFonts w:ascii="Arial" w:cs="Arial" w:eastAsia="Arial" w:hAnsi="Arial"/>
          <w:sz w:val="17"/>
          <w:szCs w:val="17"/>
          <w:b w:val="1"/>
          <w:bCs w:val="1"/>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-278130</wp:posOffset>
            </wp:positionV>
            <wp:extent cx="71120" cy="711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5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priority of invention of any patented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ownership of inventions and know-how resulting from the joint creation or use of intellectual property by our current or future licensors and us and our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w:t>
      </w:r>
    </w:p>
    <w:p>
      <w:pPr>
        <w:sectPr>
          <w:pgSz w:w="12240" w:h="15840" w:orient="portrait"/>
          <w:cols w:equalWidth="0" w:num="1">
            <w:col w:w="10440"/>
          </w:cols>
          <w:pgMar w:left="900" w:top="960" w:right="900" w:bottom="181"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74</w:t>
      </w:r>
    </w:p>
    <w:p>
      <w:pPr>
        <w:sectPr>
          <w:pgSz w:w="12240" w:h="15840" w:orient="portrait"/>
          <w:cols w:equalWidth="0" w:num="1">
            <w:col w:w="10440"/>
          </w:cols>
          <w:pgMar w:left="900" w:top="960" w:right="900" w:bottom="181" w:gutter="0" w:footer="0" w:header="0"/>
          <w:type w:val="continuous"/>
        </w:sectPr>
      </w:pPr>
    </w:p>
    <w:bookmarkStart w:id="84" w:name="page85"/>
    <w:bookmarkEnd w:id="84"/>
    <w:p>
      <w:pPr>
        <w:jc w:val="both"/>
        <w:spacing w:after="0" w:line="235" w:lineRule="auto"/>
        <w:rPr>
          <w:sz w:val="20"/>
          <w:szCs w:val="20"/>
          <w:color w:val="auto"/>
        </w:rPr>
      </w:pPr>
      <w:r>
        <w:rPr>
          <w:rFonts w:ascii="Arial" w:cs="Arial" w:eastAsia="Arial" w:hAnsi="Arial"/>
          <w:sz w:val="20"/>
          <w:szCs w:val="20"/>
          <w:b w:val="1"/>
          <w:bCs w:val="1"/>
          <w:color w:val="auto"/>
        </w:rPr>
        <w:t>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133" w:lineRule="exact"/>
        <w:rPr>
          <w:sz w:val="20"/>
          <w:szCs w:val="20"/>
          <w:color w:val="auto"/>
        </w:rPr>
      </w:pPr>
    </w:p>
    <w:p>
      <w:pPr>
        <w:jc w:val="both"/>
        <w:ind w:firstLine="490"/>
        <w:spacing w:after="0" w:line="322" w:lineRule="auto"/>
        <w:rPr>
          <w:sz w:val="20"/>
          <w:szCs w:val="20"/>
          <w:color w:val="auto"/>
        </w:rPr>
      </w:pPr>
      <w:r>
        <w:rPr>
          <w:rFonts w:ascii="Arial" w:cs="Arial" w:eastAsia="Arial" w:hAnsi="Arial"/>
          <w:sz w:val="15"/>
          <w:szCs w:val="15"/>
          <w:b w:val="1"/>
          <w:bCs w:val="1"/>
          <w:color w:val="auto"/>
        </w:rPr>
        <w:t>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200" w:lineRule="exact"/>
        <w:rPr>
          <w:sz w:val="20"/>
          <w:szCs w:val="20"/>
          <w:color w:val="auto"/>
        </w:rPr>
      </w:pPr>
    </w:p>
    <w:p>
      <w:pPr>
        <w:spacing w:after="0" w:line="342"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1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Changes in patent law could diminish the value of patents in general, thereby impairing our ability to protect our current or future product candidates.</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95"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The U.S. Supreme Court has ruled on several patent cases in recent years, either narrowing the scope of patent protection available in certain circumstances or weakening the rights of patent owners in certain situations. Additionally, there have been</w:t>
      </w:r>
    </w:p>
    <w:p>
      <w:pPr>
        <w:sectPr>
          <w:pgSz w:w="12240" w:h="15840" w:orient="portrait"/>
          <w:cols w:equalWidth="0" w:num="1">
            <w:col w:w="10440"/>
          </w:cols>
          <w:pgMar w:left="900" w:top="960" w:right="900" w:bottom="181"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10440"/>
          </w:cols>
          <w:pgMar w:left="900" w:top="960" w:right="900" w:bottom="181" w:gutter="0" w:footer="0" w:header="0"/>
          <w:type w:val="continuous"/>
        </w:sectPr>
      </w:pPr>
    </w:p>
    <w:bookmarkStart w:id="85" w:name="page86"/>
    <w:bookmarkEnd w:id="85"/>
    <w:p>
      <w:pPr>
        <w:jc w:val="both"/>
        <w:spacing w:after="0" w:line="270" w:lineRule="auto"/>
        <w:rPr>
          <w:sz w:val="20"/>
          <w:szCs w:val="20"/>
          <w:color w:val="auto"/>
        </w:rPr>
      </w:pPr>
      <w:r>
        <w:rPr>
          <w:rFonts w:ascii="Arial" w:cs="Arial" w:eastAsia="Arial" w:hAnsi="Arial"/>
          <w:sz w:val="18"/>
          <w:szCs w:val="18"/>
          <w:b w:val="1"/>
          <w:bCs w:val="1"/>
          <w:color w:val="auto"/>
        </w:rPr>
        <w:t>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3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96"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73"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patent applications that we own or may in-license may not lead to issued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patents, should they issue, that we may own or in-license, may not provide us with any competitive advantages, may be narrowed in scope, or may be challenged and held invalid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97" w:lineRule="auto"/>
        <w:rPr>
          <w:sz w:val="20"/>
          <w:szCs w:val="20"/>
          <w:color w:val="auto"/>
        </w:rPr>
      </w:pPr>
      <w:r>
        <w:rPr>
          <w:rFonts w:ascii="Arial" w:cs="Arial" w:eastAsia="Arial" w:hAnsi="Arial"/>
          <w:sz w:val="17"/>
          <w:szCs w:val="17"/>
          <w:b w:val="1"/>
          <w:bCs w:val="1"/>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-419735</wp:posOffset>
            </wp:positionV>
            <wp:extent cx="71120" cy="711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third parties may compete with us in jurisdictions where we do not pursue and obtain patent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-97155</wp:posOffset>
            </wp:positionV>
            <wp:extent cx="71120" cy="711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we, or our current or future licensors or collaborators, might not have been the first to make the inventions covered by a patent application that we own or may in-license;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we, or our current or future licensors or collaborators, might not have been the first to file patent applications covering a particular invention;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76</w:t>
      </w:r>
    </w:p>
    <w:p>
      <w:pPr>
        <w:sectPr>
          <w:pgSz w:w="12240" w:h="15840" w:orient="portrait"/>
          <w:cols w:equalWidth="0" w:num="1">
            <w:col w:w="10440"/>
          </w:cols>
          <w:pgMar w:left="900" w:top="960" w:right="900" w:bottom="181" w:gutter="0" w:footer="0" w:header="0"/>
          <w:type w:val="continuous"/>
        </w:sectPr>
      </w:pPr>
    </w:p>
    <w:bookmarkStart w:id="86" w:name="page87"/>
    <w:bookmarkEnd w:id="86"/>
    <w:p>
      <w:pPr>
        <w:jc w:val="both"/>
        <w:ind w:left="720"/>
        <w:spacing w:after="0" w:line="233" w:lineRule="auto"/>
        <w:rPr>
          <w:sz w:val="20"/>
          <w:szCs w:val="20"/>
          <w:color w:val="auto"/>
        </w:rPr>
      </w:pPr>
      <w:r>
        <w:rPr>
          <w:rFonts w:ascii="Arial" w:cs="Arial" w:eastAsia="Arial" w:hAnsi="Arial"/>
          <w:sz w:val="20"/>
          <w:szCs w:val="20"/>
          <w:b w:val="1"/>
          <w:bCs w:val="1"/>
          <w:color w:val="auto"/>
        </w:rPr>
        <w:t>others may independently develop similar or alternative technologies without infringing, misappropriating or otherwise violating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720"/>
        <w:spacing w:after="0" w:line="253" w:lineRule="auto"/>
        <w:rPr>
          <w:sz w:val="20"/>
          <w:szCs w:val="20"/>
          <w:color w:val="auto"/>
        </w:rPr>
      </w:pPr>
      <w:r>
        <w:rPr>
          <w:rFonts w:ascii="Arial" w:cs="Arial" w:eastAsia="Arial" w:hAnsi="Arial"/>
          <w:sz w:val="19"/>
          <w:szCs w:val="19"/>
          <w:b w:val="1"/>
          <w:bCs w:val="1"/>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-543560</wp:posOffset>
            </wp:positionV>
            <wp:extent cx="71120" cy="711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we may not be able to obtain and/or maintain necessary licenses on reasonable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720"/>
        <w:spacing w:after="0" w:line="254" w:lineRule="auto"/>
        <w:rPr>
          <w:sz w:val="20"/>
          <w:szCs w:val="20"/>
          <w:color w:val="auto"/>
        </w:rPr>
      </w:pPr>
      <w:r>
        <w:rPr>
          <w:rFonts w:ascii="Arial" w:cs="Arial" w:eastAsia="Arial" w:hAnsi="Arial"/>
          <w:sz w:val="19"/>
          <w:szCs w:val="19"/>
          <w:b w:val="1"/>
          <w:bCs w:val="1"/>
          <w:color w:val="auto"/>
        </w:rPr>
        <w:t>third parties may assert an ownership interest in our intellectual property and, if successful, such disputes may preclude us from exercising exclusive rights, or any rights at all, over that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-252730</wp:posOffset>
            </wp:positionV>
            <wp:extent cx="71120" cy="711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we may choose not to file a patent in order to maintain certain trade secrets or know-how, and a third-party may subsequently file a patent covering such trade secrets or know-how;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1460"/>
        <w:spacing w:after="0" w:line="394" w:lineRule="auto"/>
        <w:rPr>
          <w:sz w:val="20"/>
          <w:szCs w:val="20"/>
          <w:color w:val="auto"/>
        </w:rPr>
      </w:pPr>
      <w:r>
        <w:rPr>
          <w:rFonts w:ascii="Arial" w:cs="Arial" w:eastAsia="Arial" w:hAnsi="Arial"/>
          <w:sz w:val="19"/>
          <w:szCs w:val="19"/>
          <w:b w:val="1"/>
          <w:bCs w:val="1"/>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-641985</wp:posOffset>
            </wp:positionV>
            <wp:extent cx="71120" cy="711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-412115</wp:posOffset>
            </wp:positionV>
            <wp:extent cx="71120" cy="711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-180340</wp:posOffset>
            </wp:positionV>
            <wp:extent cx="71120" cy="711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firstLine="490"/>
        <w:spacing w:after="0" w:line="234" w:lineRule="auto"/>
        <w:rPr>
          <w:sz w:val="20"/>
          <w:szCs w:val="20"/>
          <w:color w:val="auto"/>
        </w:rPr>
      </w:pPr>
      <w:r>
        <w:rPr>
          <w:rFonts w:ascii="Arial" w:cs="Arial" w:eastAsia="Arial" w:hAnsi="Arial"/>
          <w:sz w:val="20"/>
          <w:szCs w:val="20"/>
          <w:b w:val="1"/>
          <w:bCs w:val="1"/>
          <w:color w:val="auto"/>
        </w:rPr>
        <w:t>Should any of these events occur, they could significantly harm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Government Regulation</w:t>
      </w:r>
    </w:p>
    <w:p>
      <w:pPr>
        <w:spacing w:after="0" w:line="13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3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07"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1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ectPr>
          <w:pgSz w:w="12240" w:h="15840" w:orient="portrait"/>
          <w:cols w:equalWidth="0" w:num="1">
            <w:col w:w="10440"/>
          </w:cols>
          <w:pgMar w:left="900" w:top="974" w:right="900" w:bottom="181"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10440"/>
          </w:cols>
          <w:pgMar w:left="900" w:top="974" w:right="900" w:bottom="181" w:gutter="0" w:footer="0" w:header="0"/>
          <w:type w:val="continuous"/>
        </w:sectPr>
      </w:pPr>
    </w:p>
    <w:bookmarkStart w:id="87" w:name="page88"/>
    <w:bookmarkEnd w:id="87"/>
    <w:p>
      <w:pPr>
        <w:jc w:val="both"/>
        <w:ind w:firstLine="490"/>
        <w:spacing w:after="0" w:line="285" w:lineRule="auto"/>
        <w:rPr>
          <w:sz w:val="20"/>
          <w:szCs w:val="20"/>
          <w:color w:val="auto"/>
        </w:rPr>
      </w:pPr>
      <w:r>
        <w:rPr>
          <w:rFonts w:ascii="Arial" w:cs="Arial" w:eastAsia="Arial" w:hAnsi="Arial"/>
          <w:sz w:val="17"/>
          <w:szCs w:val="17"/>
          <w:b w:val="1"/>
          <w:bCs w:val="1"/>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0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96"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68"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98"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5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13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The FDA may determine that a marketing application for bitopertin, if approved, does not meet the eligibility criteria for a priority review voucher.</w:t>
      </w:r>
    </w:p>
    <w:p>
      <w:pPr>
        <w:spacing w:after="0" w:line="94"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Under the current statutory sunset provisions,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As such, if we do not obtain approval of a marketing application for bitopertin in patients with EPP and XLP on or before September 30, 2026, we may not receive a priority review voucher. However, it is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78</w:t>
      </w:r>
    </w:p>
    <w:p>
      <w:pPr>
        <w:sectPr>
          <w:pgSz w:w="12240" w:h="15840" w:orient="portrait"/>
          <w:cols w:equalWidth="0" w:num="1">
            <w:col w:w="10440"/>
          </w:cols>
          <w:pgMar w:left="900" w:top="960" w:right="900" w:bottom="181" w:gutter="0" w:footer="0" w:header="0"/>
          <w:type w:val="continuous"/>
        </w:sectPr>
      </w:pPr>
    </w:p>
    <w:bookmarkStart w:id="88" w:name="page89"/>
    <w:bookmarkEnd w:id="88"/>
    <w:p>
      <w:pPr>
        <w:jc w:val="both"/>
        <w:spacing w:after="0" w:line="233" w:lineRule="auto"/>
        <w:rPr>
          <w:sz w:val="20"/>
          <w:szCs w:val="20"/>
          <w:color w:val="auto"/>
        </w:rPr>
      </w:pPr>
      <w:r>
        <w:rPr>
          <w:rFonts w:ascii="Arial" w:cs="Arial" w:eastAsia="Arial" w:hAnsi="Arial"/>
          <w:sz w:val="20"/>
          <w:szCs w:val="20"/>
          <w:b w:val="1"/>
          <w:bCs w:val="1"/>
          <w:color w:val="auto"/>
        </w:rPr>
        <w:t>possible that the FDA's authority to grant rare pediatric disease designation or award rare pediatric disease priority review vouchers will be further extended by Congress.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02"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302"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10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may seek accelerated approval of bitopertin or any of our other current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11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10440"/>
          </w:cols>
          <w:pgMar w:left="900" w:top="960" w:right="900" w:bottom="181" w:gutter="0" w:footer="0" w:header="0"/>
          <w:type w:val="continuous"/>
        </w:sectPr>
      </w:pPr>
    </w:p>
    <w:bookmarkStart w:id="89" w:name="page90"/>
    <w:bookmarkEnd w:id="89"/>
    <w:p>
      <w:pPr>
        <w:jc w:val="both"/>
        <w:ind w:firstLine="490"/>
        <w:spacing w:after="0" w:line="235" w:lineRule="auto"/>
        <w:rPr>
          <w:sz w:val="20"/>
          <w:szCs w:val="20"/>
          <w:color w:val="auto"/>
        </w:rPr>
      </w:pPr>
      <w:r>
        <w:rPr>
          <w:rFonts w:ascii="Arial" w:cs="Arial" w:eastAsia="Arial" w:hAnsi="Arial"/>
          <w:sz w:val="20"/>
          <w:szCs w:val="20"/>
          <w:b w:val="1"/>
          <w:bCs w:val="1"/>
          <w:color w:val="auto"/>
        </w:rPr>
        <w:t>If we are not able to obtain accelerated approval for a product candidate, we may be required to conduct additional clinical trials beyond those that are contemplated, which would increase the expense of obtaining, and delay the receipt of, full FDA approval, if received at all.</w:t>
      </w:r>
    </w:p>
    <w:p>
      <w:pPr>
        <w:spacing w:after="0" w:line="148"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In January 2025, we announced that we had aligned with the FDA on the design of our planned APOLLO post-marketing confirmatory trial and that we plan to initiate the trial in mid-2025 and submit an NDA for accelerated approval of bitopertin in EPP and XLP in the second half of 2025. However, the FDA could change its position regarding the sufficiency of PPIX as a surrogate endpoint or the design of our APOLLO clinical trial. Further, even if the FDA continues to agree that reduction of PPIX may be sufficient to serve as a surrogate endpoint supportive of submitting an NDA for accelerated approval of bitopertin in EPP and XLP and remains aligned with the design of APOLLO as a post-marketing confirmatory trial, the FDA may not accept for filing any NDA we submit for accelerated approval for bitopertin, may not grant this approval on a timely basis, or may not grant approval at all. Receiving accelerated approval does not provide assurance of ultimate full FDA approval. Even if the Accelerated Approval Program does result in a faster approval process, there is no guarantee that we will be able to begin commercialization of our product at the time of such approval, that the APOLLO trial will confirm and verify clinical benefit, or that we will be otherwise able to maintain such approval.</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133"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30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9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80</w:t>
      </w:r>
    </w:p>
    <w:p>
      <w:pPr>
        <w:sectPr>
          <w:pgSz w:w="12240" w:h="15840" w:orient="portrait"/>
          <w:cols w:equalWidth="0" w:num="1">
            <w:col w:w="10440"/>
          </w:cols>
          <w:pgMar w:left="900" w:top="960" w:right="900" w:bottom="181" w:gutter="0" w:footer="0" w:header="0"/>
          <w:type w:val="continuous"/>
        </w:sectPr>
      </w:pPr>
    </w:p>
    <w:bookmarkStart w:id="90" w:name="page91"/>
    <w:bookmarkEnd w:id="90"/>
    <w:p>
      <w:pPr>
        <w:jc w:val="both"/>
        <w:spacing w:after="0" w:line="233" w:lineRule="auto"/>
        <w:rPr>
          <w:sz w:val="20"/>
          <w:szCs w:val="20"/>
          <w:color w:val="auto"/>
        </w:rPr>
      </w:pPr>
      <w:r>
        <w:rPr>
          <w:rFonts w:ascii="Arial" w:cs="Arial" w:eastAsia="Arial" w:hAnsi="Arial"/>
          <w:sz w:val="20"/>
          <w:szCs w:val="20"/>
          <w:b w:val="1"/>
          <w:bCs w:val="1"/>
          <w:color w:val="auto"/>
        </w:rPr>
        <w:t>If approved, our investigational products regulated as biologics may face competition from biosimilars or interchangeable products approved through an abbreviated regulatory pathway.</w:t>
      </w:r>
    </w:p>
    <w:p>
      <w:pPr>
        <w:spacing w:after="0" w:line="132"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31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18"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FDA and other regulatory agencies actively enforce the laws and regulations prohibiting the promotion of off-label uses.</w:t>
      </w:r>
    </w:p>
    <w:p>
      <w:pPr>
        <w:spacing w:after="0" w:line="155"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10440"/>
          </w:cols>
          <w:pgMar w:left="900" w:top="960" w:right="900" w:bottom="181" w:gutter="0" w:footer="0" w:header="0"/>
          <w:type w:val="continuous"/>
        </w:sectPr>
      </w:pPr>
    </w:p>
    <w:bookmarkStart w:id="91" w:name="page92"/>
    <w:bookmarkEnd w:id="91"/>
    <w:p>
      <w:pPr>
        <w:jc w:val="both"/>
        <w:ind w:left="7"/>
        <w:spacing w:after="0" w:line="237" w:lineRule="auto"/>
        <w:rPr>
          <w:sz w:val="20"/>
          <w:szCs w:val="20"/>
          <w:color w:val="auto"/>
        </w:rPr>
      </w:pPr>
      <w:r>
        <w:rPr>
          <w:rFonts w:ascii="Arial" w:cs="Arial" w:eastAsia="Arial" w:hAnsi="Arial"/>
          <w:sz w:val="20"/>
          <w:szCs w:val="20"/>
          <w:b w:val="1"/>
          <w:b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34" w:lineRule="exact"/>
        <w:rPr>
          <w:sz w:val="20"/>
          <w:szCs w:val="20"/>
          <w:color w:val="auto"/>
        </w:rPr>
      </w:pPr>
    </w:p>
    <w:p>
      <w:pPr>
        <w:jc w:val="both"/>
        <w:ind w:left="7" w:firstLine="490"/>
        <w:spacing w:after="0" w:line="268" w:lineRule="auto"/>
        <w:rPr>
          <w:sz w:val="20"/>
          <w:szCs w:val="20"/>
          <w:color w:val="auto"/>
        </w:rPr>
      </w:pPr>
      <w:r>
        <w:rPr>
          <w:rFonts w:ascii="Arial" w:cs="Arial" w:eastAsia="Arial" w:hAnsi="Arial"/>
          <w:sz w:val="18"/>
          <w:szCs w:val="18"/>
          <w:b w:val="1"/>
          <w:bCs w:val="1"/>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these agencies, including, for example, as a result of the freeze on federal funding announced in January 2025 and other restrictions, such as personnel reductions at agencies such as the FDA, may also slow the time necessary for new product candidates to be reviewed and/or approved by necessary government agencies or may slow or stall planned or ongoing research, which would adversely affect our business.</w:t>
      </w:r>
    </w:p>
    <w:p>
      <w:pPr>
        <w:spacing w:after="0" w:line="108" w:lineRule="exact"/>
        <w:rPr>
          <w:sz w:val="20"/>
          <w:szCs w:val="20"/>
          <w:color w:val="auto"/>
        </w:rPr>
      </w:pPr>
    </w:p>
    <w:p>
      <w:pPr>
        <w:jc w:val="both"/>
        <w:ind w:left="7" w:firstLine="490"/>
        <w:spacing w:after="0" w:line="332" w:lineRule="auto"/>
        <w:rPr>
          <w:sz w:val="20"/>
          <w:szCs w:val="20"/>
          <w:color w:val="auto"/>
        </w:rPr>
      </w:pPr>
      <w:r>
        <w:rPr>
          <w:rFonts w:ascii="Arial" w:cs="Arial" w:eastAsia="Arial" w:hAnsi="Arial"/>
          <w:sz w:val="15"/>
          <w:szCs w:val="15"/>
          <w:b w:val="1"/>
          <w:bCs w:val="1"/>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or a widespread freeze on federal funding occurs,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Healthcare reform measures may have a material adverse effect on our business and results of operations.</w:t>
      </w:r>
    </w:p>
    <w:p>
      <w:pPr>
        <w:spacing w:after="0" w:line="131" w:lineRule="exact"/>
        <w:rPr>
          <w:sz w:val="20"/>
          <w:szCs w:val="20"/>
          <w:color w:val="auto"/>
        </w:rPr>
      </w:pPr>
    </w:p>
    <w:p>
      <w:pPr>
        <w:jc w:val="both"/>
        <w:ind w:left="7" w:firstLine="490"/>
        <w:spacing w:after="0" w:line="319" w:lineRule="auto"/>
        <w:rPr>
          <w:sz w:val="20"/>
          <w:szCs w:val="20"/>
          <w:color w:val="auto"/>
        </w:rPr>
      </w:pPr>
      <w:r>
        <w:rPr>
          <w:rFonts w:ascii="Arial" w:cs="Arial" w:eastAsia="Arial" w:hAnsi="Arial"/>
          <w:sz w:val="15"/>
          <w:szCs w:val="15"/>
          <w:b w:val="1"/>
          <w:bCs w:val="1"/>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w:t>
      </w:r>
    </w:p>
    <w:p>
      <w:pPr>
        <w:spacing w:after="0" w:line="3" w:lineRule="exact"/>
        <w:rPr>
          <w:sz w:val="20"/>
          <w:szCs w:val="20"/>
          <w:color w:val="auto"/>
        </w:rPr>
      </w:pPr>
    </w:p>
    <w:p>
      <w:pPr>
        <w:jc w:val="both"/>
        <w:ind w:left="7" w:hanging="7"/>
        <w:spacing w:after="0" w:line="267" w:lineRule="auto"/>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the Patient Protection and Affordable Care Act, or the ACA, as amended by the Health Care and Education Reconciliation Act of 2010,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117" w:lineRule="exact"/>
        <w:rPr>
          <w:sz w:val="20"/>
          <w:szCs w:val="20"/>
          <w:color w:val="auto"/>
        </w:rPr>
      </w:pPr>
    </w:p>
    <w:p>
      <w:pPr>
        <w:jc w:val="both"/>
        <w:ind w:left="7" w:firstLine="490"/>
        <w:spacing w:after="0" w:line="328" w:lineRule="auto"/>
        <w:rPr>
          <w:sz w:val="20"/>
          <w:szCs w:val="20"/>
          <w:color w:val="auto"/>
        </w:rPr>
      </w:pPr>
      <w:r>
        <w:rPr>
          <w:rFonts w:ascii="Arial" w:cs="Arial" w:eastAsia="Arial" w:hAnsi="Arial"/>
          <w:sz w:val="15"/>
          <w:szCs w:val="15"/>
          <w:b w:val="1"/>
          <w:bCs w:val="1"/>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 multiple executive orders have been issued that seek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measures to control drug costs. It is unclear how healthcare reform measures or other efforts, if any, to challenge repeal or replace the ACA, will impact our business.</w:t>
      </w:r>
    </w:p>
    <w:p>
      <w:pPr>
        <w:spacing w:after="0" w:line="73" w:lineRule="exact"/>
        <w:rPr>
          <w:sz w:val="20"/>
          <w:szCs w:val="20"/>
          <w:color w:val="auto"/>
        </w:rPr>
      </w:pPr>
    </w:p>
    <w:p>
      <w:pPr>
        <w:jc w:val="both"/>
        <w:ind w:left="7" w:firstLine="490"/>
        <w:spacing w:after="0" w:line="234" w:lineRule="auto"/>
        <w:rPr>
          <w:sz w:val="20"/>
          <w:szCs w:val="20"/>
          <w:color w:val="auto"/>
        </w:rPr>
      </w:pPr>
      <w:r>
        <w:rPr>
          <w:rFonts w:ascii="Arial" w:cs="Arial" w:eastAsia="Arial" w:hAnsi="Arial"/>
          <w:sz w:val="20"/>
          <w:szCs w:val="20"/>
          <w:b w:val="1"/>
          <w:bCs w:val="1"/>
          <w:color w:val="auto"/>
        </w:rPr>
        <w:t>In addition, other legislative and regulatory changes have been proposed and adopted in the United States since the ACA was enacted:</w:t>
      </w:r>
    </w:p>
    <w:p>
      <w:pPr>
        <w:spacing w:after="0" w:line="147" w:lineRule="exact"/>
        <w:rPr>
          <w:sz w:val="20"/>
          <w:szCs w:val="20"/>
          <w:color w:val="auto"/>
        </w:rPr>
      </w:pPr>
    </w:p>
    <w:p>
      <w:pPr>
        <w:jc w:val="both"/>
        <w:ind w:left="847"/>
        <w:spacing w:after="0" w:line="291" w:lineRule="auto"/>
        <w:rPr>
          <w:sz w:val="20"/>
          <w:szCs w:val="20"/>
          <w:color w:val="auto"/>
        </w:rPr>
      </w:pPr>
      <w:r>
        <w:rPr>
          <w:rFonts w:ascii="Arial" w:cs="Arial" w:eastAsia="Arial" w:hAnsi="Arial"/>
          <w:sz w:val="17"/>
          <w:szCs w:val="17"/>
          <w:b w:val="1"/>
          <w:bCs w:val="1"/>
          <w:color w:val="auto"/>
        </w:rPr>
        <w:t>The U.S. Budget Control Act of 2011, for example, included aggregate reductions of Medicare payments to providers of 2% per fiscal year that will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-560705</wp:posOffset>
            </wp:positionV>
            <wp:extent cx="71120" cy="711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7"/>
          </w:cols>
          <w:pgMar w:left="893" w:top="960" w:right="900" w:bottom="181"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82</w:t>
      </w:r>
    </w:p>
    <w:p>
      <w:pPr>
        <w:sectPr>
          <w:pgSz w:w="12240" w:h="15840" w:orient="portrait"/>
          <w:cols w:equalWidth="0" w:num="1">
            <w:col w:w="10447"/>
          </w:cols>
          <w:pgMar w:left="893" w:top="960" w:right="900" w:bottom="181" w:gutter="0" w:footer="0" w:header="0"/>
          <w:type w:val="continuous"/>
        </w:sectPr>
      </w:pPr>
    </w:p>
    <w:bookmarkStart w:id="92" w:name="page93"/>
    <w:bookmarkEnd w:id="92"/>
    <w:p>
      <w:pPr>
        <w:jc w:val="both"/>
        <w:ind w:left="840"/>
        <w:spacing w:after="0" w:line="235" w:lineRule="auto"/>
        <w:rPr>
          <w:sz w:val="20"/>
          <w:szCs w:val="20"/>
          <w:color w:val="auto"/>
        </w:rPr>
      </w:pPr>
      <w:r>
        <w:rPr>
          <w:rFonts w:ascii="Arial" w:cs="Arial" w:eastAsia="Arial" w:hAnsi="Arial"/>
          <w:sz w:val="20"/>
          <w:szCs w:val="20"/>
          <w:b w:val="1"/>
          <w:bCs w:val="1"/>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-387985</wp:posOffset>
            </wp:positionV>
            <wp:extent cx="71120" cy="711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840"/>
        <w:spacing w:after="0" w:line="236" w:lineRule="auto"/>
        <w:rPr>
          <w:sz w:val="20"/>
          <w:szCs w:val="20"/>
          <w:color w:val="auto"/>
        </w:rPr>
      </w:pPr>
      <w:r>
        <w:rPr>
          <w:rFonts w:ascii="Arial" w:cs="Arial" w:eastAsia="Arial" w:hAnsi="Arial"/>
          <w:sz w:val="20"/>
          <w:szCs w:val="20"/>
          <w:b w:val="1"/>
          <w:bCs w:val="1"/>
          <w:color w:val="auto"/>
        </w:rPr>
        <w:t>The U.S. American Rescue Plan Act of 2021, which eliminates the statutory Medicaid drug rebate cap, previously set at 100% of a drug’s average manufacturer price, for single source and innovator multiple source drugs, effective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-389890</wp:posOffset>
            </wp:positionV>
            <wp:extent cx="71120" cy="711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jc w:val="both"/>
        <w:ind w:firstLine="490"/>
        <w:spacing w:after="0" w:line="228" w:lineRule="auto"/>
        <w:rPr>
          <w:sz w:val="20"/>
          <w:szCs w:val="20"/>
          <w:color w:val="auto"/>
        </w:rPr>
      </w:pPr>
      <w:r>
        <w:rPr>
          <w:rFonts w:ascii="Arial" w:cs="Arial" w:eastAsia="Arial" w:hAnsi="Arial"/>
          <w:sz w:val="20"/>
          <w:szCs w:val="20"/>
          <w:b w:val="1"/>
          <w:bCs w:val="1"/>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9" w:lineRule="exact"/>
        <w:rPr>
          <w:sz w:val="20"/>
          <w:szCs w:val="20"/>
          <w:color w:val="auto"/>
        </w:rPr>
      </w:pPr>
    </w:p>
    <w:p>
      <w:pPr>
        <w:jc w:val="both"/>
        <w:ind w:firstLine="490"/>
        <w:spacing w:after="0" w:line="319" w:lineRule="auto"/>
        <w:rPr>
          <w:sz w:val="20"/>
          <w:szCs w:val="20"/>
          <w:color w:val="auto"/>
        </w:rPr>
      </w:pPr>
      <w:r>
        <w:rPr>
          <w:rFonts w:ascii="Arial" w:cs="Arial" w:eastAsia="Arial" w:hAnsi="Arial"/>
          <w:sz w:val="15"/>
          <w:szCs w:val="15"/>
          <w:b w:val="1"/>
          <w:bCs w:val="1"/>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w:t>
      </w:r>
    </w:p>
    <w:p>
      <w:pPr>
        <w:spacing w:after="0" w:line="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color w:val="auto"/>
        </w:rPr>
        <w:t xml:space="preserve">until January 1, </w:t>
      </w:r>
      <w:r>
        <w:rPr>
          <w:sz w:val="1"/>
          <w:szCs w:val="1"/>
          <w:color w:val="auto"/>
        </w:rPr>
        <w:drawing>
          <wp:inline distT="0" distB="0" distL="0" distR="0">
            <wp:extent cx="146050" cy="11239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9">
                      <a:extLst>
                        <a:ext uri="{28A0092B-C50C-407E-A947-70E740481C1C}"/>
                      </a:extLst>
                    </a:blip>
                    <a:srcRect/>
                    <a:stretch>
                      <a:fillRect/>
                    </a:stretch>
                  </pic:blipFill>
                  <pic:spPr bwMode="auto">
                    <a:xfrm>
                      <a:off x="0" y="0"/>
                      <a:ext cx="146050" cy="112395"/>
                    </a:xfrm>
                    <a:prstGeom prst="rect">
                      <a:avLst/>
                    </a:prstGeom>
                    <a:noFill/>
                    <a:ln>
                      <a:noFill/>
                    </a:ln>
                  </pic:spPr>
                </pic:pic>
              </a:graphicData>
            </a:graphic>
          </wp:inline>
        </w:drawing>
        <w:drawing>
          <wp:inline distT="0" distB="0" distL="0" distR="0">
            <wp:extent cx="140970" cy="11239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0">
                      <a:extLst>
                        <a:ext uri="{28A0092B-C50C-407E-A947-70E740481C1C}"/>
                      </a:extLst>
                    </a:blip>
                    <a:srcRect/>
                    <a:stretch>
                      <a:fillRect/>
                    </a:stretch>
                  </pic:blipFill>
                  <pic:spPr bwMode="auto">
                    <a:xfrm>
                      <a:off x="0" y="0"/>
                      <a:ext cx="140970" cy="112395"/>
                    </a:xfrm>
                    <a:prstGeom prst="rect">
                      <a:avLst/>
                    </a:prstGeom>
                    <a:noFill/>
                    <a:ln>
                      <a:noFill/>
                    </a:ln>
                  </pic:spPr>
                </pic:pic>
              </a:graphicData>
            </a:graphic>
          </wp:inline>
        </w:drawing>
        <w:drawing>
          <wp:inline distT="0" distB="0" distL="0" distR="0">
            <wp:extent cx="123190" cy="11557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1">
                      <a:extLst>
                        <a:ext uri="{28A0092B-C50C-407E-A947-70E740481C1C}"/>
                      </a:extLst>
                    </a:blip>
                    <a:srcRect/>
                    <a:stretch>
                      <a:fillRect/>
                    </a:stretch>
                  </pic:blipFill>
                  <pic:spPr bwMode="auto">
                    <a:xfrm>
                      <a:off x="0" y="0"/>
                      <a:ext cx="123190" cy="115570"/>
                    </a:xfrm>
                    <a:prstGeom prst="rect">
                      <a:avLst/>
                    </a:prstGeom>
                    <a:noFill/>
                    <a:ln>
                      <a:noFill/>
                    </a:ln>
                  </pic:spPr>
                </pic:pic>
              </a:graphicData>
            </a:graphic>
          </wp:inline>
        </w:drawing>
        <w:drawing>
          <wp:inline distT="0" distB="0" distL="0" distR="0">
            <wp:extent cx="72390" cy="863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2">
                      <a:extLst>
                        <a:ext uri="{28A0092B-C50C-407E-A947-70E740481C1C}"/>
                      </a:extLst>
                    </a:blip>
                    <a:srcRect/>
                    <a:stretch>
                      <a:fillRect/>
                    </a:stretch>
                  </pic:blipFill>
                  <pic:spPr bwMode="auto">
                    <a:xfrm>
                      <a:off x="0" y="0"/>
                      <a:ext cx="72390" cy="86360"/>
                    </a:xfrm>
                    <a:prstGeom prst="rect">
                      <a:avLst/>
                    </a:prstGeom>
                    <a:noFill/>
                    <a:ln>
                      <a:noFill/>
                    </a:ln>
                  </pic:spPr>
                </pic:pic>
              </a:graphicData>
            </a:graphic>
          </wp:inline>
        </w:drawing>
      </w:r>
      <w:r>
        <w:rPr>
          <w:rFonts w:ascii="Arial" w:cs="Arial" w:eastAsia="Arial" w:hAnsi="Arial"/>
          <w:sz w:val="15"/>
          <w:szCs w:val="15"/>
          <w:b w:val="1"/>
          <w:bCs w:val="1"/>
          <w:color w:val="auto"/>
        </w:rPr>
        <w:t xml:space="preserve"> implementation of the HHS rebate rule that would have limited the fees that pharmacy benefit managers can charge. Further, under the IRA, orphan drugs are exempted from the Medicare drug price negotiation program, but only if they</w:t>
      </w:r>
    </w:p>
    <w:p>
      <w:pPr>
        <w:jc w:val="both"/>
        <w:spacing w:after="0" w:line="282" w:lineRule="auto"/>
        <w:rPr>
          <w:sz w:val="20"/>
          <w:szCs w:val="20"/>
          <w:color w:val="auto"/>
        </w:rPr>
      </w:pPr>
      <w:r>
        <w:rPr>
          <w:rFonts w:ascii="Arial" w:cs="Arial" w:eastAsia="Arial" w:hAnsi="Arial"/>
          <w:sz w:val="17"/>
          <w:szCs w:val="17"/>
          <w:b w:val="1"/>
          <w:bCs w:val="1"/>
          <w:color w:val="auto"/>
        </w:rPr>
        <w:t xml:space="preserve">have one orphan designation and for which the only approved indication is for that disease or </w:t>
      </w:r>
      <w:r>
        <w:rPr>
          <w:sz w:val="1"/>
          <w:szCs w:val="1"/>
          <w:color w:val="auto"/>
        </w:rPr>
        <w:drawing>
          <wp:inline distT="0" distB="0" distL="0" distR="0">
            <wp:extent cx="136525" cy="863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3">
                      <a:extLst>
                        <a:ext uri="{28A0092B-C50C-407E-A947-70E740481C1C}"/>
                      </a:extLst>
                    </a:blip>
                    <a:srcRect/>
                    <a:stretch>
                      <a:fillRect/>
                    </a:stretch>
                  </pic:blipFill>
                  <pic:spPr bwMode="auto">
                    <a:xfrm>
                      <a:off x="0" y="0"/>
                      <a:ext cx="136525" cy="86360"/>
                    </a:xfrm>
                    <a:prstGeom prst="rect">
                      <a:avLst/>
                    </a:prstGeom>
                    <a:noFill/>
                    <a:ln>
                      <a:noFill/>
                    </a:ln>
                  </pic:spPr>
                </pic:pic>
              </a:graphicData>
            </a:graphic>
          </wp:inline>
        </w:drawing>
        <w:drawing>
          <wp:inline distT="0" distB="0" distL="0" distR="0">
            <wp:extent cx="153670" cy="11557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4">
                      <a:extLst>
                        <a:ext uri="{28A0092B-C50C-407E-A947-70E740481C1C}"/>
                      </a:extLst>
                    </a:blip>
                    <a:srcRect/>
                    <a:stretch>
                      <a:fillRect/>
                    </a:stretch>
                  </pic:blipFill>
                  <pic:spPr bwMode="auto">
                    <a:xfrm>
                      <a:off x="0" y="0"/>
                      <a:ext cx="153670" cy="115570"/>
                    </a:xfrm>
                    <a:prstGeom prst="rect">
                      <a:avLst/>
                    </a:prstGeom>
                    <a:noFill/>
                    <a:ln>
                      <a:noFill/>
                    </a:ln>
                  </pic:spPr>
                </pic:pic>
              </a:graphicData>
            </a:graphic>
          </wp:inline>
        </w:drawing>
        <w:drawing>
          <wp:inline distT="0" distB="0" distL="0" distR="0">
            <wp:extent cx="90805" cy="11557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5">
                      <a:extLst>
                        <a:ext uri="{28A0092B-C50C-407E-A947-70E740481C1C}"/>
                      </a:extLst>
                    </a:blip>
                    <a:srcRect/>
                    <a:stretch>
                      <a:fillRect/>
                    </a:stretch>
                  </pic:blipFill>
                  <pic:spPr bwMode="auto">
                    <a:xfrm>
                      <a:off x="0" y="0"/>
                      <a:ext cx="90805" cy="115570"/>
                    </a:xfrm>
                    <a:prstGeom prst="rect">
                      <a:avLst/>
                    </a:prstGeom>
                    <a:noFill/>
                    <a:ln>
                      <a:noFill/>
                    </a:ln>
                  </pic:spPr>
                </pic:pic>
              </a:graphicData>
            </a:graphic>
          </wp:inline>
        </w:drawing>
        <w:drawing>
          <wp:inline distT="0" distB="0" distL="0" distR="0">
            <wp:extent cx="115570" cy="1155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6">
                      <a:extLst>
                        <a:ext uri="{28A0092B-C50C-407E-A947-70E740481C1C}"/>
                      </a:extLst>
                    </a:blip>
                    <a:srcRect/>
                    <a:stretch>
                      <a:fillRect/>
                    </a:stretch>
                  </pic:blipFill>
                  <pic:spPr bwMode="auto">
                    <a:xfrm>
                      <a:off x="0" y="0"/>
                      <a:ext cx="115570" cy="115570"/>
                    </a:xfrm>
                    <a:prstGeom prst="rect">
                      <a:avLst/>
                    </a:prstGeom>
                    <a:noFill/>
                    <a:ln>
                      <a:noFill/>
                    </a:ln>
                  </pic:spPr>
                </pic:pic>
              </a:graphicData>
            </a:graphic>
          </wp:inline>
        </w:drawing>
        <w:drawing>
          <wp:inline distT="0" distB="0" distL="0" distR="0">
            <wp:extent cx="110490" cy="863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7">
                      <a:extLst>
                        <a:ext uri="{28A0092B-C50C-407E-A947-70E740481C1C}"/>
                      </a:extLst>
                    </a:blip>
                    <a:srcRect/>
                    <a:stretch>
                      <a:fillRect/>
                    </a:stretch>
                  </pic:blipFill>
                  <pic:spPr bwMode="auto">
                    <a:xfrm>
                      <a:off x="0" y="0"/>
                      <a:ext cx="110490" cy="86360"/>
                    </a:xfrm>
                    <a:prstGeom prst="rect">
                      <a:avLst/>
                    </a:prstGeom>
                    <a:noFill/>
                    <a:ln>
                      <a:noFill/>
                    </a:ln>
                  </pic:spPr>
                </pic:pic>
              </a:graphicData>
            </a:graphic>
          </wp:inline>
        </w:drawing>
        <w:drawing>
          <wp:inline distT="0" distB="0" distL="0" distR="0">
            <wp:extent cx="120015" cy="11366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8">
                      <a:extLst>
                        <a:ext uri="{28A0092B-C50C-407E-A947-70E740481C1C}"/>
                      </a:extLst>
                    </a:blip>
                    <a:srcRect/>
                    <a:stretch>
                      <a:fillRect/>
                    </a:stretch>
                  </pic:blipFill>
                  <pic:spPr bwMode="auto">
                    <a:xfrm>
                      <a:off x="0" y="0"/>
                      <a:ext cx="120015" cy="113665"/>
                    </a:xfrm>
                    <a:prstGeom prst="rect">
                      <a:avLst/>
                    </a:prstGeom>
                    <a:noFill/>
                    <a:ln>
                      <a:noFill/>
                    </a:ln>
                  </pic:spPr>
                </pic:pic>
              </a:graphicData>
            </a:graphic>
          </wp:inline>
        </w:drawing>
      </w:r>
      <w:r>
        <w:rPr>
          <w:rFonts w:ascii="Arial" w:cs="Arial" w:eastAsia="Arial" w:hAnsi="Arial"/>
          <w:sz w:val="17"/>
          <w:szCs w:val="17"/>
          <w:b w:val="1"/>
          <w:bCs w:val="1"/>
          <w:color w:val="auto"/>
        </w:rPr>
        <w:t xml:space="preserve">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CMS has announced the results of the first round of negotiated prices between CMS and participating drug manufacturers for the ten selected drugs under the IRA’s Medicare drug price negotiation program. These prices go into effect in 2026. CMS has also announced the next 15 drugs selected for the IRA’s Medicare drug price negotiation program. It is unclear whether ongoing litigation will be successful in challenging the constitutionality of the IRA’s Medicare drug price negotiation program and, if so, may provide a mechanism to block the implementation of the program. The effects of the IRA on our business and the healthcare industry in general is not yet known.</w:t>
      </w:r>
    </w:p>
    <w:p>
      <w:pPr>
        <w:spacing w:after="0" w:line="9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97" w:lineRule="exact"/>
        <w:rPr>
          <w:sz w:val="20"/>
          <w:szCs w:val="20"/>
          <w:color w:val="auto"/>
        </w:rPr>
      </w:pPr>
    </w:p>
    <w:p>
      <w:pPr>
        <w:jc w:val="both"/>
        <w:ind w:firstLine="490"/>
        <w:spacing w:after="0"/>
        <w:rPr>
          <w:sz w:val="20"/>
          <w:szCs w:val="20"/>
          <w:color w:val="auto"/>
        </w:rPr>
      </w:pPr>
      <w:r>
        <w:rPr>
          <w:rFonts w:ascii="Arial" w:cs="Arial" w:eastAsia="Arial" w:hAnsi="Arial"/>
          <w:sz w:val="19"/>
          <w:szCs w:val="19"/>
          <w:b w:val="1"/>
          <w:bCs w:val="1"/>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20"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8"/>
          <w:szCs w:val="18"/>
          <w:b w:val="1"/>
          <w:bCs w:val="1"/>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0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b w:val="1"/>
          <w:bCs w:val="1"/>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demand for our current or future product candidates, if we obtain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set a price that we believe is fair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obtain coverage and reimbursement approval for 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generate revenue and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level of taxes that we are required to pay;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10440"/>
          </w:cols>
          <w:pgMar w:left="900" w:top="974" w:right="900" w:bottom="181" w:gutter="0" w:footer="0" w:header="0"/>
          <w:type w:val="continuous"/>
        </w:sectPr>
      </w:pPr>
    </w:p>
    <w:bookmarkStart w:id="93" w:name="page94"/>
    <w:bookmarkEnd w:id="93"/>
    <w:p>
      <w:pPr>
        <w:ind w:left="720"/>
        <w:spacing w:after="0"/>
        <w:rPr>
          <w:sz w:val="20"/>
          <w:szCs w:val="20"/>
          <w:color w:val="auto"/>
        </w:rPr>
      </w:pPr>
      <w:r>
        <w:rPr>
          <w:rFonts w:ascii="Arial" w:cs="Arial" w:eastAsia="Arial" w:hAnsi="Arial"/>
          <w:sz w:val="20"/>
          <w:szCs w:val="20"/>
          <w:b w:val="1"/>
          <w:bCs w:val="1"/>
          <w:color w:val="auto"/>
        </w:rPr>
        <w:t>the availability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9"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Any reduction in reimbursement from Medicare or other government programs may result in a similar reduction in payments from private payors, which may adversely affect our future profitability.</w:t>
      </w:r>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3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109" w:lineRule="exact"/>
        <w:rPr>
          <w:sz w:val="20"/>
          <w:szCs w:val="20"/>
          <w:color w:val="auto"/>
        </w:rPr>
      </w:pPr>
    </w:p>
    <w:p>
      <w:pPr>
        <w:jc w:val="both"/>
        <w:ind w:left="720"/>
        <w:spacing w:after="0" w:line="284" w:lineRule="auto"/>
        <w:rPr>
          <w:sz w:val="20"/>
          <w:szCs w:val="20"/>
          <w:color w:val="auto"/>
        </w:rPr>
      </w:pPr>
      <w:r>
        <w:rPr>
          <w:rFonts w:ascii="Arial" w:cs="Arial" w:eastAsia="Arial" w:hAnsi="Arial"/>
          <w:sz w:val="17"/>
          <w:szCs w:val="17"/>
          <w:b w:val="1"/>
          <w:bCs w:val="1"/>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-2162175</wp:posOffset>
            </wp:positionV>
            <wp:extent cx="71120" cy="711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6" w:lineRule="exact"/>
        <w:rPr>
          <w:sz w:val="20"/>
          <w:szCs w:val="20"/>
          <w:color w:val="auto"/>
        </w:rPr>
      </w:pPr>
    </w:p>
    <w:p>
      <w:pPr>
        <w:jc w:val="both"/>
        <w:ind w:left="720"/>
        <w:spacing w:after="0" w:line="285" w:lineRule="auto"/>
        <w:rPr>
          <w:sz w:val="20"/>
          <w:szCs w:val="20"/>
          <w:color w:val="auto"/>
        </w:rPr>
      </w:pPr>
      <w:r>
        <w:rPr>
          <w:rFonts w:ascii="Arial" w:cs="Arial" w:eastAsia="Arial" w:hAnsi="Arial"/>
          <w:sz w:val="17"/>
          <w:szCs w:val="17"/>
          <w:b w:val="1"/>
          <w:bCs w:val="1"/>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-1432560</wp:posOffset>
            </wp:positionV>
            <wp:extent cx="71120" cy="711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jc w:val="both"/>
        <w:ind w:left="720"/>
        <w:spacing w:after="0" w:line="252" w:lineRule="auto"/>
        <w:rPr>
          <w:sz w:val="20"/>
          <w:szCs w:val="20"/>
          <w:color w:val="auto"/>
        </w:rPr>
      </w:pPr>
      <w:r>
        <w:rPr>
          <w:rFonts w:ascii="Arial" w:cs="Arial" w:eastAsia="Arial" w:hAnsi="Arial"/>
          <w:sz w:val="19"/>
          <w:szCs w:val="19"/>
          <w:b w:val="1"/>
          <w:bCs w:val="1"/>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-832485</wp:posOffset>
            </wp:positionV>
            <wp:extent cx="71120" cy="711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jc w:val="both"/>
        <w:ind w:left="720"/>
        <w:spacing w:after="0" w:line="288" w:lineRule="auto"/>
        <w:rPr>
          <w:sz w:val="20"/>
          <w:szCs w:val="20"/>
          <w:color w:val="auto"/>
        </w:rPr>
      </w:pPr>
      <w:r>
        <w:rPr>
          <w:rFonts w:ascii="Arial" w:cs="Arial" w:eastAsia="Arial" w:hAnsi="Arial"/>
          <w:sz w:val="17"/>
          <w:szCs w:val="17"/>
          <w:b w:val="1"/>
          <w:bCs w:val="1"/>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-852170</wp:posOffset>
            </wp:positionV>
            <wp:extent cx="71120" cy="711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54"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84</w:t>
      </w:r>
    </w:p>
    <w:p>
      <w:pPr>
        <w:sectPr>
          <w:pgSz w:w="12240" w:h="15840" w:orient="portrait"/>
          <w:cols w:equalWidth="0" w:num="1">
            <w:col w:w="10440"/>
          </w:cols>
          <w:pgMar w:left="900" w:top="954" w:right="900" w:bottom="181" w:gutter="0" w:footer="0" w:header="0"/>
          <w:type w:val="continuous"/>
        </w:sectPr>
      </w:pPr>
    </w:p>
    <w:bookmarkStart w:id="94" w:name="page95"/>
    <w:bookmarkEnd w:id="94"/>
    <w:p>
      <w:pPr>
        <w:jc w:val="both"/>
        <w:ind w:left="720"/>
        <w:spacing w:after="0" w:line="233" w:lineRule="auto"/>
        <w:rPr>
          <w:sz w:val="20"/>
          <w:szCs w:val="20"/>
          <w:color w:val="auto"/>
        </w:rPr>
      </w:pPr>
      <w:r>
        <w:rPr>
          <w:rFonts w:ascii="Arial" w:cs="Arial" w:eastAsia="Arial" w:hAnsi="Arial"/>
          <w:sz w:val="20"/>
          <w:szCs w:val="20"/>
          <w:b w:val="1"/>
          <w:bCs w:val="1"/>
          <w:color w:val="auto"/>
        </w:rPr>
        <w:t>federal consumer protection and unfair competition laws, which broadly regulate marketplace activities and activities that potentially harm consumers;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99"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306"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304"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The scope and enforcement of each of these laws is uncertain and subject to rapid change in the current environment of healthcare reform, especially in light of the lack of applicable precedent and regulations. Federal and state enforcement bodies have</w:t>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10440"/>
          </w:cols>
          <w:pgMar w:left="900" w:top="974" w:right="900" w:bottom="181" w:gutter="0" w:footer="0" w:header="0"/>
          <w:type w:val="continuous"/>
        </w:sectPr>
      </w:pPr>
    </w:p>
    <w:bookmarkStart w:id="95" w:name="page96"/>
    <w:bookmarkEnd w:id="95"/>
    <w:p>
      <w:pPr>
        <w:jc w:val="both"/>
        <w:spacing w:after="0" w:line="251" w:lineRule="auto"/>
        <w:rPr>
          <w:sz w:val="20"/>
          <w:szCs w:val="20"/>
          <w:color w:val="auto"/>
        </w:rPr>
      </w:pPr>
      <w:r>
        <w:rPr>
          <w:rFonts w:ascii="Arial" w:cs="Arial" w:eastAsia="Arial" w:hAnsi="Arial"/>
          <w:sz w:val="19"/>
          <w:szCs w:val="19"/>
          <w:b w:val="1"/>
          <w:bCs w:val="1"/>
          <w:color w:val="auto"/>
        </w:rPr>
        <w:t>recently increased their scrutiny of interactions between healthcare companies and healthcare providers, which has led to a number of investigations, prosecutions, convictions and settlements in the healthcare industry.</w:t>
      </w:r>
    </w:p>
    <w:p>
      <w:pPr>
        <w:spacing w:after="0" w:line="12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4"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133"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or CPRA, which as of January 1, 2023, significantly modified the CCPA by expanding consumer rights with respect to certain sensitive information, and creating a new state agency that is vested with authority to implement and enforce the CCPA.</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86</w:t>
      </w:r>
    </w:p>
    <w:p>
      <w:pPr>
        <w:sectPr>
          <w:pgSz w:w="12240" w:h="15840" w:orient="portrait"/>
          <w:cols w:equalWidth="0" w:num="1">
            <w:col w:w="10440"/>
          </w:cols>
          <w:pgMar w:left="900" w:top="960" w:right="900" w:bottom="181" w:gutter="0" w:footer="0" w:header="0"/>
          <w:type w:val="continuous"/>
        </w:sectPr>
      </w:pPr>
    </w:p>
    <w:bookmarkStart w:id="96" w:name="page97"/>
    <w:bookmarkEnd w:id="96"/>
    <w:p>
      <w:pPr>
        <w:jc w:val="both"/>
        <w:ind w:firstLine="490"/>
        <w:spacing w:after="0" w:line="323" w:lineRule="auto"/>
        <w:rPr>
          <w:sz w:val="20"/>
          <w:szCs w:val="20"/>
          <w:color w:val="auto"/>
        </w:rPr>
      </w:pPr>
      <w:r>
        <w:rPr>
          <w:rFonts w:ascii="Arial" w:cs="Arial" w:eastAsia="Arial" w:hAnsi="Arial"/>
          <w:sz w:val="15"/>
          <w:szCs w:val="15"/>
          <w:b w:val="1"/>
          <w:bCs w:val="1"/>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200" w:lineRule="exact"/>
        <w:rPr>
          <w:sz w:val="20"/>
          <w:szCs w:val="20"/>
          <w:color w:val="auto"/>
        </w:rPr>
      </w:pPr>
    </w:p>
    <w:p>
      <w:pPr>
        <w:spacing w:after="0" w:line="340"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30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10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103"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w:t>
      </w:r>
    </w:p>
    <w:p>
      <w:pPr>
        <w:sectPr>
          <w:pgSz w:w="12240" w:h="15840" w:orient="portrait"/>
          <w:cols w:equalWidth="0" w:num="1">
            <w:col w:w="10440"/>
          </w:cols>
          <w:pgMar w:left="900" w:top="960" w:right="900" w:bottom="181"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10440"/>
          </w:cols>
          <w:pgMar w:left="900" w:top="960" w:right="900" w:bottom="181" w:gutter="0" w:footer="0" w:header="0"/>
          <w:type w:val="continuous"/>
        </w:sectPr>
      </w:pPr>
    </w:p>
    <w:bookmarkStart w:id="97" w:name="page98"/>
    <w:bookmarkEnd w:id="97"/>
    <w:p>
      <w:pPr>
        <w:jc w:val="both"/>
        <w:spacing w:after="0" w:line="252" w:lineRule="auto"/>
        <w:rPr>
          <w:sz w:val="20"/>
          <w:szCs w:val="20"/>
          <w:color w:val="auto"/>
        </w:rPr>
      </w:pPr>
      <w:r>
        <w:rPr>
          <w:rFonts w:ascii="Arial" w:cs="Arial" w:eastAsia="Arial" w:hAnsi="Arial"/>
          <w:sz w:val="19"/>
          <w:szCs w:val="19"/>
          <w:b w:val="1"/>
          <w:bCs w:val="1"/>
          <w:color w:val="auto"/>
        </w:rPr>
        <w:t>UK to the EEA remain free flowing. The UK Government introduced the Data Protection and Digital Information Bill, which failed in the UK legislative process. A new Data (Use and Access) Bill, or the UK Bill, has been introduced into parliament.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12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organisations providing services in the EEA, including to certain providers engaged in research and development of medicinal products. To the extent applicable, the new regime imposes direct obligations on management regarding compliance with NIS 2, requiring covered organisations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94"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200" w:lineRule="exact"/>
        <w:rPr>
          <w:sz w:val="20"/>
          <w:szCs w:val="20"/>
          <w:color w:val="auto"/>
        </w:rPr>
      </w:pP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35"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becomes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88</w:t>
      </w:r>
    </w:p>
    <w:p>
      <w:pPr>
        <w:sectPr>
          <w:pgSz w:w="12240" w:h="15840" w:orient="portrait"/>
          <w:cols w:equalWidth="0" w:num="1">
            <w:col w:w="10440"/>
          </w:cols>
          <w:pgMar w:left="900" w:top="960" w:right="900" w:bottom="181" w:gutter="0" w:footer="0" w:header="0"/>
          <w:type w:val="continuous"/>
        </w:sectPr>
      </w:pPr>
    </w:p>
    <w:bookmarkStart w:id="98" w:name="page99"/>
    <w:bookmarkEnd w:id="98"/>
    <w:p>
      <w:pPr>
        <w:jc w:val="both"/>
        <w:spacing w:after="0" w:line="233" w:lineRule="auto"/>
        <w:rPr>
          <w:sz w:val="20"/>
          <w:szCs w:val="20"/>
          <w:color w:val="auto"/>
        </w:rPr>
      </w:pPr>
      <w:r>
        <w:rPr>
          <w:rFonts w:ascii="Arial" w:cs="Arial" w:eastAsia="Arial" w:hAnsi="Arial"/>
          <w:sz w:val="20"/>
          <w:szCs w:val="20"/>
          <w:b w:val="1"/>
          <w:bCs w:val="1"/>
          <w:color w:val="auto"/>
        </w:rPr>
        <w:t>effects could damage our reputation, result in the loss of valuable property and information, cause us to breach applicable laws and regulations, and adversely impact our business.</w:t>
      </w:r>
    </w:p>
    <w:p>
      <w:pPr>
        <w:spacing w:after="0" w:line="25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3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5"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1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1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Employee Matters and Managing Growth</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Our future success depends on our ability to retain key executives and experienced scientists and to attract, retain, and motivate qualified personnel.</w:t>
      </w:r>
    </w:p>
    <w:p>
      <w:pPr>
        <w:spacing w:after="0" w:line="13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97"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98"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10440"/>
          </w:cols>
          <w:pgMar w:left="900" w:top="960" w:right="900" w:bottom="181" w:gutter="0" w:footer="0" w:header="0"/>
          <w:type w:val="continuous"/>
        </w:sectPr>
      </w:pPr>
    </w:p>
    <w:bookmarkStart w:id="99" w:name="page100"/>
    <w:bookmarkEnd w:id="99"/>
    <w:p>
      <w:pPr>
        <w:jc w:val="both"/>
        <w:spacing w:after="0" w:line="278" w:lineRule="auto"/>
        <w:rPr>
          <w:sz w:val="20"/>
          <w:szCs w:val="20"/>
          <w:color w:val="auto"/>
        </w:rPr>
      </w:pPr>
      <w:r>
        <w:rPr>
          <w:rFonts w:ascii="Arial" w:cs="Arial" w:eastAsia="Arial" w:hAnsi="Arial"/>
          <w:sz w:val="18"/>
          <w:szCs w:val="18"/>
          <w:b w:val="1"/>
          <w:bCs w:val="1"/>
          <w:color w:val="auto"/>
        </w:rPr>
        <w:t>quality candidates than what we have to offer. If we are unable to continue to attract and retain high-quality personnel, the rate and success with which we can discover and develop product candidates and our business will be limited.</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85"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10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95"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70" w:lineRule="exact"/>
        <w:rPr>
          <w:sz w:val="20"/>
          <w:szCs w:val="20"/>
          <w:color w:val="auto"/>
        </w:rPr>
      </w:pPr>
    </w:p>
    <w:p>
      <w:pPr>
        <w:jc w:val="both"/>
        <w:ind w:firstLine="490"/>
        <w:spacing w:after="0" w:line="386" w:lineRule="auto"/>
        <w:rPr>
          <w:sz w:val="20"/>
          <w:szCs w:val="20"/>
          <w:color w:val="auto"/>
        </w:rPr>
      </w:pPr>
      <w:r>
        <w:rPr>
          <w:rFonts w:ascii="Arial" w:cs="Arial" w:eastAsia="Arial" w:hAnsi="Arial"/>
          <w:sz w:val="15"/>
          <w:szCs w:val="15"/>
          <w:b w:val="1"/>
          <w:bCs w:val="1"/>
          <w:color w:val="auto"/>
        </w:rPr>
        <w:t>As of December 31, 2024, we had 84 full-time employees and no part-time employees. We expect to experience significant growth in the number of our employees and the scope of our operations, particularly as we mature as a public company and in the</w:t>
      </w:r>
    </w:p>
    <w:p>
      <w:pPr>
        <w:sectPr>
          <w:pgSz w:w="12240" w:h="15840" w:orient="portrait"/>
          <w:cols w:equalWidth="0" w:num="1">
            <w:col w:w="10440"/>
          </w:cols>
          <w:pgMar w:left="900" w:top="960" w:right="900" w:bottom="181"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w:t>
      </w:r>
    </w:p>
    <w:p>
      <w:pPr>
        <w:sectPr>
          <w:pgSz w:w="12240" w:h="15840" w:orient="portrait"/>
          <w:cols w:equalWidth="0" w:num="1">
            <w:col w:w="10440"/>
          </w:cols>
          <w:pgMar w:left="900" w:top="960" w:right="900" w:bottom="181" w:gutter="0" w:footer="0" w:header="0"/>
          <w:type w:val="continuous"/>
        </w:sectPr>
      </w:pPr>
    </w:p>
    <w:bookmarkStart w:id="100" w:name="page101"/>
    <w:bookmarkEnd w:id="100"/>
    <w:p>
      <w:pPr>
        <w:jc w:val="both"/>
        <w:spacing w:after="0" w:line="332" w:lineRule="auto"/>
        <w:rPr>
          <w:sz w:val="20"/>
          <w:szCs w:val="20"/>
          <w:color w:val="auto"/>
        </w:rPr>
      </w:pPr>
      <w:r>
        <w:rPr>
          <w:rFonts w:ascii="Arial" w:cs="Arial" w:eastAsia="Arial" w:hAnsi="Arial"/>
          <w:sz w:val="15"/>
          <w:szCs w:val="15"/>
          <w:b w:val="1"/>
          <w:bCs w:val="1"/>
          <w:color w:val="auto"/>
        </w:rPr>
        <w:t>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0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94"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74"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tax law may adversely affect us or our investors.</w:t>
      </w:r>
    </w:p>
    <w:p>
      <w:pPr>
        <w:spacing w:after="0" w:line="129"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w:t>
      </w:r>
    </w:p>
    <w:p>
      <w:pPr>
        <w:sectPr>
          <w:pgSz w:w="12240" w:h="15840" w:orient="portrait"/>
          <w:cols w:equalWidth="0" w:num="1">
            <w:col w:w="10440"/>
          </w:cols>
          <w:pgMar w:left="900" w:top="960" w:right="900" w:bottom="181"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10440"/>
          </w:cols>
          <w:pgMar w:left="900" w:top="960" w:right="900" w:bottom="181" w:gutter="0" w:footer="0" w:header="0"/>
          <w:type w:val="continuous"/>
        </w:sectPr>
      </w:pPr>
    </w:p>
    <w:bookmarkStart w:id="101" w:name="page102"/>
    <w:bookmarkEnd w:id="101"/>
    <w:p>
      <w:pPr>
        <w:jc w:val="both"/>
        <w:spacing w:after="0" w:line="296" w:lineRule="auto"/>
        <w:rPr>
          <w:sz w:val="20"/>
          <w:szCs w:val="20"/>
          <w:color w:val="auto"/>
        </w:rPr>
      </w:pPr>
      <w:r>
        <w:rPr>
          <w:rFonts w:ascii="Arial" w:cs="Arial" w:eastAsia="Arial" w:hAnsi="Arial"/>
          <w:sz w:val="17"/>
          <w:szCs w:val="17"/>
          <w:b w:val="1"/>
          <w:bCs w:val="1"/>
          <w:color w:val="auto"/>
        </w:rPr>
        <w:t>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future taxable income may be subject to certain limitations.</w:t>
      </w:r>
    </w:p>
    <w:p>
      <w:pPr>
        <w:spacing w:after="0" w:line="131"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As of December 31, 2024, we had federal and state net operating loss carryforwards of $117.9 million and $133.8 million, respectively. Substantially all of the federal NOLs are not subject to expiration and the state NOLs begin to expire in 2037. As of December 31, 2024, we also had federal and state research and development tax credit carryforwards of $19.0 million and $2.8 million, respectively, which begin to expire in 2034.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are subject to certain U.S. and foreign anti-corruption, anti-money laundering, export control, sanctions and other trade laws and regulations. We can face serious consequences for violations.</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global economic conditions could adversely affect our business, financial condition or results of operations.</w:t>
      </w:r>
    </w:p>
    <w:p>
      <w:pPr>
        <w:spacing w:after="0" w:line="14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92</w:t>
      </w:r>
    </w:p>
    <w:p>
      <w:pPr>
        <w:sectPr>
          <w:pgSz w:w="12240" w:h="15840" w:orient="portrait"/>
          <w:cols w:equalWidth="0" w:num="1">
            <w:col w:w="10440"/>
          </w:cols>
          <w:pgMar w:left="900" w:top="960" w:right="900" w:bottom="181" w:gutter="0" w:footer="0" w:header="0"/>
          <w:type w:val="continuous"/>
        </w:sectPr>
      </w:pPr>
    </w:p>
    <w:bookmarkStart w:id="102" w:name="page103"/>
    <w:bookmarkEnd w:id="102"/>
    <w:p>
      <w:pPr>
        <w:jc w:val="both"/>
        <w:spacing w:after="0" w:line="233" w:lineRule="auto"/>
        <w:rPr>
          <w:sz w:val="20"/>
          <w:szCs w:val="20"/>
          <w:color w:val="auto"/>
        </w:rPr>
      </w:pPr>
      <w:r>
        <w:rPr>
          <w:rFonts w:ascii="Arial" w:cs="Arial" w:eastAsia="Arial" w:hAnsi="Arial"/>
          <w:sz w:val="20"/>
          <w:szCs w:val="20"/>
          <w:b w:val="1"/>
          <w:bCs w:val="1"/>
          <w:color w:val="auto"/>
        </w:rPr>
        <w:t>Our employees, principal investigators, CROs and consultants may engage in misconduct or other improper activities, including non-compliance with regulatory standards and requirements or insider trading.</w:t>
      </w:r>
    </w:p>
    <w:p>
      <w:pPr>
        <w:spacing w:after="0" w:line="132"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market price of our common stock is expected to be volatile.</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market price of our common stock following the merger could be subject to significant fluctuations. Some of the factors that may cause the market price of our common stock to fluctuate include:</w:t>
      </w:r>
    </w:p>
    <w:p>
      <w:pPr>
        <w:spacing w:after="0" w:line="14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results of clinical trials and preclinical studies of our product candidates, or those of our competitors or our existing or future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1880"/>
        <w:spacing w:after="0" w:line="505" w:lineRule="auto"/>
        <w:rPr>
          <w:sz w:val="20"/>
          <w:szCs w:val="20"/>
          <w:color w:val="auto"/>
        </w:rPr>
      </w:pPr>
      <w:r>
        <w:rPr>
          <w:rFonts w:ascii="Arial" w:cs="Arial" w:eastAsia="Arial" w:hAnsi="Arial"/>
          <w:sz w:val="15"/>
          <w:szCs w:val="15"/>
          <w:b w:val="1"/>
          <w:bCs w:val="1"/>
          <w:color w:val="auto"/>
        </w:rPr>
        <w:t>failure to meet or exceed financial and development projections we may provide to the public; failure to meet or exceed the financial and development projections of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-419735</wp:posOffset>
            </wp:positionV>
            <wp:extent cx="71120" cy="711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-187960</wp:posOffset>
            </wp:positionV>
            <wp:extent cx="71120" cy="711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20"/>
          <w:szCs w:val="20"/>
          <w:b w:val="1"/>
          <w:bCs w:val="1"/>
          <w:color w:val="auto"/>
        </w:rPr>
        <w:t>if we do not achieve the perceived benefits of the merger as rapidly or to the extent anticipated by financial or industry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announcements of significant acquisitions, strategic collaborations, joint ventures or capital commitments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actions taken by regulatory agencies with respect to our product candidates, clinical studies, manufacturing process or sales and marketing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disputes or other developments relating to proprietary rights, including patents, litigation matters, and our ability to obtain patent protection for our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additions or departures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significant lawsuits, including patent or stockholder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if securities or industry analysts do not publish research or reports about our business, or if they issue adverse or misleading opinions regarding our business and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changes in the market valuations of similar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general market or macroeconomic conditions or market conditions in the pharmaceutical and biotechnology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-82550</wp:posOffset>
            </wp:positionV>
            <wp:extent cx="71120" cy="711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sales of securities by us or our securityholders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if we fail to raise an adequate amount of capital to fund our operations and continued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trading volume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10440"/>
          </w:cols>
          <w:pgMar w:left="900" w:top="960" w:right="900" w:bottom="181" w:gutter="0" w:footer="0" w:header="0"/>
          <w:type w:val="continuous"/>
        </w:sectPr>
      </w:pPr>
    </w:p>
    <w:bookmarkStart w:id="103" w:name="page104"/>
    <w:bookmarkEnd w:id="103"/>
    <w:p>
      <w:pPr>
        <w:ind w:left="720"/>
        <w:spacing w:after="0" w:line="233" w:lineRule="auto"/>
        <w:rPr>
          <w:sz w:val="20"/>
          <w:szCs w:val="20"/>
          <w:color w:val="auto"/>
        </w:rPr>
      </w:pPr>
      <w:r>
        <w:rPr>
          <w:rFonts w:ascii="Arial" w:cs="Arial" w:eastAsia="Arial" w:hAnsi="Arial"/>
          <w:sz w:val="20"/>
          <w:szCs w:val="20"/>
          <w:b w:val="1"/>
          <w:bCs w:val="1"/>
          <w:color w:val="auto"/>
        </w:rPr>
        <w:t>announcements by competitors of new commercial products, clinical progress or lack thereof, significant contracts, commercial relationships or capital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adverse publicity relating to precision medicine product candidates, including with respect to other products in such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800"/>
        <w:spacing w:after="0" w:line="369" w:lineRule="auto"/>
        <w:rPr>
          <w:sz w:val="20"/>
          <w:szCs w:val="20"/>
          <w:color w:val="auto"/>
        </w:rPr>
      </w:pPr>
      <w:r>
        <w:rPr>
          <w:rFonts w:ascii="Arial" w:cs="Arial" w:eastAsia="Arial" w:hAnsi="Arial"/>
          <w:sz w:val="20"/>
          <w:szCs w:val="20"/>
          <w:b w:val="1"/>
          <w:bCs w:val="1"/>
          <w:color w:val="auto"/>
        </w:rPr>
        <w:t>the introduction of technological innovations or new therapies that compete with our products and services; and period-to-period fluctuations in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-407670</wp:posOffset>
            </wp:positionV>
            <wp:extent cx="71120" cy="711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-175895</wp:posOffset>
            </wp:positionV>
            <wp:extent cx="71120" cy="711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firstLine="490"/>
        <w:spacing w:after="0" w:line="286" w:lineRule="auto"/>
        <w:rPr>
          <w:sz w:val="20"/>
          <w:szCs w:val="20"/>
          <w:color w:val="auto"/>
        </w:rPr>
      </w:pPr>
      <w:r>
        <w:rPr>
          <w:rFonts w:ascii="Arial" w:cs="Arial" w:eastAsia="Arial" w:hAnsi="Arial"/>
          <w:sz w:val="17"/>
          <w:szCs w:val="17"/>
          <w:b w:val="1"/>
          <w:bCs w:val="1"/>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We have incurred and will continue to incur increased costs and increased demands upon management as a result of complying with the laws and regulations affecting public companies.</w:t>
      </w:r>
    </w:p>
    <w:p>
      <w:pPr>
        <w:spacing w:after="0" w:line="132"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0A0A0A"/>
        </w:rPr>
        <w:t>I</w:t>
      </w:r>
      <w:r>
        <w:rPr>
          <w:rFonts w:ascii="Arial" w:cs="Arial" w:eastAsia="Arial" w:hAnsi="Arial"/>
          <w:sz w:val="19"/>
          <w:szCs w:val="19"/>
          <w:b w:val="1"/>
          <w:bCs w:val="1"/>
          <w:color w:val="000000"/>
        </w:rPr>
        <w:t>f we fail to maintain an effective system of internal control over financial reporting, we may not be able to accurately report</w:t>
      </w:r>
      <w:r>
        <w:rPr>
          <w:rFonts w:ascii="Arial" w:cs="Arial" w:eastAsia="Arial" w:hAnsi="Arial"/>
          <w:sz w:val="19"/>
          <w:szCs w:val="19"/>
          <w:b w:val="1"/>
          <w:bCs w:val="1"/>
          <w:color w:val="0A0A0A"/>
        </w:rPr>
        <w:t xml:space="preserve"> </w:t>
      </w:r>
      <w:r>
        <w:rPr>
          <w:rFonts w:ascii="Arial" w:cs="Arial" w:eastAsia="Arial" w:hAnsi="Arial"/>
          <w:sz w:val="19"/>
          <w:szCs w:val="19"/>
          <w:b w:val="1"/>
          <w:bCs w:val="1"/>
          <w:color w:val="000000"/>
        </w:rPr>
        <w:t>our financial results or prevent fraud. As a result, stockholders could lose confidence in our financial and other public reporting, which would harm our business and the trading price of our common stock.</w:t>
      </w:r>
    </w:p>
    <w:p>
      <w:pPr>
        <w:spacing w:after="0" w:line="120"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0A0A0A"/>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0A0A0A"/>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in this Annual Report on Form 10-K,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95" w:lineRule="exact"/>
        <w:rPr>
          <w:sz w:val="20"/>
          <w:szCs w:val="20"/>
          <w:color w:val="auto"/>
        </w:rPr>
      </w:pPr>
    </w:p>
    <w:p>
      <w:pPr>
        <w:jc w:val="both"/>
        <w:ind w:firstLine="490"/>
        <w:spacing w:after="0" w:line="382" w:lineRule="auto"/>
        <w:rPr>
          <w:sz w:val="20"/>
          <w:szCs w:val="20"/>
          <w:color w:val="auto"/>
        </w:rPr>
      </w:pPr>
      <w:r>
        <w:rPr>
          <w:rFonts w:ascii="Arial" w:cs="Arial" w:eastAsia="Arial" w:hAnsi="Arial"/>
          <w:sz w:val="15"/>
          <w:szCs w:val="15"/>
          <w:b w:val="1"/>
          <w:bCs w:val="1"/>
          <w:color w:val="0A0A0A"/>
        </w:rPr>
        <w:t>In addition, as we no longer qualify as a non-accelerated filer or an emerging growth company, we are required to include an attestation report on internal control over financial reporting issued by our independent registered public accounting firm. If we are</w:t>
      </w:r>
    </w:p>
    <w:p>
      <w:pPr>
        <w:sectPr>
          <w:pgSz w:w="12240" w:h="15840" w:orient="portrait"/>
          <w:cols w:equalWidth="0" w:num="1">
            <w:col w:w="10440"/>
          </w:cols>
          <w:pgMar w:left="900" w:top="974" w:right="900" w:bottom="181"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94</w:t>
      </w:r>
    </w:p>
    <w:p>
      <w:pPr>
        <w:sectPr>
          <w:pgSz w:w="12240" w:h="15840" w:orient="portrait"/>
          <w:cols w:equalWidth="0" w:num="1">
            <w:col w:w="10440"/>
          </w:cols>
          <w:pgMar w:left="900" w:top="974" w:right="900" w:bottom="181" w:gutter="0" w:footer="0" w:header="0"/>
          <w:type w:val="continuous"/>
        </w:sectPr>
      </w:pPr>
    </w:p>
    <w:bookmarkStart w:id="104" w:name="page105"/>
    <w:bookmarkEnd w:id="104"/>
    <w:p>
      <w:pPr>
        <w:jc w:val="both"/>
        <w:spacing w:after="0" w:line="329" w:lineRule="auto"/>
        <w:rPr>
          <w:sz w:val="20"/>
          <w:szCs w:val="20"/>
          <w:color w:val="auto"/>
        </w:rPr>
      </w:pPr>
      <w:r>
        <w:rPr>
          <w:rFonts w:ascii="Arial" w:cs="Arial" w:eastAsia="Arial" w:hAnsi="Arial"/>
          <w:sz w:val="15"/>
          <w:szCs w:val="15"/>
          <w:b w:val="1"/>
          <w:bCs w:val="1"/>
          <w:color w:val="0A0A0A"/>
        </w:rPr>
        <w:t>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200" w:lineRule="exact"/>
        <w:rPr>
          <w:sz w:val="20"/>
          <w:szCs w:val="20"/>
          <w:color w:val="auto"/>
        </w:rPr>
      </w:pPr>
    </w:p>
    <w:p>
      <w:pPr>
        <w:spacing w:after="0" w:line="217"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0A0A0A"/>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5"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0A0A0A"/>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w:t>
      </w:r>
      <w:r>
        <w:rPr>
          <w:rFonts w:ascii="Arial" w:cs="Arial" w:eastAsia="Arial" w:hAnsi="Arial"/>
          <w:sz w:val="17"/>
          <w:szCs w:val="17"/>
          <w:b w:val="1"/>
          <w:bCs w:val="1"/>
          <w:color w:val="000000"/>
        </w:rPr>
        <w:t>a lack of design and</w:t>
      </w:r>
      <w:r>
        <w:rPr>
          <w:rFonts w:ascii="Arial" w:cs="Arial" w:eastAsia="Arial" w:hAnsi="Arial"/>
          <w:sz w:val="17"/>
          <w:szCs w:val="17"/>
          <w:b w:val="1"/>
          <w:bCs w:val="1"/>
          <w:color w:val="0A0A0A"/>
        </w:rPr>
        <w:t xml:space="preserve"> </w:t>
      </w:r>
      <w:r>
        <w:rPr>
          <w:rFonts w:ascii="Arial" w:cs="Arial" w:eastAsia="Arial" w:hAnsi="Arial"/>
          <w:sz w:val="17"/>
          <w:szCs w:val="17"/>
          <w:b w:val="1"/>
          <w:bCs w:val="1"/>
          <w:color w:val="000000"/>
        </w:rPr>
        <w:t xml:space="preserve">maintenance of effective Information Technology General Controls, or </w:t>
      </w:r>
      <w:r>
        <w:rPr>
          <w:rFonts w:ascii="Arial" w:cs="Arial" w:eastAsia="Arial" w:hAnsi="Arial"/>
          <w:sz w:val="17"/>
          <w:szCs w:val="17"/>
          <w:b w:val="1"/>
          <w:bCs w:val="1"/>
          <w:color w:val="0A0A0A"/>
        </w:rPr>
        <w:t>ITGCs, over certain key financial IT systems. As a result,</w:t>
      </w:r>
      <w:r>
        <w:rPr>
          <w:rFonts w:ascii="Arial" w:cs="Arial" w:eastAsia="Arial" w:hAnsi="Arial"/>
          <w:sz w:val="17"/>
          <w:szCs w:val="17"/>
          <w:b w:val="1"/>
          <w:bCs w:val="1"/>
          <w:color w:val="000000"/>
        </w:rPr>
        <w:t xml:space="preserve"> </w:t>
      </w:r>
      <w:r>
        <w:rPr>
          <w:rFonts w:ascii="Arial" w:cs="Arial" w:eastAsia="Arial" w:hAnsi="Arial"/>
          <w:sz w:val="17"/>
          <w:szCs w:val="17"/>
          <w:b w:val="1"/>
          <w:bCs w:val="1"/>
          <w:color w:val="0A0A0A"/>
        </w:rPr>
        <w:t>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2024.</w:t>
      </w:r>
    </w:p>
    <w:p>
      <w:pPr>
        <w:spacing w:after="0" w:line="98"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0A0A0A"/>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296"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0A0A0A"/>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7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147"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a board of directors divided into three classes serving staggered three-year terms, such that not all members of the board will be elected at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no cumulative voting in the election of directors, which limits the ability of minority stockholders to elect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a prohibition on stockholder action by written consent, which means that all stockholder action must be taken at an annual or special meeting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10440"/>
          </w:cols>
          <w:pgMar w:left="900" w:top="960" w:right="900" w:bottom="181" w:gutter="0" w:footer="0" w:header="0"/>
          <w:type w:val="continuous"/>
        </w:sectPr>
      </w:pPr>
    </w:p>
    <w:bookmarkStart w:id="105" w:name="page106"/>
    <w:bookmarkEnd w:id="105"/>
    <w:p>
      <w:pPr>
        <w:jc w:val="both"/>
        <w:ind w:left="720"/>
        <w:spacing w:after="0" w:line="233" w:lineRule="auto"/>
        <w:rPr>
          <w:sz w:val="20"/>
          <w:szCs w:val="20"/>
          <w:color w:val="auto"/>
        </w:rPr>
      </w:pPr>
      <w:r>
        <w:rPr>
          <w:rFonts w:ascii="Arial" w:cs="Arial" w:eastAsia="Arial" w:hAnsi="Arial"/>
          <w:sz w:val="20"/>
          <w:szCs w:val="20"/>
          <w:b w:val="1"/>
          <w:bCs w:val="1"/>
          <w:color w:val="auto"/>
        </w:rPr>
        <w:t>a requirement that special meetings of stockholders be called only by the chairman of the board of directors, the Chief Executive Officer or by a majority of the total number of authorized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advance notice requirements for stockholder proposals and nominations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-90170</wp:posOffset>
            </wp:positionV>
            <wp:extent cx="71120" cy="711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-389890</wp:posOffset>
            </wp:positionV>
            <wp:extent cx="71120" cy="711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51" w:lineRule="auto"/>
        <w:rPr>
          <w:sz w:val="20"/>
          <w:szCs w:val="20"/>
          <w:color w:val="auto"/>
        </w:rPr>
      </w:pPr>
      <w:r>
        <w:rPr>
          <w:rFonts w:ascii="Arial" w:cs="Arial" w:eastAsia="Arial" w:hAnsi="Arial"/>
          <w:sz w:val="19"/>
          <w:szCs w:val="19"/>
          <w:b w:val="1"/>
          <w:bCs w:val="1"/>
          <w:color w:val="auto"/>
        </w:rPr>
        <w:t>a requirement of approval of not less than two-thirds of all outstanding shares of voting stock to amend any bylaws by stockholder action or to amend specific provisions of the certificate of incorporation;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-248920</wp:posOffset>
            </wp:positionV>
            <wp:extent cx="71120" cy="711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720"/>
        <w:spacing w:after="0" w:line="386" w:lineRule="auto"/>
        <w:rPr>
          <w:sz w:val="20"/>
          <w:szCs w:val="20"/>
          <w:color w:val="auto"/>
        </w:rPr>
      </w:pPr>
      <w:r>
        <w:rPr>
          <w:rFonts w:ascii="Arial" w:cs="Arial" w:eastAsia="Arial" w:hAnsi="Arial"/>
          <w:sz w:val="15"/>
          <w:szCs w:val="15"/>
          <w:b w:val="1"/>
          <w:bCs w:val="1"/>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-311150</wp:posOffset>
            </wp:positionV>
            <wp:extent cx="71120" cy="711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In addition, these provisions would apply even if we were to receive an offer that some stockholders may consider beneficial.</w:t>
      </w:r>
    </w:p>
    <w:p>
      <w:pPr>
        <w:spacing w:after="0" w:line="178"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20"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do not anticipate that we will pay any cash dividends in the foreseeable future.</w:t>
      </w:r>
    </w:p>
    <w:p>
      <w:pPr>
        <w:spacing w:after="0" w:line="12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5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An active trading market for our common stock may not be sustained. If an active trading market is not sustained, our ability to raise capital in the future may be impaired.</w:t>
      </w:r>
    </w:p>
    <w:p>
      <w:pPr>
        <w:spacing w:after="0" w:line="13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sales of shares by existing stockholders could cause our stock price to decline.</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December 31, 2024, we had 29,865,030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ectPr>
          <w:pgSz w:w="12240" w:h="15840" w:orient="portrait"/>
          <w:cols w:equalWidth="0" w:num="1">
            <w:col w:w="10440"/>
          </w:cols>
          <w:pgMar w:left="900" w:top="974"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96</w:t>
      </w:r>
    </w:p>
    <w:p>
      <w:pPr>
        <w:sectPr>
          <w:pgSz w:w="12240" w:h="15840" w:orient="portrait"/>
          <w:cols w:equalWidth="0" w:num="1">
            <w:col w:w="10440"/>
          </w:cols>
          <w:pgMar w:left="900" w:top="974" w:right="900" w:bottom="181" w:gutter="0" w:footer="0" w:header="0"/>
          <w:type w:val="continuous"/>
        </w:sectPr>
      </w:pPr>
    </w:p>
    <w:bookmarkStart w:id="106" w:name="page107"/>
    <w:bookmarkEnd w:id="106"/>
    <w:p>
      <w:pPr>
        <w:jc w:val="both"/>
        <w:spacing w:after="0" w:line="233" w:lineRule="auto"/>
        <w:rPr>
          <w:sz w:val="20"/>
          <w:szCs w:val="20"/>
          <w:color w:val="auto"/>
        </w:rPr>
      </w:pPr>
      <w:r>
        <w:rPr>
          <w:rFonts w:ascii="Arial" w:cs="Arial" w:eastAsia="Arial" w:hAnsi="Arial"/>
          <w:sz w:val="20"/>
          <w:szCs w:val="20"/>
          <w:b w:val="1"/>
          <w:bCs w:val="1"/>
          <w:color w:val="auto"/>
        </w:rPr>
        <w:t>Our executive officers, directors and principal stockholders have the ability to control or significantly influence all matters submitted to our stockholders for approval.</w:t>
      </w:r>
    </w:p>
    <w:p>
      <w:pPr>
        <w:spacing w:after="0" w:line="13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As of December 31, 2024, our executive officers, directors and principal stockholders, in the aggregate, beneficially owned approximately 55%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If equity research analysts do not publish research or reports, or publish unfavorable research or reports, about us, our business or our market, our stock price and trading volume could decline.</w:t>
      </w:r>
    </w:p>
    <w:p>
      <w:pPr>
        <w:spacing w:after="0" w:line="132"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13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10440"/>
          </w:cols>
          <w:pgMar w:left="900" w:top="960" w:right="900" w:bottom="181" w:gutter="0" w:footer="0" w:header="0"/>
          <w:type w:val="continuous"/>
        </w:sectPr>
      </w:pPr>
    </w:p>
    <w:bookmarkStart w:id="107" w:name="page108"/>
    <w:bookmarkEnd w:id="107"/>
    <w:p>
      <w:pPr>
        <w:spacing w:after="0"/>
        <w:tabs>
          <w:tab w:leader="none" w:pos="1080" w:val="left"/>
        </w:tabs>
        <w:rPr>
          <w:sz w:val="20"/>
          <w:szCs w:val="20"/>
          <w:color w:val="auto"/>
        </w:rPr>
      </w:pPr>
      <w:r>
        <w:rPr>
          <w:rFonts w:ascii="Arial" w:cs="Arial" w:eastAsia="Arial" w:hAnsi="Arial"/>
          <w:sz w:val="20"/>
          <w:szCs w:val="20"/>
          <w:b w:val="1"/>
          <w:bCs w:val="1"/>
          <w:color w:val="auto"/>
        </w:rPr>
        <w:t>ITEM 1B.</w:t>
        <w:tab/>
        <w:t>UNRESOLVED STAFF COMMENTS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1C.</w:t>
        <w:tab/>
        <w:t>CYBERSECURITY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 Risk Management and Strategy</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Disc Medicine, under the oversight of the audit committee of the board of directors, has implemented and maintains processes to review and manage enterprise risks, including annual assessments of cybersecurity risks, across the Company.</w:t>
      </w:r>
    </w:p>
    <w:p>
      <w:pPr>
        <w:spacing w:after="0" w:line="73"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or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6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13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We have also implemented a process to review contractual requirements related to information security obligations included in our agreements with certain third-party vendors and service providers, as appropriate.</w:t>
      </w:r>
    </w:p>
    <w:p>
      <w:pPr>
        <w:spacing w:after="0" w:line="116"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Related to Cybersecurity Risks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Our Head of Information Technology, or IT, under the oversight of our Chief Legal Officer,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12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Our Head of IT directly reports to, and meets periodically with, our Chief Legal Officer to discuss and review our cybersecurity risk management processes, with input from the Company’s MSP and vCISO, as appropriate.</w:t>
      </w:r>
    </w:p>
    <w:p>
      <w:pPr>
        <w:spacing w:after="0" w:line="11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cybersecurity incident, or data breach.</w:t>
      </w:r>
    </w:p>
    <w:p>
      <w:pPr>
        <w:spacing w:after="0" w:line="108"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Chief Legal Officer, on an annual basis, discusses the results of our enterprise risk assessment processes, including risks related to cybersecurity, with the full board of directors.</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29"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Our principal office is located at 321 Arsenal Street, Suite 101, Watertown, MA 02472, where we lease and sublease a total of approximately 16,847 square feet of office space. Our leases expire at various dates between November 2026 and December 2029. We believe that these facilities will be adequate for our near-term needs. If required, we believe that suitable additional or substitute space will be available in the future on commercially reasonable terms to accommodate any such expansion of our operations.</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98</w:t>
      </w:r>
    </w:p>
    <w:p>
      <w:pPr>
        <w:sectPr>
          <w:pgSz w:w="12240" w:h="15840" w:orient="portrait"/>
          <w:cols w:equalWidth="0" w:num="1">
            <w:col w:w="10440"/>
          </w:cols>
          <w:pgMar w:left="900" w:top="949" w:right="900" w:bottom="181" w:gutter="0" w:footer="0" w:header="0"/>
          <w:type w:val="continuous"/>
        </w:sectPr>
      </w:pPr>
    </w:p>
    <w:bookmarkStart w:id="108" w:name="page109"/>
    <w:bookmarkEnd w:id="108"/>
    <w:p>
      <w:pPr>
        <w:spacing w:after="0"/>
        <w:tabs>
          <w:tab w:leader="none" w:pos="10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LEGAL PROCEEDINGS</w:t>
      </w:r>
    </w:p>
    <w:p>
      <w:pPr>
        <w:spacing w:after="0" w:line="129"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230"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w:t>
      </w:r>
    </w:p>
    <w:p>
      <w:pPr>
        <w:sectPr>
          <w:pgSz w:w="12240" w:h="15840" w:orient="portrait"/>
          <w:cols w:equalWidth="0" w:num="1">
            <w:col w:w="10440"/>
          </w:cols>
          <w:pgMar w:left="900" w:top="949" w:right="900" w:bottom="181"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PART II</w:t>
      </w:r>
    </w:p>
    <w:p>
      <w:pPr>
        <w:spacing w:after="0" w:line="248" w:lineRule="exact"/>
        <w:rPr>
          <w:sz w:val="20"/>
          <w:szCs w:val="20"/>
          <w:color w:val="auto"/>
        </w:rPr>
      </w:pPr>
    </w:p>
    <w:p>
      <w:pPr>
        <w:jc w:val="both"/>
        <w:ind w:left="1100" w:hanging="1108"/>
        <w:spacing w:after="0" w:line="234" w:lineRule="auto"/>
        <w:tabs>
          <w:tab w:leader="none" w:pos="10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Information Regarding the Trading of Our Common Stock</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As of February 21, 2025, there were 19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28"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information required by Item 5 of Form 10-K regarding equity compensation plans is incorporated herein by reference to Item 12 of Part III of this Annual Report.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1"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The following graph shows a comparison from February 8, 2021 through December 31, 2024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 Prior to our reverse merger</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100</w:t>
      </w:r>
    </w:p>
    <w:p>
      <w:pPr>
        <w:sectPr>
          <w:pgSz w:w="12240" w:h="15840" w:orient="portrait"/>
          <w:cols w:equalWidth="0" w:num="1">
            <w:col w:w="10440"/>
          </w:cols>
          <w:pgMar w:left="900" w:top="949" w:right="900" w:bottom="181" w:gutter="0" w:footer="0" w:header="0"/>
          <w:type w:val="continuous"/>
        </w:sectPr>
      </w:pPr>
    </w:p>
    <w:bookmarkStart w:id="110" w:name="page111"/>
    <w:bookmarkEnd w:id="110"/>
    <w:p>
      <w:pPr>
        <w:ind w:left="7"/>
        <w:spacing w:after="0" w:line="233" w:lineRule="auto"/>
        <w:rPr>
          <w:sz w:val="20"/>
          <w:szCs w:val="20"/>
          <w:color w:val="auto"/>
        </w:rPr>
      </w:pPr>
      <w:r>
        <w:rPr>
          <w:rFonts w:ascii="Arial" w:cs="Arial" w:eastAsia="Arial" w:hAnsi="Arial"/>
          <w:sz w:val="20"/>
          <w:szCs w:val="20"/>
          <w:b w:val="1"/>
          <w:bCs w:val="1"/>
          <w:color w:val="auto"/>
        </w:rPr>
        <w:t>with Gemini on December 30, 2022, Gemini’s stock traded under the symbol “GMTX” on The Nasdaq Global Market and any comparison with Gemini’s historical stock prices may not be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632575" cy="3355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8">
                      <a:extLst>
                        <a:ext uri="{28A0092B-C50C-407E-A947-70E740481C1C}"/>
                      </a:extLst>
                    </a:blip>
                    <a:srcRect/>
                    <a:stretch>
                      <a:fillRect/>
                    </a:stretch>
                  </pic:blipFill>
                  <pic:spPr bwMode="auto">
                    <a:xfrm>
                      <a:off x="0" y="0"/>
                      <a:ext cx="6632575" cy="335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7" w:hanging="7"/>
        <w:spacing w:after="0" w:line="259" w:lineRule="auto"/>
        <w:tabs>
          <w:tab w:leader="none" w:pos="208" w:val="left"/>
        </w:tabs>
        <w:numPr>
          <w:ilvl w:val="0"/>
          <w:numId w:val="6"/>
        </w:numPr>
        <w:rPr>
          <w:rFonts w:ascii="Arial" w:cs="Arial" w:eastAsia="Arial" w:hAnsi="Arial"/>
          <w:sz w:val="22"/>
          <w:szCs w:val="22"/>
          <w:b w:val="1"/>
          <w:bCs w:val="1"/>
          <w:color w:val="auto"/>
          <w:vertAlign w:val="superscript"/>
        </w:rPr>
      </w:pPr>
      <w:r>
        <w:rPr>
          <w:rFonts w:ascii="Arial" w:cs="Arial" w:eastAsia="Arial" w:hAnsi="Arial"/>
          <w:sz w:val="17"/>
          <w:szCs w:val="17"/>
          <w:b w:val="1"/>
          <w:bCs w:val="1"/>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Disc Medicine, Inc. under the Securities Act of 1933, as amended.</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Use of Proceeds from Initial Public Offering</w:t>
      </w:r>
    </w:p>
    <w:p>
      <w:pPr>
        <w:spacing w:after="0" w:line="120" w:lineRule="exact"/>
        <w:rPr>
          <w:sz w:val="20"/>
          <w:szCs w:val="20"/>
          <w:color w:val="auto"/>
        </w:rPr>
      </w:pPr>
    </w:p>
    <w:p>
      <w:pPr>
        <w:ind w:left="487"/>
        <w:spacing w:after="0"/>
        <w:rPr>
          <w:sz w:val="20"/>
          <w:szCs w:val="20"/>
          <w:color w:val="auto"/>
        </w:rPr>
      </w:pPr>
      <w:r>
        <w:rPr>
          <w:rFonts w:ascii="Arial" w:cs="Arial" w:eastAsia="Arial" w:hAnsi="Arial"/>
          <w:sz w:val="20"/>
          <w:szCs w:val="20"/>
          <w:b w:val="1"/>
          <w:bCs w:val="1"/>
          <w:color w:val="auto"/>
        </w:rPr>
        <w:t>Not applicable.</w:t>
      </w:r>
    </w:p>
    <w:p>
      <w:pPr>
        <w:spacing w:after="0" w:line="23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Issuer Purchases of Equity Securities by the Issuer and Affiliated Purchasers</w:t>
      </w:r>
    </w:p>
    <w:p>
      <w:pPr>
        <w:spacing w:after="0" w:line="120" w:lineRule="exact"/>
        <w:rPr>
          <w:sz w:val="20"/>
          <w:szCs w:val="20"/>
          <w:color w:val="auto"/>
        </w:rPr>
      </w:pPr>
    </w:p>
    <w:p>
      <w:pPr>
        <w:ind w:left="487"/>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ind w:left="7"/>
        <w:spacing w:after="0"/>
        <w:tabs>
          <w:tab w:leader="none" w:pos="1087"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ectPr>
          <w:pgSz w:w="12240" w:h="15840" w:orient="portrait"/>
          <w:cols w:equalWidth="0" w:num="1">
            <w:col w:w="10447"/>
          </w:cols>
          <w:pgMar w:left="893"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101</w:t>
      </w:r>
    </w:p>
    <w:p>
      <w:pPr>
        <w:sectPr>
          <w:pgSz w:w="12240" w:h="15840" w:orient="portrait"/>
          <w:cols w:equalWidth="0" w:num="1">
            <w:col w:w="10447"/>
          </w:cols>
          <w:pgMar w:left="893" w:top="960" w:right="900" w:bottom="181" w:gutter="0" w:footer="0" w:header="0"/>
          <w:type w:val="continuous"/>
        </w:sectPr>
      </w:pPr>
    </w:p>
    <w:bookmarkStart w:id="111" w:name="page112"/>
    <w:bookmarkEnd w:id="111"/>
    <w:p>
      <w:pPr>
        <w:jc w:val="both"/>
        <w:ind w:left="1100" w:hanging="1108"/>
        <w:spacing w:after="0" w:line="233" w:lineRule="auto"/>
        <w:tabs>
          <w:tab w:leader="none" w:pos="10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MANAGEMENT’S DISCUSSION AND ANALYSIS OF FINANCIAL CONDITION AND RESULTS OF OPERATIONS</w:t>
      </w:r>
    </w:p>
    <w:p>
      <w:pPr>
        <w:spacing w:after="0" w:line="13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0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in AURORA and BEACON are eligible to participate in HELIOS, an ongoing open-label, long-term extension study of bitopertin in EPP and XLP. We are also planning APOLLO, a randomized, double-blind, placebo-controlled clinical trial of bitopertin in EPP and XLP patients.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108"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data and changes in hepcidin, iron, and hemoglobin levels for additional patients, as well as longer follow-up. In December 2024, we presented additional analyses of the Phase 1b study in anemia of MF and initiated the open-label Phase 2 portion of this clinical trial in patients with anemia of MF. We expect to report initial data from this Phase 2 trial in the second half of 2025. We also expect to report data from the multiple-ascending dose, or MAD, portion of the Phase 1b trial in patients with</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102</w:t>
      </w:r>
    </w:p>
    <w:p>
      <w:pPr>
        <w:sectPr>
          <w:pgSz w:w="12240" w:h="15840" w:orient="portrait"/>
          <w:cols w:equalWidth="0" w:num="1">
            <w:col w:w="10440"/>
          </w:cols>
          <w:pgMar w:left="900" w:top="960" w:right="900" w:bottom="181" w:gutter="0" w:footer="0" w:header="0"/>
          <w:type w:val="continuous"/>
        </w:sectPr>
      </w:pPr>
    </w:p>
    <w:bookmarkStart w:id="112" w:name="page113"/>
    <w:bookmarkEnd w:id="112"/>
    <w:p>
      <w:pPr>
        <w:jc w:val="both"/>
        <w:spacing w:after="0" w:line="270" w:lineRule="auto"/>
        <w:rPr>
          <w:sz w:val="20"/>
          <w:szCs w:val="20"/>
          <w:color w:val="auto"/>
        </w:rPr>
      </w:pPr>
      <w:r>
        <w:rPr>
          <w:rFonts w:ascii="Arial" w:cs="Arial" w:eastAsia="Arial" w:hAnsi="Arial"/>
          <w:sz w:val="18"/>
          <w:szCs w:val="18"/>
          <w:b w:val="1"/>
          <w:bCs w:val="1"/>
          <w:color w:val="auto"/>
        </w:rPr>
        <w:t>non-dialysis dependent CKD and anemia in the 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05"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or SAD, portion of the Phase 1 clinical trial of DISC-3405 in healthy volunteers in June 2024. We presented data from the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7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As of December 31, 2024, we had cash, cash equivalents and marketable securities of $489.9 million. In January 2025 we completed an underwritten offering of shares of our common stock and pre-funded warrants for net proceeds of approximately $243.3 million, after deducting estimated offering expenses payable by us. We believe that our cash, cash equivalents and marketable securities, including the net proceeds of our January 2025 underwritten public offering,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Liquidity and Capital Resources for additional details.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Operations Overview</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Research and development expenses consist primarily of costs incurred in connection with the research and development of our product candidates. These expenses include:</w:t>
      </w:r>
    </w:p>
    <w:p>
      <w:pPr>
        <w:spacing w:after="0" w:line="144"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employee-related expenses, including salaries, benefits, and stock-based compensation expense, for personnel engaged in research and development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720"/>
        <w:spacing w:after="0" w:line="281" w:lineRule="auto"/>
        <w:rPr>
          <w:sz w:val="20"/>
          <w:szCs w:val="20"/>
          <w:color w:val="auto"/>
        </w:rPr>
      </w:pPr>
      <w:r>
        <w:rPr>
          <w:rFonts w:ascii="Arial" w:cs="Arial" w:eastAsia="Arial" w:hAnsi="Arial"/>
          <w:sz w:val="18"/>
          <w:szCs w:val="18"/>
          <w:b w:val="1"/>
          <w:bCs w:val="1"/>
          <w:color w:val="auto"/>
        </w:rPr>
        <w:t>expenses incurred in connection with our research and development activities, including under agreements with third parties such as consultants, contractors and contract research organizations, or CROs;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-266700</wp:posOffset>
            </wp:positionV>
            <wp:extent cx="71120" cy="711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-533400</wp:posOffset>
            </wp:positionV>
            <wp:extent cx="71120" cy="711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9" w:lineRule="exact"/>
        <w:rPr>
          <w:sz w:val="20"/>
          <w:szCs w:val="20"/>
          <w:color w:val="auto"/>
        </w:rPr>
      </w:pPr>
    </w:p>
    <w:p>
      <w:pPr>
        <w:jc w:val="both"/>
        <w:ind w:left="720"/>
        <w:spacing w:after="0" w:line="234" w:lineRule="auto"/>
        <w:rPr>
          <w:sz w:val="20"/>
          <w:szCs w:val="20"/>
          <w:color w:val="auto"/>
        </w:rPr>
      </w:pPr>
      <w:r>
        <w:rPr>
          <w:rFonts w:ascii="Arial" w:cs="Arial" w:eastAsia="Arial" w:hAnsi="Arial"/>
          <w:sz w:val="20"/>
          <w:szCs w:val="20"/>
          <w:b w:val="1"/>
          <w:bCs w:val="1"/>
          <w:color w:val="auto"/>
        </w:rPr>
        <w:t>the costs of acquiring and manufacturing preclinical study and clinical trial materials, including manufacturing registration and validation batches;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right="3840"/>
        <w:spacing w:after="0" w:line="437" w:lineRule="auto"/>
        <w:rPr>
          <w:sz w:val="20"/>
          <w:szCs w:val="20"/>
          <w:color w:val="auto"/>
        </w:rPr>
      </w:pPr>
      <w:r>
        <w:rPr>
          <w:rFonts w:ascii="Arial" w:cs="Arial" w:eastAsia="Arial" w:hAnsi="Arial"/>
          <w:sz w:val="17"/>
          <w:szCs w:val="17"/>
          <w:b w:val="1"/>
          <w:bCs w:val="1"/>
          <w:color w:val="auto"/>
        </w:rPr>
        <w:t>costs related to compliance with quality and regulatory requirements; and payments made under third-party licensing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-410845</wp:posOffset>
            </wp:positionV>
            <wp:extent cx="71120" cy="711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-180340</wp:posOffset>
            </wp:positionV>
            <wp:extent cx="71120" cy="711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firstLine="490"/>
        <w:spacing w:after="0" w:line="269" w:lineRule="auto"/>
        <w:rPr>
          <w:sz w:val="20"/>
          <w:szCs w:val="20"/>
          <w:color w:val="auto"/>
        </w:rPr>
      </w:pPr>
      <w:r>
        <w:rPr>
          <w:rFonts w:ascii="Arial" w:cs="Arial" w:eastAsia="Arial" w:hAnsi="Arial"/>
          <w:sz w:val="18"/>
          <w:szCs w:val="18"/>
          <w:b w:val="1"/>
          <w:bCs w:val="1"/>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103</w:t>
      </w:r>
    </w:p>
    <w:p>
      <w:pPr>
        <w:sectPr>
          <w:pgSz w:w="12240" w:h="15840" w:orient="portrait"/>
          <w:cols w:equalWidth="0" w:num="1">
            <w:col w:w="10440"/>
          </w:cols>
          <w:pgMar w:left="900" w:top="960" w:right="900" w:bottom="181" w:gutter="0" w:footer="0" w:header="0"/>
          <w:type w:val="continuous"/>
        </w:sectPr>
      </w:pPr>
    </w:p>
    <w:bookmarkStart w:id="113" w:name="page114"/>
    <w:bookmarkEnd w:id="113"/>
    <w:p>
      <w:pPr>
        <w:jc w:val="both"/>
        <w:ind w:firstLine="490"/>
        <w:spacing w:after="0" w:line="252" w:lineRule="auto"/>
        <w:rPr>
          <w:sz w:val="20"/>
          <w:szCs w:val="20"/>
          <w:color w:val="auto"/>
        </w:rPr>
      </w:pPr>
      <w:r>
        <w:rPr>
          <w:rFonts w:ascii="Arial" w:cs="Arial" w:eastAsia="Arial" w:hAnsi="Arial"/>
          <w:sz w:val="19"/>
          <w:szCs w:val="19"/>
          <w:b w:val="1"/>
          <w:bCs w:val="1"/>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12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timing and progress of preclinical and clinical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number and scope of preclinical and clinical programs we decide to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our ability to raise additional funds to the extent necessary to complete clinical development of and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our ability to establish new licensing or collaboration arrangements and the progress of the development efforts of third parties with whom we may enter into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our ability to maintain our current research and development programs and to establish new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-97790</wp:posOffset>
            </wp:positionV>
            <wp:extent cx="71120" cy="711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the successful initiation, enrollment and completion of clinical trials with safety, tolerability and efficacy profiles that are satisfactory to the FDA or any comparable foreign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right="240"/>
        <w:spacing w:after="0" w:line="400" w:lineRule="auto"/>
        <w:rPr>
          <w:sz w:val="20"/>
          <w:szCs w:val="20"/>
          <w:color w:val="auto"/>
        </w:rPr>
      </w:pPr>
      <w:r>
        <w:rPr>
          <w:rFonts w:ascii="Arial" w:cs="Arial" w:eastAsia="Arial" w:hAnsi="Arial"/>
          <w:sz w:val="19"/>
          <w:szCs w:val="19"/>
          <w:b w:val="1"/>
          <w:bCs w:val="1"/>
          <w:color w:val="auto"/>
        </w:rPr>
        <w:t>the receipt and related terms of regulatory approvals from applicable regulatory authorities for any product candidates; the availability of raw materials for use in production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-421005</wp:posOffset>
            </wp:positionV>
            <wp:extent cx="71120" cy="711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-189865</wp:posOffset>
            </wp:positionV>
            <wp:extent cx="71120" cy="711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20"/>
          <w:szCs w:val="20"/>
          <w:b w:val="1"/>
          <w:bCs w:val="1"/>
          <w:color w:val="auto"/>
        </w:rPr>
        <w:t>our ability to establish agreements with third-party manufacturers for supply of product candidate components for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our ability to obtain and maintain patents, trade secret protection and regulatory exclusivity, both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-243840</wp:posOffset>
            </wp:positionV>
            <wp:extent cx="71120" cy="711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ability to protect our other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our ability to commercialize product candidates, if and when approved, whether alone or in collaboration with others;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-68580</wp:posOffset>
            </wp:positionV>
            <wp:extent cx="71120" cy="711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our ability to obtain and maintain third-party insurance coverage and adequate reimbursement for any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-68580</wp:posOffset>
            </wp:positionV>
            <wp:extent cx="71120" cy="711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Selling, General and Administrative Expenses</w:t>
      </w:r>
    </w:p>
    <w:p>
      <w:pPr>
        <w:spacing w:after="0" w:line="12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93"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We anticipate that our selling, general and administrative expenses will increase substantially in the future as we increase our headcount to support our continued research and development and potential commercialization activities including establishing a sales, marketing and distribution infrastructure to commercialize any product candidates for which we may obtain marketing approval.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Interest income primarily consists of interest earned on cash equivalents, consisting of money market funds, U.S. treasury securities and certificates of deposit, as well as marketable securities, consisting of U.S treasury securities and U.S. government agency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104</w:t>
      </w:r>
    </w:p>
    <w:p>
      <w:pPr>
        <w:sectPr>
          <w:pgSz w:w="12240" w:h="15840" w:orient="portrait"/>
          <w:cols w:equalWidth="0" w:num="1">
            <w:col w:w="10440"/>
          </w:cols>
          <w:pgMar w:left="900" w:top="960" w:right="900" w:bottom="181" w:gutter="0" w:footer="0" w:header="0"/>
          <w:type w:val="continuous"/>
        </w:sectPr>
      </w:pPr>
    </w:p>
    <w:bookmarkStart w:id="114" w:name="page115"/>
    <w:bookmarkEnd w:id="114"/>
    <w:p>
      <w:pPr>
        <w:jc w:val="both"/>
        <w:ind w:firstLine="490"/>
        <w:spacing w:after="0" w:line="233" w:lineRule="auto"/>
        <w:rPr>
          <w:sz w:val="20"/>
          <w:szCs w:val="20"/>
          <w:color w:val="auto"/>
        </w:rPr>
      </w:pPr>
      <w:r>
        <w:rPr>
          <w:rFonts w:ascii="Arial" w:cs="Arial" w:eastAsia="Arial" w:hAnsi="Arial"/>
          <w:sz w:val="20"/>
          <w:szCs w:val="20"/>
          <w:b w:val="1"/>
          <w:bCs w:val="1"/>
          <w:color w:val="auto"/>
        </w:rPr>
        <w:t>Interest expense primarily consists of amortization of debt issuance costs and discount and interest expense under the Hercules Loan Agreement.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2024 and 2023</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The following table summarizes our results of operations for the years ended December 31, 2024 and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5"/>
              <w:spacing w:after="0"/>
              <w:rPr>
                <w:sz w:val="20"/>
                <w:szCs w:val="20"/>
                <w:color w:val="auto"/>
              </w:rPr>
            </w:pPr>
            <w:r>
              <w:rPr>
                <w:rFonts w:ascii="Arial" w:cs="Arial" w:eastAsia="Arial" w:hAnsi="Arial"/>
                <w:sz w:val="16"/>
                <w:szCs w:val="16"/>
                <w:b w:val="1"/>
                <w:bCs w:val="1"/>
                <w:color w:val="auto"/>
                <w:w w:val="93"/>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25"/>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4"/>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line="175"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5"/>
              <w:spacing w:after="0" w:line="175" w:lineRule="exact"/>
              <w:rPr>
                <w:sz w:val="20"/>
                <w:szCs w:val="20"/>
                <w:color w:val="auto"/>
              </w:rPr>
            </w:pPr>
            <w:r>
              <w:rPr>
                <w:rFonts w:ascii="Arial" w:cs="Arial" w:eastAsia="Arial" w:hAnsi="Arial"/>
                <w:sz w:val="16"/>
                <w:szCs w:val="16"/>
                <w:b w:val="1"/>
                <w:bCs w:val="1"/>
                <w:color w:val="auto"/>
                <w:w w:val="89"/>
              </w:rPr>
              <w:t>2023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2"/>
              <w:spacing w:after="0" w:line="175" w:lineRule="exact"/>
              <w:rPr>
                <w:sz w:val="20"/>
                <w:szCs w:val="20"/>
                <w:color w:val="auto"/>
              </w:rPr>
            </w:pPr>
            <w:r>
              <w:rPr>
                <w:rFonts w:ascii="Arial" w:cs="Arial" w:eastAsia="Arial" w:hAnsi="Arial"/>
                <w:sz w:val="16"/>
                <w:szCs w:val="16"/>
                <w:b w:val="1"/>
                <w:bCs w:val="1"/>
                <w:color w:val="auto"/>
              </w:rPr>
              <w:t>Change</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Operating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14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280" w:type="dxa"/>
            <w:vAlign w:val="bottom"/>
          </w:tcPr>
          <w:p>
            <w:pPr>
              <w:jc w:val="right"/>
              <w:ind w:right="80"/>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2"/>
              <w:spacing w:after="0"/>
              <w:rPr>
                <w:sz w:val="20"/>
                <w:szCs w:val="20"/>
                <w:color w:val="auto"/>
              </w:rPr>
            </w:pPr>
            <w:r>
              <w:rPr>
                <w:rFonts w:ascii="Arial" w:cs="Arial" w:eastAsia="Arial" w:hAnsi="Arial"/>
                <w:sz w:val="20"/>
                <w:szCs w:val="20"/>
                <w:b w:val="1"/>
                <w:bCs w:val="1"/>
                <w:color w:val="auto"/>
              </w:rPr>
              <w:t>96,671</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5"/>
              <w:spacing w:after="0"/>
              <w:rPr>
                <w:sz w:val="20"/>
                <w:szCs w:val="20"/>
                <w:color w:val="auto"/>
              </w:rPr>
            </w:pPr>
            <w:r>
              <w:rPr>
                <w:rFonts w:ascii="Arial" w:cs="Arial" w:eastAsia="Arial" w:hAnsi="Arial"/>
                <w:sz w:val="20"/>
                <w:szCs w:val="20"/>
                <w:b w:val="1"/>
                <w:bCs w:val="1"/>
                <w:color w:val="auto"/>
              </w:rPr>
              <w:t>69,264</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27,407</w:t>
            </w:r>
          </w:p>
        </w:tc>
      </w:tr>
      <w:tr>
        <w:trPr>
          <w:trHeight w:val="230"/>
        </w:trPr>
        <w:tc>
          <w:tcPr>
            <w:tcW w:w="6140" w:type="dxa"/>
            <w:vAlign w:val="bottom"/>
          </w:tcPr>
          <w:p>
            <w:pPr>
              <w:ind w:left="200"/>
              <w:spacing w:after="0"/>
              <w:rPr>
                <w:sz w:val="20"/>
                <w:szCs w:val="20"/>
                <w:color w:val="auto"/>
              </w:rPr>
            </w:pPr>
            <w:r>
              <w:rPr>
                <w:rFonts w:ascii="Arial" w:cs="Arial" w:eastAsia="Arial" w:hAnsi="Arial"/>
                <w:sz w:val="20"/>
                <w:szCs w:val="20"/>
                <w:b w:val="1"/>
                <w:bCs w:val="1"/>
                <w:color w:val="auto"/>
              </w:rPr>
              <w:t>Selling, general and administrative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33,049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21,861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11,188</w:t>
            </w:r>
          </w:p>
        </w:tc>
      </w:tr>
      <w:tr>
        <w:trPr>
          <w:trHeight w:val="220"/>
        </w:trPr>
        <w:tc>
          <w:tcPr>
            <w:tcW w:w="614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line="220" w:lineRule="exact"/>
              <w:rPr>
                <w:sz w:val="20"/>
                <w:szCs w:val="20"/>
                <w:color w:val="auto"/>
              </w:rPr>
            </w:pPr>
            <w:r>
              <w:rPr>
                <w:rFonts w:ascii="Arial" w:cs="Arial" w:eastAsia="Arial" w:hAnsi="Arial"/>
                <w:sz w:val="20"/>
                <w:szCs w:val="20"/>
                <w:b w:val="1"/>
                <w:bCs w:val="1"/>
                <w:color w:val="auto"/>
              </w:rPr>
              <w:t>129,720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
              <w:spacing w:after="0" w:line="220" w:lineRule="exact"/>
              <w:rPr>
                <w:sz w:val="20"/>
                <w:szCs w:val="20"/>
                <w:color w:val="auto"/>
              </w:rPr>
            </w:pPr>
            <w:r>
              <w:rPr>
                <w:rFonts w:ascii="Arial" w:cs="Arial" w:eastAsia="Arial" w:hAnsi="Arial"/>
                <w:sz w:val="20"/>
                <w:szCs w:val="20"/>
                <w:b w:val="1"/>
                <w:bCs w:val="1"/>
                <w:color w:val="auto"/>
              </w:rPr>
              <w:t>91,125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line="220" w:lineRule="exact"/>
              <w:rPr>
                <w:sz w:val="20"/>
                <w:szCs w:val="20"/>
                <w:color w:val="auto"/>
              </w:rPr>
            </w:pPr>
            <w:r>
              <w:rPr>
                <w:rFonts w:ascii="Arial" w:cs="Arial" w:eastAsia="Arial" w:hAnsi="Arial"/>
                <w:sz w:val="20"/>
                <w:szCs w:val="20"/>
                <w:b w:val="1"/>
                <w:bCs w:val="1"/>
                <w:color w:val="auto"/>
              </w:rPr>
              <w:t>38,595</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Loss from operations</w:t>
            </w:r>
          </w:p>
        </w:tc>
        <w:tc>
          <w:tcPr>
            <w:tcW w:w="28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(129,720)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(91,125)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(38,595)</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8"/>
        </w:trPr>
        <w:tc>
          <w:tcPr>
            <w:tcW w:w="6140" w:type="dxa"/>
            <w:vAlign w:val="bottom"/>
          </w:tcPr>
          <w:p>
            <w:pPr>
              <w:ind w:left="200"/>
              <w:spacing w:after="0" w:line="229" w:lineRule="exact"/>
              <w:rPr>
                <w:sz w:val="20"/>
                <w:szCs w:val="20"/>
                <w:color w:val="auto"/>
              </w:rPr>
            </w:pPr>
            <w:r>
              <w:rPr>
                <w:rFonts w:ascii="Arial" w:cs="Arial" w:eastAsia="Arial" w:hAnsi="Arial"/>
                <w:sz w:val="20"/>
                <w:szCs w:val="20"/>
                <w:b w:val="1"/>
                <w:bCs w:val="1"/>
                <w:color w:val="auto"/>
              </w:rPr>
              <w:t>Interest income</w:t>
            </w:r>
          </w:p>
        </w:tc>
        <w:tc>
          <w:tcPr>
            <w:tcW w:w="280" w:type="dxa"/>
            <w:vAlign w:val="bottom"/>
          </w:tcPr>
          <w:p>
            <w:pPr>
              <w:spacing w:after="0"/>
              <w:rPr>
                <w:sz w:val="19"/>
                <w:szCs w:val="19"/>
                <w:color w:val="auto"/>
              </w:rPr>
            </w:pPr>
          </w:p>
        </w:tc>
        <w:tc>
          <w:tcPr>
            <w:tcW w:w="1060" w:type="dxa"/>
            <w:vAlign w:val="bottom"/>
          </w:tcPr>
          <w:p>
            <w:pPr>
              <w:jc w:val="right"/>
              <w:ind w:right="2"/>
              <w:spacing w:after="0" w:line="229" w:lineRule="exact"/>
              <w:rPr>
                <w:sz w:val="20"/>
                <w:szCs w:val="20"/>
                <w:color w:val="auto"/>
              </w:rPr>
            </w:pPr>
            <w:r>
              <w:rPr>
                <w:rFonts w:ascii="Arial" w:cs="Arial" w:eastAsia="Arial" w:hAnsi="Arial"/>
                <w:sz w:val="20"/>
                <w:szCs w:val="20"/>
                <w:b w:val="1"/>
                <w:bCs w:val="1"/>
                <w:color w:val="auto"/>
              </w:rPr>
              <w:t>21,292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
              <w:spacing w:after="0" w:line="229" w:lineRule="exact"/>
              <w:rPr>
                <w:sz w:val="20"/>
                <w:szCs w:val="20"/>
                <w:color w:val="auto"/>
              </w:rPr>
            </w:pPr>
            <w:r>
              <w:rPr>
                <w:rFonts w:ascii="Arial" w:cs="Arial" w:eastAsia="Arial" w:hAnsi="Arial"/>
                <w:sz w:val="20"/>
                <w:szCs w:val="20"/>
                <w:b w:val="1"/>
                <w:bCs w:val="1"/>
                <w:color w:val="auto"/>
              </w:rPr>
              <w:t>14,797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
              <w:spacing w:after="0" w:line="229" w:lineRule="exact"/>
              <w:rPr>
                <w:sz w:val="20"/>
                <w:szCs w:val="20"/>
                <w:color w:val="auto"/>
              </w:rPr>
            </w:pPr>
            <w:r>
              <w:rPr>
                <w:rFonts w:ascii="Arial" w:cs="Arial" w:eastAsia="Arial" w:hAnsi="Arial"/>
                <w:sz w:val="20"/>
                <w:szCs w:val="20"/>
                <w:b w:val="1"/>
                <w:bCs w:val="1"/>
                <w:color w:val="auto"/>
              </w:rPr>
              <w:t>6,495</w:t>
            </w:r>
          </w:p>
        </w:tc>
      </w:tr>
      <w:tr>
        <w:trPr>
          <w:trHeight w:val="230"/>
        </w:trPr>
        <w:tc>
          <w:tcPr>
            <w:tcW w:w="6140" w:type="dxa"/>
            <w:vAlign w:val="bottom"/>
          </w:tcPr>
          <w:p>
            <w:pPr>
              <w:ind w:left="200"/>
              <w:spacing w:after="0"/>
              <w:rPr>
                <w:sz w:val="20"/>
                <w:szCs w:val="20"/>
                <w:color w:val="auto"/>
              </w:rPr>
            </w:pPr>
            <w:r>
              <w:rPr>
                <w:rFonts w:ascii="Arial" w:cs="Arial" w:eastAsia="Arial" w:hAnsi="Arial"/>
                <w:sz w:val="20"/>
                <w:szCs w:val="20"/>
                <w:b w:val="1"/>
                <w:bCs w:val="1"/>
                <w:color w:val="auto"/>
              </w:rPr>
              <w:t>Interest expense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(572)</w:t>
            </w:r>
          </w:p>
        </w:tc>
      </w:tr>
      <w:tr>
        <w:trPr>
          <w:trHeight w:val="230"/>
        </w:trPr>
        <w:tc>
          <w:tcPr>
            <w:tcW w:w="6140" w:type="dxa"/>
            <w:vAlign w:val="bottom"/>
          </w:tcPr>
          <w:p>
            <w:pPr>
              <w:ind w:left="200"/>
              <w:spacing w:after="0"/>
              <w:rPr>
                <w:sz w:val="20"/>
                <w:szCs w:val="20"/>
                <w:color w:val="auto"/>
              </w:rPr>
            </w:pPr>
            <w:r>
              <w:rPr>
                <w:rFonts w:ascii="Arial" w:cs="Arial" w:eastAsia="Arial" w:hAnsi="Arial"/>
                <w:sz w:val="20"/>
                <w:szCs w:val="20"/>
                <w:b w:val="1"/>
                <w:bCs w:val="1"/>
                <w:color w:val="auto"/>
              </w:rPr>
              <w:t>Other expense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r>
      <w:tr>
        <w:trPr>
          <w:trHeight w:val="220"/>
        </w:trPr>
        <w:tc>
          <w:tcPr>
            <w:tcW w:w="614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other income (expense),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line="220" w:lineRule="exact"/>
              <w:rPr>
                <w:sz w:val="20"/>
                <w:szCs w:val="20"/>
                <w:color w:val="auto"/>
              </w:rPr>
            </w:pPr>
            <w:r>
              <w:rPr>
                <w:rFonts w:ascii="Arial" w:cs="Arial" w:eastAsia="Arial" w:hAnsi="Arial"/>
                <w:sz w:val="20"/>
                <w:szCs w:val="20"/>
                <w:b w:val="1"/>
                <w:bCs w:val="1"/>
                <w:color w:val="auto"/>
              </w:rPr>
              <w:t>20,718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
              <w:spacing w:after="0" w:line="220" w:lineRule="exact"/>
              <w:rPr>
                <w:sz w:val="20"/>
                <w:szCs w:val="20"/>
                <w:color w:val="auto"/>
              </w:rPr>
            </w:pPr>
            <w:r>
              <w:rPr>
                <w:rFonts w:ascii="Arial" w:cs="Arial" w:eastAsia="Arial" w:hAnsi="Arial"/>
                <w:sz w:val="20"/>
                <w:szCs w:val="20"/>
                <w:b w:val="1"/>
                <w:bCs w:val="1"/>
                <w:color w:val="auto"/>
              </w:rPr>
              <w:t>14,795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line="220" w:lineRule="exact"/>
              <w:rPr>
                <w:sz w:val="20"/>
                <w:szCs w:val="20"/>
                <w:color w:val="auto"/>
              </w:rPr>
            </w:pPr>
            <w:r>
              <w:rPr>
                <w:rFonts w:ascii="Arial" w:cs="Arial" w:eastAsia="Arial" w:hAnsi="Arial"/>
                <w:sz w:val="20"/>
                <w:szCs w:val="20"/>
                <w:b w:val="1"/>
                <w:bCs w:val="1"/>
                <w:color w:val="auto"/>
              </w:rPr>
              <w:t>5,923</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Loss before income taxes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(109,002)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(76,330)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(32,672)</w:t>
            </w:r>
          </w:p>
        </w:tc>
      </w:tr>
      <w:tr>
        <w:trPr>
          <w:trHeight w:val="220"/>
        </w:trPr>
        <w:tc>
          <w:tcPr>
            <w:tcW w:w="614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Income tax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(355)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(99)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(256)</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Net loss</w:t>
            </w:r>
          </w:p>
        </w:tc>
        <w:tc>
          <w:tcPr>
            <w:tcW w:w="280" w:type="dxa"/>
            <w:vAlign w:val="bottom"/>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(109,357)</w:t>
            </w:r>
          </w:p>
        </w:tc>
        <w:tc>
          <w:tcPr>
            <w:tcW w:w="2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(76,429)</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(32,928)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-1954530</wp:posOffset>
            </wp:positionV>
            <wp:extent cx="6663690" cy="19977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8">
                      <a:extLst>
                        <a:ext uri="{28A0092B-C50C-407E-A947-70E740481C1C}"/>
                      </a:extLst>
                    </a:blip>
                    <a:srcRect/>
                    <a:stretch>
                      <a:fillRect/>
                    </a:stretch>
                  </pic:blipFill>
                  <pic:spPr bwMode="auto">
                    <a:xfrm>
                      <a:off x="0" y="0"/>
                      <a:ext cx="6663690" cy="199771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following table summarizes our research and development expenses for the years ended December 31, 2024 and 2023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7"/>
              <w:spacing w:after="0"/>
              <w:rPr>
                <w:sz w:val="20"/>
                <w:szCs w:val="20"/>
                <w:color w:val="auto"/>
              </w:rPr>
            </w:pPr>
            <w:r>
              <w:rPr>
                <w:rFonts w:ascii="Arial" w:cs="Arial" w:eastAsia="Arial" w:hAnsi="Arial"/>
                <w:sz w:val="16"/>
                <w:szCs w:val="16"/>
                <w:b w:val="1"/>
                <w:bCs w:val="1"/>
                <w:color w:val="auto"/>
                <w:w w:val="93"/>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7"/>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2"/>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3"/>
              <w:spacing w:after="0" w:line="172"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7"/>
              <w:spacing w:after="0" w:line="172" w:lineRule="exact"/>
              <w:rPr>
                <w:sz w:val="20"/>
                <w:szCs w:val="20"/>
                <w:color w:val="auto"/>
              </w:rPr>
            </w:pPr>
            <w:r>
              <w:rPr>
                <w:rFonts w:ascii="Arial" w:cs="Arial" w:eastAsia="Arial" w:hAnsi="Arial"/>
                <w:sz w:val="16"/>
                <w:szCs w:val="16"/>
                <w:b w:val="1"/>
                <w:bCs w:val="1"/>
                <w:color w:val="auto"/>
                <w:w w:val="89"/>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line="172" w:lineRule="exact"/>
              <w:rPr>
                <w:sz w:val="20"/>
                <w:szCs w:val="20"/>
                <w:color w:val="auto"/>
              </w:rPr>
            </w:pPr>
            <w:r>
              <w:rPr>
                <w:rFonts w:ascii="Arial" w:cs="Arial" w:eastAsia="Arial" w:hAnsi="Arial"/>
                <w:sz w:val="16"/>
                <w:szCs w:val="16"/>
                <w:b w:val="1"/>
                <w:bCs w:val="1"/>
                <w:color w:val="auto"/>
              </w:rPr>
              <w:t>Change</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Bitopertin</w:t>
            </w:r>
          </w:p>
        </w:tc>
        <w:tc>
          <w:tcPr>
            <w:tcW w:w="280" w:type="dxa"/>
            <w:vAlign w:val="bottom"/>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28,105</w:t>
            </w:r>
          </w:p>
        </w:tc>
        <w:tc>
          <w:tcPr>
            <w:tcW w:w="2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17,271</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10,834</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DISC-0974</w:t>
            </w:r>
          </w:p>
        </w:tc>
        <w:tc>
          <w:tcPr>
            <w:tcW w:w="28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b w:val="1"/>
                <w:bCs w:val="1"/>
                <w:color w:val="auto"/>
              </w:rPr>
              <w:t>16,943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
              <w:spacing w:after="0"/>
              <w:rPr>
                <w:sz w:val="20"/>
                <w:szCs w:val="20"/>
                <w:color w:val="auto"/>
              </w:rPr>
            </w:pPr>
            <w:r>
              <w:rPr>
                <w:rFonts w:ascii="Arial" w:cs="Arial" w:eastAsia="Arial" w:hAnsi="Arial"/>
                <w:sz w:val="20"/>
                <w:szCs w:val="20"/>
                <w:b w:val="1"/>
                <w:bCs w:val="1"/>
                <w:color w:val="auto"/>
              </w:rPr>
              <w:t>9,136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b w:val="1"/>
                <w:bCs w:val="1"/>
                <w:color w:val="auto"/>
              </w:rPr>
              <w:t>7,807</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DISC-3405</w:t>
            </w:r>
          </w:p>
        </w:tc>
        <w:tc>
          <w:tcPr>
            <w:tcW w:w="28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b w:val="1"/>
                <w:bCs w:val="1"/>
                <w:color w:val="auto"/>
              </w:rPr>
              <w:t>13,934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
              <w:spacing w:after="0"/>
              <w:rPr>
                <w:sz w:val="20"/>
                <w:szCs w:val="20"/>
                <w:color w:val="auto"/>
              </w:rPr>
            </w:pPr>
            <w:r>
              <w:rPr>
                <w:rFonts w:ascii="Arial" w:cs="Arial" w:eastAsia="Arial" w:hAnsi="Arial"/>
                <w:sz w:val="20"/>
                <w:szCs w:val="20"/>
                <w:b w:val="1"/>
                <w:bCs w:val="1"/>
                <w:color w:val="auto"/>
              </w:rPr>
              <w:t>20,168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(6,234)</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Other research programs and expenses</w:t>
            </w:r>
          </w:p>
        </w:tc>
        <w:tc>
          <w:tcPr>
            <w:tcW w:w="28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b w:val="1"/>
                <w:bCs w:val="1"/>
                <w:color w:val="auto"/>
              </w:rPr>
              <w:t>10,150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
              <w:spacing w:after="0"/>
              <w:rPr>
                <w:sz w:val="20"/>
                <w:szCs w:val="20"/>
                <w:color w:val="auto"/>
              </w:rPr>
            </w:pPr>
            <w:r>
              <w:rPr>
                <w:rFonts w:ascii="Arial" w:cs="Arial" w:eastAsia="Arial" w:hAnsi="Arial"/>
                <w:sz w:val="20"/>
                <w:szCs w:val="20"/>
                <w:b w:val="1"/>
                <w:bCs w:val="1"/>
                <w:color w:val="auto"/>
              </w:rPr>
              <w:t>7,066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b w:val="1"/>
                <w:bCs w:val="1"/>
                <w:color w:val="auto"/>
              </w:rPr>
              <w:t>3,084</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Personnel-related (including equity-based compensation)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27,539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15,623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11,916</w:t>
            </w:r>
          </w:p>
        </w:tc>
      </w:tr>
      <w:tr>
        <w:trPr>
          <w:trHeight w:val="220"/>
        </w:trPr>
        <w:tc>
          <w:tcPr>
            <w:tcW w:w="614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research and development expenses</w:t>
            </w:r>
          </w:p>
        </w:tc>
        <w:tc>
          <w:tcPr>
            <w:tcW w:w="280" w:type="dxa"/>
            <w:vAlign w:val="bottom"/>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96,671</w:t>
            </w:r>
          </w:p>
        </w:tc>
        <w:tc>
          <w:tcPr>
            <w:tcW w:w="2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69,264</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27,407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-901065</wp:posOffset>
            </wp:positionV>
            <wp:extent cx="6663690" cy="9442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9">
                      <a:extLst>
                        <a:ext uri="{28A0092B-C50C-407E-A947-70E740481C1C}"/>
                      </a:extLst>
                    </a:blip>
                    <a:srcRect/>
                    <a:stretch>
                      <a:fillRect/>
                    </a:stretch>
                  </pic:blipFill>
                  <pic:spPr bwMode="auto">
                    <a:xfrm>
                      <a:off x="0" y="0"/>
                      <a:ext cx="6663690" cy="944245"/>
                    </a:xfrm>
                    <a:prstGeom prst="rect">
                      <a:avLst/>
                    </a:prstGeom>
                    <a:noFill/>
                  </pic:spPr>
                </pic:pic>
              </a:graphicData>
            </a:graphic>
          </wp:anchor>
        </w:drawing>
      </w:r>
    </w:p>
    <w:p>
      <w:pPr>
        <w:spacing w:after="0" w:line="274"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Research and development expenses were $96.7 million for the year ended December 31, 2024, compared to $69.3 million for the year ended December 31, 2023. The increase of $27.4 million was primarily due to an $11.9 million increase in personnel-related costs related to higher research and development headcount, including an increase of $5.3 million in stock-based compensation driven by awards granted under our equity compensation plans. Further, external development expenses increased $10.8 million and $7.8 million related to advancing the clinical trials and drug manufacturing activity for bitopertin and DISC-0974, respectively.</w:t>
      </w:r>
    </w:p>
    <w:p>
      <w:pPr>
        <w:spacing w:after="0" w:line="123"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8"/>
          <w:szCs w:val="18"/>
          <w:b w:val="1"/>
          <w:bCs w:val="1"/>
          <w:color w:val="auto"/>
        </w:rPr>
        <w:t>These increases were partially offset by a $6.2 million decrease related to the DISC-3405 program which incurred $15.0 million in upfront and milestone license fees in 2023 related to our license agreement with Mabwell which did not recur in 2024. The decrease related to prior year license fees was offset by an increase in external development expense related to increased clinical study and drug manufacturing activity for DISC-3405 in the year ended December 31, 2024.</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105</w:t>
      </w:r>
    </w:p>
    <w:p>
      <w:pPr>
        <w:sectPr>
          <w:pgSz w:w="12240" w:h="15840" w:orient="portrait"/>
          <w:cols w:equalWidth="0" w:num="1">
            <w:col w:w="10440"/>
          </w:cols>
          <w:pgMar w:left="900" w:top="960" w:right="900" w:bottom="181"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Selling, General and Administrative Expenses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The following table summarizes our selling, general and administrative expenses for the years ended December 31, 2024 and</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9"/>
              <w:spacing w:after="0"/>
              <w:rPr>
                <w:sz w:val="20"/>
                <w:szCs w:val="20"/>
                <w:color w:val="auto"/>
              </w:rPr>
            </w:pPr>
            <w:r>
              <w:rPr>
                <w:rFonts w:ascii="Arial" w:cs="Arial" w:eastAsia="Arial" w:hAnsi="Arial"/>
                <w:sz w:val="16"/>
                <w:szCs w:val="16"/>
                <w:b w:val="1"/>
                <w:bCs w:val="1"/>
                <w:color w:val="auto"/>
                <w:w w:val="93"/>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29"/>
              <w:spacing w:after="0" w:line="182" w:lineRule="exact"/>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4"/>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4"/>
              <w:spacing w:after="0" w:line="175"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9"/>
              <w:spacing w:after="0" w:line="175" w:lineRule="exact"/>
              <w:rPr>
                <w:sz w:val="20"/>
                <w:szCs w:val="20"/>
                <w:color w:val="auto"/>
              </w:rPr>
            </w:pPr>
            <w:r>
              <w:rPr>
                <w:rFonts w:ascii="Arial" w:cs="Arial" w:eastAsia="Arial" w:hAnsi="Arial"/>
                <w:sz w:val="16"/>
                <w:szCs w:val="16"/>
                <w:b w:val="1"/>
                <w:bCs w:val="1"/>
                <w:color w:val="auto"/>
                <w:w w:val="89"/>
              </w:rPr>
              <w:t>2023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4"/>
              <w:spacing w:after="0" w:line="175" w:lineRule="exact"/>
              <w:rPr>
                <w:sz w:val="20"/>
                <w:szCs w:val="20"/>
                <w:color w:val="auto"/>
              </w:rPr>
            </w:pPr>
            <w:r>
              <w:rPr>
                <w:rFonts w:ascii="Arial" w:cs="Arial" w:eastAsia="Arial" w:hAnsi="Arial"/>
                <w:sz w:val="16"/>
                <w:szCs w:val="16"/>
                <w:b w:val="1"/>
                <w:bCs w:val="1"/>
                <w:color w:val="auto"/>
              </w:rPr>
              <w:t>Change</w:t>
            </w:r>
          </w:p>
        </w:tc>
      </w:tr>
      <w:tr>
        <w:trPr>
          <w:trHeight w:val="218"/>
        </w:trPr>
        <w:tc>
          <w:tcPr>
            <w:tcW w:w="6140" w:type="dxa"/>
            <w:vAlign w:val="bottom"/>
          </w:tcPr>
          <w:p>
            <w:pPr>
              <w:spacing w:after="0" w:line="218" w:lineRule="exact"/>
              <w:rPr>
                <w:sz w:val="20"/>
                <w:szCs w:val="20"/>
                <w:color w:val="auto"/>
              </w:rPr>
            </w:pPr>
            <w:r>
              <w:rPr>
                <w:rFonts w:ascii="Arial" w:cs="Arial" w:eastAsia="Arial" w:hAnsi="Arial"/>
                <w:sz w:val="20"/>
                <w:szCs w:val="20"/>
                <w:b w:val="1"/>
                <w:bCs w:val="1"/>
                <w:color w:val="auto"/>
              </w:rPr>
              <w:t>Personnel-related (including equity-based compensation)</w:t>
            </w:r>
          </w:p>
        </w:tc>
        <w:tc>
          <w:tcPr>
            <w:tcW w:w="280" w:type="dxa"/>
            <w:vAlign w:val="bottom"/>
          </w:tcPr>
          <w:p>
            <w:pPr>
              <w:jc w:val="right"/>
              <w:ind w:right="80"/>
              <w:spacing w:after="0" w:line="218"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4"/>
              <w:spacing w:after="0" w:line="218" w:lineRule="exact"/>
              <w:rPr>
                <w:sz w:val="20"/>
                <w:szCs w:val="20"/>
                <w:color w:val="auto"/>
              </w:rPr>
            </w:pPr>
            <w:r>
              <w:rPr>
                <w:rFonts w:ascii="Arial" w:cs="Arial" w:eastAsia="Arial" w:hAnsi="Arial"/>
                <w:sz w:val="20"/>
                <w:szCs w:val="20"/>
                <w:b w:val="1"/>
                <w:bCs w:val="1"/>
                <w:color w:val="auto"/>
              </w:rPr>
              <w:t>19,367</w:t>
            </w:r>
          </w:p>
        </w:tc>
        <w:tc>
          <w:tcPr>
            <w:tcW w:w="280" w:type="dxa"/>
            <w:vAlign w:val="bottom"/>
            <w:gridSpan w:val="2"/>
          </w:tcPr>
          <w:p>
            <w:pPr>
              <w:jc w:val="right"/>
              <w:ind w:right="20"/>
              <w:spacing w:after="0" w:line="218"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9"/>
              <w:spacing w:after="0" w:line="218" w:lineRule="exact"/>
              <w:rPr>
                <w:sz w:val="20"/>
                <w:szCs w:val="20"/>
                <w:color w:val="auto"/>
              </w:rPr>
            </w:pPr>
            <w:r>
              <w:rPr>
                <w:rFonts w:ascii="Arial" w:cs="Arial" w:eastAsia="Arial" w:hAnsi="Arial"/>
                <w:sz w:val="20"/>
                <w:szCs w:val="20"/>
                <w:b w:val="1"/>
                <w:bCs w:val="1"/>
                <w:color w:val="auto"/>
              </w:rPr>
              <w:t>10,481</w:t>
            </w:r>
          </w:p>
        </w:tc>
        <w:tc>
          <w:tcPr>
            <w:tcW w:w="380" w:type="dxa"/>
            <w:vAlign w:val="bottom"/>
            <w:gridSpan w:val="2"/>
          </w:tcPr>
          <w:p>
            <w:pPr>
              <w:jc w:val="right"/>
              <w:ind w:right="120"/>
              <w:spacing w:after="0" w:line="218"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4"/>
              <w:spacing w:after="0" w:line="218" w:lineRule="exact"/>
              <w:rPr>
                <w:sz w:val="20"/>
                <w:szCs w:val="20"/>
                <w:color w:val="auto"/>
              </w:rPr>
            </w:pPr>
            <w:r>
              <w:rPr>
                <w:rFonts w:ascii="Arial" w:cs="Arial" w:eastAsia="Arial" w:hAnsi="Arial"/>
                <w:sz w:val="20"/>
                <w:szCs w:val="20"/>
                <w:b w:val="1"/>
                <w:bCs w:val="1"/>
                <w:color w:val="auto"/>
              </w:rPr>
              <w:t>8,886</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Legal, consulting and professional fees</w:t>
            </w:r>
          </w:p>
        </w:tc>
        <w:tc>
          <w:tcPr>
            <w:tcW w:w="28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20"/>
                <w:szCs w:val="20"/>
                <w:b w:val="1"/>
                <w:bCs w:val="1"/>
                <w:color w:val="auto"/>
              </w:rPr>
              <w:t>9,645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9"/>
              <w:spacing w:after="0"/>
              <w:rPr>
                <w:sz w:val="20"/>
                <w:szCs w:val="20"/>
                <w:color w:val="auto"/>
              </w:rPr>
            </w:pPr>
            <w:r>
              <w:rPr>
                <w:rFonts w:ascii="Arial" w:cs="Arial" w:eastAsia="Arial" w:hAnsi="Arial"/>
                <w:sz w:val="20"/>
                <w:szCs w:val="20"/>
                <w:b w:val="1"/>
                <w:bCs w:val="1"/>
                <w:color w:val="auto"/>
              </w:rPr>
              <w:t>7,448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b w:val="1"/>
                <w:bCs w:val="1"/>
                <w:color w:val="auto"/>
              </w:rPr>
              <w:t>2,197</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Other expenses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4,037</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b w:val="1"/>
                <w:bCs w:val="1"/>
                <w:color w:val="auto"/>
              </w:rPr>
              <w:t>3,932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105</w:t>
            </w:r>
          </w:p>
        </w:tc>
      </w:tr>
      <w:tr>
        <w:trPr>
          <w:trHeight w:val="220"/>
        </w:trPr>
        <w:tc>
          <w:tcPr>
            <w:tcW w:w="614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selling, general and administrative expenses</w:t>
            </w:r>
          </w:p>
        </w:tc>
        <w:tc>
          <w:tcPr>
            <w:tcW w:w="280" w:type="dxa"/>
            <w:vAlign w:val="bottom"/>
          </w:tcPr>
          <w:p>
            <w:pPr>
              <w:jc w:val="right"/>
              <w:ind w:right="8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4"/>
              <w:spacing w:after="0" w:line="220" w:lineRule="exact"/>
              <w:rPr>
                <w:sz w:val="20"/>
                <w:szCs w:val="20"/>
                <w:color w:val="auto"/>
              </w:rPr>
            </w:pPr>
            <w:r>
              <w:rPr>
                <w:rFonts w:ascii="Arial" w:cs="Arial" w:eastAsia="Arial" w:hAnsi="Arial"/>
                <w:sz w:val="20"/>
                <w:szCs w:val="20"/>
                <w:b w:val="1"/>
                <w:bCs w:val="1"/>
                <w:color w:val="auto"/>
              </w:rPr>
              <w:t>33,049</w:t>
            </w:r>
          </w:p>
        </w:tc>
        <w:tc>
          <w:tcPr>
            <w:tcW w:w="2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9"/>
              <w:spacing w:after="0" w:line="220" w:lineRule="exact"/>
              <w:rPr>
                <w:sz w:val="20"/>
                <w:szCs w:val="20"/>
                <w:color w:val="auto"/>
              </w:rPr>
            </w:pPr>
            <w:r>
              <w:rPr>
                <w:rFonts w:ascii="Arial" w:cs="Arial" w:eastAsia="Arial" w:hAnsi="Arial"/>
                <w:sz w:val="20"/>
                <w:szCs w:val="20"/>
                <w:b w:val="1"/>
                <w:bCs w:val="1"/>
                <w:color w:val="auto"/>
              </w:rPr>
              <w:t>21,861</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4"/>
              <w:spacing w:after="0" w:line="220" w:lineRule="exact"/>
              <w:rPr>
                <w:sz w:val="20"/>
                <w:szCs w:val="20"/>
                <w:color w:val="auto"/>
              </w:rPr>
            </w:pPr>
            <w:r>
              <w:rPr>
                <w:rFonts w:ascii="Arial" w:cs="Arial" w:eastAsia="Arial" w:hAnsi="Arial"/>
                <w:sz w:val="20"/>
                <w:szCs w:val="20"/>
                <w:b w:val="1"/>
                <w:bCs w:val="1"/>
                <w:color w:val="auto"/>
              </w:rPr>
              <w:t>11,188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-608965</wp:posOffset>
            </wp:positionV>
            <wp:extent cx="6663690" cy="651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0">
                      <a:extLst>
                        <a:ext uri="{28A0092B-C50C-407E-A947-70E740481C1C}"/>
                      </a:extLst>
                    </a:blip>
                    <a:srcRect/>
                    <a:stretch>
                      <a:fillRect/>
                    </a:stretch>
                  </pic:blipFill>
                  <pic:spPr bwMode="auto">
                    <a:xfrm>
                      <a:off x="0" y="0"/>
                      <a:ext cx="6663690" cy="651510"/>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Selling, general and administrative expenses were $33.0 million for the year ended December 31, 2024, compared to $21.9 million for the year ended December 31, 2023. The increase of $11.2 million was primarily due to an increase of $8.9 million in personnel-related costs due to higher selling, general and administrative headcount, including an increase of $6.0 million in stock-based compensation driven by awards granted under our equity compensation plans.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Other income (expense), net was $20.7 million for the year ended December 31, 2024, compared to $14.8 million for the year ended December 31, 2023. The change of $5.9 million was primarily due to an increase in interest income based on increases in our cash, cash equivalents and marketable securities balances.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131" w:lineRule="exact"/>
        <w:rPr>
          <w:sz w:val="20"/>
          <w:szCs w:val="20"/>
          <w:color w:val="auto"/>
        </w:rPr>
      </w:pPr>
    </w:p>
    <w:p>
      <w:pPr>
        <w:jc w:val="both"/>
        <w:ind w:firstLine="539"/>
        <w:spacing w:after="0" w:line="281" w:lineRule="auto"/>
        <w:rPr>
          <w:sz w:val="20"/>
          <w:szCs w:val="20"/>
          <w:color w:val="auto"/>
        </w:rPr>
      </w:pPr>
      <w:r>
        <w:rPr>
          <w:rFonts w:ascii="Arial" w:cs="Arial" w:eastAsia="Arial" w:hAnsi="Arial"/>
          <w:sz w:val="18"/>
          <w:szCs w:val="18"/>
          <w:b w:val="1"/>
          <w:bCs w:val="1"/>
          <w:color w:val="auto"/>
        </w:rPr>
        <w:t>Income tax expense was $0.4 million for the year ended December 31, 2024, compared to $0.1 million for the year ended December 31, 2023. The expense relates to state income tax resulting from an increase in interest income.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2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Annual Report on Form 10-K for additional risks associated with our substantial capital requirements.</w:t>
      </w:r>
    </w:p>
    <w:p>
      <w:pPr>
        <w:spacing w:after="0" w:line="111"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December 31, 2024, we have received net proceeds of $144.5 million from sales of our Series Seed, Series A and Series B convertible preferred stock, $89.5 million from the merger with Gemini, $477.6 million from various private and public sales of our equity securities, and $27.6 million from borrowings under the Hercules Loan Agreement. As of December 31, 2024, we had cash, cash equivalents, and marketable securities of $489.9 million.</w:t>
      </w:r>
    </w:p>
    <w:p>
      <w:pPr>
        <w:spacing w:after="0" w:line="6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addition, in January 2025 we completed an underwritten offering of shares of our common stock and pre-funded warrants. The net proceeds from the offering are expected to be approximately $243.3 million, after deducting the underwriting discount and estimated offering expenses. The underwritten offering is described in more detail in Note 18 - Subsequent Events to our consolidated financial statements.</w:t>
      </w:r>
    </w:p>
    <w:p>
      <w:pPr>
        <w:spacing w:after="0" w:line="13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have incurred significant operating losses since inception and, as of December 31, 2024, had an accumulated deficit of $298.0 million. In addition, we expect to continue to incur significant and increasing expenses and operating losses for the foreseeable future. We believe that our cash, cash equivalents and marketable securities, including the net proceeds of our January 2025 underwritten public offering,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financings.</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106</w:t>
      </w:r>
    </w:p>
    <w:p>
      <w:pPr>
        <w:sectPr>
          <w:pgSz w:w="12240" w:h="15840" w:orient="portrait"/>
          <w:cols w:equalWidth="0" w:num="1">
            <w:col w:w="10440"/>
          </w:cols>
          <w:pgMar w:left="900" w:top="949" w:right="900" w:bottom="181"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Cash Flows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following table provides information regarding our cash flows for each period presented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10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20"/>
              <w:spacing w:after="0" w:line="182" w:lineRule="exact"/>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5"/>
                <w:szCs w:val="15"/>
                <w:color w:val="auto"/>
              </w:rPr>
            </w:pPr>
          </w:p>
        </w:tc>
      </w:tr>
      <w:tr>
        <w:trPr>
          <w:trHeight w:val="174"/>
        </w:trPr>
        <w:tc>
          <w:tcPr>
            <w:tcW w:w="7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9"/>
              <w:spacing w:after="0" w:line="174"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4"/>
              <w:spacing w:after="0" w:line="174" w:lineRule="exact"/>
              <w:rPr>
                <w:sz w:val="20"/>
                <w:szCs w:val="20"/>
                <w:color w:val="auto"/>
              </w:rPr>
            </w:pPr>
            <w:r>
              <w:rPr>
                <w:rFonts w:ascii="Arial" w:cs="Arial" w:eastAsia="Arial" w:hAnsi="Arial"/>
                <w:sz w:val="16"/>
                <w:szCs w:val="16"/>
                <w:b w:val="1"/>
                <w:bCs w:val="1"/>
                <w:color w:val="auto"/>
              </w:rPr>
              <w:t>2023</w:t>
            </w:r>
          </w:p>
        </w:tc>
      </w:tr>
      <w:tr>
        <w:trPr>
          <w:trHeight w:val="221"/>
        </w:trPr>
        <w:tc>
          <w:tcPr>
            <w:tcW w:w="7140" w:type="dxa"/>
            <w:vAlign w:val="bottom"/>
          </w:tcPr>
          <w:p>
            <w:pPr>
              <w:spacing w:after="0" w:line="221" w:lineRule="exact"/>
              <w:rPr>
                <w:sz w:val="20"/>
                <w:szCs w:val="20"/>
                <w:color w:val="auto"/>
              </w:rPr>
            </w:pPr>
            <w:r>
              <w:rPr>
                <w:rFonts w:ascii="Arial" w:cs="Arial" w:eastAsia="Arial" w:hAnsi="Arial"/>
                <w:sz w:val="20"/>
                <w:szCs w:val="20"/>
                <w:b w:val="1"/>
                <w:bCs w:val="1"/>
                <w:color w:val="auto"/>
              </w:rPr>
              <w:t>Net cash (used in) provided by: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7140" w:type="dxa"/>
            <w:vAlign w:val="bottom"/>
          </w:tcPr>
          <w:p>
            <w:pPr>
              <w:spacing w:after="0" w:line="228" w:lineRule="exact"/>
              <w:rPr>
                <w:sz w:val="20"/>
                <w:szCs w:val="20"/>
                <w:color w:val="auto"/>
              </w:rPr>
            </w:pPr>
            <w:r>
              <w:rPr>
                <w:rFonts w:ascii="Arial" w:cs="Arial" w:eastAsia="Arial" w:hAnsi="Arial"/>
                <w:sz w:val="20"/>
                <w:szCs w:val="20"/>
                <w:b w:val="1"/>
                <w:bCs w:val="1"/>
                <w:color w:val="auto"/>
              </w:rPr>
              <w:t>Operating activities</w:t>
            </w:r>
          </w:p>
        </w:tc>
        <w:tc>
          <w:tcPr>
            <w:tcW w:w="340" w:type="dxa"/>
            <w:vAlign w:val="bottom"/>
          </w:tcPr>
          <w:p>
            <w:pPr>
              <w:jc w:val="right"/>
              <w:ind w:right="140"/>
              <w:spacing w:after="0" w:line="228" w:lineRule="exact"/>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(93,926)</w:t>
            </w:r>
          </w:p>
        </w:tc>
        <w:tc>
          <w:tcPr>
            <w:tcW w:w="640" w:type="dxa"/>
            <w:vAlign w:val="bottom"/>
            <w:gridSpan w:val="2"/>
          </w:tcPr>
          <w:p>
            <w:pPr>
              <w:jc w:val="right"/>
              <w:ind w:right="360"/>
              <w:spacing w:after="0" w:line="228"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(73,462)</w:t>
            </w:r>
          </w:p>
        </w:tc>
      </w:tr>
      <w:tr>
        <w:trPr>
          <w:trHeight w:val="230"/>
        </w:trPr>
        <w:tc>
          <w:tcPr>
            <w:tcW w:w="7140" w:type="dxa"/>
            <w:vAlign w:val="bottom"/>
          </w:tcPr>
          <w:p>
            <w:pPr>
              <w:spacing w:after="0"/>
              <w:rPr>
                <w:sz w:val="20"/>
                <w:szCs w:val="20"/>
                <w:color w:val="auto"/>
              </w:rPr>
            </w:pPr>
            <w:r>
              <w:rPr>
                <w:rFonts w:ascii="Arial" w:cs="Arial" w:eastAsia="Arial" w:hAnsi="Arial"/>
                <w:sz w:val="20"/>
                <w:szCs w:val="20"/>
                <w:b w:val="1"/>
                <w:bCs w:val="1"/>
                <w:color w:val="auto"/>
              </w:rPr>
              <w:t>Investing activities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(292,332)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230"/>
        </w:trPr>
        <w:tc>
          <w:tcPr>
            <w:tcW w:w="7140" w:type="dxa"/>
            <w:vAlign w:val="bottom"/>
          </w:tcPr>
          <w:p>
            <w:pPr>
              <w:spacing w:after="0"/>
              <w:rPr>
                <w:sz w:val="20"/>
                <w:szCs w:val="20"/>
                <w:color w:val="auto"/>
              </w:rPr>
            </w:pPr>
            <w:r>
              <w:rPr>
                <w:rFonts w:ascii="Arial" w:cs="Arial" w:eastAsia="Arial" w:hAnsi="Arial"/>
                <w:sz w:val="20"/>
                <w:szCs w:val="20"/>
                <w:b w:val="1"/>
                <w:bCs w:val="1"/>
                <w:color w:val="auto"/>
              </w:rPr>
              <w:t>Financing activities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b w:val="1"/>
                <w:bCs w:val="1"/>
                <w:color w:val="auto"/>
              </w:rPr>
              <w:t>218,314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239,379</w:t>
            </w:r>
          </w:p>
        </w:tc>
      </w:tr>
      <w:tr>
        <w:trPr>
          <w:trHeight w:val="220"/>
        </w:trPr>
        <w:tc>
          <w:tcPr>
            <w:tcW w:w="7140" w:type="dxa"/>
            <w:vAlign w:val="bottom"/>
          </w:tcPr>
          <w:p>
            <w:pPr>
              <w:spacing w:after="0" w:line="220" w:lineRule="exact"/>
              <w:rPr>
                <w:sz w:val="20"/>
                <w:szCs w:val="20"/>
                <w:color w:val="auto"/>
              </w:rPr>
            </w:pPr>
            <w:r>
              <w:rPr>
                <w:rFonts w:ascii="Arial" w:cs="Arial" w:eastAsia="Arial" w:hAnsi="Arial"/>
                <w:sz w:val="20"/>
                <w:szCs w:val="20"/>
                <w:b w:val="1"/>
                <w:bCs w:val="1"/>
                <w:color w:val="auto"/>
              </w:rPr>
              <w:t>Net (decrease) increase in cash, cash equivalents and restricted cash</w:t>
            </w:r>
          </w:p>
        </w:tc>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(167,944)</w:t>
            </w:r>
          </w:p>
        </w:tc>
        <w:tc>
          <w:tcPr>
            <w:tcW w:w="640" w:type="dxa"/>
            <w:vAlign w:val="bottom"/>
            <w:gridSpan w:val="2"/>
          </w:tcPr>
          <w:p>
            <w:pPr>
              <w:jc w:val="right"/>
              <w:ind w:right="36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4"/>
              <w:spacing w:after="0" w:line="220" w:lineRule="exact"/>
              <w:rPr>
                <w:sz w:val="20"/>
                <w:szCs w:val="20"/>
                <w:color w:val="auto"/>
              </w:rPr>
            </w:pPr>
            <w:r>
              <w:rPr>
                <w:rFonts w:ascii="Arial" w:cs="Arial" w:eastAsia="Arial" w:hAnsi="Arial"/>
                <w:sz w:val="20"/>
                <w:szCs w:val="20"/>
                <w:b w:val="1"/>
                <w:bCs w:val="1"/>
                <w:color w:val="auto"/>
              </w:rPr>
              <w:t>165,828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-755015</wp:posOffset>
            </wp:positionV>
            <wp:extent cx="6663690" cy="7981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1">
                      <a:extLst>
                        <a:ext uri="{28A0092B-C50C-407E-A947-70E740481C1C}"/>
                      </a:extLst>
                    </a:blip>
                    <a:srcRect/>
                    <a:stretch>
                      <a:fillRect/>
                    </a:stretch>
                  </pic:blipFill>
                  <pic:spPr bwMode="auto">
                    <a:xfrm>
                      <a:off x="0" y="0"/>
                      <a:ext cx="6663690" cy="798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128"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65"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During the year ended December 31, 2024, net cash used in operating activities of $93.9 million was primarily due to our net loss of $109.4 million, offset by changes in operating assets and liabilities of $3.2 million and non-cash expenses of $12.2 million which primarily related to stock-based compensation expense of $16.8 million, offset by amortization and accretion of investment securities of $5.3 million.</w:t>
      </w:r>
    </w:p>
    <w:p>
      <w:pPr>
        <w:spacing w:after="0" w:line="135"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During the year ended December 31, 2023, net cash used in operating activities of $73.5 million was primarily due to our net loss of $76.4 million and changes in operating assets and liabilities of $3.0 million, offset by non-cash expenses of $5.9 million primarily related to stock-based compensation expense of $5.5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131"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During the year ended December 31, 2024, net cash used in investing activities was primarily due to purchases of marketable securities of $386.6 million, partially offset by maturities of marketable securities of $94.8 million.</w:t>
      </w:r>
    </w:p>
    <w:p>
      <w:pPr>
        <w:spacing w:after="0" w:line="96"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During the year ended December 31, 2023 net cash used in investing activities was due to purchases of property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13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During the year ended December 31, 2024, net cash provided by financing activities of $218.3 million consisted primarily of net proceeds of $172.5 million from the June 2024 underwritten offering, net proceeds from the issuance of long-term debt of $27.6 million, aggregate net proceeds of $14.8 million from at-the-market offerings, and proceeds from the exercise of stock options of $3.0 million.</w:t>
      </w:r>
    </w:p>
    <w:p>
      <w:pPr>
        <w:spacing w:after="0" w:line="13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During the year ended December 31, 2023, net cash provided by financing activities of $239.4 million consisted primarily of net proceeds of $147.9 million from sales of common stock and pre-funded warrants in a public follow-on offering, net proceeds of $62.4 million from sales of common stock and pre-funded warrants in a registered direct offering and aggregate net proceeds of $26.4 million from the at-the-market offerings.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Funding Requirements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13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initiation, progress, timing, costs and results of preclinical studies and clinical trials for our product candidates or any future product candidates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line="233" w:lineRule="auto"/>
        <w:rPr>
          <w:sz w:val="20"/>
          <w:szCs w:val="20"/>
          <w:color w:val="auto"/>
        </w:rPr>
      </w:pPr>
      <w:r>
        <w:rPr>
          <w:rFonts w:ascii="Arial" w:cs="Arial" w:eastAsia="Arial" w:hAnsi="Arial"/>
          <w:sz w:val="20"/>
          <w:szCs w:val="20"/>
          <w:b w:val="1"/>
          <w:bCs w:val="1"/>
          <w:color w:val="auto"/>
        </w:rPr>
        <w:t>changes in laws or regulations applicable to any product candidates we may develop, including but not limited to clinical trial requirements for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-242570</wp:posOffset>
            </wp:positionV>
            <wp:extent cx="71120" cy="711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cost and timing of obtaining materials to produce adequate product supply for any preclinical or clinical development of any product candidate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107</w:t>
      </w:r>
    </w:p>
    <w:p>
      <w:pPr>
        <w:sectPr>
          <w:pgSz w:w="12240" w:h="15840" w:orient="portrait"/>
          <w:cols w:equalWidth="0" w:num="1">
            <w:col w:w="10440"/>
          </w:cols>
          <w:pgMar w:left="900" w:top="949" w:right="900" w:bottom="181" w:gutter="0" w:footer="0" w:header="0"/>
          <w:type w:val="continuous"/>
        </w:sectPr>
      </w:pPr>
    </w:p>
    <w:bookmarkStart w:id="117" w:name="page118"/>
    <w:bookmarkEnd w:id="117"/>
    <w:p>
      <w:pPr>
        <w:ind w:left="727"/>
        <w:spacing w:after="0"/>
        <w:rPr>
          <w:sz w:val="20"/>
          <w:szCs w:val="20"/>
          <w:color w:val="auto"/>
        </w:rPr>
      </w:pPr>
      <w:r>
        <w:rPr>
          <w:rFonts w:ascii="Arial" w:cs="Arial" w:eastAsia="Arial" w:hAnsi="Arial"/>
          <w:sz w:val="20"/>
          <w:szCs w:val="20"/>
          <w:b w:val="1"/>
          <w:bCs w:val="1"/>
          <w:color w:val="auto"/>
        </w:rPr>
        <w:t>the effect of competing technological and market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-98425</wp:posOffset>
            </wp:positionV>
            <wp:extent cx="71120" cy="711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727"/>
        <w:spacing w:after="0" w:line="234" w:lineRule="auto"/>
        <w:rPr>
          <w:sz w:val="20"/>
          <w:szCs w:val="20"/>
          <w:color w:val="auto"/>
        </w:rPr>
      </w:pPr>
      <w:r>
        <w:rPr>
          <w:rFonts w:ascii="Arial" w:cs="Arial" w:eastAsia="Arial" w:hAnsi="Arial"/>
          <w:sz w:val="20"/>
          <w:szCs w:val="20"/>
          <w:b w:val="1"/>
          <w:bCs w:val="1"/>
          <w:color w:val="auto"/>
        </w:rPr>
        <w:t>our ability to establish and maintain strategic collaborations, licensing or other arrangements and the financial terms of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-243840</wp:posOffset>
            </wp:positionV>
            <wp:extent cx="71120" cy="711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727"/>
        <w:spacing w:after="0"/>
        <w:rPr>
          <w:sz w:val="20"/>
          <w:szCs w:val="20"/>
          <w:color w:val="auto"/>
        </w:rPr>
      </w:pPr>
      <w:r>
        <w:rPr>
          <w:rFonts w:ascii="Arial" w:cs="Arial" w:eastAsia="Arial" w:hAnsi="Arial"/>
          <w:sz w:val="20"/>
          <w:szCs w:val="20"/>
          <w:b w:val="1"/>
          <w:bCs w:val="1"/>
          <w:color w:val="auto"/>
        </w:rPr>
        <w:t>the payment or receipt of milestones, royalties and other collaboration-based revenues,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-98425</wp:posOffset>
            </wp:positionV>
            <wp:extent cx="71120" cy="711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7"/>
        <w:spacing w:after="0" w:line="254" w:lineRule="auto"/>
        <w:rPr>
          <w:sz w:val="20"/>
          <w:szCs w:val="20"/>
          <w:color w:val="auto"/>
        </w:rPr>
      </w:pPr>
      <w:r>
        <w:rPr>
          <w:rFonts w:ascii="Arial" w:cs="Arial" w:eastAsia="Arial" w:hAnsi="Arial"/>
          <w:sz w:val="19"/>
          <w:szCs w:val="19"/>
          <w:b w:val="1"/>
          <w:bCs w:val="1"/>
          <w:color w:val="auto"/>
        </w:rPr>
        <w:t>the costs and timing of future commercialization activities, including product manufacturing, marketing, sales and distribution, for any product candidate we may develop for which we obtain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-252730</wp:posOffset>
            </wp:positionV>
            <wp:extent cx="71120" cy="711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727"/>
        <w:spacing w:after="0" w:line="234" w:lineRule="auto"/>
        <w:rPr>
          <w:sz w:val="20"/>
          <w:szCs w:val="20"/>
          <w:color w:val="auto"/>
        </w:rPr>
      </w:pPr>
      <w:r>
        <w:rPr>
          <w:rFonts w:ascii="Arial" w:cs="Arial" w:eastAsia="Arial" w:hAnsi="Arial"/>
          <w:sz w:val="20"/>
          <w:szCs w:val="20"/>
          <w:b w:val="1"/>
          <w:bCs w:val="1"/>
          <w:color w:val="auto"/>
        </w:rPr>
        <w:t>the amount and timing of revenue, if any, received from commercial sales of our product candidates for which we receive marketing approval;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-243840</wp:posOffset>
            </wp:positionV>
            <wp:extent cx="71120" cy="711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727"/>
        <w:spacing w:after="0" w:line="234" w:lineRule="auto"/>
        <w:rPr>
          <w:sz w:val="20"/>
          <w:szCs w:val="20"/>
          <w:color w:val="auto"/>
        </w:rPr>
      </w:pPr>
      <w:r>
        <w:rPr>
          <w:rFonts w:ascii="Arial" w:cs="Arial" w:eastAsia="Arial" w:hAnsi="Arial"/>
          <w:sz w:val="20"/>
          <w:szCs w:val="20"/>
          <w:b w:val="1"/>
          <w:bCs w:val="1"/>
          <w:color w:val="auto"/>
        </w:rPr>
        <w:t>the legal costs involved in prosecuting patent applications and enforcing patent claims and other intellectual property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-243840</wp:posOffset>
            </wp:positionV>
            <wp:extent cx="71120" cy="711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left="7" w:firstLine="490"/>
        <w:spacing w:after="0" w:line="269" w:lineRule="auto"/>
        <w:rPr>
          <w:sz w:val="20"/>
          <w:szCs w:val="20"/>
          <w:color w:val="auto"/>
        </w:rPr>
      </w:pPr>
      <w:r>
        <w:rPr>
          <w:rFonts w:ascii="Arial" w:cs="Arial" w:eastAsia="Arial" w:hAnsi="Arial"/>
          <w:sz w:val="18"/>
          <w:szCs w:val="18"/>
          <w:b w:val="1"/>
          <w:bCs w:val="1"/>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108" w:lineRule="exact"/>
        <w:rPr>
          <w:sz w:val="20"/>
          <w:szCs w:val="20"/>
          <w:color w:val="auto"/>
        </w:rPr>
      </w:pPr>
    </w:p>
    <w:p>
      <w:pPr>
        <w:jc w:val="both"/>
        <w:ind w:left="7" w:firstLine="490"/>
        <w:spacing w:after="0" w:line="326" w:lineRule="auto"/>
        <w:rPr>
          <w:sz w:val="20"/>
          <w:szCs w:val="20"/>
          <w:color w:val="auto"/>
        </w:rPr>
      </w:pPr>
      <w:r>
        <w:rPr>
          <w:rFonts w:ascii="Arial" w:cs="Arial" w:eastAsia="Arial" w:hAnsi="Arial"/>
          <w:sz w:val="15"/>
          <w:szCs w:val="15"/>
          <w:b w:val="1"/>
          <w:bCs w:val="1"/>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131" w:lineRule="exact"/>
        <w:rPr>
          <w:sz w:val="20"/>
          <w:szCs w:val="20"/>
          <w:color w:val="auto"/>
        </w:rPr>
      </w:pPr>
    </w:p>
    <w:p>
      <w:pPr>
        <w:jc w:val="both"/>
        <w:ind w:left="7" w:firstLine="490"/>
        <w:spacing w:after="0" w:line="234" w:lineRule="auto"/>
        <w:rPr>
          <w:sz w:val="20"/>
          <w:szCs w:val="20"/>
          <w:color w:val="auto"/>
        </w:rPr>
      </w:pPr>
      <w:r>
        <w:rPr>
          <w:rFonts w:ascii="Arial" w:cs="Arial" w:eastAsia="Arial" w:hAnsi="Arial"/>
          <w:sz w:val="20"/>
          <w:szCs w:val="20"/>
          <w:b w:val="1"/>
          <w:bCs w:val="1"/>
          <w:color w:val="auto"/>
        </w:rPr>
        <w:t>The following table summarizes our contractual obligations as of December 31, 2024 and the effects that such obligations are expected to have on our liquidity and cash flows in future periods (in thousands):</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6"/>
                <w:szCs w:val="16"/>
                <w:b w:val="1"/>
                <w:bCs w:val="1"/>
                <w:color w:val="auto"/>
                <w:w w:val="89"/>
              </w:rPr>
              <w:t>Payments Due by Period</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4"/>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72"/>
              <w:spacing w:after="0" w:line="174" w:lineRule="exact"/>
              <w:rPr>
                <w:sz w:val="20"/>
                <w:szCs w:val="20"/>
                <w:color w:val="auto"/>
              </w:rPr>
            </w:pPr>
            <w:r>
              <w:rPr>
                <w:rFonts w:ascii="Arial" w:cs="Arial" w:eastAsia="Arial" w:hAnsi="Arial"/>
                <w:sz w:val="16"/>
                <w:szCs w:val="16"/>
                <w:b w:val="1"/>
                <w:bCs w:val="1"/>
                <w:color w:val="auto"/>
                <w:w w:val="90"/>
              </w:rPr>
              <w:t>Less Than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230"/>
              <w:spacing w:after="0" w:line="174" w:lineRule="exact"/>
              <w:rPr>
                <w:sz w:val="20"/>
                <w:szCs w:val="20"/>
                <w:color w:val="auto"/>
              </w:rPr>
            </w:pPr>
            <w:r>
              <w:rPr>
                <w:rFonts w:ascii="Arial" w:cs="Arial" w:eastAsia="Arial" w:hAnsi="Arial"/>
                <w:sz w:val="16"/>
                <w:szCs w:val="16"/>
                <w:b w:val="1"/>
                <w:bCs w:val="1"/>
                <w:color w:val="auto"/>
                <w:w w:val="90"/>
              </w:rPr>
              <w:t>1 to 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0"/>
              <w:spacing w:after="0" w:line="174" w:lineRule="exact"/>
              <w:rPr>
                <w:sz w:val="20"/>
                <w:szCs w:val="20"/>
                <w:color w:val="auto"/>
              </w:rPr>
            </w:pPr>
            <w:r>
              <w:rPr>
                <w:rFonts w:ascii="Arial" w:cs="Arial" w:eastAsia="Arial" w:hAnsi="Arial"/>
                <w:sz w:val="16"/>
                <w:szCs w:val="16"/>
                <w:b w:val="1"/>
                <w:bCs w:val="1"/>
                <w:color w:val="auto"/>
              </w:rPr>
              <w:t>3 to 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10"/>
              <w:spacing w:after="0" w:line="174" w:lineRule="exact"/>
              <w:rPr>
                <w:sz w:val="20"/>
                <w:szCs w:val="20"/>
                <w:color w:val="auto"/>
              </w:rPr>
            </w:pPr>
            <w:r>
              <w:rPr>
                <w:rFonts w:ascii="Arial" w:cs="Arial" w:eastAsia="Arial" w:hAnsi="Arial"/>
                <w:sz w:val="16"/>
                <w:szCs w:val="16"/>
                <w:b w:val="1"/>
                <w:bCs w:val="1"/>
                <w:color w:val="auto"/>
                <w:w w:val="93"/>
              </w:rPr>
              <w:t>More Than</w:t>
            </w:r>
          </w:p>
        </w:tc>
      </w:tr>
      <w:tr>
        <w:trPr>
          <w:trHeight w:val="183"/>
        </w:trPr>
        <w:tc>
          <w:tcPr>
            <w:tcW w:w="4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1 Year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91"/>
              </w:rPr>
              <w:t>5 Years</w:t>
            </w:r>
          </w:p>
        </w:tc>
      </w:tr>
      <w:tr>
        <w:trPr>
          <w:trHeight w:val="220"/>
        </w:trPr>
        <w:tc>
          <w:tcPr>
            <w:tcW w:w="4400" w:type="dxa"/>
            <w:vAlign w:val="bottom"/>
          </w:tcPr>
          <w:p>
            <w:pPr>
              <w:spacing w:after="0" w:line="220" w:lineRule="exact"/>
              <w:rPr>
                <w:sz w:val="20"/>
                <w:szCs w:val="20"/>
                <w:color w:val="auto"/>
              </w:rPr>
            </w:pPr>
            <w:r>
              <w:rPr>
                <w:rFonts w:ascii="Arial" w:cs="Arial" w:eastAsia="Arial" w:hAnsi="Arial"/>
                <w:sz w:val="20"/>
                <w:szCs w:val="20"/>
                <w:b w:val="1"/>
                <w:bCs w:val="1"/>
                <w:color w:val="auto"/>
              </w:rPr>
              <w:t>Operating lease commitments</w:t>
            </w:r>
            <w:r>
              <w:rPr>
                <w:rFonts w:ascii="Arial" w:cs="Arial" w:eastAsia="Arial" w:hAnsi="Arial"/>
                <w:sz w:val="25"/>
                <w:szCs w:val="25"/>
                <w:b w:val="1"/>
                <w:bCs w:val="1"/>
                <w:color w:val="auto"/>
                <w:vertAlign w:val="superscript"/>
              </w:rPr>
              <w:t>(1)(2)</w:t>
            </w:r>
          </w:p>
        </w:tc>
        <w:tc>
          <w:tcPr>
            <w:tcW w:w="220" w:type="dxa"/>
            <w:vAlign w:val="bottom"/>
          </w:tcPr>
          <w:p>
            <w:pPr>
              <w:jc w:val="right"/>
              <w:ind w:right="20"/>
              <w:spacing w:after="0" w:line="220" w:lineRule="exact"/>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3,981</w:t>
            </w:r>
          </w:p>
        </w:tc>
        <w:tc>
          <w:tcPr>
            <w:tcW w:w="1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ind w:right="32"/>
              <w:spacing w:after="0" w:line="220" w:lineRule="exact"/>
              <w:rPr>
                <w:sz w:val="20"/>
                <w:szCs w:val="20"/>
                <w:color w:val="auto"/>
              </w:rPr>
            </w:pPr>
            <w:r>
              <w:rPr>
                <w:rFonts w:ascii="Arial" w:cs="Arial" w:eastAsia="Arial" w:hAnsi="Arial"/>
                <w:sz w:val="20"/>
                <w:szCs w:val="20"/>
                <w:b w:val="1"/>
                <w:bCs w:val="1"/>
                <w:color w:val="auto"/>
              </w:rPr>
              <w:t>821</w:t>
            </w:r>
          </w:p>
        </w:tc>
        <w:tc>
          <w:tcPr>
            <w:tcW w:w="32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10"/>
              <w:spacing w:after="0" w:line="220" w:lineRule="exact"/>
              <w:rPr>
                <w:sz w:val="20"/>
                <w:szCs w:val="20"/>
                <w:color w:val="auto"/>
              </w:rPr>
            </w:pPr>
            <w:r>
              <w:rPr>
                <w:rFonts w:ascii="Arial" w:cs="Arial" w:eastAsia="Arial" w:hAnsi="Arial"/>
                <w:sz w:val="20"/>
                <w:szCs w:val="20"/>
                <w:b w:val="1"/>
                <w:bCs w:val="1"/>
                <w:color w:val="auto"/>
              </w:rPr>
              <w:t>1,402</w:t>
            </w:r>
          </w:p>
        </w:tc>
        <w:tc>
          <w:tcPr>
            <w:tcW w:w="34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30"/>
              <w:spacing w:after="0" w:line="220" w:lineRule="exact"/>
              <w:rPr>
                <w:sz w:val="20"/>
                <w:szCs w:val="20"/>
                <w:color w:val="auto"/>
              </w:rPr>
            </w:pPr>
            <w:r>
              <w:rPr>
                <w:rFonts w:ascii="Arial" w:cs="Arial" w:eastAsia="Arial" w:hAnsi="Arial"/>
                <w:sz w:val="20"/>
                <w:szCs w:val="20"/>
                <w:b w:val="1"/>
                <w:bCs w:val="1"/>
                <w:color w:val="auto"/>
              </w:rPr>
              <w:t>1,758</w:t>
            </w:r>
          </w:p>
        </w:tc>
        <w:tc>
          <w:tcPr>
            <w:tcW w:w="2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1000" w:type="dxa"/>
            <w:vAlign w:val="bottom"/>
          </w:tcPr>
          <w:p>
            <w:pPr>
              <w:ind w:left="700"/>
              <w:spacing w:after="0" w:line="220" w:lineRule="exact"/>
              <w:rPr>
                <w:sz w:val="20"/>
                <w:szCs w:val="20"/>
                <w:color w:val="auto"/>
              </w:rPr>
            </w:pPr>
            <w:r>
              <w:rPr>
                <w:rFonts w:ascii="Arial" w:cs="Arial" w:eastAsia="Arial" w:hAnsi="Arial"/>
                <w:sz w:val="20"/>
                <w:szCs w:val="20"/>
                <w:b w:val="1"/>
                <w:bCs w:val="1"/>
                <w:color w:val="auto"/>
              </w:rPr>
              <w:t>—</w:t>
            </w:r>
          </w:p>
        </w:tc>
      </w:tr>
      <w:tr>
        <w:trPr>
          <w:trHeight w:val="20"/>
        </w:trPr>
        <w:tc>
          <w:tcPr>
            <w:tcW w:w="4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0"/>
        </w:trPr>
        <w:tc>
          <w:tcPr>
            <w:tcW w:w="4400" w:type="dxa"/>
            <w:vAlign w:val="bottom"/>
          </w:tcPr>
          <w:p>
            <w:pPr>
              <w:spacing w:after="0" w:line="220" w:lineRule="exact"/>
              <w:rPr>
                <w:sz w:val="20"/>
                <w:szCs w:val="20"/>
                <w:color w:val="auto"/>
              </w:rPr>
            </w:pPr>
            <w:r>
              <w:rPr>
                <w:rFonts w:ascii="Arial" w:cs="Arial" w:eastAsia="Arial" w:hAnsi="Arial"/>
                <w:sz w:val="20"/>
                <w:szCs w:val="20"/>
                <w:b w:val="1"/>
                <w:bCs w:val="1"/>
                <w:color w:val="auto"/>
              </w:rPr>
              <w:t>Total</w:t>
            </w:r>
          </w:p>
        </w:tc>
        <w:tc>
          <w:tcPr>
            <w:tcW w:w="220" w:type="dxa"/>
            <w:vAlign w:val="bottom"/>
          </w:tcPr>
          <w:p>
            <w:pPr>
              <w:jc w:val="right"/>
              <w:ind w:right="20"/>
              <w:spacing w:after="0" w:line="220" w:lineRule="exact"/>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3,981</w:t>
            </w:r>
          </w:p>
        </w:tc>
        <w:tc>
          <w:tcPr>
            <w:tcW w:w="1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ind w:right="32"/>
              <w:spacing w:after="0" w:line="220" w:lineRule="exact"/>
              <w:rPr>
                <w:sz w:val="20"/>
                <w:szCs w:val="20"/>
                <w:color w:val="auto"/>
              </w:rPr>
            </w:pPr>
            <w:r>
              <w:rPr>
                <w:rFonts w:ascii="Arial" w:cs="Arial" w:eastAsia="Arial" w:hAnsi="Arial"/>
                <w:sz w:val="20"/>
                <w:szCs w:val="20"/>
                <w:b w:val="1"/>
                <w:bCs w:val="1"/>
                <w:color w:val="auto"/>
              </w:rPr>
              <w:t>821</w:t>
            </w:r>
          </w:p>
        </w:tc>
        <w:tc>
          <w:tcPr>
            <w:tcW w:w="32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10"/>
              <w:spacing w:after="0" w:line="220" w:lineRule="exact"/>
              <w:rPr>
                <w:sz w:val="20"/>
                <w:szCs w:val="20"/>
                <w:color w:val="auto"/>
              </w:rPr>
            </w:pPr>
            <w:r>
              <w:rPr>
                <w:rFonts w:ascii="Arial" w:cs="Arial" w:eastAsia="Arial" w:hAnsi="Arial"/>
                <w:sz w:val="20"/>
                <w:szCs w:val="20"/>
                <w:b w:val="1"/>
                <w:bCs w:val="1"/>
                <w:color w:val="auto"/>
              </w:rPr>
              <w:t>1,402</w:t>
            </w:r>
          </w:p>
        </w:tc>
        <w:tc>
          <w:tcPr>
            <w:tcW w:w="34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30"/>
              <w:spacing w:after="0" w:line="220" w:lineRule="exact"/>
              <w:rPr>
                <w:sz w:val="20"/>
                <w:szCs w:val="20"/>
                <w:color w:val="auto"/>
              </w:rPr>
            </w:pPr>
            <w:r>
              <w:rPr>
                <w:rFonts w:ascii="Arial" w:cs="Arial" w:eastAsia="Arial" w:hAnsi="Arial"/>
                <w:sz w:val="20"/>
                <w:szCs w:val="20"/>
                <w:b w:val="1"/>
                <w:bCs w:val="1"/>
                <w:color w:val="auto"/>
              </w:rPr>
              <w:t>1,758</w:t>
            </w:r>
          </w:p>
        </w:tc>
        <w:tc>
          <w:tcPr>
            <w:tcW w:w="2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1000" w:type="dxa"/>
            <w:vAlign w:val="bottom"/>
          </w:tcPr>
          <w:p>
            <w:pPr>
              <w:ind w:left="700"/>
              <w:spacing w:after="0" w:line="220" w:lineRule="exact"/>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-316230</wp:posOffset>
            </wp:positionV>
            <wp:extent cx="6663690" cy="3594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2">
                      <a:extLst>
                        <a:ext uri="{28A0092B-C50C-407E-A947-70E740481C1C}"/>
                      </a:extLst>
                    </a:blip>
                    <a:srcRect/>
                    <a:stretch>
                      <a:fillRect/>
                    </a:stretch>
                  </pic:blipFill>
                  <pic:spPr bwMode="auto">
                    <a:xfrm>
                      <a:off x="0" y="0"/>
                      <a:ext cx="6663690" cy="359410"/>
                    </a:xfrm>
                    <a:prstGeom prst="rect">
                      <a:avLst/>
                    </a:prstGeom>
                    <a:noFill/>
                  </pic:spPr>
                </pic:pic>
              </a:graphicData>
            </a:graphic>
          </wp:anchor>
        </w:drawing>
      </w:r>
    </w:p>
    <w:p>
      <w:pPr>
        <w:spacing w:after="0" w:line="152" w:lineRule="exact"/>
        <w:rPr>
          <w:sz w:val="20"/>
          <w:szCs w:val="20"/>
          <w:color w:val="auto"/>
        </w:rPr>
      </w:pPr>
    </w:p>
    <w:p>
      <w:pPr>
        <w:jc w:val="both"/>
        <w:ind w:left="7" w:hanging="7"/>
        <w:spacing w:after="0" w:line="237" w:lineRule="auto"/>
        <w:tabs>
          <w:tab w:leader="none" w:pos="2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Amounts reflect contractual rent payments due for our leased and subleased office spaces in Watertown, Massachusetts as of December 31, 2024 and include contractual payments due under our forward-starting lease which is expected to commence in December 2026. The term date for our existing lease is December 31, 2029 and the term date for our existing sublease is November 30, 2026.</w:t>
      </w:r>
    </w:p>
    <w:p>
      <w:pPr>
        <w:spacing w:after="0" w:line="6" w:lineRule="exact"/>
        <w:rPr>
          <w:rFonts w:ascii="Arial" w:cs="Arial" w:eastAsia="Arial" w:hAnsi="Arial"/>
          <w:sz w:val="16"/>
          <w:szCs w:val="16"/>
          <w:b w:val="1"/>
          <w:bCs w:val="1"/>
          <w:color w:val="auto"/>
        </w:rPr>
      </w:pPr>
    </w:p>
    <w:p>
      <w:pPr>
        <w:ind w:left="7" w:hanging="7"/>
        <w:spacing w:after="0" w:line="236" w:lineRule="auto"/>
        <w:tabs>
          <w:tab w:leader="none" w:pos="24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Table excludes the impact of tenant improvement allowance reimbursements of $0.8 million which are expected to be received in less than one year. Of this total, $0.5 million relates to our existing leased office space and $0.3 million relates to our forward-starting lease.</w:t>
      </w:r>
    </w:p>
    <w:p>
      <w:pPr>
        <w:spacing w:after="0" w:line="129" w:lineRule="exact"/>
        <w:rPr>
          <w:sz w:val="20"/>
          <w:szCs w:val="20"/>
          <w:color w:val="auto"/>
        </w:rPr>
      </w:pPr>
    </w:p>
    <w:p>
      <w:pPr>
        <w:jc w:val="both"/>
        <w:ind w:left="7" w:firstLine="490"/>
        <w:spacing w:after="0" w:line="288" w:lineRule="auto"/>
        <w:rPr>
          <w:sz w:val="20"/>
          <w:szCs w:val="20"/>
          <w:color w:val="auto"/>
        </w:rPr>
      </w:pPr>
      <w:r>
        <w:rPr>
          <w:rFonts w:ascii="Arial" w:cs="Arial" w:eastAsia="Arial" w:hAnsi="Arial"/>
          <w:sz w:val="17"/>
          <w:szCs w:val="17"/>
          <w:b w:val="1"/>
          <w:bCs w:val="1"/>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93" w:lineRule="exact"/>
        <w:rPr>
          <w:sz w:val="20"/>
          <w:szCs w:val="20"/>
          <w:color w:val="auto"/>
        </w:rPr>
      </w:pPr>
    </w:p>
    <w:p>
      <w:pPr>
        <w:jc w:val="both"/>
        <w:ind w:left="7" w:firstLine="490"/>
        <w:spacing w:after="0" w:line="342" w:lineRule="auto"/>
        <w:rPr>
          <w:sz w:val="20"/>
          <w:szCs w:val="20"/>
          <w:color w:val="auto"/>
        </w:rPr>
      </w:pPr>
      <w:r>
        <w:rPr>
          <w:rFonts w:ascii="Arial" w:cs="Arial" w:eastAsia="Arial" w:hAnsi="Arial"/>
          <w:sz w:val="15"/>
          <w:szCs w:val="15"/>
          <w:b w:val="1"/>
          <w:bCs w:val="1"/>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w:t>
      </w:r>
    </w:p>
    <w:p>
      <w:pPr>
        <w:sectPr>
          <w:pgSz w:w="12240" w:h="15840" w:orient="portrait"/>
          <w:cols w:equalWidth="0" w:num="1">
            <w:col w:w="10447"/>
          </w:cols>
          <w:pgMar w:left="893" w:top="964" w:right="900" w:bottom="181"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108</w:t>
      </w:r>
    </w:p>
    <w:p>
      <w:pPr>
        <w:sectPr>
          <w:pgSz w:w="12240" w:h="15840" w:orient="portrait"/>
          <w:cols w:equalWidth="0" w:num="1">
            <w:col w:w="10447"/>
          </w:cols>
          <w:pgMar w:left="893" w:top="964" w:right="900" w:bottom="181" w:gutter="0" w:footer="0" w:header="0"/>
          <w:type w:val="continuous"/>
        </w:sectPr>
      </w:pPr>
    </w:p>
    <w:bookmarkStart w:id="118" w:name="page119"/>
    <w:bookmarkEnd w:id="118"/>
    <w:p>
      <w:pPr>
        <w:jc w:val="both"/>
        <w:spacing w:after="0" w:line="233" w:lineRule="auto"/>
        <w:rPr>
          <w:sz w:val="20"/>
          <w:szCs w:val="20"/>
          <w:color w:val="auto"/>
        </w:rPr>
      </w:pPr>
      <w:r>
        <w:rPr>
          <w:rFonts w:ascii="Arial" w:cs="Arial" w:eastAsia="Arial" w:hAnsi="Arial"/>
          <w:sz w:val="20"/>
          <w:szCs w:val="20"/>
          <w:b w:val="1"/>
          <w:bCs w:val="1"/>
          <w:color w:val="auto"/>
        </w:rPr>
        <w:t>information about our license agreements and amounts that could become payable in the future under such agreements, see our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and costs and expenses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97"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While our significant accounting policies are described in more detail in Note 2 - Summary of Significant Accounting Policies to our consolidated financial statements, we believe that the following accounting policies are those most critical to the judgments and estimates used in the preparation of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Contract Costs and Accruals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vendors in connection with preclinical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CROs and investigative sites in connection with preclinical studies and clinical trials;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CDMOs in connection with the production of preclinical study and clinical trial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w:t>
      </w:r>
    </w:p>
    <w:p>
      <w:pPr>
        <w:spacing w:after="0" w:line="124"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fair value of each stock option grant is estimated on the date of grant using the Black-Scholes option-pricing model, which requires inputs based on certain subjective assumptions, including:</w:t>
      </w:r>
    </w:p>
    <w:p>
      <w:pPr>
        <w:spacing w:after="0" w:line="147" w:lineRule="exact"/>
        <w:rPr>
          <w:sz w:val="20"/>
          <w:szCs w:val="20"/>
          <w:color w:val="auto"/>
        </w:rPr>
      </w:pPr>
    </w:p>
    <w:p>
      <w:pPr>
        <w:jc w:val="both"/>
        <w:ind w:left="980"/>
        <w:spacing w:after="0" w:line="271" w:lineRule="auto"/>
        <w:rPr>
          <w:sz w:val="20"/>
          <w:szCs w:val="20"/>
          <w:color w:val="auto"/>
        </w:rPr>
      </w:pPr>
      <w:r>
        <w:rPr>
          <w:rFonts w:ascii="Arial" w:cs="Arial" w:eastAsia="Arial" w:hAnsi="Arial"/>
          <w:sz w:val="18"/>
          <w:szCs w:val="18"/>
          <w:b w:val="1"/>
          <w:bCs w:val="1"/>
          <w:color w:val="auto"/>
        </w:rPr>
        <w:t>Fair value of our common stock: Prior to the merger closing, we determined the estimated fair value of our common-stock based on third-party valuations and certain other relevant objective and subjective factors. After the close of the merger, the fair value of our common stock is determined based on the quoted market price of our common stock. See Determination of the Fair Value of Common Stock below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-552450</wp:posOffset>
            </wp:positionV>
            <wp:extent cx="71120" cy="711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980"/>
        <w:spacing w:after="0" w:line="385" w:lineRule="auto"/>
        <w:rPr>
          <w:sz w:val="20"/>
          <w:szCs w:val="20"/>
          <w:color w:val="auto"/>
        </w:rPr>
      </w:pPr>
      <w:r>
        <w:rPr>
          <w:rFonts w:ascii="Arial" w:cs="Arial" w:eastAsia="Arial" w:hAnsi="Arial"/>
          <w:sz w:val="15"/>
          <w:szCs w:val="15"/>
          <w:b w:val="1"/>
          <w:bCs w:val="1"/>
          <w:color w:val="auto"/>
        </w:rPr>
        <w:t>Expected stock price volatility: Due to the lack of company-specific historical and implied volatility data, we determine the volatility for awards granted based on an analysis of reported data for a group of guideline companies that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-309880</wp:posOffset>
            </wp:positionV>
            <wp:extent cx="71120" cy="711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109</w:t>
      </w:r>
    </w:p>
    <w:p>
      <w:pPr>
        <w:sectPr>
          <w:pgSz w:w="12240" w:h="15840" w:orient="portrait"/>
          <w:cols w:equalWidth="0" w:num="1">
            <w:col w:w="10440"/>
          </w:cols>
          <w:pgMar w:left="900" w:top="960" w:right="900" w:bottom="181" w:gutter="0" w:footer="0" w:header="0"/>
          <w:type w:val="continuous"/>
        </w:sectPr>
      </w:pPr>
    </w:p>
    <w:bookmarkStart w:id="119" w:name="page120"/>
    <w:bookmarkEnd w:id="119"/>
    <w:p>
      <w:pPr>
        <w:jc w:val="both"/>
        <w:ind w:left="980"/>
        <w:spacing w:after="0" w:line="273" w:lineRule="auto"/>
        <w:rPr>
          <w:sz w:val="20"/>
          <w:szCs w:val="20"/>
          <w:color w:val="auto"/>
        </w:rPr>
      </w:pPr>
      <w:r>
        <w:rPr>
          <w:rFonts w:ascii="Arial" w:cs="Arial" w:eastAsia="Arial" w:hAnsi="Arial"/>
          <w:sz w:val="18"/>
          <w:szCs w:val="18"/>
          <w:b w:val="1"/>
          <w:bCs w:val="1"/>
          <w:color w:val="auto"/>
        </w:rPr>
        <w:t>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w:t>
      </w:r>
    </w:p>
    <w:p>
      <w:pPr>
        <w:spacing w:after="0" w:line="117"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Expected term of the option. The expected term of our stock options granted to employees has been determined utilizing the “simplified” method for awards that qualify as “plain-vanilla” options, using the average between the vesting date and the contractual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-389890</wp:posOffset>
            </wp:positionV>
            <wp:extent cx="71120" cy="711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78" w:lineRule="auto"/>
        <w:rPr>
          <w:sz w:val="20"/>
          <w:szCs w:val="20"/>
          <w:color w:val="auto"/>
        </w:rPr>
      </w:pPr>
      <w:r>
        <w:rPr>
          <w:rFonts w:ascii="Arial" w:cs="Arial" w:eastAsia="Arial" w:hAnsi="Arial"/>
          <w:sz w:val="18"/>
          <w:szCs w:val="18"/>
          <w:b w:val="1"/>
          <w:bCs w:val="1"/>
          <w:color w:val="auto"/>
        </w:rPr>
        <w:t>Risk-free interest rate. The risk-free interest rate is determined by reference to the U.S. Treasury yield curve in effect at the time of grant of the award for time periods approximately equal to the expected term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-263525</wp:posOffset>
            </wp:positionV>
            <wp:extent cx="71120" cy="711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Expected dividend yield: We have not paid, and do not anticipate paying, cash dividends on our common stock; therefore, the expected dividend yield is assumed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-243840</wp:posOffset>
            </wp:positionV>
            <wp:extent cx="71120" cy="711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If any assumptions used in the Black-Scholes option pricing model changed significantly, stock-based compensation expense for future awards may differ materially compared with the expense for awards granted previously. We will continue to use judgment in evaluating the assumptions related to our stock-based compensation on a prospective basis. As we continue to accumulate additional data related to our common stock, we may refine our estimates, which could materially impact our future stock-based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the Fair Value of Common Stock</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w:t>
      </w:r>
    </w:p>
    <w:p>
      <w:pPr>
        <w:spacing w:after="0" w:line="9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06"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1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13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and Adopted Accounting Pronouncements</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A description of recently issued and certain recently adopted accounting pronouncements that have or may potentially impact our financial position and results of operations is included in Note 2 - Summary of Significant Accounting Policies to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and Smaller Reporting Company Status</w:t>
      </w:r>
    </w:p>
    <w:p>
      <w:pPr>
        <w:spacing w:after="0" w:line="131"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Prior to December 31, 2024, we were an “emerging growth company”, as defined in the Jumpstart Our Business Startups Act of 2012, and a “smaller reporting company”, as defined under the Exchange Act. As such, we were eligible for exemptions from</w:t>
      </w:r>
    </w:p>
    <w:p>
      <w:pPr>
        <w:sectPr>
          <w:pgSz w:w="12240" w:h="15840" w:orient="portrait"/>
          <w:cols w:equalWidth="0" w:num="1">
            <w:col w:w="10440"/>
          </w:cols>
          <w:pgMar w:left="900" w:top="960" w:right="900" w:bottom="181"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110</w:t>
      </w:r>
    </w:p>
    <w:p>
      <w:pPr>
        <w:sectPr>
          <w:pgSz w:w="12240" w:h="15840" w:orient="portrait"/>
          <w:cols w:equalWidth="0" w:num="1">
            <w:col w:w="10440"/>
          </w:cols>
          <w:pgMar w:left="900" w:top="960" w:right="900" w:bottom="181" w:gutter="0" w:footer="0" w:header="0"/>
          <w:type w:val="continuous"/>
        </w:sectPr>
      </w:pPr>
    </w:p>
    <w:bookmarkStart w:id="120" w:name="page121"/>
    <w:bookmarkEnd w:id="120"/>
    <w:p>
      <w:pPr>
        <w:jc w:val="both"/>
        <w:spacing w:after="0" w:line="268" w:lineRule="auto"/>
        <w:rPr>
          <w:sz w:val="20"/>
          <w:szCs w:val="20"/>
          <w:color w:val="auto"/>
        </w:rPr>
      </w:pPr>
      <w:r>
        <w:rPr>
          <w:rFonts w:ascii="Arial" w:cs="Arial" w:eastAsia="Arial" w:hAnsi="Arial"/>
          <w:sz w:val="18"/>
          <w:szCs w:val="18"/>
          <w:b w:val="1"/>
          <w:bCs w:val="1"/>
          <w:color w:val="auto"/>
        </w:rPr>
        <w:t>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of December 31, 2024, we are no longer an emerging growth company or smaller reporting company. In accordance with SEC rules, we are availing ourselves of the exemptions from disclosure requirements, including certain of the reduced and scaled disclosure obligations, that are available to smaller reporting companies in this Annual Report on Form 10-K. However, beginning with our Quarterly Report on Form 10-Q for the quarter ending March 31, 2025, we will no longer be permitted to take advantage of the reduced reporting requirements applicable to smaller reporting companies.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31"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As of December 31, 2024, we had cash, cash equivalents and marketable securities of $489.9 million, which consisted of cash, money market funds, U.S. treasury securities and U.S. government agency securities, which are classified as available-for-sale securities. As of December 31, 2023, we had cash and cash equivalents of $360.4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December 31, 2024, the net fair value of our marketable securities would decrease by approximately $1.4 million.</w:t>
      </w:r>
    </w:p>
    <w:p>
      <w:pPr>
        <w:spacing w:after="0" w:line="298"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58" w:lineRule="exact"/>
        <w:rPr>
          <w:sz w:val="20"/>
          <w:szCs w:val="20"/>
          <w:color w:val="auto"/>
        </w:rPr>
      </w:pPr>
    </w:p>
    <w:p>
      <w:pPr>
        <w:jc w:val="both"/>
        <w:ind w:firstLine="490"/>
        <w:spacing w:after="0" w:line="309" w:lineRule="auto"/>
        <w:rPr>
          <w:sz w:val="20"/>
          <w:szCs w:val="20"/>
          <w:color w:val="auto"/>
        </w:rPr>
      </w:pPr>
      <w:r>
        <w:rPr>
          <w:rFonts w:ascii="Arial" w:cs="Arial" w:eastAsia="Arial" w:hAnsi="Arial"/>
          <w:sz w:val="17"/>
          <w:szCs w:val="17"/>
          <w:b w:val="1"/>
          <w:bCs w:val="1"/>
          <w:color w:val="auto"/>
        </w:rPr>
        <w:t>Inflation generally affects us by increasing our cost of labor and contract research. We do not believe that inflation had a material effect on our business, financial condition or results of operations during the years ended December 31, 2024 and 2023.</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111</w:t>
      </w:r>
    </w:p>
    <w:p>
      <w:pPr>
        <w:sectPr>
          <w:pgSz w:w="12240" w:h="15840" w:orient="portrait"/>
          <w:cols w:equalWidth="0" w:num="1">
            <w:col w:w="10440"/>
          </w:cols>
          <w:pgMar w:left="900" w:top="960" w:right="900" w:bottom="181" w:gutter="0" w:footer="0" w:header="0"/>
          <w:type w:val="continuous"/>
        </w:sectPr>
      </w:pPr>
    </w:p>
    <w:bookmarkStart w:id="121" w:name="page122"/>
    <w:bookmarkEnd w:id="121"/>
    <w:p>
      <w:pPr>
        <w:spacing w:after="0"/>
        <w:tabs>
          <w:tab w:leader="none" w:pos="10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CONSOLIDATED FINANCIAL STATEMENTS AND SUPPLEMENTARY DATA</w:t>
      </w:r>
    </w:p>
    <w:p>
      <w:pPr>
        <w:spacing w:after="0" w:line="238"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DISC MEDICINE, INC.</w:t>
      </w:r>
    </w:p>
    <w:p>
      <w:pPr>
        <w:spacing w:after="0" w:line="240"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30"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6169025</wp:posOffset>
                </wp:positionH>
                <wp:positionV relativeFrom="paragraph">
                  <wp:posOffset>3810</wp:posOffset>
                </wp:positionV>
                <wp:extent cx="46482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75pt,0.3pt" to="522.35pt,0.3pt" o:allowincell="f" strokecolor="#000000" strokeweight="0.6pt"/>
            </w:pict>
          </mc:Fallback>
        </mc:AlternateContent>
      </w:r>
    </w:p>
    <w:p>
      <w:pPr>
        <w:spacing w:after="0"/>
        <w:tabs>
          <w:tab w:leader="dot" w:pos="10120" w:val="left"/>
        </w:tabs>
        <w:rPr>
          <w:sz w:val="20"/>
          <w:szCs w:val="20"/>
          <w:color w:val="auto"/>
        </w:rPr>
      </w:pPr>
      <w:r>
        <w:rPr>
          <w:rFonts w:ascii="Arial" w:cs="Arial" w:eastAsia="Arial" w:hAnsi="Arial"/>
          <w:sz w:val="20"/>
          <w:szCs w:val="20"/>
          <w:b w:val="1"/>
          <w:bCs w:val="1"/>
          <w:color w:val="auto"/>
        </w:rPr>
        <w:t>Report of Independent Registered Public Accounting Firm (PCAOB ID: 42)</w:t>
      </w:r>
      <w:r>
        <w:rPr>
          <w:sz w:val="20"/>
          <w:szCs w:val="20"/>
          <w:color w:val="auto"/>
        </w:rPr>
        <w:tab/>
      </w:r>
      <w:r>
        <w:rPr>
          <w:rFonts w:ascii="Arial" w:cs="Arial" w:eastAsia="Arial" w:hAnsi="Arial"/>
          <w:sz w:val="17"/>
          <w:szCs w:val="17"/>
          <w:b w:val="1"/>
          <w:bCs w:val="1"/>
          <w:color w:val="auto"/>
        </w:rPr>
        <w:t>113</w:t>
      </w:r>
    </w:p>
    <w:p>
      <w:pPr>
        <w:spacing w:after="0"/>
        <w:tabs>
          <w:tab w:leader="dot" w:pos="10120" w:val="left"/>
        </w:tabs>
        <w:rPr>
          <w:sz w:val="20"/>
          <w:szCs w:val="20"/>
          <w:color w:val="auto"/>
        </w:rPr>
      </w:pPr>
      <w:r>
        <w:rPr>
          <w:rFonts w:ascii="Arial" w:cs="Arial" w:eastAsia="Arial" w:hAnsi="Arial"/>
          <w:sz w:val="20"/>
          <w:szCs w:val="20"/>
          <w:b w:val="1"/>
          <w:bCs w:val="1"/>
          <w:color w:val="auto"/>
        </w:rPr>
        <w:t>Consolidated Balance Sheets</w:t>
      </w:r>
      <w:r>
        <w:rPr>
          <w:sz w:val="20"/>
          <w:szCs w:val="20"/>
          <w:color w:val="auto"/>
        </w:rPr>
        <w:tab/>
      </w:r>
      <w:r>
        <w:rPr>
          <w:rFonts w:ascii="Arial" w:cs="Arial" w:eastAsia="Arial" w:hAnsi="Arial"/>
          <w:sz w:val="17"/>
          <w:szCs w:val="17"/>
          <w:b w:val="1"/>
          <w:bCs w:val="1"/>
          <w:color w:val="auto"/>
        </w:rPr>
        <w:t>115</w:t>
      </w:r>
    </w:p>
    <w:p>
      <w:pPr>
        <w:spacing w:after="0"/>
        <w:tabs>
          <w:tab w:leader="dot" w:pos="10120" w:val="left"/>
        </w:tabs>
        <w:rPr>
          <w:sz w:val="20"/>
          <w:szCs w:val="20"/>
          <w:color w:val="auto"/>
        </w:rPr>
      </w:pPr>
      <w:r>
        <w:rPr>
          <w:rFonts w:ascii="Arial" w:cs="Arial" w:eastAsia="Arial" w:hAnsi="Arial"/>
          <w:sz w:val="20"/>
          <w:szCs w:val="20"/>
          <w:b w:val="1"/>
          <w:bCs w:val="1"/>
          <w:color w:val="auto"/>
        </w:rPr>
        <w:t>Consolidated Statements of Operations and Comprehensive Loss</w:t>
      </w:r>
      <w:r>
        <w:rPr>
          <w:sz w:val="20"/>
          <w:szCs w:val="20"/>
          <w:color w:val="auto"/>
        </w:rPr>
        <w:tab/>
      </w:r>
      <w:r>
        <w:rPr>
          <w:rFonts w:ascii="Arial" w:cs="Arial" w:eastAsia="Arial" w:hAnsi="Arial"/>
          <w:sz w:val="17"/>
          <w:szCs w:val="17"/>
          <w:b w:val="1"/>
          <w:bCs w:val="1"/>
          <w:color w:val="auto"/>
        </w:rPr>
        <w:t>116</w:t>
      </w:r>
    </w:p>
    <w:p>
      <w:pPr>
        <w:spacing w:after="0" w:line="1" w:lineRule="exact"/>
        <w:rPr>
          <w:sz w:val="20"/>
          <w:szCs w:val="20"/>
          <w:color w:val="auto"/>
        </w:rPr>
      </w:pPr>
    </w:p>
    <w:p>
      <w:pPr>
        <w:spacing w:after="0"/>
        <w:tabs>
          <w:tab w:leader="dot" w:pos="10120" w:val="left"/>
        </w:tabs>
        <w:rPr>
          <w:sz w:val="20"/>
          <w:szCs w:val="20"/>
          <w:color w:val="auto"/>
        </w:rPr>
      </w:pPr>
      <w:r>
        <w:rPr>
          <w:rFonts w:ascii="Arial" w:cs="Arial" w:eastAsia="Arial" w:hAnsi="Arial"/>
          <w:sz w:val="20"/>
          <w:szCs w:val="20"/>
          <w:b w:val="1"/>
          <w:bCs w:val="1"/>
          <w:color w:val="auto"/>
        </w:rPr>
        <w:t>Consolidated Statements of Stockholders' Equity</w:t>
      </w:r>
      <w:r>
        <w:rPr>
          <w:sz w:val="20"/>
          <w:szCs w:val="20"/>
          <w:color w:val="auto"/>
        </w:rPr>
        <w:tab/>
      </w:r>
      <w:r>
        <w:rPr>
          <w:rFonts w:ascii="Arial" w:cs="Arial" w:eastAsia="Arial" w:hAnsi="Arial"/>
          <w:sz w:val="17"/>
          <w:szCs w:val="17"/>
          <w:b w:val="1"/>
          <w:bCs w:val="1"/>
          <w:color w:val="auto"/>
        </w:rPr>
        <w:t>117</w:t>
      </w:r>
    </w:p>
    <w:p>
      <w:pPr>
        <w:spacing w:after="0"/>
        <w:tabs>
          <w:tab w:leader="dot" w:pos="10120" w:val="left"/>
        </w:tabs>
        <w:rPr>
          <w:sz w:val="20"/>
          <w:szCs w:val="20"/>
          <w:color w:val="auto"/>
        </w:rPr>
      </w:pPr>
      <w:r>
        <w:rPr>
          <w:rFonts w:ascii="Arial" w:cs="Arial" w:eastAsia="Arial" w:hAnsi="Arial"/>
          <w:sz w:val="20"/>
          <w:szCs w:val="20"/>
          <w:b w:val="1"/>
          <w:bCs w:val="1"/>
          <w:color w:val="auto"/>
        </w:rPr>
        <w:t>Consolidated Statements of Cash Flows</w:t>
      </w:r>
      <w:r>
        <w:rPr>
          <w:sz w:val="20"/>
          <w:szCs w:val="20"/>
          <w:color w:val="auto"/>
        </w:rPr>
        <w:tab/>
      </w:r>
      <w:r>
        <w:rPr>
          <w:rFonts w:ascii="Arial" w:cs="Arial" w:eastAsia="Arial" w:hAnsi="Arial"/>
          <w:sz w:val="17"/>
          <w:szCs w:val="17"/>
          <w:b w:val="1"/>
          <w:bCs w:val="1"/>
          <w:color w:val="auto"/>
        </w:rPr>
        <w:t>118</w:t>
      </w:r>
    </w:p>
    <w:p>
      <w:pPr>
        <w:spacing w:after="0"/>
        <w:tabs>
          <w:tab w:leader="dot" w:pos="10120" w:val="left"/>
        </w:tabs>
        <w:rPr>
          <w:sz w:val="20"/>
          <w:szCs w:val="20"/>
          <w:color w:val="auto"/>
        </w:rPr>
      </w:pPr>
      <w:r>
        <w:rPr>
          <w:rFonts w:ascii="Arial" w:cs="Arial" w:eastAsia="Arial" w:hAnsi="Arial"/>
          <w:sz w:val="20"/>
          <w:szCs w:val="20"/>
          <w:b w:val="1"/>
          <w:bCs w:val="1"/>
          <w:color w:val="auto"/>
        </w:rPr>
        <w:t>Notes to Consolidated Financial Statements</w:t>
      </w:r>
      <w:r>
        <w:rPr>
          <w:sz w:val="20"/>
          <w:szCs w:val="20"/>
          <w:color w:val="auto"/>
        </w:rPr>
        <w:tab/>
      </w:r>
      <w:r>
        <w:rPr>
          <w:rFonts w:ascii="Arial" w:cs="Arial" w:eastAsia="Arial" w:hAnsi="Arial"/>
          <w:sz w:val="17"/>
          <w:szCs w:val="17"/>
          <w:b w:val="1"/>
          <w:bCs w:val="1"/>
          <w:color w:val="auto"/>
        </w:rPr>
        <w:t>120</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112</w:t>
      </w:r>
    </w:p>
    <w:p>
      <w:pPr>
        <w:sectPr>
          <w:pgSz w:w="12240" w:h="15840" w:orient="portrait"/>
          <w:cols w:equalWidth="0" w:num="1">
            <w:col w:w="10440"/>
          </w:cols>
          <w:pgMar w:left="900" w:top="949" w:right="900" w:bottom="181" w:gutter="0" w:footer="0" w:header="0"/>
          <w:type w:val="continuous"/>
        </w:sectPr>
      </w:pPr>
    </w:p>
    <w:bookmarkStart w:id="122" w:name="page123"/>
    <w:bookmarkEnd w:id="122"/>
    <w:p>
      <w:pPr>
        <w:ind w:left="27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Disc Medicine, Inc.</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have audited the accompanying consolidated balance sheets of Disc Medicine,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93"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adverse opinion thereon.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Accrued External Research and Development Expenses</w:t>
      </w:r>
    </w:p>
    <w:p>
      <w:pPr>
        <w:spacing w:after="0" w:line="135"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b w:val="1"/>
          <w:bCs w:val="1"/>
          <w:color w:val="auto"/>
        </w:rPr>
        <w:t>Description of the</w:t>
      </w:r>
      <w:r>
        <w:rPr>
          <w:sz w:val="20"/>
          <w:szCs w:val="20"/>
          <w:color w:val="auto"/>
        </w:rPr>
        <w:tab/>
      </w:r>
      <w:r>
        <w:rPr>
          <w:rFonts w:ascii="Arial" w:cs="Arial" w:eastAsia="Arial" w:hAnsi="Arial"/>
          <w:sz w:val="15"/>
          <w:szCs w:val="15"/>
          <w:b w:val="1"/>
          <w:bCs w:val="1"/>
          <w:color w:val="auto"/>
        </w:rPr>
        <w:t>As of December 31, 2024, the Company had recognized accrued external research and development</w:t>
      </w:r>
    </w:p>
    <w:p>
      <w:pPr>
        <w:spacing w:after="0" w:line="11" w:lineRule="exact"/>
        <w:rPr>
          <w:sz w:val="20"/>
          <w:szCs w:val="20"/>
          <w:color w:val="auto"/>
        </w:rPr>
      </w:pPr>
    </w:p>
    <w:p>
      <w:pPr>
        <w:ind w:left="1980" w:right="40" w:hanging="1979"/>
        <w:spacing w:after="0" w:line="286" w:lineRule="auto"/>
        <w:tabs>
          <w:tab w:leader="none" w:pos="1960" w:val="left"/>
        </w:tabs>
        <w:rPr>
          <w:sz w:val="20"/>
          <w:szCs w:val="20"/>
          <w:color w:val="auto"/>
        </w:rPr>
      </w:pPr>
      <w:r>
        <w:rPr>
          <w:rFonts w:ascii="Arial" w:cs="Arial" w:eastAsia="Arial" w:hAnsi="Arial"/>
          <w:sz w:val="17"/>
          <w:szCs w:val="17"/>
          <w:b w:val="1"/>
          <w:bCs w:val="1"/>
          <w:color w:val="auto"/>
        </w:rPr>
        <w:t>Matter</w:t>
      </w:r>
      <w:r>
        <w:rPr>
          <w:sz w:val="20"/>
          <w:szCs w:val="20"/>
          <w:color w:val="auto"/>
        </w:rPr>
        <w:tab/>
      </w:r>
      <w:r>
        <w:rPr>
          <w:rFonts w:ascii="Arial" w:cs="Arial" w:eastAsia="Arial" w:hAnsi="Arial"/>
          <w:sz w:val="17"/>
          <w:szCs w:val="17"/>
          <w:b w:val="1"/>
          <w:bCs w:val="1"/>
          <w:color w:val="auto"/>
        </w:rPr>
        <w:t>expenses of approximately $7.1 million. As described in Note 2 to the consolidated financial statements, the Company’s determination of accrued external research and development expenses incurred at each reporting period incorporates judgment and utilizes various assumptions as payments for such activities are based on the terms of the individual arrangements, which may differ from the pattern of costs incurred. Such judgments and assumptions include an evaluation of the information provided to the Company by third parties on actual costs incurred, the time period over which services will be performed and the level of effort to be expended in each period.</w:t>
      </w:r>
    </w:p>
    <w:p>
      <w:pPr>
        <w:spacing w:after="0" w:line="143" w:lineRule="exact"/>
        <w:rPr>
          <w:sz w:val="20"/>
          <w:szCs w:val="20"/>
          <w:color w:val="auto"/>
        </w:rPr>
      </w:pPr>
    </w:p>
    <w:p>
      <w:pPr>
        <w:ind w:left="1980" w:right="100"/>
        <w:spacing w:after="0" w:line="269" w:lineRule="auto"/>
        <w:rPr>
          <w:sz w:val="20"/>
          <w:szCs w:val="20"/>
          <w:color w:val="auto"/>
        </w:rPr>
      </w:pPr>
      <w:r>
        <w:rPr>
          <w:rFonts w:ascii="Arial" w:cs="Arial" w:eastAsia="Arial" w:hAnsi="Arial"/>
          <w:sz w:val="18"/>
          <w:szCs w:val="18"/>
          <w:b w:val="1"/>
          <w:bCs w:val="1"/>
          <w:color w:val="auto"/>
        </w:rPr>
        <w:t>Auditing the Company’s accrued external research and development expenses is especially complex due to the significant volume of transactions and the use of third-party data involved in determining the accrual balance that was accumulated from multiple sources. In addition,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pacing w:after="0" w:line="152"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b w:val="1"/>
          <w:bCs w:val="1"/>
          <w:color w:val="auto"/>
        </w:rPr>
        <w:t>How We Addressed the To test the accrued external research and development expenses, our audit procedures included, among Matter in Our Audit others, testing the completeness and accuracy of the underlying data used in the estimate, including, but</w:t>
      </w:r>
    </w:p>
    <w:p>
      <w:pPr>
        <w:spacing w:after="0" w:line="1" w:lineRule="exact"/>
        <w:rPr>
          <w:sz w:val="20"/>
          <w:szCs w:val="20"/>
          <w:color w:val="auto"/>
        </w:rPr>
      </w:pPr>
    </w:p>
    <w:p>
      <w:pPr>
        <w:ind w:left="1980" w:right="40"/>
        <w:spacing w:after="0" w:line="385" w:lineRule="auto"/>
        <w:rPr>
          <w:sz w:val="20"/>
          <w:szCs w:val="20"/>
          <w:color w:val="auto"/>
        </w:rPr>
      </w:pPr>
      <w:r>
        <w:rPr>
          <w:rFonts w:ascii="Arial" w:cs="Arial" w:eastAsia="Arial" w:hAnsi="Arial"/>
          <w:sz w:val="15"/>
          <w:szCs w:val="15"/>
          <w:b w:val="1"/>
          <w:bCs w:val="1"/>
          <w:color w:val="auto"/>
        </w:rPr>
        <w:t>not limited to, estimated project duration, research and manufacturing services incurred to date and terms of contractual arrangements. To assess the reasonableness of the data, we corroborated the progress of</w:t>
      </w:r>
    </w:p>
    <w:p>
      <w:pPr>
        <w:sectPr>
          <w:pgSz w:w="12240" w:h="15840" w:orient="portrait"/>
          <w:cols w:equalWidth="0" w:num="1">
            <w:col w:w="10440"/>
          </w:cols>
          <w:pgMar w:left="900" w:top="949" w:right="900" w:bottom="181"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113</w:t>
      </w:r>
    </w:p>
    <w:p>
      <w:pPr>
        <w:sectPr>
          <w:pgSz w:w="12240" w:h="15840" w:orient="portrait"/>
          <w:cols w:equalWidth="0" w:num="1">
            <w:col w:w="10440"/>
          </w:cols>
          <w:pgMar w:left="900" w:top="949" w:right="900" w:bottom="181" w:gutter="0" w:footer="0" w:header="0"/>
          <w:type w:val="continuous"/>
        </w:sectPr>
      </w:pPr>
    </w:p>
    <w:bookmarkStart w:id="123" w:name="page124"/>
    <w:bookmarkEnd w:id="123"/>
    <w:p>
      <w:pPr>
        <w:ind w:left="1980"/>
        <w:spacing w:after="0" w:line="288" w:lineRule="auto"/>
        <w:rPr>
          <w:sz w:val="20"/>
          <w:szCs w:val="20"/>
          <w:color w:val="auto"/>
        </w:rPr>
      </w:pPr>
      <w:r>
        <w:rPr>
          <w:rFonts w:ascii="Arial" w:cs="Arial" w:eastAsia="Arial" w:hAnsi="Arial"/>
          <w:sz w:val="17"/>
          <w:szCs w:val="17"/>
          <w:b w:val="1"/>
          <w:bCs w:val="1"/>
          <w:color w:val="auto"/>
        </w:rPr>
        <w:t>the underlying research, development and manufacturing service arrangements with Company personnel and obtained direct third-party confirmations supporting the contractual arrangements and estimated costs incurred to date. We recalculated the accrual based on executed contracts with the clinical research organizations, contract development and manufacturing organizations and research institutions. We also tested subsequent invoicing received from third parties to assess the impact to the accrual at the balance sheet date and compared that to the Company’s estimates.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2020.</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Boston, Massachusetts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27, 2025</w:t>
      </w:r>
    </w:p>
    <w:p>
      <w:pPr>
        <w:sectPr>
          <w:pgSz w:w="12240" w:h="15840" w:orient="portrait"/>
          <w:cols w:equalWidth="0" w:num="1">
            <w:col w:w="10340"/>
          </w:cols>
          <w:pgMar w:left="900" w:top="972" w:right="10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114</w:t>
      </w:r>
    </w:p>
    <w:p>
      <w:pPr>
        <w:sectPr>
          <w:pgSz w:w="12240" w:h="15840" w:orient="portrait"/>
          <w:cols w:equalWidth="0" w:num="1">
            <w:col w:w="10340"/>
          </w:cols>
          <w:pgMar w:left="900" w:top="972" w:right="1000" w:bottom="181"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20"/>
          <w:szCs w:val="20"/>
          <w:b w:val="1"/>
          <w:bCs w:val="1"/>
          <w:color w:val="auto"/>
        </w:rPr>
        <w:t>DISC MEDICINE, INC.</w:t>
      </w:r>
    </w:p>
    <w:p>
      <w:pPr>
        <w:jc w:val="center"/>
        <w:ind w:right="-19"/>
        <w:spacing w:after="0" w:line="237" w:lineRule="auto"/>
        <w:rPr>
          <w:sz w:val="20"/>
          <w:szCs w:val="20"/>
          <w:color w:val="auto"/>
        </w:rPr>
      </w:pPr>
      <w:r>
        <w:rPr>
          <w:rFonts w:ascii="Arial" w:cs="Arial" w:eastAsia="Arial" w:hAnsi="Arial"/>
          <w:sz w:val="20"/>
          <w:szCs w:val="20"/>
          <w:b w:val="1"/>
          <w:bCs w:val="1"/>
          <w:color w:val="auto"/>
        </w:rPr>
        <w:t>CONSOLIDATED BALANCE SHEETS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99"/>
              </w:rPr>
              <w:t>December 31,</w:t>
            </w:r>
          </w:p>
        </w:tc>
        <w:tc>
          <w:tcPr>
            <w:tcW w:w="240" w:type="dxa"/>
            <w:vAlign w:val="bottom"/>
          </w:tcPr>
          <w:p>
            <w:pPr>
              <w:spacing w:after="0"/>
              <w:rPr>
                <w:sz w:val="16"/>
                <w:szCs w:val="16"/>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44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Cash and cash equivalents</w:t>
            </w:r>
          </w:p>
        </w:tc>
        <w:tc>
          <w:tcPr>
            <w:tcW w:w="4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192,434</w:t>
            </w:r>
          </w:p>
        </w:tc>
        <w:tc>
          <w:tcPr>
            <w:tcW w:w="3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360,382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297,447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Prepaid expenses and other current assets</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3,734</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400"/>
              <w:spacing w:after="0"/>
              <w:rPr>
                <w:sz w:val="20"/>
                <w:szCs w:val="20"/>
                <w:color w:val="auto"/>
              </w:rPr>
            </w:pPr>
            <w:r>
              <w:rPr>
                <w:rFonts w:ascii="Arial" w:cs="Arial" w:eastAsia="Arial" w:hAnsi="Arial"/>
                <w:sz w:val="20"/>
                <w:szCs w:val="20"/>
                <w:b w:val="1"/>
                <w:bCs w:val="1"/>
                <w:color w:val="auto"/>
              </w:rPr>
              <w:t>Total current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493,615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365,662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40" w:type="dxa"/>
            <w:vAlign w:val="bottom"/>
          </w:tcPr>
          <w:p>
            <w:pPr>
              <w:spacing w:after="0"/>
              <w:rPr>
                <w:sz w:val="20"/>
                <w:szCs w:val="20"/>
                <w:color w:val="auto"/>
              </w:rPr>
            </w:pPr>
            <w:r>
              <w:rPr>
                <w:rFonts w:ascii="Arial" w:cs="Arial" w:eastAsia="Arial" w:hAnsi="Arial"/>
                <w:sz w:val="20"/>
                <w:szCs w:val="20"/>
                <w:b w:val="1"/>
                <w:bCs w:val="1"/>
                <w:color w:val="auto"/>
              </w:rPr>
              <w:t>Property and equipment, net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751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Right-of-use assets, operating leases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1,569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1,930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Other assets</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838</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4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496,773</w:t>
            </w:r>
          </w:p>
        </w:tc>
        <w:tc>
          <w:tcPr>
            <w:tcW w:w="3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367,996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440" w:type="dxa"/>
            <w:vAlign w:val="bottom"/>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Accounts payable</w:t>
            </w:r>
          </w:p>
        </w:tc>
        <w:tc>
          <w:tcPr>
            <w:tcW w:w="4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7,948</w:t>
            </w:r>
          </w:p>
        </w:tc>
        <w:tc>
          <w:tcPr>
            <w:tcW w:w="3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12,629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Accrued external research and development expenses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7,141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1,986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Other accrued expenses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8,097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6,159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Operating lease liabilities, current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130</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400"/>
              <w:spacing w:after="0"/>
              <w:rPr>
                <w:sz w:val="20"/>
                <w:szCs w:val="20"/>
                <w:color w:val="auto"/>
              </w:rPr>
            </w:pPr>
            <w:r>
              <w:rPr>
                <w:rFonts w:ascii="Arial" w:cs="Arial" w:eastAsia="Arial" w:hAnsi="Arial"/>
                <w:sz w:val="20"/>
                <w:szCs w:val="20"/>
                <w:b w:val="1"/>
                <w:bCs w:val="1"/>
                <w:color w:val="auto"/>
              </w:rPr>
              <w:t>Total current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23,316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21,439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Long-term debt, net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28,322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2"/>
        </w:trPr>
        <w:tc>
          <w:tcPr>
            <w:tcW w:w="6440" w:type="dxa"/>
            <w:vAlign w:val="bottom"/>
          </w:tcPr>
          <w:p>
            <w:pPr>
              <w:spacing w:after="0"/>
              <w:rPr>
                <w:sz w:val="20"/>
                <w:szCs w:val="20"/>
                <w:color w:val="auto"/>
              </w:rPr>
            </w:pPr>
            <w:r>
              <w:rPr>
                <w:rFonts w:ascii="Arial" w:cs="Arial" w:eastAsia="Arial" w:hAnsi="Arial"/>
                <w:sz w:val="20"/>
                <w:szCs w:val="20"/>
                <w:b w:val="1"/>
                <w:bCs w:val="1"/>
                <w:color w:val="auto"/>
              </w:rPr>
              <w:t>Operating lease liabilities, non-current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1,548</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400"/>
              <w:spacing w:after="0"/>
              <w:rPr>
                <w:sz w:val="20"/>
                <w:szCs w:val="20"/>
                <w:color w:val="auto"/>
              </w:rPr>
            </w:pPr>
            <w:r>
              <w:rPr>
                <w:rFonts w:ascii="Arial" w:cs="Arial" w:eastAsia="Arial" w:hAnsi="Arial"/>
                <w:sz w:val="20"/>
                <w:szCs w:val="20"/>
                <w:b w:val="1"/>
                <w:bCs w:val="1"/>
                <w:color w:val="auto"/>
              </w:rPr>
              <w:t>Total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53,186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22,875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Arial" w:cs="Arial" w:eastAsia="Arial" w:hAnsi="Arial"/>
                <w:sz w:val="20"/>
                <w:szCs w:val="20"/>
                <w:b w:val="1"/>
                <w:bCs w:val="1"/>
                <w:color w:val="auto"/>
              </w:rPr>
              <w:t>Commitments and contingencies (Note 15)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4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w w:val="86"/>
              </w:rPr>
              <w:t>Preferred stock, $0.0001 par value; 10,000,000 shares authorized, no shares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vMerge w:val="restart"/>
          </w:tcPr>
          <w:p>
            <w:pPr>
              <w:jc w:val="right"/>
              <w:ind w:right="320"/>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1"/>
                <w:szCs w:val="21"/>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15"/>
        </w:trPr>
        <w:tc>
          <w:tcPr>
            <w:tcW w:w="6440" w:type="dxa"/>
            <w:vAlign w:val="bottom"/>
            <w:vMerge w:val="restart"/>
          </w:tcPr>
          <w:p>
            <w:pPr>
              <w:ind w:left="200"/>
              <w:spacing w:after="0"/>
              <w:rPr>
                <w:sz w:val="20"/>
                <w:szCs w:val="20"/>
                <w:color w:val="auto"/>
              </w:rPr>
            </w:pPr>
            <w:r>
              <w:rPr>
                <w:rFonts w:ascii="Arial" w:cs="Arial" w:eastAsia="Arial" w:hAnsi="Arial"/>
                <w:sz w:val="20"/>
                <w:szCs w:val="20"/>
                <w:b w:val="1"/>
                <w:bCs w:val="1"/>
                <w:color w:val="auto"/>
                <w:w w:val="92"/>
              </w:rPr>
              <w:t>issued or outstanding as of December 31, 2024 and December 31, 2023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w w:val="92"/>
              </w:rPr>
              <w:t>Common stock, $0.0001 par value; 100,000,000 shares authorized as of</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40" w:type="dxa"/>
            <w:vAlign w:val="bottom"/>
          </w:tcPr>
          <w:p>
            <w:pPr>
              <w:ind w:left="200"/>
              <w:spacing w:after="0" w:line="228" w:lineRule="exact"/>
              <w:rPr>
                <w:sz w:val="20"/>
                <w:szCs w:val="20"/>
                <w:color w:val="auto"/>
              </w:rPr>
            </w:pPr>
            <w:r>
              <w:rPr>
                <w:rFonts w:ascii="Arial" w:cs="Arial" w:eastAsia="Arial" w:hAnsi="Arial"/>
                <w:sz w:val="20"/>
                <w:szCs w:val="20"/>
                <w:b w:val="1"/>
                <w:bCs w:val="1"/>
                <w:color w:val="auto"/>
                <w:w w:val="93"/>
              </w:rPr>
              <w:t>December 31, 2024 and December 31, 2023; 29,865,030 and 24,360,233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w w:val="87"/>
              </w:rPr>
              <w:t>shares issued and outstanding as of December 31, 2024 and December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2023,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Additional paid-in capital</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741,297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533,764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Accumulated other comprehensive income</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289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Accumulated deficit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(298,002)</w:t>
            </w:r>
          </w:p>
        </w:tc>
        <w:tc>
          <w:tcPr>
            <w:tcW w:w="24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rPr>
              <w:t>(188,645)</w:t>
            </w:r>
          </w:p>
        </w:tc>
        <w:tc>
          <w:tcPr>
            <w:tcW w:w="0" w:type="dxa"/>
            <w:vAlign w:val="bottom"/>
          </w:tcPr>
          <w:p>
            <w:pPr>
              <w:spacing w:after="0"/>
              <w:rPr>
                <w:sz w:val="1"/>
                <w:szCs w:val="1"/>
                <w:color w:val="auto"/>
              </w:rPr>
            </w:pPr>
          </w:p>
        </w:tc>
      </w:tr>
      <w:tr>
        <w:trPr>
          <w:trHeight w:val="234"/>
        </w:trPr>
        <w:tc>
          <w:tcPr>
            <w:tcW w:w="6440" w:type="dxa"/>
            <w:vAlign w:val="bottom"/>
          </w:tcPr>
          <w:p>
            <w:pPr>
              <w:ind w:left="200"/>
              <w:spacing w:after="0"/>
              <w:rPr>
                <w:sz w:val="20"/>
                <w:szCs w:val="20"/>
                <w:color w:val="auto"/>
              </w:rPr>
            </w:pPr>
            <w:r>
              <w:rPr>
                <w:rFonts w:ascii="Arial" w:cs="Arial" w:eastAsia="Arial" w:hAnsi="Arial"/>
                <w:sz w:val="20"/>
                <w:szCs w:val="20"/>
                <w:b w:val="1"/>
                <w:bCs w:val="1"/>
                <w:color w:val="auto"/>
              </w:rPr>
              <w:t>Total stockholders’ equity</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443,587</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345,121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Arial" w:cs="Arial" w:eastAsia="Arial" w:hAnsi="Arial"/>
                <w:sz w:val="20"/>
                <w:szCs w:val="20"/>
                <w:b w:val="1"/>
                <w:bCs w:val="1"/>
                <w:color w:val="auto"/>
              </w:rPr>
              <w:t>Total liabilities and stockholders’ equity</w:t>
            </w:r>
          </w:p>
        </w:tc>
        <w:tc>
          <w:tcPr>
            <w:tcW w:w="4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496,773</w:t>
            </w:r>
          </w:p>
        </w:tc>
        <w:tc>
          <w:tcPr>
            <w:tcW w:w="3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367,996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-5162550</wp:posOffset>
            </wp:positionV>
            <wp:extent cx="6663690" cy="52057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1">
                      <a:extLst>
                        <a:ext uri="{28A0092B-C50C-407E-A947-70E740481C1C}"/>
                      </a:extLst>
                    </a:blip>
                    <a:srcRect/>
                    <a:stretch>
                      <a:fillRect/>
                    </a:stretch>
                  </pic:blipFill>
                  <pic:spPr bwMode="auto">
                    <a:xfrm>
                      <a:off x="0" y="0"/>
                      <a:ext cx="6663690" cy="520573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ectPr>
          <w:pgSz w:w="12240" w:h="15840" w:orient="portrait"/>
          <w:cols w:equalWidth="0" w:num="1">
            <w:col w:w="10420"/>
          </w:cols>
          <w:pgMar w:left="900" w:top="949" w:right="9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115</w:t>
      </w:r>
    </w:p>
    <w:p>
      <w:pPr>
        <w:sectPr>
          <w:pgSz w:w="12240" w:h="15840" w:orient="portrait"/>
          <w:cols w:equalWidth="0" w:num="1">
            <w:col w:w="10420"/>
          </w:cols>
          <w:pgMar w:left="900" w:top="949" w:right="920" w:bottom="181" w:gutter="0" w:footer="0" w:header="0"/>
          <w:type w:val="continuous"/>
        </w:sectPr>
      </w:pPr>
    </w:p>
    <w:bookmarkStart w:id="125" w:name="page126"/>
    <w:bookmarkEnd w:id="125"/>
    <w:p>
      <w:pPr>
        <w:jc w:val="center"/>
        <w:ind w:right="-19"/>
        <w:spacing w:after="0"/>
        <w:rPr>
          <w:sz w:val="20"/>
          <w:szCs w:val="20"/>
          <w:color w:val="auto"/>
        </w:rPr>
      </w:pPr>
      <w:r>
        <w:rPr>
          <w:rFonts w:ascii="Arial" w:cs="Arial" w:eastAsia="Arial" w:hAnsi="Arial"/>
          <w:sz w:val="20"/>
          <w:szCs w:val="20"/>
          <w:b w:val="1"/>
          <w:bCs w:val="1"/>
          <w:color w:val="auto"/>
        </w:rPr>
        <w:t>DISC MEDICINE, INC.</w:t>
      </w:r>
    </w:p>
    <w:p>
      <w:pPr>
        <w:jc w:val="center"/>
        <w:ind w:right="-19"/>
        <w:spacing w:after="0" w:line="237" w:lineRule="auto"/>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90"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420" w:type="dxa"/>
            <w:vAlign w:val="bottom"/>
          </w:tcPr>
          <w:p>
            <w:pPr>
              <w:jc w:val="right"/>
              <w:ind w:right="220"/>
              <w:spacing w:after="0"/>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96,671</w:t>
            </w:r>
          </w:p>
        </w:tc>
        <w:tc>
          <w:tcPr>
            <w:tcW w:w="180" w:type="dxa"/>
            <w:vAlign w:val="bottom"/>
          </w:tcPr>
          <w:p>
            <w:pPr>
              <w:spacing w:after="0"/>
              <w:rPr>
                <w:sz w:val="21"/>
                <w:szCs w:val="21"/>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69,264</w:t>
            </w:r>
          </w:p>
        </w:tc>
        <w:tc>
          <w:tcPr>
            <w:tcW w:w="80" w:type="dxa"/>
            <w:vAlign w:val="bottom"/>
          </w:tcPr>
          <w:p>
            <w:pPr>
              <w:spacing w:after="0"/>
              <w:rPr>
                <w:sz w:val="21"/>
                <w:szCs w:val="21"/>
                <w:color w:val="auto"/>
              </w:rPr>
            </w:pPr>
          </w:p>
        </w:tc>
      </w:tr>
      <w:tr>
        <w:trPr>
          <w:trHeight w:val="242"/>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Selling, general and administrative</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33,049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21,861</w:t>
            </w:r>
          </w:p>
        </w:tc>
        <w:tc>
          <w:tcPr>
            <w:tcW w:w="80" w:type="dxa"/>
            <w:vAlign w:val="bottom"/>
          </w:tcPr>
          <w:p>
            <w:pPr>
              <w:spacing w:after="0"/>
              <w:rPr>
                <w:sz w:val="21"/>
                <w:szCs w:val="21"/>
                <w:color w:val="auto"/>
              </w:rPr>
            </w:pPr>
          </w:p>
        </w:tc>
      </w:tr>
      <w:tr>
        <w:trPr>
          <w:trHeight w:val="234"/>
        </w:trPr>
        <w:tc>
          <w:tcPr>
            <w:tcW w:w="6460" w:type="dxa"/>
            <w:vAlign w:val="bottom"/>
          </w:tcPr>
          <w:p>
            <w:pPr>
              <w:ind w:left="400"/>
              <w:spacing w:after="0"/>
              <w:rPr>
                <w:sz w:val="20"/>
                <w:szCs w:val="20"/>
                <w:color w:val="auto"/>
              </w:rPr>
            </w:pPr>
            <w:r>
              <w:rPr>
                <w:rFonts w:ascii="Arial" w:cs="Arial" w:eastAsia="Arial" w:hAnsi="Arial"/>
                <w:sz w:val="20"/>
                <w:szCs w:val="20"/>
                <w:b w:val="1"/>
                <w:bCs w:val="1"/>
                <w:color w:val="auto"/>
              </w:rPr>
              <w:t>Total operating expenses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129,720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91,125</w:t>
            </w:r>
          </w:p>
        </w:tc>
        <w:tc>
          <w:tcPr>
            <w:tcW w:w="80" w:type="dxa"/>
            <w:vAlign w:val="bottom"/>
          </w:tcPr>
          <w:p>
            <w:pPr>
              <w:spacing w:after="0"/>
              <w:rPr>
                <w:sz w:val="20"/>
                <w:szCs w:val="20"/>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20"/>
                <w:szCs w:val="20"/>
                <w:b w:val="1"/>
                <w:bCs w:val="1"/>
                <w:color w:val="auto"/>
              </w:rPr>
              <w:t>Loss from operations</w:t>
            </w:r>
          </w:p>
        </w:tc>
        <w:tc>
          <w:tcPr>
            <w:tcW w:w="42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(129,720)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(91,125</w:t>
            </w:r>
            <w:r>
              <w:rPr>
                <w:rFonts w:ascii="Arial" w:cs="Arial" w:eastAsia="Arial" w:hAnsi="Arial"/>
                <w:sz w:val="20"/>
                <w:szCs w:val="20"/>
                <w:b w:val="1"/>
                <w:bCs w:val="1"/>
                <w:color w:val="auto"/>
                <w:shd w:val="clear" w:color="auto" w:fill="E1E1E1"/>
              </w:rPr>
              <w:t>)</w:t>
            </w:r>
          </w:p>
        </w:tc>
      </w:tr>
      <w:tr>
        <w:trPr>
          <w:trHeight w:val="245"/>
        </w:trPr>
        <w:tc>
          <w:tcPr>
            <w:tcW w:w="646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Interest income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21,292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14,797</w:t>
            </w:r>
          </w:p>
        </w:tc>
        <w:tc>
          <w:tcPr>
            <w:tcW w:w="80" w:type="dxa"/>
            <w:vAlign w:val="bottom"/>
          </w:tcPr>
          <w:p>
            <w:pPr>
              <w:spacing w:after="0"/>
              <w:rPr>
                <w:sz w:val="21"/>
                <w:szCs w:val="21"/>
                <w:color w:val="auto"/>
              </w:rPr>
            </w:pPr>
          </w:p>
        </w:tc>
      </w:tr>
      <w:tr>
        <w:trPr>
          <w:trHeight w:val="245"/>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Interest expense</w:t>
            </w:r>
          </w:p>
        </w:tc>
        <w:tc>
          <w:tcPr>
            <w:tcW w:w="4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(572)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r>
      <w:tr>
        <w:trPr>
          <w:trHeight w:val="244"/>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Other expense</w:t>
            </w:r>
          </w:p>
        </w:tc>
        <w:tc>
          <w:tcPr>
            <w:tcW w:w="4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(2)</w:t>
            </w:r>
          </w:p>
        </w:tc>
      </w:tr>
      <w:tr>
        <w:trPr>
          <w:trHeight w:val="233"/>
        </w:trPr>
        <w:tc>
          <w:tcPr>
            <w:tcW w:w="6460" w:type="dxa"/>
            <w:vAlign w:val="bottom"/>
          </w:tcPr>
          <w:p>
            <w:pPr>
              <w:ind w:left="300"/>
              <w:spacing w:after="0"/>
              <w:rPr>
                <w:sz w:val="20"/>
                <w:szCs w:val="20"/>
                <w:color w:val="auto"/>
              </w:rPr>
            </w:pPr>
            <w:r>
              <w:rPr>
                <w:rFonts w:ascii="Arial" w:cs="Arial" w:eastAsia="Arial" w:hAnsi="Arial"/>
                <w:sz w:val="20"/>
                <w:szCs w:val="20"/>
                <w:b w:val="1"/>
                <w:bCs w:val="1"/>
                <w:color w:val="auto"/>
              </w:rPr>
              <w:t>Total other income (expense), net</w:t>
            </w: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20,718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14,795</w:t>
            </w:r>
          </w:p>
        </w:tc>
        <w:tc>
          <w:tcPr>
            <w:tcW w:w="80" w:type="dxa"/>
            <w:vAlign w:val="bottom"/>
          </w:tcPr>
          <w:p>
            <w:pPr>
              <w:spacing w:after="0"/>
              <w:rPr>
                <w:sz w:val="20"/>
                <w:szCs w:val="20"/>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42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(109,002)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(76,330</w:t>
            </w:r>
            <w:r>
              <w:rPr>
                <w:rFonts w:ascii="Arial" w:cs="Arial" w:eastAsia="Arial" w:hAnsi="Arial"/>
                <w:sz w:val="20"/>
                <w:szCs w:val="20"/>
                <w:b w:val="1"/>
                <w:bCs w:val="1"/>
                <w:color w:val="auto"/>
                <w:shd w:val="clear" w:color="auto" w:fill="E1E1E1"/>
              </w:rPr>
              <w:t>)</w:t>
            </w:r>
          </w:p>
        </w:tc>
      </w:tr>
      <w:tr>
        <w:trPr>
          <w:trHeight w:val="245"/>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Income tax expense</w:t>
            </w:r>
          </w:p>
        </w:tc>
        <w:tc>
          <w:tcPr>
            <w:tcW w:w="4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(355)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(99</w:t>
            </w:r>
            <w:r>
              <w:rPr>
                <w:rFonts w:ascii="Arial" w:cs="Arial" w:eastAsia="Arial" w:hAnsi="Arial"/>
                <w:sz w:val="20"/>
                <w:szCs w:val="20"/>
                <w:b w:val="1"/>
                <w:bCs w:val="1"/>
                <w:color w:val="auto"/>
                <w:highlight w:val="white"/>
              </w:rPr>
              <w:t>)</w:t>
            </w:r>
          </w:p>
        </w:tc>
      </w:tr>
      <w:tr>
        <w:trPr>
          <w:trHeight w:val="20"/>
        </w:trPr>
        <w:tc>
          <w:tcPr>
            <w:tcW w:w="6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420" w:type="dxa"/>
            <w:vAlign w:val="bottom"/>
          </w:tcPr>
          <w:p>
            <w:pPr>
              <w:jc w:val="right"/>
              <w:ind w:right="220"/>
              <w:spacing w:after="0"/>
              <w:rPr>
                <w:sz w:val="20"/>
                <w:szCs w:val="20"/>
                <w:color w:val="auto"/>
              </w:rPr>
            </w:pPr>
            <w:r>
              <w:rPr>
                <w:rFonts w:ascii="Arial" w:cs="Arial" w:eastAsia="Arial" w:hAnsi="Arial"/>
                <w:sz w:val="20"/>
                <w:szCs w:val="20"/>
                <w:b w:val="1"/>
                <w:bCs w:val="1"/>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(109,357)</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shd w:val="clear" w:color="auto" w:fill="E1E1E1"/>
              </w:rPr>
              <w:t>)</w:t>
            </w:r>
          </w:p>
        </w:tc>
      </w:tr>
      <w:tr>
        <w:trPr>
          <w:trHeight w:val="20"/>
        </w:trPr>
        <w:tc>
          <w:tcPr>
            <w:tcW w:w="6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6460" w:type="dxa"/>
            <w:vAlign w:val="bottom"/>
          </w:tcPr>
          <w:p>
            <w:pPr>
              <w:spacing w:after="0"/>
              <w:rPr>
                <w:sz w:val="20"/>
                <w:szCs w:val="20"/>
                <w:color w:val="auto"/>
              </w:rPr>
            </w:pPr>
            <w:r>
              <w:rPr>
                <w:rFonts w:ascii="Arial" w:cs="Arial" w:eastAsia="Arial" w:hAnsi="Arial"/>
                <w:sz w:val="20"/>
                <w:szCs w:val="20"/>
                <w:b w:val="1"/>
                <w:bCs w:val="1"/>
                <w:color w:val="auto"/>
              </w:rPr>
              <w:t>Net loss per share, basic and diluted</w:t>
            </w:r>
          </w:p>
        </w:tc>
        <w:tc>
          <w:tcPr>
            <w:tcW w:w="420" w:type="dxa"/>
            <w:vAlign w:val="bottom"/>
          </w:tcPr>
          <w:p>
            <w:pPr>
              <w:jc w:val="right"/>
              <w:ind w:right="220"/>
              <w:spacing w:after="0"/>
              <w:rPr>
                <w:sz w:val="20"/>
                <w:szCs w:val="20"/>
                <w:color w:val="auto"/>
              </w:rPr>
            </w:pPr>
            <w:r>
              <w:rPr>
                <w:rFonts w:ascii="Arial" w:cs="Arial" w:eastAsia="Arial" w:hAnsi="Arial"/>
                <w:sz w:val="20"/>
                <w:szCs w:val="20"/>
                <w:b w:val="1"/>
                <w:bCs w:val="1"/>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(3.96</w:t>
            </w:r>
            <w:r>
              <w:rPr>
                <w:rFonts w:ascii="Arial" w:cs="Arial" w:eastAsia="Arial" w:hAnsi="Arial"/>
                <w:sz w:val="20"/>
                <w:szCs w:val="20"/>
                <w:b w:val="1"/>
                <w:bCs w:val="1"/>
                <w:color w:val="auto"/>
                <w:highlight w:val="white"/>
              </w:rPr>
              <w:t>)</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(3.42</w:t>
            </w:r>
            <w:r>
              <w:rPr>
                <w:rFonts w:ascii="Arial" w:cs="Arial" w:eastAsia="Arial" w:hAnsi="Arial"/>
                <w:sz w:val="20"/>
                <w:szCs w:val="20"/>
                <w:b w:val="1"/>
                <w:bCs w:val="1"/>
                <w:color w:val="auto"/>
                <w:highlight w:val="white"/>
              </w:rPr>
              <w:t>)</w:t>
            </w:r>
          </w:p>
        </w:tc>
      </w:tr>
      <w:tr>
        <w:trPr>
          <w:trHeight w:val="290"/>
        </w:trPr>
        <w:tc>
          <w:tcPr>
            <w:tcW w:w="6460" w:type="dxa"/>
            <w:vAlign w:val="bottom"/>
          </w:tcPr>
          <w:p>
            <w:pPr>
              <w:spacing w:after="0"/>
              <w:rPr>
                <w:sz w:val="20"/>
                <w:szCs w:val="20"/>
                <w:color w:val="auto"/>
              </w:rPr>
            </w:pPr>
            <w:r>
              <w:rPr>
                <w:rFonts w:ascii="Arial" w:cs="Arial" w:eastAsia="Arial" w:hAnsi="Arial"/>
                <w:sz w:val="20"/>
                <w:szCs w:val="20"/>
                <w:b w:val="1"/>
                <w:bCs w:val="1"/>
                <w:color w:val="auto"/>
              </w:rPr>
              <w:t>Weighted-average common shares outstanding, basic and diluted</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27,606,022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22,315,877</w:t>
            </w:r>
          </w:p>
        </w:tc>
        <w:tc>
          <w:tcPr>
            <w:tcW w:w="80" w:type="dxa"/>
            <w:vAlign w:val="bottom"/>
          </w:tcPr>
          <w:p>
            <w:pPr>
              <w:spacing w:after="0"/>
              <w:rPr>
                <w:sz w:val="24"/>
                <w:szCs w:val="24"/>
                <w:color w:val="auto"/>
              </w:rPr>
            </w:pPr>
          </w:p>
        </w:tc>
      </w:tr>
      <w:tr>
        <w:trPr>
          <w:trHeight w:val="518"/>
        </w:trPr>
        <w:tc>
          <w:tcPr>
            <w:tcW w:w="6460" w:type="dxa"/>
            <w:vAlign w:val="bottom"/>
          </w:tcPr>
          <w:p>
            <w:pPr>
              <w:spacing w:after="0"/>
              <w:rPr>
                <w:sz w:val="20"/>
                <w:szCs w:val="20"/>
                <w:color w:val="auto"/>
              </w:rPr>
            </w:pPr>
            <w:r>
              <w:rPr>
                <w:rFonts w:ascii="Arial" w:cs="Arial" w:eastAsia="Arial" w:hAnsi="Arial"/>
                <w:sz w:val="20"/>
                <w:szCs w:val="20"/>
                <w:b w:val="1"/>
                <w:bCs w:val="1"/>
                <w:color w:val="auto"/>
              </w:rPr>
              <w:t>Comprehensive loss: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646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420" w:type="dxa"/>
            <w:vAlign w:val="bottom"/>
          </w:tcPr>
          <w:p>
            <w:pPr>
              <w:jc w:val="right"/>
              <w:ind w:right="220"/>
              <w:spacing w:after="0"/>
              <w:rPr>
                <w:sz w:val="20"/>
                <w:szCs w:val="20"/>
                <w:color w:val="auto"/>
              </w:rPr>
            </w:pPr>
            <w:r>
              <w:rPr>
                <w:rFonts w:ascii="Arial" w:cs="Arial" w:eastAsia="Arial" w:hAnsi="Arial"/>
                <w:sz w:val="20"/>
                <w:szCs w:val="20"/>
                <w:b w:val="1"/>
                <w:bCs w:val="1"/>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(109,357)</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highlight w:val="white"/>
              </w:rPr>
              <w:t>)</w:t>
            </w:r>
          </w:p>
        </w:tc>
      </w:tr>
      <w:tr>
        <w:trPr>
          <w:trHeight w:val="242"/>
        </w:trPr>
        <w:tc>
          <w:tcPr>
            <w:tcW w:w="6460" w:type="dxa"/>
            <w:vAlign w:val="bottom"/>
          </w:tcPr>
          <w:p>
            <w:pPr>
              <w:spacing w:after="0"/>
              <w:rPr>
                <w:sz w:val="20"/>
                <w:szCs w:val="20"/>
                <w:color w:val="auto"/>
              </w:rPr>
            </w:pPr>
            <w:r>
              <w:rPr>
                <w:rFonts w:ascii="Arial" w:cs="Arial" w:eastAsia="Arial" w:hAnsi="Arial"/>
                <w:sz w:val="20"/>
                <w:szCs w:val="20"/>
                <w:b w:val="1"/>
                <w:bCs w:val="1"/>
                <w:color w:val="auto"/>
              </w:rPr>
              <w:t>Other comprehensive income: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Foreign currency translation adjustments</w:t>
            </w:r>
          </w:p>
        </w:tc>
        <w:tc>
          <w:tcPr>
            <w:tcW w:w="4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(27</w:t>
            </w:r>
            <w:r>
              <w:rPr>
                <w:rFonts w:ascii="Arial" w:cs="Arial" w:eastAsia="Arial" w:hAnsi="Arial"/>
                <w:sz w:val="20"/>
                <w:szCs w:val="20"/>
                <w:b w:val="1"/>
                <w:bCs w:val="1"/>
                <w:color w:val="auto"/>
                <w:highlight w:val="white"/>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r>
      <w:tr>
        <w:trPr>
          <w:trHeight w:val="245"/>
        </w:trPr>
        <w:tc>
          <w:tcPr>
            <w:tcW w:w="6460" w:type="dxa"/>
            <w:vAlign w:val="bottom"/>
          </w:tcPr>
          <w:p>
            <w:pPr>
              <w:ind w:left="200"/>
              <w:spacing w:after="0"/>
              <w:rPr>
                <w:sz w:val="20"/>
                <w:szCs w:val="20"/>
                <w:color w:val="auto"/>
              </w:rPr>
            </w:pPr>
            <w:r>
              <w:rPr>
                <w:rFonts w:ascii="Arial" w:cs="Arial" w:eastAsia="Arial" w:hAnsi="Arial"/>
                <w:sz w:val="20"/>
                <w:szCs w:val="20"/>
                <w:b w:val="1"/>
                <w:bCs w:val="1"/>
                <w:color w:val="auto"/>
              </w:rPr>
              <w:t>Unrealized gain on marketable securities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1"/>
                <w:szCs w:val="21"/>
                <w:color w:val="auto"/>
              </w:rPr>
            </w:pPr>
          </w:p>
        </w:tc>
      </w:tr>
      <w:tr>
        <w:trPr>
          <w:trHeight w:val="234"/>
        </w:trPr>
        <w:tc>
          <w:tcPr>
            <w:tcW w:w="6460" w:type="dxa"/>
            <w:vAlign w:val="bottom"/>
          </w:tcPr>
          <w:p>
            <w:pPr>
              <w:ind w:left="400"/>
              <w:spacing w:after="0"/>
              <w:rPr>
                <w:sz w:val="20"/>
                <w:szCs w:val="20"/>
                <w:color w:val="auto"/>
              </w:rPr>
            </w:pPr>
            <w:r>
              <w:rPr>
                <w:rFonts w:ascii="Arial" w:cs="Arial" w:eastAsia="Arial" w:hAnsi="Arial"/>
                <w:sz w:val="20"/>
                <w:szCs w:val="20"/>
                <w:b w:val="1"/>
                <w:bCs w:val="1"/>
                <w:color w:val="auto"/>
              </w:rPr>
              <w:t>Total other comprehensive income</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0"/>
                <w:szCs w:val="20"/>
                <w:color w:val="auto"/>
              </w:rPr>
            </w:pPr>
          </w:p>
        </w:tc>
      </w:tr>
      <w:tr>
        <w:trPr>
          <w:trHeight w:val="232"/>
        </w:trPr>
        <w:tc>
          <w:tcPr>
            <w:tcW w:w="6460" w:type="dxa"/>
            <w:vAlign w:val="bottom"/>
          </w:tcPr>
          <w:p>
            <w:pPr>
              <w:spacing w:after="0"/>
              <w:rPr>
                <w:sz w:val="20"/>
                <w:szCs w:val="20"/>
                <w:color w:val="auto"/>
              </w:rPr>
            </w:pPr>
            <w:r>
              <w:rPr>
                <w:rFonts w:ascii="Arial" w:cs="Arial" w:eastAsia="Arial" w:hAnsi="Arial"/>
                <w:sz w:val="20"/>
                <w:szCs w:val="20"/>
                <w:b w:val="1"/>
                <w:bCs w:val="1"/>
                <w:color w:val="auto"/>
              </w:rPr>
              <w:t>Comprehensive loss</w:t>
            </w:r>
          </w:p>
        </w:tc>
        <w:tc>
          <w:tcPr>
            <w:tcW w:w="420" w:type="dxa"/>
            <w:vAlign w:val="bottom"/>
          </w:tcPr>
          <w:p>
            <w:pPr>
              <w:jc w:val="right"/>
              <w:ind w:right="220"/>
              <w:spacing w:after="0"/>
              <w:rPr>
                <w:sz w:val="20"/>
                <w:szCs w:val="20"/>
                <w:color w:val="auto"/>
              </w:rPr>
            </w:pPr>
            <w:r>
              <w:rPr>
                <w:rFonts w:ascii="Arial" w:cs="Arial" w:eastAsia="Arial" w:hAnsi="Arial"/>
                <w:sz w:val="20"/>
                <w:szCs w:val="20"/>
                <w:b w:val="1"/>
                <w:bCs w:val="1"/>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(109,068)</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shd w:val="clear" w:color="auto" w:fill="E1E1E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-3679825</wp:posOffset>
            </wp:positionV>
            <wp:extent cx="6663690" cy="3724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2">
                      <a:extLst>
                        <a:ext uri="{28A0092B-C50C-407E-A947-70E740481C1C}"/>
                      </a:extLst>
                    </a:blip>
                    <a:srcRect/>
                    <a:stretch>
                      <a:fillRect/>
                    </a:stretch>
                  </pic:blipFill>
                  <pic:spPr bwMode="auto">
                    <a:xfrm>
                      <a:off x="0" y="0"/>
                      <a:ext cx="6663690" cy="3724275"/>
                    </a:xfrm>
                    <a:prstGeom prst="rect">
                      <a:avLst/>
                    </a:prstGeom>
                    <a:noFill/>
                  </pic:spPr>
                </pic:pic>
              </a:graphicData>
            </a:graphic>
          </wp:anchor>
        </w:drawing>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ectPr>
          <w:pgSz w:w="12240" w:h="15840" w:orient="portrait"/>
          <w:cols w:equalWidth="0" w:num="1">
            <w:col w:w="10420"/>
          </w:cols>
          <w:pgMar w:left="900" w:top="949" w:right="9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116</w:t>
      </w:r>
    </w:p>
    <w:p>
      <w:pPr>
        <w:sectPr>
          <w:pgSz w:w="12240" w:h="15840" w:orient="portrait"/>
          <w:cols w:equalWidth="0" w:num="1">
            <w:col w:w="10420"/>
          </w:cols>
          <w:pgMar w:left="900" w:top="949" w:right="920" w:bottom="181" w:gutter="0" w:footer="0" w:header="0"/>
          <w:type w:val="continuous"/>
        </w:sectPr>
      </w:pPr>
    </w:p>
    <w:bookmarkStart w:id="126" w:name="page127"/>
    <w:bookmarkEnd w:id="126"/>
    <w:p>
      <w:pPr>
        <w:jc w:val="center"/>
        <w:ind w:right="-334"/>
        <w:spacing w:after="0"/>
        <w:rPr>
          <w:sz w:val="20"/>
          <w:szCs w:val="20"/>
          <w:color w:val="auto"/>
        </w:rPr>
      </w:pPr>
      <w:r>
        <w:rPr>
          <w:rFonts w:ascii="Arial" w:cs="Arial" w:eastAsia="Arial" w:hAnsi="Arial"/>
          <w:sz w:val="20"/>
          <w:szCs w:val="20"/>
          <w:b w:val="1"/>
          <w:bCs w:val="1"/>
          <w:color w:val="auto"/>
        </w:rPr>
        <w:t>DISC MEDICINE, INC.</w:t>
      </w:r>
    </w:p>
    <w:p>
      <w:pPr>
        <w:jc w:val="center"/>
        <w:ind w:right="-334"/>
        <w:spacing w:after="0" w:line="237" w:lineRule="auto"/>
        <w:rPr>
          <w:sz w:val="20"/>
          <w:szCs w:val="20"/>
          <w:color w:val="auto"/>
        </w:rPr>
      </w:pPr>
      <w:r>
        <w:rPr>
          <w:rFonts w:ascii="Arial" w:cs="Arial" w:eastAsia="Arial" w:hAnsi="Arial"/>
          <w:sz w:val="20"/>
          <w:szCs w:val="20"/>
          <w:b w:val="1"/>
          <w:bCs w:val="1"/>
          <w:color w:val="auto"/>
        </w:rPr>
        <w:t>CONSOLIDATED STATEMENTS STOCKHOLDERS’ EQUITY</w:t>
      </w:r>
    </w:p>
    <w:p>
      <w:pPr>
        <w:spacing w:after="0" w:line="1" w:lineRule="exact"/>
        <w:rPr>
          <w:sz w:val="20"/>
          <w:szCs w:val="20"/>
          <w:color w:val="auto"/>
        </w:rPr>
      </w:pPr>
    </w:p>
    <w:p>
      <w:pPr>
        <w:jc w:val="center"/>
        <w:ind w:right="-334"/>
        <w:spacing w:after="0"/>
        <w:rPr>
          <w:sz w:val="20"/>
          <w:szCs w:val="20"/>
          <w:color w:val="auto"/>
        </w:rPr>
      </w:pPr>
      <w:r>
        <w:rPr>
          <w:rFonts w:ascii="Arial" w:cs="Arial" w:eastAsia="Arial" w:hAnsi="Arial"/>
          <w:sz w:val="20"/>
          <w:szCs w:val="20"/>
          <w:b w:val="1"/>
          <w:bCs w:val="1"/>
          <w:color w:val="auto"/>
        </w:rPr>
        <w:t>(In thousands, except share and per share amounts)</w:t>
      </w:r>
    </w:p>
    <w:p>
      <w:pPr>
        <w:sectPr>
          <w:pgSz w:w="15840" w:h="12240" w:orient="landscape"/>
          <w:cols w:equalWidth="0" w:num="1">
            <w:col w:w="14375"/>
          </w:cols>
          <w:pgMar w:left="745" w:top="907" w:right="7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10490" cy="787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3">
                      <a:extLst>
                        <a:ext uri="{28A0092B-C50C-407E-A947-70E740481C1C}"/>
                      </a:extLst>
                    </a:blip>
                    <a:srcRect/>
                    <a:stretch>
                      <a:fillRect/>
                    </a:stretch>
                  </pic:blipFill>
                  <pic:spPr bwMode="auto">
                    <a:xfrm>
                      <a:off x="0" y="0"/>
                      <a:ext cx="110490" cy="78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2022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 of common stock upon exercise of stock options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of restricted common stock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22" w:lineRule="exact"/>
        <w:rPr>
          <w:sz w:val="20"/>
          <w:szCs w:val="20"/>
          <w:color w:val="auto"/>
        </w:rPr>
      </w:pPr>
    </w:p>
    <w:p>
      <w:pPr>
        <w:ind w:left="120" w:right="480" w:hanging="120"/>
        <w:spacing w:after="0" w:line="234" w:lineRule="auto"/>
        <w:rPr>
          <w:sz w:val="20"/>
          <w:szCs w:val="20"/>
          <w:color w:val="auto"/>
        </w:rPr>
      </w:pPr>
      <w:r>
        <w:rPr>
          <w:rFonts w:ascii="Arial" w:cs="Arial" w:eastAsia="Arial" w:hAnsi="Arial"/>
          <w:sz w:val="16"/>
          <w:szCs w:val="16"/>
          <w:b w:val="1"/>
          <w:bCs w:val="1"/>
          <w:color w:val="auto"/>
        </w:rPr>
        <w:t>Sale of common stock in registered direct offering, net of issuance costs of $80</w:t>
      </w:r>
    </w:p>
    <w:p>
      <w:pPr>
        <w:spacing w:after="0" w:line="23" w:lineRule="exact"/>
        <w:rPr>
          <w:sz w:val="20"/>
          <w:szCs w:val="20"/>
          <w:color w:val="auto"/>
        </w:rPr>
      </w:pPr>
    </w:p>
    <w:p>
      <w:pPr>
        <w:ind w:left="120" w:right="140" w:hanging="120"/>
        <w:spacing w:after="0" w:line="234" w:lineRule="auto"/>
        <w:rPr>
          <w:sz w:val="20"/>
          <w:szCs w:val="20"/>
          <w:color w:val="auto"/>
        </w:rPr>
      </w:pPr>
      <w:r>
        <w:rPr>
          <w:rFonts w:ascii="Arial" w:cs="Arial" w:eastAsia="Arial" w:hAnsi="Arial"/>
          <w:sz w:val="16"/>
          <w:szCs w:val="16"/>
          <w:b w:val="1"/>
          <w:bCs w:val="1"/>
          <w:color w:val="auto"/>
        </w:rPr>
        <w:t>Sale of pre-funded warrants in registered direct offering, net of issuance costs of $66</w:t>
      </w:r>
    </w:p>
    <w:p>
      <w:pPr>
        <w:spacing w:after="0" w:line="23" w:lineRule="exact"/>
        <w:rPr>
          <w:sz w:val="20"/>
          <w:szCs w:val="20"/>
          <w:color w:val="auto"/>
        </w:rPr>
      </w:pPr>
    </w:p>
    <w:p>
      <w:pPr>
        <w:ind w:left="120" w:right="600" w:hanging="120"/>
        <w:spacing w:after="0" w:line="236" w:lineRule="auto"/>
        <w:rPr>
          <w:sz w:val="20"/>
          <w:szCs w:val="20"/>
          <w:color w:val="auto"/>
        </w:rPr>
      </w:pPr>
      <w:r>
        <w:rPr>
          <w:rFonts w:ascii="Arial" w:cs="Arial" w:eastAsia="Arial" w:hAnsi="Arial"/>
          <w:sz w:val="16"/>
          <w:szCs w:val="16"/>
          <w:b w:val="1"/>
          <w:bCs w:val="1"/>
          <w:color w:val="auto"/>
        </w:rPr>
        <w:t>Sale of common stock in at-the-market offerings, net of issuance costs of $742</w:t>
      </w:r>
    </w:p>
    <w:p>
      <w:pPr>
        <w:spacing w:after="0" w:line="20" w:lineRule="exact"/>
        <w:rPr>
          <w:sz w:val="20"/>
          <w:szCs w:val="20"/>
          <w:color w:val="auto"/>
        </w:rPr>
      </w:pPr>
    </w:p>
    <w:p>
      <w:pPr>
        <w:ind w:left="120" w:right="440" w:hanging="120"/>
        <w:spacing w:after="0" w:line="236" w:lineRule="auto"/>
        <w:rPr>
          <w:sz w:val="20"/>
          <w:szCs w:val="20"/>
          <w:color w:val="auto"/>
        </w:rPr>
      </w:pPr>
      <w:r>
        <w:rPr>
          <w:rFonts w:ascii="Arial" w:cs="Arial" w:eastAsia="Arial" w:hAnsi="Arial"/>
          <w:sz w:val="16"/>
          <w:szCs w:val="16"/>
          <w:b w:val="1"/>
          <w:bCs w:val="1"/>
          <w:color w:val="auto"/>
        </w:rPr>
        <w:t>Sale of common stock in follow-on public offering, net of issuance costs of $9,272</w:t>
      </w:r>
    </w:p>
    <w:p>
      <w:pPr>
        <w:spacing w:after="0" w:line="20" w:lineRule="exact"/>
        <w:rPr>
          <w:sz w:val="20"/>
          <w:szCs w:val="20"/>
          <w:color w:val="auto"/>
        </w:rPr>
      </w:pPr>
    </w:p>
    <w:p>
      <w:pPr>
        <w:ind w:left="120" w:right="100" w:hanging="120"/>
        <w:spacing w:after="0" w:line="236" w:lineRule="auto"/>
        <w:rPr>
          <w:sz w:val="20"/>
          <w:szCs w:val="20"/>
          <w:color w:val="auto"/>
        </w:rPr>
      </w:pPr>
      <w:r>
        <w:rPr>
          <w:rFonts w:ascii="Arial" w:cs="Arial" w:eastAsia="Arial" w:hAnsi="Arial"/>
          <w:sz w:val="16"/>
          <w:szCs w:val="16"/>
          <w:b w:val="1"/>
          <w:bCs w:val="1"/>
          <w:color w:val="auto"/>
        </w:rPr>
        <w:t>Sale of pre-funded warrants in follow-on public offering, net of issuance costs of $627</w:t>
      </w:r>
    </w:p>
    <w:p>
      <w:pPr>
        <w:spacing w:after="0" w:line="20"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b w:val="1"/>
          <w:bCs w:val="1"/>
          <w:color w:val="auto"/>
        </w:rPr>
        <w:t>Issuance of common stock upon exercise of warrants Net loss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2023</w:t>
      </w:r>
    </w:p>
    <w:p>
      <w:pPr>
        <w:spacing w:after="0" w:line="22"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b w:val="1"/>
          <w:bCs w:val="1"/>
          <w:color w:val="auto"/>
        </w:rPr>
        <w:t>Issuance of common stock upon exercise of stock options Stock-based compensation expense</w:t>
      </w:r>
    </w:p>
    <w:p>
      <w:pPr>
        <w:spacing w:after="0" w:line="1" w:lineRule="exact"/>
        <w:rPr>
          <w:sz w:val="20"/>
          <w:szCs w:val="20"/>
          <w:color w:val="auto"/>
        </w:rPr>
      </w:pPr>
    </w:p>
    <w:p>
      <w:pPr>
        <w:ind w:left="120" w:right="600" w:hanging="120"/>
        <w:spacing w:after="0" w:line="236" w:lineRule="auto"/>
        <w:rPr>
          <w:sz w:val="20"/>
          <w:szCs w:val="20"/>
          <w:color w:val="auto"/>
        </w:rPr>
      </w:pPr>
      <w:r>
        <w:rPr>
          <w:rFonts w:ascii="Arial" w:cs="Arial" w:eastAsia="Arial" w:hAnsi="Arial"/>
          <w:sz w:val="16"/>
          <w:szCs w:val="16"/>
          <w:b w:val="1"/>
          <w:bCs w:val="1"/>
          <w:color w:val="auto"/>
        </w:rPr>
        <w:t>Sale of common stock in at-the-market offerings, net of issuance costs of $518</w:t>
      </w:r>
    </w:p>
    <w:p>
      <w:pPr>
        <w:spacing w:after="0" w:line="20" w:lineRule="exact"/>
        <w:rPr>
          <w:sz w:val="20"/>
          <w:szCs w:val="20"/>
          <w:color w:val="auto"/>
        </w:rPr>
      </w:pPr>
    </w:p>
    <w:p>
      <w:pPr>
        <w:ind w:left="120" w:right="520" w:hanging="120"/>
        <w:spacing w:after="0" w:line="236" w:lineRule="auto"/>
        <w:rPr>
          <w:sz w:val="20"/>
          <w:szCs w:val="20"/>
          <w:color w:val="auto"/>
        </w:rPr>
      </w:pPr>
      <w:r>
        <w:rPr>
          <w:rFonts w:ascii="Arial" w:cs="Arial" w:eastAsia="Arial" w:hAnsi="Arial"/>
          <w:sz w:val="16"/>
          <w:szCs w:val="16"/>
          <w:b w:val="1"/>
          <w:bCs w:val="1"/>
          <w:color w:val="auto"/>
        </w:rPr>
        <w:t>Sale of common stock in an underwritten offering, net of issuance costs of $5,472</w:t>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Issuance of common stock under employee stock purchase plan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 adjustments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Unrealized gain on marketable securities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441"/>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Accumulated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$0.0001 Par Value</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4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261"/>
              <w:spacing w:after="0"/>
              <w:rPr>
                <w:sz w:val="20"/>
                <w:szCs w:val="20"/>
                <w:color w:val="auto"/>
              </w:rPr>
            </w:pPr>
            <w:r>
              <w:rPr>
                <w:rFonts w:ascii="Arial" w:cs="Arial" w:eastAsia="Arial" w:hAnsi="Arial"/>
                <w:sz w:val="14"/>
                <w:szCs w:val="14"/>
                <w:b w:val="1"/>
                <w:bCs w:val="1"/>
                <w:color w:val="auto"/>
                <w:w w:val="90"/>
              </w:rPr>
              <w:t>Accumulated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241"/>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8"/>
        </w:trPr>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Deficit</w:t>
            </w: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7"/>
        </w:trPr>
        <w:tc>
          <w:tcPr>
            <w:tcW w:w="1600" w:type="dxa"/>
            <w:vAlign w:val="bottom"/>
            <w:tcBorders>
              <w:bottom w:val="single" w:sz="8" w:color="auto"/>
            </w:tcBorders>
          </w:tcPr>
          <w:p>
            <w:pPr>
              <w:jc w:val="right"/>
              <w:ind w:right="601"/>
              <w:spacing w:after="0" w:line="146"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line="146"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17,403,315</w:t>
            </w:r>
          </w:p>
        </w:tc>
        <w:tc>
          <w:tcPr>
            <w:tcW w:w="140" w:type="dxa"/>
            <w:vAlign w:val="bottom"/>
          </w:tcPr>
          <w:p>
            <w:pPr>
              <w:spacing w:after="0"/>
              <w:rPr>
                <w:sz w:val="15"/>
                <w:szCs w:val="15"/>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60"/>
              <w:spacing w:after="0" w:line="178"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288,814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61"/>
              <w:spacing w:after="0" w:line="178"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21"/>
              <w:spacing w:after="0" w:line="178" w:lineRule="exact"/>
              <w:rPr>
                <w:sz w:val="20"/>
                <w:szCs w:val="20"/>
                <w:color w:val="auto"/>
              </w:rPr>
            </w:pPr>
            <w:r>
              <w:rPr>
                <w:rFonts w:ascii="Arial" w:cs="Arial" w:eastAsia="Arial" w:hAnsi="Arial"/>
                <w:sz w:val="16"/>
                <w:szCs w:val="16"/>
                <w:b w:val="1"/>
                <w:bCs w:val="1"/>
                <w:color w:val="auto"/>
              </w:rPr>
              <w:t>(112,216)</w:t>
            </w:r>
          </w:p>
        </w:tc>
        <w:tc>
          <w:tcPr>
            <w:tcW w:w="440" w:type="dxa"/>
            <w:vAlign w:val="bottom"/>
          </w:tcPr>
          <w:p>
            <w:pPr>
              <w:spacing w:after="0"/>
              <w:rPr>
                <w:sz w:val="15"/>
                <w:szCs w:val="15"/>
                <w:color w:val="auto"/>
              </w:rPr>
            </w:pPr>
          </w:p>
        </w:tc>
        <w:tc>
          <w:tcPr>
            <w:tcW w:w="200" w:type="dxa"/>
            <w:vAlign w:val="bottom"/>
          </w:tcPr>
          <w:p>
            <w:pPr>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176,600</w:t>
            </w:r>
          </w:p>
        </w:tc>
        <w:tc>
          <w:tcPr>
            <w:tcW w:w="0" w:type="dxa"/>
            <w:vAlign w:val="bottom"/>
          </w:tcPr>
          <w:p>
            <w:pPr>
              <w:spacing w:after="0"/>
              <w:rPr>
                <w:sz w:val="1"/>
                <w:szCs w:val="1"/>
                <w:color w:val="auto"/>
              </w:rPr>
            </w:pPr>
          </w:p>
        </w:tc>
      </w:tr>
      <w:tr>
        <w:trPr>
          <w:trHeight w:val="184"/>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254,432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2,763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2,763</w:t>
            </w:r>
          </w:p>
        </w:tc>
        <w:tc>
          <w:tcPr>
            <w:tcW w:w="0" w:type="dxa"/>
            <w:vAlign w:val="bottom"/>
          </w:tcPr>
          <w:p>
            <w:pPr>
              <w:spacing w:after="0"/>
              <w:rPr>
                <w:sz w:val="1"/>
                <w:szCs w:val="1"/>
                <w:color w:val="auto"/>
              </w:rPr>
            </w:pPr>
          </w:p>
        </w:tc>
      </w:tr>
      <w:tr>
        <w:trPr>
          <w:trHeight w:val="199"/>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1,916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7"/>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5,530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5,530</w:t>
            </w:r>
          </w:p>
        </w:tc>
        <w:tc>
          <w:tcPr>
            <w:tcW w:w="0" w:type="dxa"/>
            <w:vAlign w:val="bottom"/>
          </w:tcPr>
          <w:p>
            <w:pPr>
              <w:spacing w:after="0"/>
              <w:rPr>
                <w:sz w:val="1"/>
                <w:szCs w:val="1"/>
                <w:color w:val="auto"/>
              </w:rPr>
            </w:pPr>
          </w:p>
        </w:tc>
      </w:tr>
      <w:tr>
        <w:trPr>
          <w:trHeight w:val="290"/>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1,488,166</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34,148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34,148</w:t>
            </w:r>
          </w:p>
        </w:tc>
        <w:tc>
          <w:tcPr>
            <w:tcW w:w="0" w:type="dxa"/>
            <w:vAlign w:val="bottom"/>
          </w:tcPr>
          <w:p>
            <w:pPr>
              <w:spacing w:after="0"/>
              <w:rPr>
                <w:sz w:val="1"/>
                <w:szCs w:val="1"/>
                <w:color w:val="auto"/>
              </w:rPr>
            </w:pPr>
          </w:p>
        </w:tc>
      </w:tr>
      <w:tr>
        <w:trPr>
          <w:trHeight w:val="382"/>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28,206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28,206</w:t>
            </w:r>
          </w:p>
        </w:tc>
        <w:tc>
          <w:tcPr>
            <w:tcW w:w="0" w:type="dxa"/>
            <w:vAlign w:val="bottom"/>
          </w:tcPr>
          <w:p>
            <w:pPr>
              <w:spacing w:after="0"/>
              <w:rPr>
                <w:sz w:val="1"/>
                <w:szCs w:val="1"/>
                <w:color w:val="auto"/>
              </w:rPr>
            </w:pPr>
          </w:p>
        </w:tc>
      </w:tr>
      <w:tr>
        <w:trPr>
          <w:trHeight w:val="382"/>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967,264</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26,422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26,422</w:t>
            </w:r>
          </w:p>
        </w:tc>
        <w:tc>
          <w:tcPr>
            <w:tcW w:w="0" w:type="dxa"/>
            <w:vAlign w:val="bottom"/>
          </w:tcPr>
          <w:p>
            <w:pPr>
              <w:spacing w:after="0"/>
              <w:rPr>
                <w:sz w:val="1"/>
                <w:szCs w:val="1"/>
                <w:color w:val="auto"/>
              </w:rPr>
            </w:pPr>
          </w:p>
        </w:tc>
      </w:tr>
      <w:tr>
        <w:trPr>
          <w:trHeight w:val="382"/>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3,015,919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b w:val="1"/>
                <w:bCs w:val="1"/>
                <w:color w:val="auto"/>
              </w:rPr>
              <w:t>138,508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138,508</w:t>
            </w:r>
          </w:p>
        </w:tc>
        <w:tc>
          <w:tcPr>
            <w:tcW w:w="0" w:type="dxa"/>
            <w:vAlign w:val="bottom"/>
          </w:tcPr>
          <w:p>
            <w:pPr>
              <w:spacing w:after="0"/>
              <w:rPr>
                <w:sz w:val="1"/>
                <w:szCs w:val="1"/>
                <w:color w:val="auto"/>
              </w:rPr>
            </w:pPr>
          </w:p>
        </w:tc>
      </w:tr>
      <w:tr>
        <w:trPr>
          <w:trHeight w:val="382"/>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9,373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9,373</w:t>
            </w:r>
          </w:p>
        </w:tc>
        <w:tc>
          <w:tcPr>
            <w:tcW w:w="0" w:type="dxa"/>
            <w:vAlign w:val="bottom"/>
          </w:tcPr>
          <w:p>
            <w:pPr>
              <w:spacing w:after="0"/>
              <w:rPr>
                <w:sz w:val="1"/>
                <w:szCs w:val="1"/>
                <w:color w:val="auto"/>
              </w:rPr>
            </w:pPr>
          </w:p>
        </w:tc>
      </w:tr>
      <w:tr>
        <w:trPr>
          <w:trHeight w:val="290"/>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1,229,221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(76,429)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(76,429)</w:t>
            </w:r>
          </w:p>
        </w:tc>
        <w:tc>
          <w:tcPr>
            <w:tcW w:w="0" w:type="dxa"/>
            <w:vAlign w:val="bottom"/>
          </w:tcPr>
          <w:p>
            <w:pPr>
              <w:spacing w:after="0"/>
              <w:rPr>
                <w:sz w:val="1"/>
                <w:szCs w:val="1"/>
                <w:color w:val="auto"/>
              </w:rPr>
            </w:pPr>
          </w:p>
        </w:tc>
      </w:tr>
      <w:tr>
        <w:trPr>
          <w:trHeight w:val="32"/>
        </w:trPr>
        <w:tc>
          <w:tcPr>
            <w:tcW w:w="16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0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24,360,233</w:t>
            </w:r>
          </w:p>
        </w:tc>
        <w:tc>
          <w:tcPr>
            <w:tcW w:w="140" w:type="dxa"/>
            <w:vAlign w:val="bottom"/>
            <w:vMerge w:val="continue"/>
          </w:tcPr>
          <w:p>
            <w:pPr>
              <w:spacing w:after="0"/>
              <w:rPr>
                <w:sz w:val="14"/>
                <w:szCs w:val="14"/>
                <w:color w:val="auto"/>
              </w:rPr>
            </w:pPr>
          </w:p>
        </w:tc>
        <w:tc>
          <w:tcPr>
            <w:tcW w:w="400" w:type="dxa"/>
            <w:vAlign w:val="bottom"/>
          </w:tcPr>
          <w:p>
            <w:pPr>
              <w:jc w:val="right"/>
              <w:ind w:right="245"/>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60"/>
              <w:spacing w:after="0" w:line="169" w:lineRule="exact"/>
              <w:rPr>
                <w:sz w:val="20"/>
                <w:szCs w:val="20"/>
                <w:color w:val="auto"/>
              </w:rPr>
            </w:pPr>
            <w:r>
              <w:rPr>
                <w:rFonts w:ascii="Arial" w:cs="Arial" w:eastAsia="Arial" w:hAnsi="Arial"/>
                <w:sz w:val="16"/>
                <w:szCs w:val="16"/>
                <w:b w:val="1"/>
                <w:bCs w:val="1"/>
                <w:color w:val="auto"/>
              </w:rPr>
              <w:t>2</w:t>
            </w:r>
          </w:p>
        </w:tc>
        <w:tc>
          <w:tcPr>
            <w:tcW w:w="140" w:type="dxa"/>
            <w:vAlign w:val="bottom"/>
            <w:vMerge w:val="continue"/>
          </w:tcPr>
          <w:p>
            <w:pPr>
              <w:spacing w:after="0"/>
              <w:rPr>
                <w:sz w:val="14"/>
                <w:szCs w:val="14"/>
                <w:color w:val="auto"/>
              </w:rPr>
            </w:pPr>
          </w:p>
        </w:tc>
        <w:tc>
          <w:tcPr>
            <w:tcW w:w="240" w:type="dxa"/>
            <w:vAlign w:val="bottom"/>
          </w:tcPr>
          <w:p>
            <w:pPr>
              <w:jc w:val="right"/>
              <w:ind w:right="85"/>
              <w:spacing w:after="0" w:line="169" w:lineRule="exact"/>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533,764</w:t>
            </w:r>
          </w:p>
        </w:tc>
        <w:tc>
          <w:tcPr>
            <w:tcW w:w="140" w:type="dxa"/>
            <w:vAlign w:val="bottom"/>
            <w:vMerge w:val="continue"/>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61"/>
              <w:spacing w:after="0" w:line="169" w:lineRule="exact"/>
              <w:rPr>
                <w:sz w:val="20"/>
                <w:szCs w:val="20"/>
                <w:color w:val="auto"/>
              </w:rPr>
            </w:pPr>
            <w:r>
              <w:rPr>
                <w:rFonts w:ascii="Arial" w:cs="Arial" w:eastAsia="Arial" w:hAnsi="Arial"/>
                <w:sz w:val="16"/>
                <w:szCs w:val="16"/>
                <w:b w:val="1"/>
                <w:bCs w:val="1"/>
                <w:color w:val="auto"/>
              </w:rPr>
              <w:t>—</w:t>
            </w:r>
          </w:p>
        </w:tc>
        <w:tc>
          <w:tcPr>
            <w:tcW w:w="140" w:type="dxa"/>
            <w:vAlign w:val="bottom"/>
            <w:vMerge w:val="continue"/>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21"/>
              <w:spacing w:after="0" w:line="169" w:lineRule="exact"/>
              <w:rPr>
                <w:sz w:val="20"/>
                <w:szCs w:val="20"/>
                <w:color w:val="auto"/>
              </w:rPr>
            </w:pPr>
            <w:r>
              <w:rPr>
                <w:rFonts w:ascii="Arial" w:cs="Arial" w:eastAsia="Arial" w:hAnsi="Arial"/>
                <w:sz w:val="16"/>
                <w:szCs w:val="16"/>
                <w:b w:val="1"/>
                <w:bCs w:val="1"/>
                <w:color w:val="auto"/>
              </w:rPr>
              <w:t>(188,645)</w:t>
            </w:r>
          </w:p>
        </w:tc>
        <w:tc>
          <w:tcPr>
            <w:tcW w:w="440" w:type="dxa"/>
            <w:vAlign w:val="bottom"/>
            <w:vMerge w:val="continue"/>
          </w:tcPr>
          <w:p>
            <w:pPr>
              <w:spacing w:after="0"/>
              <w:rPr>
                <w:sz w:val="14"/>
                <w:szCs w:val="14"/>
                <w:color w:val="auto"/>
              </w:rPr>
            </w:pPr>
          </w:p>
        </w:tc>
        <w:tc>
          <w:tcPr>
            <w:tcW w:w="200" w:type="dxa"/>
            <w:vAlign w:val="bottom"/>
          </w:tcPr>
          <w:p>
            <w:pPr>
              <w:spacing w:after="0" w:line="169"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line="169" w:lineRule="exact"/>
              <w:rPr>
                <w:sz w:val="20"/>
                <w:szCs w:val="20"/>
                <w:color w:val="auto"/>
              </w:rPr>
            </w:pPr>
            <w:r>
              <w:rPr>
                <w:rFonts w:ascii="Arial" w:cs="Arial" w:eastAsia="Arial" w:hAnsi="Arial"/>
                <w:sz w:val="16"/>
                <w:szCs w:val="16"/>
                <w:b w:val="1"/>
                <w:bCs w:val="1"/>
                <w:color w:val="auto"/>
              </w:rPr>
              <w:t>345,121</w:t>
            </w:r>
          </w:p>
        </w:tc>
        <w:tc>
          <w:tcPr>
            <w:tcW w:w="0" w:type="dxa"/>
            <w:vAlign w:val="bottom"/>
          </w:tcPr>
          <w:p>
            <w:pPr>
              <w:spacing w:after="0"/>
              <w:rPr>
                <w:sz w:val="1"/>
                <w:szCs w:val="1"/>
                <w:color w:val="auto"/>
              </w:rPr>
            </w:pPr>
          </w:p>
        </w:tc>
      </w:tr>
      <w:tr>
        <w:trPr>
          <w:trHeight w:val="184"/>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315,266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2,976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2,976</w:t>
            </w:r>
          </w:p>
        </w:tc>
        <w:tc>
          <w:tcPr>
            <w:tcW w:w="0" w:type="dxa"/>
            <w:vAlign w:val="bottom"/>
          </w:tcPr>
          <w:p>
            <w:pPr>
              <w:spacing w:after="0"/>
              <w:rPr>
                <w:sz w:val="1"/>
                <w:szCs w:val="1"/>
                <w:color w:val="auto"/>
              </w:rPr>
            </w:pPr>
          </w:p>
        </w:tc>
      </w:tr>
      <w:tr>
        <w:trPr>
          <w:trHeight w:val="197"/>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16,815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16,815</w:t>
            </w:r>
          </w:p>
        </w:tc>
        <w:tc>
          <w:tcPr>
            <w:tcW w:w="0" w:type="dxa"/>
            <w:vAlign w:val="bottom"/>
          </w:tcPr>
          <w:p>
            <w:pPr>
              <w:spacing w:after="0"/>
              <w:rPr>
                <w:sz w:val="1"/>
                <w:szCs w:val="1"/>
                <w:color w:val="auto"/>
              </w:rPr>
            </w:pPr>
          </w:p>
        </w:tc>
      </w:tr>
      <w:tr>
        <w:trPr>
          <w:trHeight w:val="290"/>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234,449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14,790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14,790</w:t>
            </w:r>
          </w:p>
        </w:tc>
        <w:tc>
          <w:tcPr>
            <w:tcW w:w="0" w:type="dxa"/>
            <w:vAlign w:val="bottom"/>
          </w:tcPr>
          <w:p>
            <w:pPr>
              <w:spacing w:after="0"/>
              <w:rPr>
                <w:sz w:val="1"/>
                <w:szCs w:val="1"/>
                <w:color w:val="auto"/>
              </w:rPr>
            </w:pPr>
          </w:p>
        </w:tc>
      </w:tr>
      <w:tr>
        <w:trPr>
          <w:trHeight w:val="382"/>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4,944,000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b w:val="1"/>
                <w:bCs w:val="1"/>
                <w:color w:val="auto"/>
              </w:rPr>
              <w:t>172,511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172,512</w:t>
            </w:r>
          </w:p>
        </w:tc>
        <w:tc>
          <w:tcPr>
            <w:tcW w:w="0" w:type="dxa"/>
            <w:vAlign w:val="bottom"/>
          </w:tcPr>
          <w:p>
            <w:pPr>
              <w:spacing w:after="0"/>
              <w:rPr>
                <w:sz w:val="1"/>
                <w:szCs w:val="1"/>
                <w:color w:val="auto"/>
              </w:rPr>
            </w:pPr>
          </w:p>
        </w:tc>
      </w:tr>
      <w:tr>
        <w:trPr>
          <w:trHeight w:val="384"/>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11,082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441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441</w:t>
            </w:r>
          </w:p>
        </w:tc>
        <w:tc>
          <w:tcPr>
            <w:tcW w:w="0" w:type="dxa"/>
            <w:vAlign w:val="bottom"/>
          </w:tcPr>
          <w:p>
            <w:pPr>
              <w:spacing w:after="0"/>
              <w:rPr>
                <w:sz w:val="1"/>
                <w:szCs w:val="1"/>
                <w:color w:val="auto"/>
              </w:rPr>
            </w:pPr>
          </w:p>
        </w:tc>
      </w:tr>
      <w:tr>
        <w:trPr>
          <w:trHeight w:val="288"/>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b w:val="1"/>
                <w:bCs w:val="1"/>
                <w:color w:val="auto"/>
              </w:rPr>
              <w:t>(27)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9"/>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316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316</w:t>
            </w:r>
          </w:p>
        </w:tc>
        <w:tc>
          <w:tcPr>
            <w:tcW w:w="0" w:type="dxa"/>
            <w:vAlign w:val="bottom"/>
          </w:tcPr>
          <w:p>
            <w:pPr>
              <w:spacing w:after="0"/>
              <w:rPr>
                <w:sz w:val="1"/>
                <w:szCs w:val="1"/>
                <w:color w:val="auto"/>
              </w:rPr>
            </w:pPr>
          </w:p>
        </w:tc>
      </w:tr>
      <w:tr>
        <w:trPr>
          <w:trHeight w:val="197"/>
        </w:trPr>
        <w:tc>
          <w:tcPr>
            <w:tcW w:w="16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(109,357)</w:t>
            </w:r>
          </w:p>
        </w:tc>
        <w:tc>
          <w:tcPr>
            <w:tcW w:w="6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(109,357)</w:t>
            </w:r>
          </w:p>
        </w:tc>
        <w:tc>
          <w:tcPr>
            <w:tcW w:w="0" w:type="dxa"/>
            <w:vAlign w:val="bottom"/>
          </w:tcPr>
          <w:p>
            <w:pPr>
              <w:spacing w:after="0"/>
              <w:rPr>
                <w:sz w:val="1"/>
                <w:szCs w:val="1"/>
                <w:color w:val="auto"/>
              </w:rPr>
            </w:pPr>
          </w:p>
        </w:tc>
      </w:tr>
      <w:tr>
        <w:trPr>
          <w:trHeight w:val="35"/>
        </w:trPr>
        <w:tc>
          <w:tcPr>
            <w:tcW w:w="16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60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29,865,030</w:t>
            </w:r>
          </w:p>
        </w:tc>
        <w:tc>
          <w:tcPr>
            <w:tcW w:w="140" w:type="dxa"/>
            <w:vAlign w:val="bottom"/>
            <w:vMerge w:val="continue"/>
          </w:tcPr>
          <w:p>
            <w:pPr>
              <w:spacing w:after="0"/>
              <w:rPr>
                <w:sz w:val="14"/>
                <w:szCs w:val="14"/>
                <w:color w:val="auto"/>
              </w:rPr>
            </w:pPr>
          </w:p>
        </w:tc>
        <w:tc>
          <w:tcPr>
            <w:tcW w:w="400" w:type="dxa"/>
            <w:vAlign w:val="bottom"/>
          </w:tcPr>
          <w:p>
            <w:pPr>
              <w:jc w:val="right"/>
              <w:ind w:right="245"/>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60"/>
              <w:spacing w:after="0" w:line="169" w:lineRule="exact"/>
              <w:rPr>
                <w:sz w:val="20"/>
                <w:szCs w:val="20"/>
                <w:color w:val="auto"/>
              </w:rPr>
            </w:pPr>
            <w:r>
              <w:rPr>
                <w:rFonts w:ascii="Arial" w:cs="Arial" w:eastAsia="Arial" w:hAnsi="Arial"/>
                <w:sz w:val="16"/>
                <w:szCs w:val="16"/>
                <w:b w:val="1"/>
                <w:bCs w:val="1"/>
                <w:color w:val="auto"/>
              </w:rPr>
              <w:t>3</w:t>
            </w:r>
          </w:p>
        </w:tc>
        <w:tc>
          <w:tcPr>
            <w:tcW w:w="140" w:type="dxa"/>
            <w:vAlign w:val="bottom"/>
            <w:vMerge w:val="continue"/>
          </w:tcPr>
          <w:p>
            <w:pPr>
              <w:spacing w:after="0"/>
              <w:rPr>
                <w:sz w:val="14"/>
                <w:szCs w:val="14"/>
                <w:color w:val="auto"/>
              </w:rPr>
            </w:pPr>
          </w:p>
        </w:tc>
        <w:tc>
          <w:tcPr>
            <w:tcW w:w="240" w:type="dxa"/>
            <w:vAlign w:val="bottom"/>
          </w:tcPr>
          <w:p>
            <w:pPr>
              <w:jc w:val="right"/>
              <w:ind w:right="85"/>
              <w:spacing w:after="0" w:line="169" w:lineRule="exact"/>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741,297</w:t>
            </w:r>
          </w:p>
        </w:tc>
        <w:tc>
          <w:tcPr>
            <w:tcW w:w="140" w:type="dxa"/>
            <w:vAlign w:val="bottom"/>
            <w:vMerge w:val="continue"/>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61"/>
              <w:spacing w:after="0" w:line="169" w:lineRule="exact"/>
              <w:rPr>
                <w:sz w:val="20"/>
                <w:szCs w:val="20"/>
                <w:color w:val="auto"/>
              </w:rPr>
            </w:pPr>
            <w:r>
              <w:rPr>
                <w:rFonts w:ascii="Arial" w:cs="Arial" w:eastAsia="Arial" w:hAnsi="Arial"/>
                <w:sz w:val="16"/>
                <w:szCs w:val="16"/>
                <w:b w:val="1"/>
                <w:bCs w:val="1"/>
                <w:color w:val="auto"/>
              </w:rPr>
              <w:t>289</w:t>
            </w:r>
          </w:p>
        </w:tc>
        <w:tc>
          <w:tcPr>
            <w:tcW w:w="140" w:type="dxa"/>
            <w:vAlign w:val="bottom"/>
            <w:vMerge w:val="continue"/>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21"/>
              <w:spacing w:after="0" w:line="169" w:lineRule="exact"/>
              <w:rPr>
                <w:sz w:val="20"/>
                <w:szCs w:val="20"/>
                <w:color w:val="auto"/>
              </w:rPr>
            </w:pPr>
            <w:r>
              <w:rPr>
                <w:rFonts w:ascii="Arial" w:cs="Arial" w:eastAsia="Arial" w:hAnsi="Arial"/>
                <w:sz w:val="16"/>
                <w:szCs w:val="16"/>
                <w:b w:val="1"/>
                <w:bCs w:val="1"/>
                <w:color w:val="auto"/>
              </w:rPr>
              <w:t>(298,002)</w:t>
            </w:r>
          </w:p>
        </w:tc>
        <w:tc>
          <w:tcPr>
            <w:tcW w:w="640" w:type="dxa"/>
            <w:vAlign w:val="bottom"/>
            <w:gridSpan w:val="2"/>
          </w:tcPr>
          <w:p>
            <w:pPr>
              <w:ind w:left="440"/>
              <w:spacing w:after="0" w:line="169"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line="169" w:lineRule="exact"/>
              <w:rPr>
                <w:sz w:val="20"/>
                <w:szCs w:val="20"/>
                <w:color w:val="auto"/>
              </w:rPr>
            </w:pPr>
            <w:r>
              <w:rPr>
                <w:rFonts w:ascii="Arial" w:cs="Arial" w:eastAsia="Arial" w:hAnsi="Arial"/>
                <w:sz w:val="16"/>
                <w:szCs w:val="16"/>
                <w:b w:val="1"/>
                <w:bCs w:val="1"/>
                <w:color w:val="auto"/>
              </w:rPr>
              <w:t>443,587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-3594100</wp:posOffset>
            </wp:positionV>
            <wp:extent cx="8951595" cy="36493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4">
                      <a:extLst>
                        <a:ext uri="{28A0092B-C50C-407E-A947-70E740481C1C}"/>
                      </a:extLst>
                    </a:blip>
                    <a:srcRect/>
                    <a:stretch>
                      <a:fillRect/>
                    </a:stretch>
                  </pic:blipFill>
                  <pic:spPr bwMode="auto">
                    <a:xfrm>
                      <a:off x="0" y="0"/>
                      <a:ext cx="8951595" cy="3649345"/>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3">
            <w:col w:w="195" w:space="139"/>
            <w:col w:w="3740" w:space="200"/>
            <w:col w:w="10100"/>
          </w:cols>
          <w:pgMar w:left="745" w:top="907" w:right="720" w:bottom="1440" w:gutter="0" w:footer="0" w:header="0"/>
          <w:type w:val="continuous"/>
        </w:sectPr>
      </w:pPr>
    </w:p>
    <w:p>
      <w:pPr>
        <w:spacing w:after="0" w:line="108" w:lineRule="exact"/>
        <w:rPr>
          <w:sz w:val="20"/>
          <w:szCs w:val="20"/>
          <w:color w:val="auto"/>
        </w:rPr>
      </w:pPr>
    </w:p>
    <w:p>
      <w:pPr>
        <w:jc w:val="center"/>
        <w:ind w:right="-334"/>
        <w:spacing w:after="0"/>
        <w:rPr>
          <w:sz w:val="20"/>
          <w:szCs w:val="20"/>
          <w:color w:val="auto"/>
        </w:rPr>
      </w:pPr>
      <w:r>
        <w:rPr>
          <w:rFonts w:ascii="Arial" w:cs="Arial" w:eastAsia="Arial" w:hAnsi="Arial"/>
          <w:sz w:val="15"/>
          <w:szCs w:val="15"/>
          <w:b w:val="1"/>
          <w:bCs w:val="1"/>
          <w:color w:val="auto"/>
        </w:rPr>
        <w:t>The accompanying notes are an integral part of these consolidated financial statements.</w:t>
      </w:r>
    </w:p>
    <w:p>
      <w:pPr>
        <w:sectPr>
          <w:pgSz w:w="15840" w:h="12240" w:orient="landscape"/>
          <w:cols w:equalWidth="0" w:num="1">
            <w:col w:w="14375"/>
          </w:cols>
          <w:pgMar w:left="745" w:top="907" w:right="720"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DISC MEDICINE, INC.</w:t>
      </w:r>
    </w:p>
    <w:p>
      <w:pPr>
        <w:jc w:val="center"/>
        <w:spacing w:after="0" w:line="237" w:lineRule="auto"/>
        <w:rPr>
          <w:sz w:val="20"/>
          <w:szCs w:val="20"/>
          <w:color w:val="auto"/>
        </w:rPr>
      </w:pPr>
      <w:r>
        <w:rPr>
          <w:rFonts w:ascii="Arial" w:cs="Arial" w:eastAsia="Arial" w:hAnsi="Arial"/>
          <w:sz w:val="20"/>
          <w:szCs w:val="20"/>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9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r>
      <w:tr>
        <w:trPr>
          <w:trHeight w:val="234"/>
        </w:trPr>
        <w:tc>
          <w:tcPr>
            <w:tcW w:w="7640" w:type="dxa"/>
            <w:vAlign w:val="bottom"/>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Net loss</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(109,357)</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highlight w:val="white"/>
              </w:rPr>
              <w:t>)</w:t>
            </w:r>
          </w:p>
        </w:tc>
      </w:tr>
      <w:tr>
        <w:trPr>
          <w:trHeight w:val="242"/>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Adjustments to reconcile net loss to net cash used in operations: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5"/>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Depreciation and amortization</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156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100</w:t>
            </w:r>
          </w:p>
        </w:tc>
      </w:tr>
      <w:tr>
        <w:trPr>
          <w:trHeight w:val="245"/>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Stock-based compensation</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16,815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5,530</w:t>
            </w:r>
          </w:p>
        </w:tc>
      </w:tr>
      <w:tr>
        <w:trPr>
          <w:trHeight w:val="242"/>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Amortization/accretion of investment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(5,304)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5"/>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Non-cash lease expense</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433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290</w:t>
            </w:r>
          </w:p>
        </w:tc>
      </w:tr>
      <w:tr>
        <w:trPr>
          <w:trHeight w:val="245"/>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Non-cash interest expense</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127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2"/>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Other non-cash items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(27</w:t>
            </w:r>
            <w:r>
              <w:rPr>
                <w:rFonts w:ascii="Arial" w:cs="Arial" w:eastAsia="Arial" w:hAnsi="Arial"/>
                <w:sz w:val="20"/>
                <w:szCs w:val="20"/>
                <w:b w:val="1"/>
                <w:bCs w:val="1"/>
                <w:color w:val="auto"/>
                <w:shd w:val="clear" w:color="auto" w:fill="E1E1E1"/>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5"/>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Changes in operating assets and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2"/>
        </w:trPr>
        <w:tc>
          <w:tcPr>
            <w:tcW w:w="7640" w:type="dxa"/>
            <w:vAlign w:val="bottom"/>
          </w:tcPr>
          <w:p>
            <w:pPr>
              <w:ind w:left="600"/>
              <w:spacing w:after="0"/>
              <w:rPr>
                <w:sz w:val="20"/>
                <w:szCs w:val="20"/>
                <w:color w:val="auto"/>
              </w:rPr>
            </w:pPr>
            <w:r>
              <w:rPr>
                <w:rFonts w:ascii="Arial" w:cs="Arial" w:eastAsia="Arial" w:hAnsi="Arial"/>
                <w:sz w:val="20"/>
                <w:szCs w:val="20"/>
                <w:b w:val="1"/>
                <w:bCs w:val="1"/>
                <w:color w:val="auto"/>
              </w:rPr>
              <w:t>Prepaid expenses and other current assets</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1,571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(1,166)</w:t>
            </w:r>
          </w:p>
        </w:tc>
      </w:tr>
      <w:tr>
        <w:trPr>
          <w:trHeight w:val="245"/>
        </w:trPr>
        <w:tc>
          <w:tcPr>
            <w:tcW w:w="7640" w:type="dxa"/>
            <w:vAlign w:val="bottom"/>
          </w:tcPr>
          <w:p>
            <w:pPr>
              <w:ind w:left="600"/>
              <w:spacing w:after="0"/>
              <w:rPr>
                <w:sz w:val="20"/>
                <w:szCs w:val="20"/>
                <w:color w:val="auto"/>
              </w:rPr>
            </w:pPr>
            <w:r>
              <w:rPr>
                <w:rFonts w:ascii="Arial" w:cs="Arial" w:eastAsia="Arial" w:hAnsi="Arial"/>
                <w:sz w:val="20"/>
                <w:szCs w:val="20"/>
                <w:b w:val="1"/>
                <w:bCs w:val="1"/>
                <w:color w:val="auto"/>
              </w:rPr>
              <w:t>Accounts payable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(4,681)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(3,741)</w:t>
            </w:r>
          </w:p>
        </w:tc>
      </w:tr>
      <w:tr>
        <w:trPr>
          <w:trHeight w:val="245"/>
        </w:trPr>
        <w:tc>
          <w:tcPr>
            <w:tcW w:w="7640" w:type="dxa"/>
            <w:vAlign w:val="bottom"/>
          </w:tcPr>
          <w:p>
            <w:pPr>
              <w:ind w:left="600"/>
              <w:spacing w:after="0"/>
              <w:rPr>
                <w:sz w:val="20"/>
                <w:szCs w:val="20"/>
                <w:color w:val="auto"/>
              </w:rPr>
            </w:pPr>
            <w:r>
              <w:rPr>
                <w:rFonts w:ascii="Arial" w:cs="Arial" w:eastAsia="Arial" w:hAnsi="Arial"/>
                <w:sz w:val="20"/>
                <w:szCs w:val="20"/>
                <w:b w:val="1"/>
                <w:bCs w:val="1"/>
                <w:color w:val="auto"/>
              </w:rPr>
              <w:t>Accrued external research and development expenses</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5,155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169</w:t>
            </w:r>
          </w:p>
        </w:tc>
      </w:tr>
      <w:tr>
        <w:trPr>
          <w:trHeight w:val="242"/>
        </w:trPr>
        <w:tc>
          <w:tcPr>
            <w:tcW w:w="7640" w:type="dxa"/>
            <w:vAlign w:val="bottom"/>
          </w:tcPr>
          <w:p>
            <w:pPr>
              <w:ind w:left="600"/>
              <w:spacing w:after="0"/>
              <w:rPr>
                <w:sz w:val="20"/>
                <w:szCs w:val="20"/>
                <w:color w:val="auto"/>
              </w:rPr>
            </w:pPr>
            <w:r>
              <w:rPr>
                <w:rFonts w:ascii="Arial" w:cs="Arial" w:eastAsia="Arial" w:hAnsi="Arial"/>
                <w:sz w:val="20"/>
                <w:szCs w:val="20"/>
                <w:b w:val="1"/>
                <w:bCs w:val="1"/>
                <w:color w:val="auto"/>
              </w:rPr>
              <w:t>Other accrued expenses</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1,681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1,839</w:t>
            </w:r>
          </w:p>
        </w:tc>
      </w:tr>
      <w:tr>
        <w:trPr>
          <w:trHeight w:val="245"/>
        </w:trPr>
        <w:tc>
          <w:tcPr>
            <w:tcW w:w="7640" w:type="dxa"/>
            <w:vAlign w:val="bottom"/>
          </w:tcPr>
          <w:p>
            <w:pPr>
              <w:ind w:left="600"/>
              <w:spacing w:after="0"/>
              <w:rPr>
                <w:sz w:val="20"/>
                <w:szCs w:val="20"/>
                <w:color w:val="auto"/>
              </w:rPr>
            </w:pPr>
            <w:r>
              <w:rPr>
                <w:rFonts w:ascii="Arial" w:cs="Arial" w:eastAsia="Arial" w:hAnsi="Arial"/>
                <w:sz w:val="20"/>
                <w:szCs w:val="20"/>
                <w:b w:val="1"/>
                <w:bCs w:val="1"/>
                <w:color w:val="auto"/>
              </w:rPr>
              <w:t>Operating lease liabilities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(495)</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w:t>
            </w:r>
            <w:r>
              <w:rPr>
                <w:rFonts w:ascii="Arial" w:cs="Arial" w:eastAsia="Arial" w:hAnsi="Arial"/>
                <w:sz w:val="20"/>
                <w:szCs w:val="20"/>
                <w:b w:val="1"/>
                <w:bCs w:val="1"/>
                <w:color w:val="auto"/>
                <w:shd w:val="clear" w:color="auto" w:fill="E1E1E1"/>
              </w:rPr>
              <w:t>)</w:t>
            </w:r>
          </w:p>
        </w:tc>
      </w:tr>
      <w:tr>
        <w:trPr>
          <w:trHeight w:val="234"/>
        </w:trPr>
        <w:tc>
          <w:tcPr>
            <w:tcW w:w="7640" w:type="dxa"/>
            <w:vAlign w:val="bottom"/>
          </w:tcPr>
          <w:p>
            <w:pPr>
              <w:ind w:left="800"/>
              <w:spacing w:after="0"/>
              <w:rPr>
                <w:sz w:val="20"/>
                <w:szCs w:val="20"/>
                <w:color w:val="auto"/>
              </w:rPr>
            </w:pPr>
            <w:r>
              <w:rPr>
                <w:rFonts w:ascii="Arial" w:cs="Arial" w:eastAsia="Arial" w:hAnsi="Arial"/>
                <w:sz w:val="20"/>
                <w:szCs w:val="20"/>
                <w:b w:val="1"/>
                <w:bCs w:val="1"/>
                <w:color w:val="auto"/>
              </w:rPr>
              <w:t>Net cash used in operating activities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(93,926</w:t>
            </w:r>
            <w:r>
              <w:rPr>
                <w:rFonts w:ascii="Arial" w:cs="Arial" w:eastAsia="Arial" w:hAnsi="Arial"/>
                <w:sz w:val="20"/>
                <w:szCs w:val="20"/>
                <w:b w:val="1"/>
                <w:bCs w:val="1"/>
                <w:color w:val="auto"/>
                <w:highlight w:val="white"/>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(73,462</w:t>
            </w:r>
            <w:r>
              <w:rPr>
                <w:rFonts w:ascii="Arial" w:cs="Arial" w:eastAsia="Arial" w:hAnsi="Arial"/>
                <w:sz w:val="20"/>
                <w:szCs w:val="20"/>
                <w:b w:val="1"/>
                <w:bCs w:val="1"/>
                <w:color w:val="auto"/>
                <w:highlight w:val="white"/>
              </w:rPr>
              <w:t>)</w:t>
            </w:r>
          </w:p>
        </w:tc>
      </w:tr>
      <w:tr>
        <w:trPr>
          <w:trHeight w:val="234"/>
        </w:trPr>
        <w:tc>
          <w:tcPr>
            <w:tcW w:w="764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2"/>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Purchases of property and equipment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(505)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(89</w:t>
            </w:r>
            <w:r>
              <w:rPr>
                <w:rFonts w:ascii="Arial" w:cs="Arial" w:eastAsia="Arial" w:hAnsi="Arial"/>
                <w:sz w:val="20"/>
                <w:szCs w:val="20"/>
                <w:b w:val="1"/>
                <w:bCs w:val="1"/>
                <w:color w:val="auto"/>
                <w:highlight w:val="white"/>
              </w:rPr>
              <w:t>)</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Purchases of 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(386,627)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Maturities of marketable securities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94,800</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34"/>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(292,332)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(89</w:t>
            </w:r>
            <w:r>
              <w:rPr>
                <w:rFonts w:ascii="Arial" w:cs="Arial" w:eastAsia="Arial" w:hAnsi="Arial"/>
                <w:sz w:val="20"/>
                <w:szCs w:val="20"/>
                <w:b w:val="1"/>
                <w:bCs w:val="1"/>
                <w:color w:val="auto"/>
                <w:shd w:val="clear" w:color="auto" w:fill="E1E1E1"/>
              </w:rPr>
              <w:t>)</w:t>
            </w:r>
          </w:p>
        </w:tc>
      </w:tr>
      <w:tr>
        <w:trPr>
          <w:trHeight w:val="232"/>
        </w:trPr>
        <w:tc>
          <w:tcPr>
            <w:tcW w:w="7640" w:type="dxa"/>
            <w:vAlign w:val="bottom"/>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Proceeds from issuance of long-term debt, net of issuance costs paid</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28,988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Payment of debt issuance costs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(1,393)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2"/>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Proceeds from sale of common stock in offerings, net of issuance costs paid</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172,512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199,078</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w w:val="94"/>
              </w:rPr>
              <w:t>Proceeds from sale of pre-funded warrants in offerings, net of issuance costs paid</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b w:val="1"/>
                <w:bCs w:val="1"/>
                <w:color w:val="auto"/>
              </w:rPr>
              <w:t>37,579</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w w:val="85"/>
              </w:rPr>
              <w:t>Proceeds from sale of common stock in at-the-market offerings, net of issuance costs paid</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14,790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42"/>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Proceeds from stock option exercises</w:t>
            </w: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2,976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2,722</w:t>
            </w:r>
          </w:p>
        </w:tc>
      </w:tr>
      <w:tr>
        <w:trPr>
          <w:trHeight w:val="245"/>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Contributions from employee stock purchase plan</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441</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w:t>
            </w:r>
          </w:p>
        </w:tc>
      </w:tr>
      <w:tr>
        <w:trPr>
          <w:trHeight w:val="234"/>
        </w:trPr>
        <w:tc>
          <w:tcPr>
            <w:tcW w:w="7640" w:type="dxa"/>
            <w:vAlign w:val="bottom"/>
          </w:tcPr>
          <w:p>
            <w:pPr>
              <w:ind w:left="400"/>
              <w:spacing w:after="0"/>
              <w:rPr>
                <w:sz w:val="20"/>
                <w:szCs w:val="20"/>
                <w:color w:val="auto"/>
              </w:rPr>
            </w:pPr>
            <w:r>
              <w:rPr>
                <w:rFonts w:ascii="Arial" w:cs="Arial" w:eastAsia="Arial" w:hAnsi="Arial"/>
                <w:sz w:val="20"/>
                <w:szCs w:val="20"/>
                <w:b w:val="1"/>
                <w:bCs w:val="1"/>
                <w:color w:val="auto"/>
              </w:rPr>
              <w:t>Net cash provided by financing activities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218,314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239,379</w:t>
            </w:r>
          </w:p>
        </w:tc>
      </w:tr>
      <w:tr>
        <w:trPr>
          <w:trHeight w:val="234"/>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Net (decrease) increase in cash, cash equivalents and restricted cash</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(167,944)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165,828</w:t>
            </w:r>
          </w:p>
        </w:tc>
      </w:tr>
      <w:tr>
        <w:trPr>
          <w:trHeight w:val="242"/>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Cash, cash equivalents and restricted cash, beginning of period</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360,616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194,788</w:t>
            </w:r>
          </w:p>
        </w:tc>
      </w:tr>
      <w:tr>
        <w:trPr>
          <w:trHeight w:val="234"/>
        </w:trPr>
        <w:tc>
          <w:tcPr>
            <w:tcW w:w="7640" w:type="dxa"/>
            <w:vAlign w:val="bottom"/>
          </w:tcPr>
          <w:p>
            <w:pPr>
              <w:ind w:left="200"/>
              <w:spacing w:after="0"/>
              <w:rPr>
                <w:sz w:val="20"/>
                <w:szCs w:val="20"/>
                <w:color w:val="auto"/>
              </w:rPr>
            </w:pPr>
            <w:r>
              <w:rPr>
                <w:rFonts w:ascii="Arial" w:cs="Arial" w:eastAsia="Arial" w:hAnsi="Arial"/>
                <w:sz w:val="20"/>
                <w:szCs w:val="20"/>
                <w:b w:val="1"/>
                <w:bCs w:val="1"/>
                <w:color w:val="auto"/>
              </w:rPr>
              <w:t>Cash, cash equivalents and restricted cash, end of period</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192,672</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b w:val="1"/>
                <w:bCs w:val="1"/>
                <w:color w:val="auto"/>
              </w:rPr>
              <w:t>360,616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-5174615</wp:posOffset>
            </wp:positionV>
            <wp:extent cx="6663690" cy="52177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5">
                      <a:extLst>
                        <a:ext uri="{28A0092B-C50C-407E-A947-70E740481C1C}"/>
                      </a:extLst>
                    </a:blip>
                    <a:srcRect/>
                    <a:stretch>
                      <a:fillRect/>
                    </a:stretch>
                  </pic:blipFill>
                  <pic:spPr bwMode="auto">
                    <a:xfrm>
                      <a:off x="0" y="0"/>
                      <a:ext cx="6663690" cy="5217795"/>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118</w:t>
      </w:r>
    </w:p>
    <w:p>
      <w:pPr>
        <w:sectPr>
          <w:pgSz w:w="12240" w:h="15840" w:orient="portrait"/>
          <w:cols w:equalWidth="0" w:num="1">
            <w:col w:w="10440"/>
          </w:cols>
          <w:pgMar w:left="900" w:top="949" w:right="900" w:bottom="181" w:gutter="0" w:footer="0" w:header="0"/>
          <w:type w:val="continuous"/>
        </w:sectPr>
      </w:pPr>
    </w:p>
    <w:bookmarkStart w:id="128" w:name="page129"/>
    <w:bookmarkEnd w:id="128"/>
    <w:p>
      <w:pPr>
        <w:jc w:val="center"/>
        <w:ind w:right="-19"/>
        <w:spacing w:after="0"/>
        <w:rPr>
          <w:sz w:val="20"/>
          <w:szCs w:val="20"/>
          <w:color w:val="auto"/>
        </w:rPr>
      </w:pPr>
      <w:r>
        <w:rPr>
          <w:rFonts w:ascii="Arial" w:cs="Arial" w:eastAsia="Arial" w:hAnsi="Arial"/>
          <w:sz w:val="20"/>
          <w:szCs w:val="20"/>
          <w:b w:val="1"/>
          <w:bCs w:val="1"/>
          <w:color w:val="auto"/>
        </w:rPr>
        <w:t>DISC MEDICINE,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CONSOLIDATED STATEMENTS OF CASH FLOWS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w:t>
      </w:r>
    </w:p>
    <w:p>
      <w:pPr>
        <w:spacing w:after="0" w:line="29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4846320</wp:posOffset>
                </wp:positionH>
                <wp:positionV relativeFrom="paragraph">
                  <wp:posOffset>3810</wp:posOffset>
                </wp:positionV>
                <wp:extent cx="178752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752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0.3pt" to="522.35pt,0.3pt" o:allowincell="f" strokecolor="#000000" strokeweight="0.6pt"/>
            </w:pict>
          </mc:Fallback>
        </mc:AlternateContent>
      </w:r>
    </w:p>
    <w:p>
      <w:pPr>
        <w:spacing w:after="0" w:line="50" w:lineRule="exact"/>
        <w:rPr>
          <w:sz w:val="20"/>
          <w:szCs w:val="20"/>
          <w:color w:val="auto"/>
        </w:rPr>
      </w:pPr>
    </w:p>
    <w:p>
      <w:pPr>
        <w:jc w:val="both"/>
        <w:ind w:left="8080"/>
        <w:spacing w:after="0"/>
        <w:tabs>
          <w:tab w:leader="none" w:pos="95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663690" cy="2175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6">
                      <a:extLst>
                        <a:ext uri="{28A0092B-C50C-407E-A947-70E740481C1C}"/>
                      </a:extLst>
                    </a:blip>
                    <a:srcRect/>
                    <a:stretch>
                      <a:fillRect/>
                    </a:stretch>
                  </pic:blipFill>
                  <pic:spPr bwMode="auto">
                    <a:xfrm>
                      <a:off x="0" y="0"/>
                      <a:ext cx="6663690" cy="2175510"/>
                    </a:xfrm>
                    <a:prstGeom prst="rect">
                      <a:avLst/>
                    </a:prstGeom>
                    <a:noFill/>
                  </pic:spPr>
                </pic:pic>
              </a:graphicData>
            </a:graphic>
          </wp:anchor>
        </w:drawing>
      </w:r>
    </w:p>
    <w:p>
      <w:pPr>
        <w:sectPr>
          <w:pgSz w:w="12240" w:h="15840" w:orient="portrait"/>
          <w:cols w:equalWidth="0" w:num="1">
            <w:col w:w="10420"/>
          </w:cols>
          <w:pgMar w:left="900" w:top="949" w:right="920" w:bottom="181"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Cash paid for income taxes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Cash paid for interest</w:t>
      </w:r>
    </w:p>
    <w:p>
      <w:pPr>
        <w:spacing w:after="0" w:line="25" w:lineRule="exact"/>
        <w:rPr>
          <w:sz w:val="20"/>
          <w:szCs w:val="20"/>
          <w:color w:val="auto"/>
        </w:rPr>
      </w:pPr>
    </w:p>
    <w:p>
      <w:pPr>
        <w:ind w:right="700" w:firstLine="199"/>
        <w:spacing w:after="0" w:line="244" w:lineRule="auto"/>
        <w:rPr>
          <w:sz w:val="20"/>
          <w:szCs w:val="20"/>
          <w:color w:val="auto"/>
        </w:rPr>
      </w:pPr>
      <w:r>
        <w:rPr>
          <w:rFonts w:ascii="Arial" w:cs="Arial" w:eastAsia="Arial" w:hAnsi="Arial"/>
          <w:sz w:val="20"/>
          <w:szCs w:val="20"/>
          <w:b w:val="1"/>
          <w:bCs w:val="1"/>
          <w:color w:val="auto"/>
        </w:rPr>
        <w:t>Cash paid for amounts included in the measurement of operating lease liabilities Supplemental disclosure of non-cash activities</w:t>
      </w:r>
    </w:p>
    <w:p>
      <w:pPr>
        <w:spacing w:after="0" w:line="20" w:lineRule="exact"/>
        <w:rPr>
          <w:sz w:val="20"/>
          <w:szCs w:val="20"/>
          <w:color w:val="auto"/>
        </w:rPr>
      </w:pPr>
    </w:p>
    <w:p>
      <w:pPr>
        <w:ind w:left="200"/>
        <w:spacing w:after="0" w:line="300" w:lineRule="auto"/>
        <w:rPr>
          <w:sz w:val="20"/>
          <w:szCs w:val="20"/>
          <w:color w:val="auto"/>
        </w:rPr>
      </w:pPr>
      <w:r>
        <w:rPr>
          <w:rFonts w:ascii="Arial" w:cs="Arial" w:eastAsia="Arial" w:hAnsi="Arial"/>
          <w:sz w:val="17"/>
          <w:szCs w:val="17"/>
          <w:b w:val="1"/>
          <w:bCs w:val="1"/>
          <w:color w:val="auto"/>
        </w:rPr>
        <w:t>Purchases of property and equipment included in accounts payable and accrued expenses Right-of-use assets obtained in exchange for new operating lease liabilities</w:t>
      </w:r>
    </w:p>
    <w:p>
      <w:pPr>
        <w:spacing w:after="0" w:line="1" w:lineRule="exact"/>
        <w:rPr>
          <w:sz w:val="20"/>
          <w:szCs w:val="20"/>
          <w:color w:val="auto"/>
        </w:rPr>
      </w:pPr>
    </w:p>
    <w:p>
      <w:pPr>
        <w:ind w:left="200" w:right="800"/>
        <w:spacing w:after="0" w:line="234" w:lineRule="auto"/>
        <w:rPr>
          <w:sz w:val="20"/>
          <w:szCs w:val="20"/>
          <w:color w:val="auto"/>
        </w:rPr>
      </w:pPr>
      <w:r>
        <w:rPr>
          <w:rFonts w:ascii="Arial" w:cs="Arial" w:eastAsia="Arial" w:hAnsi="Arial"/>
          <w:sz w:val="20"/>
          <w:szCs w:val="20"/>
          <w:b w:val="1"/>
          <w:bCs w:val="1"/>
          <w:color w:val="auto"/>
        </w:rPr>
        <w:t>Net increase (decrease) in right-of-use assets related to lease modifications and reassessment events</w:t>
      </w:r>
    </w:p>
    <w:p>
      <w:pPr>
        <w:spacing w:after="0" w:line="24" w:lineRule="exact"/>
        <w:rPr>
          <w:sz w:val="20"/>
          <w:szCs w:val="20"/>
          <w:color w:val="auto"/>
        </w:rPr>
      </w:pPr>
    </w:p>
    <w:p>
      <w:pPr>
        <w:ind w:left="200" w:right="260"/>
        <w:spacing w:after="0" w:line="234" w:lineRule="auto"/>
        <w:rPr>
          <w:sz w:val="20"/>
          <w:szCs w:val="20"/>
          <w:color w:val="auto"/>
        </w:rPr>
      </w:pPr>
      <w:r>
        <w:rPr>
          <w:rFonts w:ascii="Arial" w:cs="Arial" w:eastAsia="Arial" w:hAnsi="Arial"/>
          <w:sz w:val="20"/>
          <w:szCs w:val="20"/>
          <w:b w:val="1"/>
          <w:bCs w:val="1"/>
          <w:color w:val="auto"/>
        </w:rPr>
        <w:t>Net increase (decrease) in operating lease liabilities related to lease modifications and reassessment events</w:t>
      </w:r>
    </w:p>
    <w:p>
      <w:pPr>
        <w:spacing w:after="0" w:line="27" w:lineRule="exact"/>
        <w:rPr>
          <w:sz w:val="20"/>
          <w:szCs w:val="20"/>
          <w:color w:val="auto"/>
        </w:rPr>
      </w:pPr>
    </w:p>
    <w:p>
      <w:pPr>
        <w:ind w:left="200" w:right="500"/>
        <w:spacing w:after="0" w:line="233" w:lineRule="auto"/>
        <w:rPr>
          <w:sz w:val="20"/>
          <w:szCs w:val="20"/>
          <w:color w:val="auto"/>
        </w:rPr>
      </w:pPr>
      <w:r>
        <w:rPr>
          <w:rFonts w:ascii="Arial" w:cs="Arial" w:eastAsia="Arial" w:hAnsi="Arial"/>
          <w:sz w:val="20"/>
          <w:szCs w:val="20"/>
          <w:b w:val="1"/>
          <w:bCs w:val="1"/>
          <w:color w:val="auto"/>
        </w:rPr>
        <w:t>Deferred issuance costs on sale of pre-funded warrants in registered direct offering included in accounts payable and accrued expenses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Receivable for proceeds from stock option exercises included in other current assets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299</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r>
        <w:trPr>
          <w:trHeight w:val="242"/>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198</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718</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186</w:t>
            </w:r>
          </w:p>
        </w:tc>
      </w:tr>
      <w:tr>
        <w:trPr>
          <w:trHeight w:val="487"/>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245</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245"/>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1,106</w:t>
            </w:r>
          </w:p>
        </w:tc>
      </w:tr>
      <w:tr>
        <w:trPr>
          <w:trHeight w:val="360"/>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72</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(317)</w:t>
            </w:r>
          </w:p>
        </w:tc>
      </w:tr>
      <w:tr>
        <w:trPr>
          <w:trHeight w:val="473"/>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72</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(287)</w:t>
            </w:r>
          </w:p>
        </w:tc>
      </w:tr>
      <w:tr>
        <w:trPr>
          <w:trHeight w:val="475"/>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225</w:t>
            </w:r>
          </w:p>
        </w:tc>
      </w:tr>
      <w:tr>
        <w:trPr>
          <w:trHeight w:val="358"/>
        </w:trPr>
        <w:tc>
          <w:tcPr>
            <w:tcW w:w="500" w:type="dxa"/>
            <w:vAlign w:val="bottom"/>
          </w:tcPr>
          <w:p>
            <w:pPr>
              <w:jc w:val="right"/>
              <w:ind w:right="300"/>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20"/>
                <w:szCs w:val="20"/>
                <w:b w:val="1"/>
                <w:bCs w:val="1"/>
                <w:color w:val="auto"/>
              </w:rPr>
              <w:t>114</w:t>
            </w:r>
          </w:p>
        </w:tc>
        <w:tc>
          <w:tcPr>
            <w:tcW w:w="560" w:type="dxa"/>
            <w:vAlign w:val="bottom"/>
          </w:tcPr>
          <w:p>
            <w:pPr>
              <w:jc w:val="right"/>
              <w:ind w:right="2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bl>
    <w:p>
      <w:pPr>
        <w:spacing w:after="0" w:line="200" w:lineRule="exact"/>
        <w:rPr>
          <w:sz w:val="20"/>
          <w:szCs w:val="20"/>
          <w:color w:val="auto"/>
        </w:rPr>
      </w:pPr>
    </w:p>
    <w:p>
      <w:pPr>
        <w:sectPr>
          <w:pgSz w:w="12240" w:h="15840" w:orient="portrait"/>
          <w:cols w:equalWidth="0" w:num="2">
            <w:col w:w="7320" w:space="320"/>
            <w:col w:w="2780"/>
          </w:cols>
          <w:pgMar w:left="900" w:top="949" w:right="920" w:bottom="181" w:gutter="0" w:footer="0" w:header="0"/>
          <w:type w:val="continuous"/>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accompanying notes are an integral part of these consolidated financial statements.</w:t>
      </w:r>
    </w:p>
    <w:p>
      <w:pPr>
        <w:sectPr>
          <w:pgSz w:w="12240" w:h="15840" w:orient="portrait"/>
          <w:cols w:equalWidth="0" w:num="1">
            <w:col w:w="10420"/>
          </w:cols>
          <w:pgMar w:left="900" w:top="949" w:right="92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119</w:t>
      </w:r>
    </w:p>
    <w:p>
      <w:pPr>
        <w:sectPr>
          <w:pgSz w:w="12240" w:h="15840" w:orient="portrait"/>
          <w:cols w:equalWidth="0" w:num="1">
            <w:col w:w="10420"/>
          </w:cols>
          <w:pgMar w:left="900" w:top="949" w:right="920" w:bottom="181"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DISC MEDICINE, INC.</w:t>
      </w:r>
    </w:p>
    <w:p>
      <w:pPr>
        <w:jc w:val="center"/>
        <w:spacing w:after="0" w:line="237" w:lineRule="auto"/>
        <w:rPr>
          <w:sz w:val="20"/>
          <w:szCs w:val="20"/>
          <w:color w:val="auto"/>
        </w:rPr>
      </w:pPr>
      <w:r>
        <w:rPr>
          <w:rFonts w:ascii="Arial" w:cs="Arial" w:eastAsia="Arial" w:hAnsi="Arial"/>
          <w:sz w:val="20"/>
          <w:szCs w:val="20"/>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Nature of the Business</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30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Reverse Merger with Gemini</w:t>
      </w:r>
    </w:p>
    <w:p>
      <w:pPr>
        <w:spacing w:after="0" w:line="12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12"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76"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7"/>
          <w:szCs w:val="17"/>
          <w:b w:val="1"/>
          <w:bCs w:val="1"/>
          <w:color w:val="auto"/>
        </w:rPr>
        <w:t>In connection with the merger, each person who was a stockholder of record of Gemini or had the right to receive Gemini’s common stock received a contractual contingent value right (“CVR”) issued by Gemini subject to and in accordance with the terms and conditions of a Contingent Value Rights Agreement (the “CVR Agreement”), representing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period that is one year after the closing of the merger, calculated in accordance with the CVR Agreement.</w:t>
      </w:r>
    </w:p>
    <w:p>
      <w:pPr>
        <w:spacing w:after="0" w:line="91" w:lineRule="exact"/>
        <w:rPr>
          <w:sz w:val="20"/>
          <w:szCs w:val="20"/>
          <w:color w:val="auto"/>
        </w:rPr>
      </w:pPr>
    </w:p>
    <w:p>
      <w:pPr>
        <w:jc w:val="both"/>
        <w:ind w:firstLine="490"/>
        <w:spacing w:after="0"/>
        <w:rPr>
          <w:sz w:val="20"/>
          <w:szCs w:val="20"/>
          <w:color w:val="auto"/>
        </w:rPr>
      </w:pPr>
      <w:r>
        <w:rPr>
          <w:rFonts w:ascii="Arial" w:cs="Arial" w:eastAsia="Arial" w:hAnsi="Arial"/>
          <w:sz w:val="19"/>
          <w:szCs w:val="19"/>
          <w:b w:val="1"/>
          <w:bCs w:val="1"/>
          <w:color w:val="auto"/>
        </w:rPr>
        <w:t>To satisfy its obligations with respect to the CVRs and the Gemini IP, the Company hired an outside firm to attempt to sell the Gemini IP, which firm previously was unsuccessful in finding a buyer for the Gemini IP. In June 2023, the Company received an offer for the Gemini IP and recorded a $1.5 million liability representing the estimated fair value of the Company’s obligation to the holders of the CVRs based on the offer. However, the counterparty and the Company were unable to come to an agreement on the terms of the offer.</w:t>
      </w:r>
    </w:p>
    <w:p>
      <w:pPr>
        <w:spacing w:after="0" w:line="120"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b w:val="1"/>
          <w:bCs w:val="1"/>
          <w:color w:val="auto"/>
        </w:rPr>
        <w:t>The disposition period ended December 29, 2023 and no dispositions of Gemini's pre-merger assets were made during the disposition period. Therefore, there were no CVR payments made to the holders and there will not be any future CVR payments to the holders (see Note 3 - Fair Value Measurements ). As such, the Company’s obligations under the CVR Agreement have expired and the CVRs are valueless. In December 2023, the Company recognized the reversal of the $1.5 million liability in the consolidated statements of operations and comprehensive loss. The Company generated no revenue from Gemini’s pre-merger assets and incurred approximately $1.6 million in aggregate costs (including maintenance of license agreements, storage, legal and other fees) for the year ended December 31, 2023, to maintain Gemini’s pre-merger assets solely in order to fulfill the Company’s obligations under the CVR Agreement.</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120</w:t>
      </w:r>
    </w:p>
    <w:p>
      <w:pPr>
        <w:sectPr>
          <w:pgSz w:w="12240" w:h="15840" w:orient="portrait"/>
          <w:cols w:equalWidth="0" w:num="1">
            <w:col w:w="10440"/>
          </w:cols>
          <w:pgMar w:left="900" w:top="949" w:right="900" w:bottom="181" w:gutter="0" w:footer="0" w:header="0"/>
          <w:type w:val="continuous"/>
        </w:sectPr>
      </w:pPr>
    </w:p>
    <w:bookmarkStart w:id="130" w:name="page131"/>
    <w:bookmarkEnd w:id="130"/>
    <w:p>
      <w:pPr>
        <w:ind w:left="7"/>
        <w:spacing w:after="0"/>
        <w:rPr>
          <w:sz w:val="20"/>
          <w:szCs w:val="20"/>
          <w:color w:val="auto"/>
        </w:rPr>
      </w:pPr>
      <w:r>
        <w:rPr>
          <w:rFonts w:ascii="Arial" w:cs="Arial" w:eastAsia="Arial" w:hAnsi="Arial"/>
          <w:sz w:val="20"/>
          <w:szCs w:val="20"/>
          <w:b w:val="1"/>
          <w:bCs w:val="1"/>
          <w:color w:val="auto"/>
        </w:rPr>
        <w:t>Liquidity and Capital Resources</w:t>
      </w:r>
    </w:p>
    <w:p>
      <w:pPr>
        <w:spacing w:after="0" w:line="129" w:lineRule="exact"/>
        <w:rPr>
          <w:sz w:val="20"/>
          <w:szCs w:val="20"/>
          <w:color w:val="auto"/>
        </w:rPr>
      </w:pPr>
    </w:p>
    <w:p>
      <w:pPr>
        <w:jc w:val="both"/>
        <w:ind w:left="7" w:firstLine="490"/>
        <w:spacing w:after="0" w:line="285" w:lineRule="auto"/>
        <w:rPr>
          <w:sz w:val="20"/>
          <w:szCs w:val="20"/>
          <w:color w:val="auto"/>
        </w:rPr>
      </w:pPr>
      <w:r>
        <w:rPr>
          <w:rFonts w:ascii="Arial" w:cs="Arial" w:eastAsia="Arial" w:hAnsi="Arial"/>
          <w:sz w:val="17"/>
          <w:szCs w:val="17"/>
          <w:b w:val="1"/>
          <w:bCs w:val="1"/>
          <w:color w:val="auto"/>
        </w:rPr>
        <w:t>The Company’s consolidated financial statements have been prepared on the basis of the Company continuing as a going concern. The Company expects that its existing cash, cash equivalents and marketable securities as of December 31, 2024 of $489.9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2024, the Company had an accumulated deficit of $298.0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219" w:lineRule="exact"/>
        <w:rPr>
          <w:sz w:val="20"/>
          <w:szCs w:val="20"/>
          <w:color w:val="auto"/>
        </w:rPr>
      </w:pPr>
    </w:p>
    <w:p>
      <w:pPr>
        <w:ind w:left="7" w:right="6020" w:hanging="7"/>
        <w:spacing w:after="0" w:line="428" w:lineRule="auto"/>
        <w:tabs>
          <w:tab w:leader="none" w:pos="20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jc w:val="both"/>
        <w:ind w:left="7" w:firstLine="490"/>
        <w:spacing w:after="0" w:line="272" w:lineRule="auto"/>
        <w:rPr>
          <w:sz w:val="20"/>
          <w:szCs w:val="20"/>
          <w:color w:val="auto"/>
        </w:rPr>
      </w:pPr>
      <w:r>
        <w:rPr>
          <w:rFonts w:ascii="Arial" w:cs="Arial" w:eastAsia="Arial" w:hAnsi="Arial"/>
          <w:sz w:val="18"/>
          <w:szCs w:val="18"/>
          <w:b w:val="1"/>
          <w:bCs w:val="1"/>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01" w:lineRule="exact"/>
        <w:rPr>
          <w:sz w:val="20"/>
          <w:szCs w:val="20"/>
          <w:color w:val="auto"/>
        </w:rPr>
      </w:pPr>
    </w:p>
    <w:p>
      <w:pPr>
        <w:ind w:left="487"/>
        <w:spacing w:after="0"/>
        <w:rPr>
          <w:sz w:val="20"/>
          <w:szCs w:val="20"/>
          <w:color w:val="auto"/>
        </w:rPr>
      </w:pPr>
      <w:r>
        <w:rPr>
          <w:rFonts w:ascii="Arial" w:cs="Arial" w:eastAsia="Arial" w:hAnsi="Arial"/>
          <w:sz w:val="15"/>
          <w:szCs w:val="15"/>
          <w:b w:val="1"/>
          <w:bCs w:val="1"/>
          <w:color w:val="auto"/>
        </w:rPr>
        <w:t>The accompanying consolidated financial statements include the accounts of the Company and its wholly-owned subsidiaries.</w:t>
      </w:r>
    </w:p>
    <w:p>
      <w:pPr>
        <w:spacing w:after="0" w:line="4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All intercompany transactions and balances have been eliminated in consolidation.</w:t>
      </w:r>
    </w:p>
    <w:p>
      <w:pPr>
        <w:spacing w:after="0" w:line="131" w:lineRule="exact"/>
        <w:rPr>
          <w:sz w:val="20"/>
          <w:szCs w:val="20"/>
          <w:color w:val="auto"/>
        </w:rPr>
      </w:pPr>
    </w:p>
    <w:p>
      <w:pPr>
        <w:jc w:val="both"/>
        <w:ind w:left="7" w:firstLine="490"/>
        <w:spacing w:after="0" w:line="297" w:lineRule="auto"/>
        <w:rPr>
          <w:sz w:val="20"/>
          <w:szCs w:val="20"/>
          <w:color w:val="auto"/>
        </w:rPr>
      </w:pPr>
      <w:r>
        <w:rPr>
          <w:rFonts w:ascii="Arial" w:cs="Arial" w:eastAsia="Arial" w:hAnsi="Arial"/>
          <w:sz w:val="17"/>
          <w:szCs w:val="17"/>
          <w:b w:val="1"/>
          <w:bCs w:val="1"/>
          <w:color w:val="auto"/>
        </w:rPr>
        <w:t>Certain reclassifications have been made to prior periods to conform to current period presentation. Reclassification of prior year amounts have been made to separately present accrued external research and development costs from other accrued expenses. There was no impact on total current liabilities or total liabilities resulting from these reclassifications.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Use of Estimates</w:t>
      </w:r>
    </w:p>
    <w:p>
      <w:pPr>
        <w:spacing w:after="0" w:line="129" w:lineRule="exact"/>
        <w:rPr>
          <w:sz w:val="20"/>
          <w:szCs w:val="20"/>
          <w:color w:val="auto"/>
        </w:rPr>
      </w:pPr>
    </w:p>
    <w:p>
      <w:pPr>
        <w:jc w:val="both"/>
        <w:ind w:left="7" w:firstLine="490"/>
        <w:spacing w:after="0" w:line="286" w:lineRule="auto"/>
        <w:rPr>
          <w:sz w:val="20"/>
          <w:szCs w:val="20"/>
          <w:color w:val="auto"/>
        </w:rPr>
      </w:pPr>
      <w:r>
        <w:rPr>
          <w:rFonts w:ascii="Arial" w:cs="Arial" w:eastAsia="Arial" w:hAnsi="Arial"/>
          <w:sz w:val="17"/>
          <w:szCs w:val="17"/>
          <w:b w:val="1"/>
          <w:bCs w:val="1"/>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Segment Information</w:t>
      </w:r>
    </w:p>
    <w:p>
      <w:pPr>
        <w:spacing w:after="0" w:line="131" w:lineRule="exact"/>
        <w:rPr>
          <w:sz w:val="20"/>
          <w:szCs w:val="20"/>
          <w:color w:val="auto"/>
        </w:rPr>
      </w:pPr>
    </w:p>
    <w:p>
      <w:pPr>
        <w:jc w:val="both"/>
        <w:ind w:left="7" w:firstLine="490"/>
        <w:spacing w:after="0" w:line="289" w:lineRule="auto"/>
        <w:rPr>
          <w:sz w:val="20"/>
          <w:szCs w:val="20"/>
          <w:color w:val="auto"/>
        </w:rPr>
      </w:pPr>
      <w:r>
        <w:rPr>
          <w:rFonts w:ascii="Arial" w:cs="Arial" w:eastAsia="Arial" w:hAnsi="Arial"/>
          <w:sz w:val="17"/>
          <w:szCs w:val="17"/>
          <w:b w:val="1"/>
          <w:bCs w:val="1"/>
          <w:color w:val="auto"/>
        </w:rPr>
        <w:t>The Company manages its operations as a single operating segment for the purposes of assessing performance and making operating decisions, resulting in a single reportable segment.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 See Note 17 - Segment Information for additional details.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Concentration of Credit Risk and of Significant Suppliers</w:t>
      </w:r>
    </w:p>
    <w:p>
      <w:pPr>
        <w:spacing w:after="0" w:line="131" w:lineRule="exact"/>
        <w:rPr>
          <w:sz w:val="20"/>
          <w:szCs w:val="20"/>
          <w:color w:val="auto"/>
        </w:rPr>
      </w:pPr>
    </w:p>
    <w:p>
      <w:pPr>
        <w:jc w:val="both"/>
        <w:ind w:left="7" w:firstLine="490"/>
        <w:spacing w:after="0" w:line="252" w:lineRule="auto"/>
        <w:rPr>
          <w:sz w:val="20"/>
          <w:szCs w:val="20"/>
          <w:color w:val="auto"/>
        </w:rPr>
      </w:pPr>
      <w:r>
        <w:rPr>
          <w:rFonts w:ascii="Arial" w:cs="Arial" w:eastAsia="Arial" w:hAnsi="Arial"/>
          <w:sz w:val="19"/>
          <w:szCs w:val="19"/>
          <w:b w:val="1"/>
          <w:bCs w:val="1"/>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123" w:lineRule="exact"/>
        <w:rPr>
          <w:sz w:val="20"/>
          <w:szCs w:val="20"/>
          <w:color w:val="auto"/>
        </w:rPr>
      </w:pPr>
    </w:p>
    <w:p>
      <w:pPr>
        <w:jc w:val="both"/>
        <w:ind w:left="7" w:firstLine="490"/>
        <w:spacing w:after="0" w:line="235" w:lineRule="auto"/>
        <w:rPr>
          <w:sz w:val="20"/>
          <w:szCs w:val="20"/>
          <w:color w:val="auto"/>
        </w:rPr>
      </w:pPr>
      <w:r>
        <w:rPr>
          <w:rFonts w:ascii="Arial" w:cs="Arial" w:eastAsia="Arial" w:hAnsi="Arial"/>
          <w:sz w:val="20"/>
          <w:szCs w:val="20"/>
          <w:b w:val="1"/>
          <w:bCs w:val="1"/>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24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Comprehensive Income (Loss)</w:t>
      </w:r>
    </w:p>
    <w:p>
      <w:pPr>
        <w:sectPr>
          <w:pgSz w:w="12240" w:h="15840" w:orient="portrait"/>
          <w:cols w:equalWidth="0" w:num="1">
            <w:col w:w="10447"/>
          </w:cols>
          <w:pgMar w:left="893" w:top="949" w:right="900" w:bottom="181"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121</w:t>
      </w:r>
    </w:p>
    <w:p>
      <w:pPr>
        <w:sectPr>
          <w:pgSz w:w="12240" w:h="15840" w:orient="portrait"/>
          <w:cols w:equalWidth="0" w:num="1">
            <w:col w:w="10447"/>
          </w:cols>
          <w:pgMar w:left="893" w:top="949" w:right="900" w:bottom="181" w:gutter="0" w:footer="0" w:header="0"/>
          <w:type w:val="continuous"/>
        </w:sectPr>
      </w:pPr>
    </w:p>
    <w:bookmarkStart w:id="131" w:name="page132"/>
    <w:bookmarkEnd w:id="131"/>
    <w:p>
      <w:pPr>
        <w:jc w:val="both"/>
        <w:ind w:firstLine="490"/>
        <w:spacing w:after="0" w:line="252" w:lineRule="auto"/>
        <w:rPr>
          <w:sz w:val="20"/>
          <w:szCs w:val="20"/>
          <w:color w:val="auto"/>
        </w:rPr>
      </w:pPr>
      <w:r>
        <w:rPr>
          <w:rFonts w:ascii="Arial" w:cs="Arial" w:eastAsia="Arial" w:hAnsi="Arial"/>
          <w:sz w:val="19"/>
          <w:szCs w:val="19"/>
          <w:b w:val="1"/>
          <w:bCs w:val="1"/>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(losses) on available-for-sale marketable securities during the year ended December 31, 2024.</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1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Company considers all highly liquid investments with original maturities of three months or less at the date of purchase to be cash equivalents. Cash and cash equivalents include cash in readily available checking and money market accounts and U.S. treasury securities with original maturities of three months or less at the date of purchase. Cash equivalents are reflected at fair value based on quoted market prices as further described in Note 3 - Fair Value Measurements.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Marketable Securities</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treasury and government agency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 Although these marketable securities are available to be sold to meet operating needs or otherwise, they are generally held through maturity. The cost of securities sold is determined on a specific identification basis, and realized gains and losses are included in other income (expense), net within the consolidated statements of operations and comprehensive loss. 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Transaction Costs</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13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Company categorizes its assets and liabilities measured at fair value in accordance with the provisions of ASC 820, Fair Value Measurements and Disclosures, which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Level 1—Quoted prices (unadjusted)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-98425</wp:posOffset>
            </wp:positionV>
            <wp:extent cx="71120" cy="711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Level 2—Inputs other than quoted prices included within Level 1 that are either directly or indirectly observable;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-82550</wp:posOffset>
            </wp:positionV>
            <wp:extent cx="71120" cy="711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Level 3—Unobservable inputs in which little or no market activity exists, therefore requiring an entity to develop its own assumptions about the assumptions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-243205</wp:posOffset>
            </wp:positionV>
            <wp:extent cx="71120" cy="711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The fair value of the Company’s cash equivalents are determined according to the fair value hierarchy described above (see Note 3 - Fair Value Measurements). The carrying values of the Company’s prepaid expenses and other current assets, accounts payable and accrued expenses approximate their fair values due to the short-term nature of these assets and liabilities.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122</w:t>
      </w:r>
    </w:p>
    <w:p>
      <w:pPr>
        <w:sectPr>
          <w:pgSz w:w="12240" w:h="15840" w:orient="portrait"/>
          <w:cols w:equalWidth="0" w:num="1">
            <w:col w:w="10440"/>
          </w:cols>
          <w:pgMar w:left="900" w:top="960" w:right="900" w:bottom="181"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Property and Equipment</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Property and equipment are stated at cost, less accumulated depreciation. Depreciation is calculated using the straight-line method over the estimated useful lives of the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0"/>
              </w:rPr>
              <w:t>Estimated Useful Life</w:t>
            </w:r>
          </w:p>
        </w:tc>
      </w:tr>
      <w:tr>
        <w:trPr>
          <w:trHeight w:val="22"/>
        </w:trPr>
        <w:tc>
          <w:tcPr>
            <w:tcW w:w="64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r>
      <w:tr>
        <w:trPr>
          <w:trHeight w:val="234"/>
        </w:trPr>
        <w:tc>
          <w:tcPr>
            <w:tcW w:w="6400" w:type="dxa"/>
            <w:vAlign w:val="bottom"/>
          </w:tcPr>
          <w:p>
            <w:pPr>
              <w:spacing w:after="0"/>
              <w:rPr>
                <w:sz w:val="20"/>
                <w:szCs w:val="20"/>
                <w:color w:val="auto"/>
              </w:rPr>
            </w:pPr>
            <w:r>
              <w:rPr>
                <w:rFonts w:ascii="Arial" w:cs="Arial" w:eastAsia="Arial" w:hAnsi="Arial"/>
                <w:sz w:val="20"/>
                <w:szCs w:val="20"/>
                <w:b w:val="1"/>
                <w:bCs w:val="1"/>
                <w:color w:val="auto"/>
              </w:rPr>
              <w:t>Leasehold improvements</w:t>
            </w:r>
          </w:p>
        </w:tc>
        <w:tc>
          <w:tcPr>
            <w:tcW w:w="4040" w:type="dxa"/>
            <w:vAlign w:val="bottom"/>
          </w:tcPr>
          <w:p>
            <w:pPr>
              <w:jc w:val="center"/>
              <w:spacing w:after="0"/>
              <w:rPr>
                <w:sz w:val="20"/>
                <w:szCs w:val="20"/>
                <w:color w:val="auto"/>
              </w:rPr>
            </w:pPr>
            <w:r>
              <w:rPr>
                <w:rFonts w:ascii="Arial" w:cs="Arial" w:eastAsia="Arial" w:hAnsi="Arial"/>
                <w:sz w:val="20"/>
                <w:szCs w:val="20"/>
                <w:b w:val="1"/>
                <w:bCs w:val="1"/>
                <w:color w:val="auto"/>
                <w:w w:val="85"/>
              </w:rPr>
              <w:t>Shorter of useful life or remaining life of lease</w:t>
            </w:r>
          </w:p>
        </w:tc>
      </w:tr>
      <w:tr>
        <w:trPr>
          <w:trHeight w:val="242"/>
        </w:trPr>
        <w:tc>
          <w:tcPr>
            <w:tcW w:w="6400" w:type="dxa"/>
            <w:vAlign w:val="bottom"/>
          </w:tcPr>
          <w:p>
            <w:pPr>
              <w:spacing w:after="0"/>
              <w:rPr>
                <w:sz w:val="20"/>
                <w:szCs w:val="20"/>
                <w:color w:val="auto"/>
              </w:rPr>
            </w:pPr>
            <w:r>
              <w:rPr>
                <w:rFonts w:ascii="Arial" w:cs="Arial" w:eastAsia="Arial" w:hAnsi="Arial"/>
                <w:sz w:val="20"/>
                <w:szCs w:val="20"/>
                <w:b w:val="1"/>
                <w:bCs w:val="1"/>
                <w:color w:val="auto"/>
              </w:rPr>
              <w:t>Computer equipment</w:t>
            </w:r>
          </w:p>
        </w:tc>
        <w:tc>
          <w:tcPr>
            <w:tcW w:w="4040" w:type="dxa"/>
            <w:vAlign w:val="bottom"/>
          </w:tcPr>
          <w:p>
            <w:pPr>
              <w:jc w:val="center"/>
              <w:spacing w:after="0"/>
              <w:rPr>
                <w:sz w:val="20"/>
                <w:szCs w:val="20"/>
                <w:color w:val="auto"/>
              </w:rPr>
            </w:pPr>
            <w:r>
              <w:rPr>
                <w:rFonts w:ascii="Arial" w:cs="Arial" w:eastAsia="Arial" w:hAnsi="Arial"/>
                <w:sz w:val="20"/>
                <w:szCs w:val="20"/>
                <w:b w:val="1"/>
                <w:bCs w:val="1"/>
                <w:color w:val="auto"/>
                <w:w w:val="84"/>
              </w:rPr>
              <w:t>3.0 years</w:t>
            </w:r>
          </w:p>
        </w:tc>
      </w:tr>
      <w:tr>
        <w:trPr>
          <w:trHeight w:val="245"/>
        </w:trPr>
        <w:tc>
          <w:tcPr>
            <w:tcW w:w="640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4040" w:type="dxa"/>
            <w:vAlign w:val="bottom"/>
          </w:tcPr>
          <w:p>
            <w:pPr>
              <w:jc w:val="center"/>
              <w:spacing w:after="0"/>
              <w:rPr>
                <w:sz w:val="20"/>
                <w:szCs w:val="20"/>
                <w:color w:val="auto"/>
              </w:rPr>
            </w:pPr>
            <w:r>
              <w:rPr>
                <w:rFonts w:ascii="Arial" w:cs="Arial" w:eastAsia="Arial" w:hAnsi="Arial"/>
                <w:sz w:val="20"/>
                <w:szCs w:val="20"/>
                <w:b w:val="1"/>
                <w:bCs w:val="1"/>
                <w:color w:val="auto"/>
                <w:w w:val="84"/>
              </w:rPr>
              <w:t>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-483870</wp:posOffset>
            </wp:positionV>
            <wp:extent cx="6663690" cy="4991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0">
                      <a:extLst>
                        <a:ext uri="{28A0092B-C50C-407E-A947-70E740481C1C}"/>
                      </a:extLst>
                    </a:blip>
                    <a:srcRect/>
                    <a:stretch>
                      <a:fillRect/>
                    </a:stretch>
                  </pic:blipFill>
                  <pic:spPr bwMode="auto">
                    <a:xfrm>
                      <a:off x="0" y="0"/>
                      <a:ext cx="6663690" cy="499110"/>
                    </a:xfrm>
                    <a:prstGeom prst="rect">
                      <a:avLst/>
                    </a:prstGeom>
                    <a:noFill/>
                  </pic:spPr>
                </pic:pic>
              </a:graphicData>
            </a:graphic>
          </wp:anchor>
        </w:drawing>
      </w:r>
    </w:p>
    <w:p>
      <w:pPr>
        <w:spacing w:after="0" w:line="2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104"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 years.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129"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accounts for the impairment and disposition of long-lived assets in accordance with ASC Topic 360, Property, Plant, and Equipment. Long-lived assets, such as property and equipment and right-of-use ("ROU") assets, are reviewed for impairment whenever events or changes in circumstances indicate that the carrying amount of an asset or asset group may not be recoverable. The recoverability of assets or asset groups to be held and used is measured by a comparison of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There were no impairment losses recorded for the years ended December 31, 2024 and 2023.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3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Company accounts for its leases under ASC Topic 842, Leases. Upon adoption, the Company elected to combine lease and non-lease components when calculating minimum lease payments on new leases for all asset classes. The Company has also elected an accounting policy to forgo the recognition of lease assets or liabilities for short-term leases. Short-term leases are defined, in accordance with the standard, as those with terms of one year or less and do not include an option to purchase the underlying asset that the lessee is reasonably certain to exercise.</w:t>
      </w:r>
    </w:p>
    <w:p>
      <w:pPr>
        <w:spacing w:after="0" w:line="105"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The Company determines if an arrangement is or contains a lease at contract inception. The Company accounts for a contract as a lease when it has the right to direct the use of the asset for a period of time while obtaining substantially all of the asset’s economic benefits. The Company determines the initial classification and measurement of right-of-use assets and lease liabilities at the lease commencement date and thereafter at the modification date, if modified.</w:t>
      </w:r>
    </w:p>
    <w:p>
      <w:pPr>
        <w:spacing w:after="0" w:line="104"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Right-of-use assets represent the Company's right to control the underlying assets under lease, and the lease liability is the Company's obligation to make the lease payments related to the underlying assets under lease, over the contractual term. Right-of-use assets and lease liabilities are recognized at the lease commencement date based on the present value of future minimum fixed lease payments to be made over the lease term. The Company uses the non-cancellable lease term unless it is reasonably certain that a renewal or termination option will be exercised. When available, the Company will use the rate implicit in the lease to discount lease payments to present value. As most leases do not provide an implicit rate, the Company will estimate the incremental borrowing rate to discount the lease payments. The Company estimates the incremental borrowing rate based on the rates of interest that the Company would have to pay to borrow an amount equal to the lease payments on a collateralized basis, over a similar term, and in a similar economic environment. The right-of-use asset also includes any lease prepayments and initial direct costs, offset by lease incentives.</w:t>
      </w:r>
    </w:p>
    <w:p>
      <w:pPr>
        <w:spacing w:after="0" w:line="98"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Certain lease agreements contain variable lease payments which are not included in the measurement of the lease liability. Variable lease payments relate to taxes, insurance, utilities, and common area maintenance ("CAM"). These variable lease payments are recognized in the consolidated statements of operations and comprehensive loss in the period in which the obligation for those payments is incurred.</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123</w:t>
      </w:r>
    </w:p>
    <w:p>
      <w:pPr>
        <w:sectPr>
          <w:pgSz w:w="12240" w:h="15840" w:orient="portrait"/>
          <w:cols w:equalWidth="0" w:num="1">
            <w:col w:w="10440"/>
          </w:cols>
          <w:pgMar w:left="900" w:top="949" w:right="900" w:bottom="181"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29"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107"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86"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If the Company acquires an asset or group of assets under an in-licensing arrangement that does not meet the definition of a business under ASC Topic 805, Business Combinations, and the acquired in-process research and development does not have an alternative future use, any related upfront license payment is expensed as incurred in accordance with guidance in ASC Topic 730, Research and Development. Where contingent milestone payments are due to third parties under license or other agreements, the milestone payment obligations are recognized as expense when achievement of the contingent milestone is probable, which is generally upon achievement of the milestone event.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298"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Amortization of Debt Discount and Issuance Costs</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Long-term debt is initially recorded as the proceeds received by the Company, net of debt issuance costs and discounts. Debt is subsequently stated at amortized cost. Debt issuance costs and discounts and are amortized to interest expense using the effective interest method, over the term of the debt. Debt issuance costs and discounts related to a recognized debt liability are presented in the consolidated balance sheets as a direct deduction from the carrying amount of that debt liability. For tranches not yet drawn, the related debt issuance costs are deferred and recorded as an asset. In the consolidated statements of cash flows, debt issuance costs paid to lenders are netted against the proceeds from the related long-term debt while debt issuance costs paid to third parties, are presented separately within financing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Costs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selling, general and administrative expenses within the Company’s consolidated statements of operations and comprehensive loss.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Company accounts for all stock-based awards granted to employees and non-employees as stock-based compensation expense at fair value in accordance with ASC 718, Compensation - Stock Compensation.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w:t>
      </w:r>
    </w:p>
    <w:p>
      <w:pPr>
        <w:sectPr>
          <w:pgSz w:w="12240" w:h="15840" w:orient="portrait"/>
          <w:cols w:equalWidth="0" w:num="1">
            <w:col w:w="10440"/>
          </w:cols>
          <w:pgMar w:left="900" w:top="949" w:right="900" w:bottom="181"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124</w:t>
      </w:r>
    </w:p>
    <w:p>
      <w:pPr>
        <w:sectPr>
          <w:pgSz w:w="12240" w:h="15840" w:orient="portrait"/>
          <w:cols w:equalWidth="0" w:num="1">
            <w:col w:w="10440"/>
          </w:cols>
          <w:pgMar w:left="900" w:top="949" w:right="900" w:bottom="181" w:gutter="0" w:footer="0" w:header="0"/>
          <w:type w:val="continuous"/>
        </w:sectPr>
      </w:pPr>
    </w:p>
    <w:bookmarkStart w:id="134" w:name="page135"/>
    <w:bookmarkEnd w:id="134"/>
    <w:p>
      <w:pPr>
        <w:jc w:val="both"/>
        <w:spacing w:after="0" w:line="330" w:lineRule="auto"/>
        <w:rPr>
          <w:sz w:val="20"/>
          <w:szCs w:val="20"/>
          <w:color w:val="auto"/>
        </w:rPr>
      </w:pPr>
      <w:r>
        <w:rPr>
          <w:rFonts w:ascii="Arial" w:cs="Arial" w:eastAsia="Arial" w:hAnsi="Arial"/>
          <w:sz w:val="15"/>
          <w:szCs w:val="15"/>
          <w:b w:val="1"/>
          <w:bCs w:val="1"/>
          <w:color w:val="auto"/>
        </w:rPr>
        <w:t>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The grant date fair value of restricted stock units and shares of restricted stock granted is based on the fair value of the underlying common stock on the date of grant.</w:t>
      </w:r>
    </w:p>
    <w:p>
      <w:pPr>
        <w:spacing w:after="0" w:line="68"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107"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 See Note 12 - Stock-Based Compensation for a summary of the stock-based award activity under the Company’s stock-based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Fair Value of Common Stock on Grant Dates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Valuation of Privately-Held Company Equity Securities Issued as Compensation. In determining the exercise prices for options granted, Private Disc considered the estimated fair value of the 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96"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0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8"/>
          <w:szCs w:val="18"/>
          <w:b w:val="1"/>
          <w:bCs w:val="1"/>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117"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31"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w:t>
      </w:r>
    </w:p>
    <w:p>
      <w:pPr>
        <w:sectPr>
          <w:pgSz w:w="12240" w:h="15840" w:orient="portrait"/>
          <w:cols w:equalWidth="0" w:num="1">
            <w:col w:w="10440"/>
          </w:cols>
          <w:pgMar w:left="900" w:top="960" w:right="900" w:bottom="181"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125</w:t>
      </w:r>
    </w:p>
    <w:p>
      <w:pPr>
        <w:sectPr>
          <w:pgSz w:w="12240" w:h="15840" w:orient="portrait"/>
          <w:cols w:equalWidth="0" w:num="1">
            <w:col w:w="10440"/>
          </w:cols>
          <w:pgMar w:left="900" w:top="960" w:right="900" w:bottom="181" w:gutter="0" w:footer="0" w:header="0"/>
          <w:type w:val="continuous"/>
        </w:sectPr>
      </w:pPr>
    </w:p>
    <w:bookmarkStart w:id="135" w:name="page136"/>
    <w:bookmarkEnd w:id="135"/>
    <w:p>
      <w:pPr>
        <w:jc w:val="both"/>
        <w:spacing w:after="0" w:line="269" w:lineRule="auto"/>
        <w:rPr>
          <w:sz w:val="20"/>
          <w:szCs w:val="20"/>
          <w:color w:val="auto"/>
        </w:rPr>
      </w:pPr>
      <w:r>
        <w:rPr>
          <w:rFonts w:ascii="Arial" w:cs="Arial" w:eastAsia="Arial" w:hAnsi="Arial"/>
          <w:sz w:val="18"/>
          <w:szCs w:val="18"/>
          <w:b w:val="1"/>
          <w:bCs w:val="1"/>
          <w:color w:val="auto"/>
        </w:rPr>
        <w:t>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10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2024 or 2023.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10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files federal income tax returns in the United States, the Netherlands and Australia and state income tax returns in Massachusetts and various other state jurisdictions. The Company’s income tax returns are subject to review and tax assessment from an income tax examination. As of December 31, 2024, the Company was not under examination by the Internal Revenue Service or other jurisdictions for any tax year.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Per Share</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periods in which the Company reports a net loss, diluted net loss per share is generally the same as basic net loss per share since dilutive common shares are not assumed to have been issued if their effect is anti-dilutive.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29"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On January 1, 2024, the Company adopted ASU 2023-07, Segment Reporting: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Refer to Note 17 - Segment Information for additional details.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 Not Yet Adopted</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31"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 Summary of Significant Accounting Policies.</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Financial assets and liabilities measured at fair value on a recurring basis are summarized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w w:val="91"/>
              </w:rPr>
              <w:t>December 31, 2024</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43"/>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63"/>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
        </w:trPr>
        <w:tc>
          <w:tcPr>
            <w:tcW w:w="572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0"/>
                <w:szCs w:val="20"/>
                <w:color w:val="auto"/>
              </w:rPr>
            </w:pPr>
            <w:r>
              <w:rPr>
                <w:rFonts w:ascii="Arial" w:cs="Arial" w:eastAsia="Arial" w:hAnsi="Arial"/>
                <w:sz w:val="20"/>
                <w:szCs w:val="20"/>
                <w:b w:val="1"/>
                <w:bCs w:val="1"/>
                <w:color w:val="auto"/>
              </w:rPr>
              <w:t>Cash equivalents: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Money market funds</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88,735</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4"/>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U.S. treasury securities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91,916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3"/>
        </w:trPr>
        <w:tc>
          <w:tcPr>
            <w:tcW w:w="5720" w:type="dxa"/>
            <w:vAlign w:val="bottom"/>
          </w:tcPr>
          <w:p>
            <w:pPr>
              <w:ind w:left="200"/>
              <w:spacing w:after="0"/>
              <w:rPr>
                <w:sz w:val="20"/>
                <w:szCs w:val="20"/>
                <w:color w:val="auto"/>
              </w:rPr>
            </w:pPr>
            <w:r>
              <w:rPr>
                <w:rFonts w:ascii="Arial" w:cs="Arial" w:eastAsia="Arial" w:hAnsi="Arial"/>
                <w:sz w:val="20"/>
                <w:szCs w:val="20"/>
                <w:b w:val="1"/>
                <w:bCs w:val="1"/>
                <w:color w:val="auto"/>
              </w:rPr>
              <w:t>Total cash equivalents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88,735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91,916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20"/>
                <w:szCs w:val="20"/>
                <w:b w:val="1"/>
                <w:bCs w:val="1"/>
                <w:color w:val="auto"/>
              </w:rPr>
              <w:t>Marketable securities: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U.S. treasury securities</w:t>
            </w:r>
          </w:p>
        </w:tc>
        <w:tc>
          <w:tcPr>
            <w:tcW w:w="2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189,663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4"/>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U.S. government agency securities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107,784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3"/>
        </w:trPr>
        <w:tc>
          <w:tcPr>
            <w:tcW w:w="5720" w:type="dxa"/>
            <w:vAlign w:val="bottom"/>
          </w:tcPr>
          <w:p>
            <w:pPr>
              <w:ind w:left="200"/>
              <w:spacing w:after="0"/>
              <w:rPr>
                <w:sz w:val="20"/>
                <w:szCs w:val="20"/>
                <w:color w:val="auto"/>
              </w:rPr>
            </w:pPr>
            <w:r>
              <w:rPr>
                <w:rFonts w:ascii="Arial" w:cs="Arial" w:eastAsia="Arial" w:hAnsi="Arial"/>
                <w:sz w:val="20"/>
                <w:szCs w:val="20"/>
                <w:b w:val="1"/>
                <w:bCs w:val="1"/>
                <w:color w:val="auto"/>
              </w:rPr>
              <w:t>Total marketable securities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297,447</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88,735</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3"/>
              <w:spacing w:after="0"/>
              <w:rPr>
                <w:sz w:val="20"/>
                <w:szCs w:val="20"/>
                <w:color w:val="auto"/>
              </w:rPr>
            </w:pPr>
            <w:r>
              <w:rPr>
                <w:rFonts w:ascii="Arial" w:cs="Arial" w:eastAsia="Arial" w:hAnsi="Arial"/>
                <w:sz w:val="20"/>
                <w:szCs w:val="20"/>
                <w:b w:val="1"/>
                <w:bCs w:val="1"/>
                <w:color w:val="auto"/>
              </w:rPr>
              <w:t>389,363</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ind w:left="8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-1593215</wp:posOffset>
            </wp:positionV>
            <wp:extent cx="6663690" cy="16363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1">
                      <a:extLst>
                        <a:ext uri="{28A0092B-C50C-407E-A947-70E740481C1C}"/>
                      </a:extLst>
                    </a:blip>
                    <a:srcRect/>
                    <a:stretch>
                      <a:fillRect/>
                    </a:stretch>
                  </pic:blipFill>
                  <pic:spPr bwMode="auto">
                    <a:xfrm>
                      <a:off x="0" y="0"/>
                      <a:ext cx="6663690" cy="1636395"/>
                    </a:xfrm>
                    <a:prstGeom prst="rect">
                      <a:avLst/>
                    </a:prstGeom>
                    <a:noFill/>
                  </pic:spPr>
                </pic:pic>
              </a:graphicData>
            </a:graphic>
          </wp:anchor>
        </w:drawing>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126</w:t>
      </w:r>
    </w:p>
    <w:p>
      <w:pPr>
        <w:sectPr>
          <w:pgSz w:w="12240" w:h="15840" w:orient="portrait"/>
          <w:cols w:equalWidth="0" w:num="1">
            <w:col w:w="10440"/>
          </w:cols>
          <w:pgMar w:left="900" w:top="960" w:right="900" w:bottom="181"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w w:val="91"/>
              </w:rPr>
              <w:t>December 31, 2023</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Level 3</w:t>
            </w:r>
          </w:p>
        </w:tc>
      </w:tr>
      <w:tr>
        <w:trPr>
          <w:trHeight w:val="234"/>
        </w:trPr>
        <w:tc>
          <w:tcPr>
            <w:tcW w:w="57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5720" w:type="dxa"/>
            <w:vAlign w:val="bottom"/>
          </w:tcPr>
          <w:p>
            <w:pPr>
              <w:spacing w:after="0"/>
              <w:rPr>
                <w:sz w:val="20"/>
                <w:szCs w:val="20"/>
                <w:color w:val="auto"/>
              </w:rPr>
            </w:pPr>
            <w:r>
              <w:rPr>
                <w:rFonts w:ascii="Arial" w:cs="Arial" w:eastAsia="Arial" w:hAnsi="Arial"/>
                <w:sz w:val="20"/>
                <w:szCs w:val="20"/>
                <w:b w:val="1"/>
                <w:bCs w:val="1"/>
                <w:color w:val="auto"/>
              </w:rPr>
              <w:t>Cash equivalents: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5"/>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Money market funds</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20"/>
                <w:szCs w:val="20"/>
                <w:b w:val="1"/>
                <w:bCs w:val="1"/>
                <w:color w:val="auto"/>
              </w:rPr>
              <w:t>55,001</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4"/>
              <w:spacing w:after="0"/>
              <w:rPr>
                <w:sz w:val="20"/>
                <w:szCs w:val="20"/>
                <w:color w:val="auto"/>
              </w:rPr>
            </w:pPr>
            <w:r>
              <w:rPr>
                <w:rFonts w:ascii="Arial" w:cs="Arial" w:eastAsia="Arial" w:hAnsi="Arial"/>
                <w:sz w:val="20"/>
                <w:szCs w:val="20"/>
                <w:b w:val="1"/>
                <w:bCs w:val="1"/>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ind w:left="880"/>
              <w:spacing w:after="0"/>
              <w:rPr>
                <w:sz w:val="20"/>
                <w:szCs w:val="20"/>
                <w:color w:val="auto"/>
              </w:rPr>
            </w:pPr>
            <w:r>
              <w:rPr>
                <w:rFonts w:ascii="Arial" w:cs="Arial" w:eastAsia="Arial" w:hAnsi="Arial"/>
                <w:sz w:val="20"/>
                <w:szCs w:val="20"/>
                <w:b w:val="1"/>
                <w:bCs w:val="1"/>
                <w:color w:val="auto"/>
              </w:rPr>
              <w:t>—</w:t>
            </w:r>
          </w:p>
        </w:tc>
      </w:tr>
      <w:tr>
        <w:trPr>
          <w:trHeight w:val="245"/>
        </w:trPr>
        <w:tc>
          <w:tcPr>
            <w:tcW w:w="5720" w:type="dxa"/>
            <w:vAlign w:val="bottom"/>
          </w:tcPr>
          <w:p>
            <w:pPr>
              <w:ind w:left="100"/>
              <w:spacing w:after="0"/>
              <w:rPr>
                <w:sz w:val="20"/>
                <w:szCs w:val="20"/>
                <w:color w:val="auto"/>
              </w:rPr>
            </w:pPr>
            <w:r>
              <w:rPr>
                <w:rFonts w:ascii="Arial" w:cs="Arial" w:eastAsia="Arial" w:hAnsi="Arial"/>
                <w:sz w:val="20"/>
                <w:szCs w:val="20"/>
                <w:b w:val="1"/>
                <w:bCs w:val="1"/>
                <w:color w:val="auto"/>
              </w:rPr>
              <w:t>U.S. treasury securities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b w:val="1"/>
                <w:bCs w:val="1"/>
                <w:color w:val="auto"/>
              </w:rPr>
              <w:t>255,419</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r>
      <w:tr>
        <w:trPr>
          <w:trHeight w:val="234"/>
        </w:trPr>
        <w:tc>
          <w:tcPr>
            <w:tcW w:w="5720" w:type="dxa"/>
            <w:vAlign w:val="bottom"/>
          </w:tcPr>
          <w:p>
            <w:pPr>
              <w:ind w:left="200"/>
              <w:spacing w:after="0"/>
              <w:rPr>
                <w:sz w:val="20"/>
                <w:szCs w:val="20"/>
                <w:color w:val="auto"/>
              </w:rPr>
            </w:pPr>
            <w:r>
              <w:rPr>
                <w:rFonts w:ascii="Arial" w:cs="Arial" w:eastAsia="Arial" w:hAnsi="Arial"/>
                <w:sz w:val="20"/>
                <w:szCs w:val="20"/>
                <w:b w:val="1"/>
                <w:bCs w:val="1"/>
                <w:color w:val="auto"/>
              </w:rPr>
              <w:t>Total cash equivalents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b w:val="1"/>
                <w:bCs w:val="1"/>
                <w:color w:val="auto"/>
              </w:rPr>
              <w:t>55,001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b w:val="1"/>
                <w:bCs w:val="1"/>
                <w:color w:val="auto"/>
              </w:rPr>
              <w:t>255,419</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20"/>
                <w:szCs w:val="20"/>
                <w:b w:val="1"/>
                <w:bCs w:val="1"/>
                <w:color w:val="auto"/>
              </w:rPr>
              <w:t>—</w:t>
            </w:r>
          </w:p>
        </w:tc>
      </w:tr>
      <w:tr>
        <w:trPr>
          <w:trHeight w:val="232"/>
        </w:trPr>
        <w:tc>
          <w:tcPr>
            <w:tcW w:w="572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20"/>
                <w:szCs w:val="20"/>
                <w:b w:val="1"/>
                <w:bCs w:val="1"/>
                <w:color w:val="auto"/>
              </w:rPr>
              <w:t>55,001</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4"/>
              <w:spacing w:after="0"/>
              <w:rPr>
                <w:sz w:val="20"/>
                <w:szCs w:val="20"/>
                <w:color w:val="auto"/>
              </w:rPr>
            </w:pPr>
            <w:r>
              <w:rPr>
                <w:rFonts w:ascii="Arial" w:cs="Arial" w:eastAsia="Arial" w:hAnsi="Arial"/>
                <w:sz w:val="20"/>
                <w:szCs w:val="20"/>
                <w:b w:val="1"/>
                <w:bCs w:val="1"/>
                <w:color w:val="auto"/>
              </w:rPr>
              <w:t>255,419</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ind w:left="880"/>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-960755</wp:posOffset>
            </wp:positionV>
            <wp:extent cx="6663690" cy="10052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2">
                      <a:extLst>
                        <a:ext uri="{28A0092B-C50C-407E-A947-70E740481C1C}"/>
                      </a:extLst>
                    </a:blip>
                    <a:srcRect/>
                    <a:stretch>
                      <a:fillRect/>
                    </a:stretch>
                  </pic:blipFill>
                  <pic:spPr bwMode="auto">
                    <a:xfrm>
                      <a:off x="0" y="0"/>
                      <a:ext cx="6663690" cy="100520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fair value of the Company’s Level 1 cash equivalents, consisting of money market funds, is based on quoted market prices in active markets with no valuation adjustment. The fair value of the Company’s Level 2 cash equivalents and marketable securities, consisting of U.S. treasury and U.S. government agency securities with original maturities of three months or less and twelve months or less, respectively, are determined through third-party pricing services. The amortized cost of cash equivalents approximates the fair value. There have been no impairments of the Company’s assets measured and carried at fair value during the years ended December 31, 2024 and 2023. In addition, there were no changes in valuation techniques or transfers between Level 1, Level 2 and Level 3 financial assets during the years ended December 31, 2024 and 2023. The Company did not have any non-recurring fair value measurements on any assets or liabilities during the years ended December 31, 2024 and 2023.</w:t>
      </w:r>
    </w:p>
    <w:p>
      <w:pPr>
        <w:spacing w:after="0" w:line="6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As described in Note 1 - Organization and Nature of the Business, in connection with the merger, the stockholders of Gemini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there were no CVR payments made to the holders and there will not be any future CVR payments to the holders. The fair value of the CVR liability was zero as of December 31, 2024 and 2023,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Marketable Securities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Marketable securities as of December 31, 2024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Gross Unrealized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8"/>
                <w:szCs w:val="18"/>
                <w:color w:val="auto"/>
              </w:rPr>
            </w:pPr>
          </w:p>
        </w:tc>
        <w:tc>
          <w:tcPr>
            <w:tcW w:w="1140" w:type="dxa"/>
            <w:vAlign w:val="bottom"/>
          </w:tcPr>
          <w:p>
            <w:pPr>
              <w:jc w:val="right"/>
              <w:ind w:right="468"/>
              <w:spacing w:after="0"/>
              <w:rPr>
                <w:sz w:val="20"/>
                <w:szCs w:val="20"/>
                <w:color w:val="auto"/>
              </w:rPr>
            </w:pPr>
            <w:r>
              <w:rPr>
                <w:rFonts w:ascii="Arial" w:cs="Arial" w:eastAsia="Arial" w:hAnsi="Arial"/>
                <w:sz w:val="16"/>
                <w:szCs w:val="16"/>
                <w:b w:val="1"/>
                <w:bCs w:val="1"/>
                <w:color w:val="auto"/>
              </w:rPr>
              <w:t>Gains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Losses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5"/>
              </w:rPr>
              <w:t>Estimated Fair Value</w:t>
            </w:r>
          </w:p>
        </w:tc>
        <w:tc>
          <w:tcPr>
            <w:tcW w:w="0" w:type="dxa"/>
            <w:vAlign w:val="bottom"/>
          </w:tcPr>
          <w:p>
            <w:pPr>
              <w:spacing w:after="0"/>
              <w:rPr>
                <w:sz w:val="1"/>
                <w:szCs w:val="1"/>
                <w:color w:val="auto"/>
              </w:rPr>
            </w:pPr>
          </w:p>
        </w:tc>
      </w:tr>
      <w:tr>
        <w:trPr>
          <w:trHeight w:val="22"/>
        </w:trPr>
        <w:tc>
          <w:tcPr>
            <w:tcW w:w="3780" w:type="dxa"/>
            <w:vAlign w:val="bottom"/>
            <w:vMerge w:val="restart"/>
          </w:tcPr>
          <w:p>
            <w:pPr>
              <w:spacing w:after="0"/>
              <w:rPr>
                <w:sz w:val="20"/>
                <w:szCs w:val="20"/>
                <w:color w:val="auto"/>
              </w:rPr>
            </w:pPr>
            <w:r>
              <w:rPr>
                <w:rFonts w:ascii="Arial" w:cs="Arial" w:eastAsia="Arial" w:hAnsi="Arial"/>
                <w:sz w:val="20"/>
                <w:szCs w:val="20"/>
                <w:b w:val="1"/>
                <w:bCs w:val="1"/>
                <w:color w:val="auto"/>
                <w:w w:val="99"/>
              </w:rPr>
              <w:t>Marketable securities available-for-sale:</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80" w:type="dxa"/>
            <w:vAlign w:val="bottom"/>
          </w:tcPr>
          <w:p>
            <w:pPr>
              <w:ind w:left="40"/>
              <w:spacing w:after="0"/>
              <w:rPr>
                <w:sz w:val="20"/>
                <w:szCs w:val="20"/>
                <w:color w:val="auto"/>
              </w:rPr>
            </w:pPr>
            <w:r>
              <w:rPr>
                <w:rFonts w:ascii="Arial" w:cs="Arial" w:eastAsia="Arial" w:hAnsi="Arial"/>
                <w:sz w:val="20"/>
                <w:szCs w:val="20"/>
                <w:b w:val="1"/>
                <w:bCs w:val="1"/>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ind w:right="25"/>
              <w:spacing w:after="0"/>
              <w:rPr>
                <w:sz w:val="20"/>
                <w:szCs w:val="20"/>
                <w:color w:val="auto"/>
              </w:rPr>
            </w:pPr>
            <w:r>
              <w:rPr>
                <w:rFonts w:ascii="Arial" w:cs="Arial" w:eastAsia="Arial" w:hAnsi="Arial"/>
                <w:sz w:val="20"/>
                <w:szCs w:val="20"/>
                <w:b w:val="1"/>
                <w:bCs w:val="1"/>
                <w:color w:val="auto"/>
              </w:rPr>
              <w:t>189,409</w:t>
            </w:r>
          </w:p>
        </w:tc>
        <w:tc>
          <w:tcPr>
            <w:tcW w:w="1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ind w:right="28"/>
              <w:spacing w:after="0"/>
              <w:rPr>
                <w:sz w:val="20"/>
                <w:szCs w:val="20"/>
                <w:color w:val="auto"/>
              </w:rPr>
            </w:pPr>
            <w:r>
              <w:rPr>
                <w:rFonts w:ascii="Arial" w:cs="Arial" w:eastAsia="Arial" w:hAnsi="Arial"/>
                <w:sz w:val="20"/>
                <w:szCs w:val="20"/>
                <w:b w:val="1"/>
                <w:bCs w:val="1"/>
                <w:color w:val="auto"/>
              </w:rPr>
              <w:t>288</w:t>
            </w:r>
          </w:p>
        </w:tc>
        <w:tc>
          <w:tcPr>
            <w:tcW w:w="1120" w:type="dxa"/>
            <w:vAlign w:val="bottom"/>
            <w:gridSpan w:val="2"/>
          </w:tcPr>
          <w:p>
            <w:pPr>
              <w:jc w:val="right"/>
              <w:ind w:right="76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(34</w:t>
            </w:r>
            <w:r>
              <w:rPr>
                <w:rFonts w:ascii="Arial" w:cs="Arial" w:eastAsia="Arial" w:hAnsi="Arial"/>
                <w:sz w:val="20"/>
                <w:szCs w:val="20"/>
                <w:b w:val="1"/>
                <w:bCs w:val="1"/>
                <w:color w:val="auto"/>
                <w:highlight w:val="white"/>
              </w:rPr>
              <w:t>)</w:t>
            </w:r>
          </w:p>
        </w:tc>
        <w:tc>
          <w:tcPr>
            <w:tcW w:w="68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b w:val="1"/>
                <w:bCs w:val="1"/>
                <w:color w:val="auto"/>
              </w:rPr>
              <w:t>189,663</w:t>
            </w:r>
          </w:p>
        </w:tc>
        <w:tc>
          <w:tcPr>
            <w:tcW w:w="0" w:type="dxa"/>
            <w:vAlign w:val="bottom"/>
          </w:tcPr>
          <w:p>
            <w:pPr>
              <w:spacing w:after="0"/>
              <w:rPr>
                <w:sz w:val="1"/>
                <w:szCs w:val="1"/>
                <w:color w:val="auto"/>
              </w:rPr>
            </w:pPr>
          </w:p>
        </w:tc>
      </w:tr>
      <w:tr>
        <w:trPr>
          <w:trHeight w:val="245"/>
        </w:trPr>
        <w:tc>
          <w:tcPr>
            <w:tcW w:w="3780" w:type="dxa"/>
            <w:vAlign w:val="bottom"/>
          </w:tcPr>
          <w:p>
            <w:pPr>
              <w:ind w:left="40"/>
              <w:spacing w:after="0"/>
              <w:rPr>
                <w:sz w:val="20"/>
                <w:szCs w:val="20"/>
                <w:color w:val="auto"/>
              </w:rPr>
            </w:pPr>
            <w:r>
              <w:rPr>
                <w:rFonts w:ascii="Arial" w:cs="Arial" w:eastAsia="Arial" w:hAnsi="Arial"/>
                <w:sz w:val="20"/>
                <w:szCs w:val="20"/>
                <w:b w:val="1"/>
                <w:bCs w:val="1"/>
                <w:color w:val="auto"/>
              </w:rPr>
              <w:t>U.S. government agency securities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b w:val="1"/>
                <w:bCs w:val="1"/>
                <w:color w:val="auto"/>
              </w:rPr>
              <w:t>107,722</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b w:val="1"/>
                <w:bCs w:val="1"/>
                <w:color w:val="auto"/>
              </w:rPr>
              <w:t>85</w:t>
            </w: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b w:val="1"/>
                <w:bCs w:val="1"/>
                <w:color w:val="auto"/>
                <w:shd w:val="clear" w:color="auto" w:fill="E1E1E1"/>
              </w:rPr>
              <w:t>)</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107,784</w:t>
            </w:r>
          </w:p>
        </w:tc>
        <w:tc>
          <w:tcPr>
            <w:tcW w:w="0" w:type="dxa"/>
            <w:vAlign w:val="bottom"/>
          </w:tcPr>
          <w:p>
            <w:pPr>
              <w:spacing w:after="0"/>
              <w:rPr>
                <w:sz w:val="1"/>
                <w:szCs w:val="1"/>
                <w:color w:val="auto"/>
              </w:rPr>
            </w:pPr>
          </w:p>
        </w:tc>
      </w:tr>
      <w:tr>
        <w:trPr>
          <w:trHeight w:val="234"/>
        </w:trPr>
        <w:tc>
          <w:tcPr>
            <w:tcW w:w="3780" w:type="dxa"/>
            <w:vAlign w:val="bottom"/>
          </w:tcPr>
          <w:p>
            <w:pPr>
              <w:ind w:left="100"/>
              <w:spacing w:after="0"/>
              <w:rPr>
                <w:sz w:val="20"/>
                <w:szCs w:val="20"/>
                <w:color w:val="auto"/>
              </w:rPr>
            </w:pPr>
            <w:r>
              <w:rPr>
                <w:rFonts w:ascii="Arial" w:cs="Arial" w:eastAsia="Arial" w:hAnsi="Arial"/>
                <w:sz w:val="20"/>
                <w:szCs w:val="20"/>
                <w:b w:val="1"/>
                <w:bCs w:val="1"/>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ind w:right="25"/>
              <w:spacing w:after="0"/>
              <w:rPr>
                <w:sz w:val="20"/>
                <w:szCs w:val="20"/>
                <w:color w:val="auto"/>
              </w:rPr>
            </w:pPr>
            <w:r>
              <w:rPr>
                <w:rFonts w:ascii="Arial" w:cs="Arial" w:eastAsia="Arial" w:hAnsi="Arial"/>
                <w:sz w:val="20"/>
                <w:szCs w:val="20"/>
                <w:b w:val="1"/>
                <w:bCs w:val="1"/>
                <w:color w:val="auto"/>
              </w:rPr>
              <w:t>297,131</w:t>
            </w:r>
          </w:p>
        </w:tc>
        <w:tc>
          <w:tcPr>
            <w:tcW w:w="16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ind w:right="28"/>
              <w:spacing w:after="0"/>
              <w:rPr>
                <w:sz w:val="20"/>
                <w:szCs w:val="20"/>
                <w:color w:val="auto"/>
              </w:rPr>
            </w:pPr>
            <w:r>
              <w:rPr>
                <w:rFonts w:ascii="Arial" w:cs="Arial" w:eastAsia="Arial" w:hAnsi="Arial"/>
                <w:sz w:val="20"/>
                <w:szCs w:val="20"/>
                <w:b w:val="1"/>
                <w:bCs w:val="1"/>
                <w:color w:val="auto"/>
              </w:rPr>
              <w:t>373</w:t>
            </w:r>
          </w:p>
        </w:tc>
        <w:tc>
          <w:tcPr>
            <w:tcW w:w="1120" w:type="dxa"/>
            <w:vAlign w:val="bottom"/>
            <w:gridSpan w:val="2"/>
          </w:tcPr>
          <w:p>
            <w:pPr>
              <w:jc w:val="right"/>
              <w:ind w:right="760"/>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(57</w:t>
            </w:r>
            <w:r>
              <w:rPr>
                <w:rFonts w:ascii="Arial" w:cs="Arial" w:eastAsia="Arial" w:hAnsi="Arial"/>
                <w:sz w:val="20"/>
                <w:szCs w:val="20"/>
                <w:b w:val="1"/>
                <w:bCs w:val="1"/>
                <w:color w:val="auto"/>
                <w:highlight w:val="white"/>
              </w:rPr>
              <w:t>)</w:t>
            </w:r>
          </w:p>
        </w:tc>
        <w:tc>
          <w:tcPr>
            <w:tcW w:w="68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b w:val="1"/>
                <w:bCs w:val="1"/>
                <w:color w:val="auto"/>
              </w:rPr>
              <w:t>297,447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-645160</wp:posOffset>
            </wp:positionV>
            <wp:extent cx="6663690" cy="6883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3">
                      <a:extLst>
                        <a:ext uri="{28A0092B-C50C-407E-A947-70E740481C1C}"/>
                      </a:extLst>
                    </a:blip>
                    <a:srcRect/>
                    <a:stretch>
                      <a:fillRect/>
                    </a:stretch>
                  </pic:blipFill>
                  <pic:spPr bwMode="auto">
                    <a:xfrm>
                      <a:off x="0" y="0"/>
                      <a:ext cx="6663690" cy="688340"/>
                    </a:xfrm>
                    <a:prstGeom prst="rect">
                      <a:avLst/>
                    </a:prstGeom>
                    <a:noFill/>
                  </pic:spPr>
                </pic:pic>
              </a:graphicData>
            </a:graphic>
          </wp:anchor>
        </w:drawing>
      </w:r>
    </w:p>
    <w:p>
      <w:pPr>
        <w:spacing w:after="0" w:line="274"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Marketable securities as of December 31, 2023 were zero. As of December 31, 2024, all marketable securities had an original maturity date of twelve months or less. The aggregate fair value of marketable securities with unrealized losses was $51.0 million as of December 31, 2024 and zero as of December 31, 2023. As of December 31, 2024 and December 31, 2023, five investments and no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the years ended December 31, 2024 and 2023.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Cash, Cash Equivalents and Restricted Cash</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Cash, cash equivalents and restricted cash consisted of the following (in thousands):</w:t>
      </w:r>
    </w:p>
    <w:p>
      <w:pPr>
        <w:sectPr>
          <w:pgSz w:w="12240" w:h="15840" w:orient="portrait"/>
          <w:cols w:equalWidth="0" w:num="1">
            <w:col w:w="10440"/>
          </w:cols>
          <w:pgMar w:left="900" w:top="1192" w:right="900" w:bottom="181"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6663690" cy="6515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4">
                      <a:extLst>
                        <a:ext uri="{28A0092B-C50C-407E-A947-70E740481C1C}"/>
                      </a:extLst>
                    </a:blip>
                    <a:srcRect/>
                    <a:stretch>
                      <a:fillRect/>
                    </a:stretch>
                  </pic:blipFill>
                  <pic:spPr bwMode="auto">
                    <a:xfrm>
                      <a:off x="0" y="0"/>
                      <a:ext cx="6663690" cy="6515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Restricted cash</w:t>
      </w:r>
    </w:p>
    <w:p>
      <w:pPr>
        <w:spacing w:after="0" w:line="20"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Total cash, cash equivalents and restricted cash as shown on the consolidated statements of cash flows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380" w:type="dxa"/>
            <w:vAlign w:val="bottom"/>
          </w:tcPr>
          <w:p>
            <w:pPr>
              <w:jc w:val="right"/>
              <w:ind w:right="268"/>
              <w:spacing w:after="0"/>
              <w:rPr>
                <w:sz w:val="20"/>
                <w:szCs w:val="20"/>
                <w:color w:val="auto"/>
              </w:rPr>
            </w:pPr>
            <w:r>
              <w:rPr>
                <w:rFonts w:ascii="Arial" w:cs="Arial" w:eastAsia="Arial" w:hAnsi="Arial"/>
                <w:sz w:val="16"/>
                <w:szCs w:val="16"/>
                <w:b w:val="1"/>
                <w:bCs w:val="1"/>
                <w:color w:val="auto"/>
                <w:w w:val="96"/>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68"/>
              <w:spacing w:after="0"/>
              <w:rPr>
                <w:sz w:val="20"/>
                <w:szCs w:val="20"/>
                <w:color w:val="auto"/>
              </w:rPr>
            </w:pPr>
            <w:r>
              <w:rPr>
                <w:rFonts w:ascii="Arial" w:cs="Arial" w:eastAsia="Arial" w:hAnsi="Arial"/>
                <w:sz w:val="16"/>
                <w:szCs w:val="16"/>
                <w:b w:val="1"/>
                <w:bCs w:val="1"/>
                <w:color w:val="auto"/>
                <w:w w:val="96"/>
              </w:rPr>
              <w:t>December 31,</w:t>
            </w:r>
          </w:p>
        </w:tc>
      </w:tr>
      <w:tr>
        <w:trPr>
          <w:trHeight w:val="183"/>
        </w:trPr>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6"/>
                <w:szCs w:val="16"/>
                <w:b w:val="1"/>
                <w:bCs w:val="1"/>
                <w:color w:val="auto"/>
              </w:rPr>
              <w:t>2023</w:t>
            </w:r>
          </w:p>
        </w:tc>
      </w:tr>
      <w:tr>
        <w:trPr>
          <w:trHeight w:val="220"/>
        </w:trPr>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8"/>
              <w:spacing w:after="0" w:line="220" w:lineRule="exact"/>
              <w:rPr>
                <w:sz w:val="20"/>
                <w:szCs w:val="20"/>
                <w:color w:val="auto"/>
              </w:rPr>
            </w:pPr>
            <w:r>
              <w:rPr>
                <w:rFonts w:ascii="Arial" w:cs="Arial" w:eastAsia="Arial" w:hAnsi="Arial"/>
                <w:sz w:val="20"/>
                <w:szCs w:val="20"/>
                <w:b w:val="1"/>
                <w:bCs w:val="1"/>
                <w:color w:val="auto"/>
              </w:rPr>
              <w:t>192,434</w:t>
            </w:r>
          </w:p>
        </w:tc>
        <w:tc>
          <w:tcPr>
            <w:tcW w:w="36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8"/>
              <w:spacing w:after="0" w:line="220" w:lineRule="exact"/>
              <w:rPr>
                <w:sz w:val="20"/>
                <w:szCs w:val="20"/>
                <w:color w:val="auto"/>
              </w:rPr>
            </w:pPr>
            <w:r>
              <w:rPr>
                <w:rFonts w:ascii="Arial" w:cs="Arial" w:eastAsia="Arial" w:hAnsi="Arial"/>
                <w:sz w:val="20"/>
                <w:szCs w:val="20"/>
                <w:b w:val="1"/>
                <w:bCs w:val="1"/>
                <w:color w:val="auto"/>
              </w:rPr>
              <w:t>360,382</w:t>
            </w:r>
          </w:p>
        </w:tc>
      </w:tr>
      <w:tr>
        <w:trPr>
          <w:trHeight w:val="230"/>
        </w:trPr>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b w:val="1"/>
                <w:bCs w:val="1"/>
                <w:color w:val="auto"/>
              </w:rPr>
              <w:t>238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b w:val="1"/>
                <w:bCs w:val="1"/>
                <w:color w:val="auto"/>
              </w:rPr>
              <w:t>234</w:t>
            </w:r>
          </w:p>
        </w:tc>
      </w:tr>
      <w:tr>
        <w:trPr>
          <w:trHeight w:val="335"/>
        </w:trPr>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8"/>
              <w:spacing w:after="0"/>
              <w:rPr>
                <w:sz w:val="20"/>
                <w:szCs w:val="20"/>
                <w:color w:val="auto"/>
              </w:rPr>
            </w:pPr>
            <w:r>
              <w:rPr>
                <w:rFonts w:ascii="Arial" w:cs="Arial" w:eastAsia="Arial" w:hAnsi="Arial"/>
                <w:sz w:val="20"/>
                <w:szCs w:val="20"/>
                <w:b w:val="1"/>
                <w:bCs w:val="1"/>
                <w:color w:val="auto"/>
              </w:rPr>
              <w:t>192,672</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8"/>
              <w:spacing w:after="0"/>
              <w:rPr>
                <w:sz w:val="20"/>
                <w:szCs w:val="20"/>
                <w:color w:val="auto"/>
              </w:rPr>
            </w:pPr>
            <w:r>
              <w:rPr>
                <w:rFonts w:ascii="Arial" w:cs="Arial" w:eastAsia="Arial" w:hAnsi="Arial"/>
                <w:sz w:val="20"/>
                <w:szCs w:val="20"/>
                <w:b w:val="1"/>
                <w:bCs w:val="1"/>
                <w:color w:val="auto"/>
              </w:rPr>
              <w:t>360,616</w:t>
            </w:r>
          </w:p>
        </w:tc>
      </w:tr>
    </w:tbl>
    <w:p>
      <w:pPr>
        <w:spacing w:after="0" w:line="313" w:lineRule="exact"/>
        <w:rPr>
          <w:sz w:val="20"/>
          <w:szCs w:val="20"/>
          <w:color w:val="auto"/>
        </w:rPr>
      </w:pPr>
    </w:p>
    <w:p>
      <w:pPr>
        <w:sectPr>
          <w:pgSz w:w="12240" w:h="15840" w:orient="portrait"/>
          <w:cols w:equalWidth="0" w:num="2">
            <w:col w:w="6420" w:space="720"/>
            <w:col w:w="3300"/>
          </w:cols>
          <w:pgMar w:left="900" w:top="1192" w:right="900" w:bottom="181" w:gutter="0" w:footer="0" w:header="0"/>
          <w:type w:val="continuous"/>
        </w:sectPr>
      </w:pPr>
    </w:p>
    <w:p>
      <w:pPr>
        <w:spacing w:after="0" w:line="96"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Company's restricted cash balance, which is classified within other assets on the consolidated balance sheets, consists of letters of credit related to leased and subleased office space in Watertown, Massachusetts. The Company is required to maintain a separate cash balance to secure its letters of credit.</w:t>
      </w:r>
    </w:p>
    <w:p>
      <w:pPr>
        <w:sectPr>
          <w:pgSz w:w="12240" w:h="15840" w:orient="portrait"/>
          <w:cols w:equalWidth="0" w:num="1">
            <w:col w:w="10440"/>
          </w:cols>
          <w:pgMar w:left="900" w:top="1192" w:right="900" w:bottom="181" w:gutter="0" w:footer="0" w:header="0"/>
          <w:type w:val="continuous"/>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127</w:t>
      </w:r>
    </w:p>
    <w:p>
      <w:pPr>
        <w:sectPr>
          <w:pgSz w:w="12240" w:h="15840" w:orient="portrait"/>
          <w:cols w:equalWidth="0" w:num="1">
            <w:col w:w="10440"/>
          </w:cols>
          <w:pgMar w:left="900" w:top="1192" w:right="900" w:bottom="181"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6. Property and Equipment, Net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Property and equipment, net consisted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6"/>
                <w:szCs w:val="16"/>
                <w:b w:val="1"/>
                <w:bCs w:val="1"/>
                <w:color w:val="auto"/>
                <w:w w:val="94"/>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66"/>
              <w:spacing w:after="0"/>
              <w:rPr>
                <w:sz w:val="20"/>
                <w:szCs w:val="20"/>
                <w:color w:val="auto"/>
              </w:rPr>
            </w:pPr>
            <w:r>
              <w:rPr>
                <w:rFonts w:ascii="Arial" w:cs="Arial" w:eastAsia="Arial" w:hAnsi="Arial"/>
                <w:sz w:val="16"/>
                <w:szCs w:val="16"/>
                <w:b w:val="1"/>
                <w:bCs w:val="1"/>
                <w:color w:val="auto"/>
                <w:w w:val="96"/>
              </w:rPr>
              <w:t>December 31,</w:t>
            </w:r>
          </w:p>
        </w:tc>
      </w:tr>
      <w:tr>
        <w:trPr>
          <w:trHeight w:val="197"/>
        </w:trPr>
        <w:tc>
          <w:tcPr>
            <w:tcW w:w="7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6"/>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6"/>
              <w:spacing w:after="0"/>
              <w:rPr>
                <w:sz w:val="20"/>
                <w:szCs w:val="20"/>
                <w:color w:val="auto"/>
              </w:rPr>
            </w:pPr>
            <w:r>
              <w:rPr>
                <w:rFonts w:ascii="Arial" w:cs="Arial" w:eastAsia="Arial" w:hAnsi="Arial"/>
                <w:sz w:val="16"/>
                <w:szCs w:val="16"/>
                <w:b w:val="1"/>
                <w:bCs w:val="1"/>
                <w:color w:val="auto"/>
              </w:rPr>
              <w:t>2023</w:t>
            </w:r>
          </w:p>
        </w:tc>
      </w:tr>
      <w:tr>
        <w:trPr>
          <w:trHeight w:val="232"/>
        </w:trPr>
        <w:tc>
          <w:tcPr>
            <w:tcW w:w="7140" w:type="dxa"/>
            <w:vAlign w:val="bottom"/>
          </w:tcPr>
          <w:p>
            <w:pPr>
              <w:spacing w:after="0"/>
              <w:rPr>
                <w:sz w:val="20"/>
                <w:szCs w:val="20"/>
                <w:color w:val="auto"/>
              </w:rPr>
            </w:pPr>
            <w:r>
              <w:rPr>
                <w:rFonts w:ascii="Arial" w:cs="Arial" w:eastAsia="Arial" w:hAnsi="Arial"/>
                <w:sz w:val="20"/>
                <w:szCs w:val="20"/>
                <w:b w:val="1"/>
                <w:bCs w:val="1"/>
                <w:color w:val="auto"/>
              </w:rPr>
              <w:t>Leasehold improvements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566</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r>
      <w:tr>
        <w:trPr>
          <w:trHeight w:val="245"/>
        </w:trPr>
        <w:tc>
          <w:tcPr>
            <w:tcW w:w="714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180" w:type="dxa"/>
            <w:vAlign w:val="bottom"/>
          </w:tcPr>
          <w:p>
            <w:pPr>
              <w:spacing w:after="0"/>
              <w:rPr>
                <w:sz w:val="21"/>
                <w:szCs w:val="21"/>
                <w:color w:val="auto"/>
              </w:rPr>
            </w:pP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355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184</w:t>
            </w:r>
          </w:p>
        </w:tc>
      </w:tr>
      <w:tr>
        <w:trPr>
          <w:trHeight w:val="245"/>
        </w:trPr>
        <w:tc>
          <w:tcPr>
            <w:tcW w:w="7140" w:type="dxa"/>
            <w:vAlign w:val="bottom"/>
          </w:tcPr>
          <w:p>
            <w:pPr>
              <w:spacing w:after="0"/>
              <w:rPr>
                <w:sz w:val="20"/>
                <w:szCs w:val="20"/>
                <w:color w:val="auto"/>
              </w:rPr>
            </w:pPr>
            <w:r>
              <w:rPr>
                <w:rFonts w:ascii="Arial" w:cs="Arial" w:eastAsia="Arial" w:hAnsi="Arial"/>
                <w:sz w:val="20"/>
                <w:szCs w:val="20"/>
                <w:b w:val="1"/>
                <w:bCs w:val="1"/>
                <w:color w:val="auto"/>
              </w:rPr>
              <w:t>Computer equipment</w:t>
            </w:r>
          </w:p>
        </w:tc>
        <w:tc>
          <w:tcPr>
            <w:tcW w:w="180" w:type="dxa"/>
            <w:vAlign w:val="bottom"/>
          </w:tcPr>
          <w:p>
            <w:pPr>
              <w:spacing w:after="0"/>
              <w:rPr>
                <w:sz w:val="21"/>
                <w:szCs w:val="21"/>
                <w:color w:val="auto"/>
              </w:rPr>
            </w:pP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231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231</w:t>
            </w:r>
          </w:p>
        </w:tc>
      </w:tr>
      <w:tr>
        <w:trPr>
          <w:trHeight w:val="242"/>
        </w:trPr>
        <w:tc>
          <w:tcPr>
            <w:tcW w:w="7140" w:type="dxa"/>
            <w:vAlign w:val="bottom"/>
          </w:tcPr>
          <w:p>
            <w:pPr>
              <w:spacing w:after="0"/>
              <w:rPr>
                <w:sz w:val="20"/>
                <w:szCs w:val="20"/>
                <w:color w:val="auto"/>
              </w:rPr>
            </w:pPr>
            <w:r>
              <w:rPr>
                <w:rFonts w:ascii="Arial" w:cs="Arial" w:eastAsia="Arial" w:hAnsi="Arial"/>
                <w:sz w:val="20"/>
                <w:szCs w:val="20"/>
                <w:b w:val="1"/>
                <w:bCs w:val="1"/>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(401)</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(245)</w:t>
            </w:r>
          </w:p>
        </w:tc>
      </w:tr>
      <w:tr>
        <w:trPr>
          <w:trHeight w:val="234"/>
        </w:trPr>
        <w:tc>
          <w:tcPr>
            <w:tcW w:w="7140" w:type="dxa"/>
            <w:vAlign w:val="bottom"/>
          </w:tcPr>
          <w:p>
            <w:pPr>
              <w:spacing w:after="0"/>
              <w:rPr>
                <w:sz w:val="20"/>
                <w:szCs w:val="20"/>
                <w:color w:val="auto"/>
              </w:rPr>
            </w:pPr>
            <w:r>
              <w:rPr>
                <w:rFonts w:ascii="Arial" w:cs="Arial" w:eastAsia="Arial" w:hAnsi="Arial"/>
                <w:sz w:val="20"/>
                <w:szCs w:val="20"/>
                <w:b w:val="1"/>
                <w:bCs w:val="1"/>
                <w:color w:val="auto"/>
              </w:rPr>
              <w:t>Property and equipment, net</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751</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26"/>
              <w:spacing w:after="0"/>
              <w:rPr>
                <w:sz w:val="20"/>
                <w:szCs w:val="20"/>
                <w:color w:val="auto"/>
              </w:rPr>
            </w:pPr>
            <w:r>
              <w:rPr>
                <w:rFonts w:ascii="Arial" w:cs="Arial" w:eastAsia="Arial" w:hAnsi="Arial"/>
                <w:sz w:val="20"/>
                <w:szCs w:val="20"/>
                <w:b w:val="1"/>
                <w:bCs w:val="1"/>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-799465</wp:posOffset>
            </wp:positionV>
            <wp:extent cx="6663690" cy="8420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5">
                      <a:extLst>
                        <a:ext uri="{28A0092B-C50C-407E-A947-70E740481C1C}"/>
                      </a:extLst>
                    </a:blip>
                    <a:srcRect/>
                    <a:stretch>
                      <a:fillRect/>
                    </a:stretch>
                  </pic:blipFill>
                  <pic:spPr bwMode="auto">
                    <a:xfrm>
                      <a:off x="0" y="0"/>
                      <a:ext cx="6663690" cy="842010"/>
                    </a:xfrm>
                    <a:prstGeom prst="rect">
                      <a:avLst/>
                    </a:prstGeom>
                    <a:noFill/>
                  </pic:spPr>
                </pic:pic>
              </a:graphicData>
            </a:graphic>
          </wp:anchor>
        </w:drawing>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Depreciation expense for the years ended December 31, 2024 and 2023 was $0.2 million and $0.1 million, respectively.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Other Accrued Expenses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accrued expenses consisted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67"/>
              <w:spacing w:after="0"/>
              <w:rPr>
                <w:sz w:val="20"/>
                <w:szCs w:val="20"/>
                <w:color w:val="auto"/>
              </w:rPr>
            </w:pPr>
            <w:r>
              <w:rPr>
                <w:rFonts w:ascii="Arial" w:cs="Arial" w:eastAsia="Arial" w:hAnsi="Arial"/>
                <w:sz w:val="16"/>
                <w:szCs w:val="16"/>
                <w:b w:val="1"/>
                <w:bCs w:val="1"/>
                <w:color w:val="auto"/>
                <w:w w:val="96"/>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67"/>
              <w:spacing w:after="0"/>
              <w:rPr>
                <w:sz w:val="20"/>
                <w:szCs w:val="20"/>
                <w:color w:val="auto"/>
              </w:rPr>
            </w:pPr>
            <w:r>
              <w:rPr>
                <w:rFonts w:ascii="Arial" w:cs="Arial" w:eastAsia="Arial" w:hAnsi="Arial"/>
                <w:sz w:val="16"/>
                <w:szCs w:val="16"/>
                <w:b w:val="1"/>
                <w:bCs w:val="1"/>
                <w:color w:val="auto"/>
                <w:w w:val="96"/>
              </w:rPr>
              <w:t>December 31,</w:t>
            </w:r>
          </w:p>
        </w:tc>
      </w:tr>
      <w:tr>
        <w:trPr>
          <w:trHeight w:val="183"/>
        </w:trPr>
        <w:tc>
          <w:tcPr>
            <w:tcW w:w="7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7"/>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7"/>
              <w:spacing w:after="0"/>
              <w:rPr>
                <w:sz w:val="20"/>
                <w:szCs w:val="20"/>
                <w:color w:val="auto"/>
              </w:rPr>
            </w:pPr>
            <w:r>
              <w:rPr>
                <w:rFonts w:ascii="Arial" w:cs="Arial" w:eastAsia="Arial" w:hAnsi="Arial"/>
                <w:sz w:val="16"/>
                <w:szCs w:val="16"/>
                <w:b w:val="1"/>
                <w:bCs w:val="1"/>
                <w:color w:val="auto"/>
              </w:rPr>
              <w:t>2023</w:t>
            </w:r>
          </w:p>
        </w:tc>
      </w:tr>
      <w:tr>
        <w:trPr>
          <w:trHeight w:val="220"/>
        </w:trPr>
        <w:tc>
          <w:tcPr>
            <w:tcW w:w="7140" w:type="dxa"/>
            <w:vAlign w:val="bottom"/>
          </w:tcPr>
          <w:p>
            <w:pPr>
              <w:spacing w:after="0" w:line="220" w:lineRule="exact"/>
              <w:rPr>
                <w:sz w:val="20"/>
                <w:szCs w:val="20"/>
                <w:color w:val="auto"/>
              </w:rPr>
            </w:pPr>
            <w:r>
              <w:rPr>
                <w:rFonts w:ascii="Arial" w:cs="Arial" w:eastAsia="Arial" w:hAnsi="Arial"/>
                <w:sz w:val="20"/>
                <w:szCs w:val="20"/>
                <w:b w:val="1"/>
                <w:bCs w:val="1"/>
                <w:color w:val="auto"/>
              </w:rPr>
              <w:t>Accrued employee-related expenses</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7,211</w:t>
            </w:r>
          </w:p>
        </w:tc>
        <w:tc>
          <w:tcPr>
            <w:tcW w:w="36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5,790</w:t>
            </w:r>
          </w:p>
        </w:tc>
      </w:tr>
      <w:tr>
        <w:trPr>
          <w:trHeight w:val="230"/>
        </w:trPr>
        <w:tc>
          <w:tcPr>
            <w:tcW w:w="7140" w:type="dxa"/>
            <w:vAlign w:val="bottom"/>
          </w:tcPr>
          <w:p>
            <w:pPr>
              <w:spacing w:after="0"/>
              <w:rPr>
                <w:sz w:val="20"/>
                <w:szCs w:val="20"/>
                <w:color w:val="auto"/>
              </w:rPr>
            </w:pPr>
            <w:r>
              <w:rPr>
                <w:rFonts w:ascii="Arial" w:cs="Arial" w:eastAsia="Arial" w:hAnsi="Arial"/>
                <w:sz w:val="20"/>
                <w:szCs w:val="20"/>
                <w:b w:val="1"/>
                <w:bCs w:val="1"/>
                <w:color w:val="auto"/>
              </w:rPr>
              <w:t>Accrued professional fees</w:t>
            </w:r>
          </w:p>
        </w:tc>
        <w:tc>
          <w:tcPr>
            <w:tcW w:w="18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20"/>
                <w:szCs w:val="20"/>
                <w:b w:val="1"/>
                <w:bCs w:val="1"/>
                <w:color w:val="auto"/>
              </w:rPr>
              <w:t>531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20"/>
                <w:szCs w:val="20"/>
                <w:b w:val="1"/>
                <w:bCs w:val="1"/>
                <w:color w:val="auto"/>
              </w:rPr>
              <w:t>317</w:t>
            </w:r>
          </w:p>
        </w:tc>
      </w:tr>
      <w:tr>
        <w:trPr>
          <w:trHeight w:val="230"/>
        </w:trPr>
        <w:tc>
          <w:tcPr>
            <w:tcW w:w="7140" w:type="dxa"/>
            <w:vAlign w:val="bottom"/>
          </w:tcPr>
          <w:p>
            <w:pPr>
              <w:spacing w:after="0"/>
              <w:rPr>
                <w:sz w:val="20"/>
                <w:szCs w:val="20"/>
                <w:color w:val="auto"/>
              </w:rPr>
            </w:pPr>
            <w:r>
              <w:rPr>
                <w:rFonts w:ascii="Arial" w:cs="Arial" w:eastAsia="Arial" w:hAnsi="Arial"/>
                <w:sz w:val="20"/>
                <w:szCs w:val="20"/>
                <w:b w:val="1"/>
                <w:bCs w:val="1"/>
                <w:color w:val="auto"/>
              </w:rPr>
              <w:t>Accrued other</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355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52</w:t>
            </w:r>
          </w:p>
        </w:tc>
      </w:tr>
      <w:tr>
        <w:trPr>
          <w:trHeight w:val="220"/>
        </w:trPr>
        <w:tc>
          <w:tcPr>
            <w:tcW w:w="7140" w:type="dxa"/>
            <w:vAlign w:val="bottom"/>
          </w:tcPr>
          <w:p>
            <w:pPr>
              <w:spacing w:after="0" w:line="220" w:lineRule="exact"/>
              <w:rPr>
                <w:sz w:val="20"/>
                <w:szCs w:val="20"/>
                <w:color w:val="auto"/>
              </w:rPr>
            </w:pPr>
            <w:r>
              <w:rPr>
                <w:rFonts w:ascii="Arial" w:cs="Arial" w:eastAsia="Arial" w:hAnsi="Arial"/>
                <w:sz w:val="20"/>
                <w:szCs w:val="20"/>
                <w:b w:val="1"/>
                <w:bCs w:val="1"/>
                <w:color w:val="auto"/>
              </w:rPr>
              <w:t>Total other accrued expenses</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8,097</w:t>
            </w:r>
          </w:p>
        </w:tc>
        <w:tc>
          <w:tcPr>
            <w:tcW w:w="36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w:t>
            </w:r>
          </w:p>
        </w:tc>
        <w:tc>
          <w:tcPr>
            <w:tcW w:w="138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6,159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-608965</wp:posOffset>
            </wp:positionV>
            <wp:extent cx="6663690" cy="6515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6">
                      <a:extLst>
                        <a:ext uri="{28A0092B-C50C-407E-A947-70E740481C1C}"/>
                      </a:extLst>
                    </a:blip>
                    <a:srcRect/>
                    <a:stretch>
                      <a:fillRect/>
                    </a:stretch>
                  </pic:blipFill>
                  <pic:spPr bwMode="auto">
                    <a:xfrm>
                      <a:off x="0" y="0"/>
                      <a:ext cx="6663690" cy="6515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Leases</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 has an operating lease and sublease for office space which serves as the Company's corporate headquarters. The Company's sublease and lease expire in November 2026 and December 2029, respectively. The Company's leases do not contain any material residual value guarantees or restrictive covenants. Operating leases are recognized on the consolidated balance sheets as right-of-use assets, operating leases, operating lease liabilities, current and operating lease liabilities, non-current. Operating lease expense is recognized on a straight-line basis over the lease term within the Company’s consolidated statements of operations and comprehensive loss.</w:t>
      </w:r>
    </w:p>
    <w:p>
      <w:pPr>
        <w:spacing w:after="0" w:line="108"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In August 2024, the Company amended its lease of 7,566 square feet of office space which serves as the Company’s corporate headquarters. The lease was amended to extend the term from November 30, 2026 through December 31, 2029. The Company accounted for this amendment as a modification which resulted in the application of a new incremental borrowing rate and the recognition of an additional right-of-use asset and lease liability of $0.1 million, inclusive of a tenant improvement allowance of $0.5 million.</w:t>
      </w:r>
    </w:p>
    <w:p>
      <w:pPr>
        <w:spacing w:after="0" w:line="134"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In connection with the August 2024 amendment, the Company entered into a forward-starting lease of office space on the second floor of its corporate headquarters, which the Company is currently subleasing. The forward-starting lease is expected to commence on December 1, 2026 immediately following the conclusion of the sublease, and has a term date of December 31, 2029. The Company expects to make undiscounted payments of $1.0 million over the term of the lease, inclusive of a tenant improvement allowance of $0.3 million. The impact of the forward-starting lease is not currently recorded on the Company’s consolidated balance sheets as of the reporting date. The Company will record the impact upon lease commencement.</w:t>
      </w:r>
    </w:p>
    <w:p>
      <w:pPr>
        <w:sectPr>
          <w:pgSz w:w="12240" w:h="15840" w:orient="portrait"/>
          <w:cols w:equalWidth="0" w:num="1">
            <w:col w:w="10440"/>
          </w:cols>
          <w:pgMar w:left="900" w:top="949" w:right="900" w:bottom="181" w:gutter="0" w:footer="0" w:header="0"/>
        </w:sectPr>
      </w:pPr>
    </w:p>
    <w:p>
      <w:pPr>
        <w:spacing w:after="0" w:line="93"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The components of lease expense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478155</wp:posOffset>
            </wp:positionV>
            <wp:extent cx="6663690" cy="5067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7">
                      <a:extLst>
                        <a:ext uri="{28A0092B-C50C-407E-A947-70E740481C1C}"/>
                      </a:extLst>
                    </a:blip>
                    <a:srcRect/>
                    <a:stretch>
                      <a:fillRect/>
                    </a:stretch>
                  </pic:blipFill>
                  <pic:spPr bwMode="auto">
                    <a:xfrm>
                      <a:off x="0" y="0"/>
                      <a:ext cx="6663690"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lease costs</w:t>
      </w:r>
    </w:p>
    <w:p>
      <w:pPr>
        <w:spacing w:after="0"/>
        <w:rPr>
          <w:sz w:val="20"/>
          <w:szCs w:val="20"/>
          <w:color w:val="auto"/>
        </w:rPr>
      </w:pPr>
      <w:r>
        <w:rPr>
          <w:rFonts w:ascii="Arial" w:cs="Arial" w:eastAsia="Arial" w:hAnsi="Arial"/>
          <w:sz w:val="20"/>
          <w:szCs w:val="20"/>
          <w:b w:val="1"/>
          <w:bCs w:val="1"/>
          <w:color w:val="auto"/>
        </w:rPr>
        <w:t>Variable lease costs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lease expense</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Other information related to the Company’s leases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2540</wp:posOffset>
                </wp:positionV>
                <wp:extent cx="2097405"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740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0.2pt" to="165.35pt,0.2pt" o:allowincell="f" strokecolor="#000000" strokeweight="0.6pt"/>
            </w:pict>
          </mc:Fallback>
        </mc:AlternateConten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220" w:type="dxa"/>
            <w:vAlign w:val="bottom"/>
          </w:tcPr>
          <w:p>
            <w:pPr>
              <w:jc w:val="right"/>
              <w:ind w:right="565"/>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65"/>
              <w:spacing w:after="0"/>
              <w:rPr>
                <w:sz w:val="20"/>
                <w:szCs w:val="20"/>
                <w:color w:val="auto"/>
              </w:rPr>
            </w:pPr>
            <w:r>
              <w:rPr>
                <w:rFonts w:ascii="Arial" w:cs="Arial" w:eastAsia="Arial" w:hAnsi="Arial"/>
                <w:sz w:val="16"/>
                <w:szCs w:val="16"/>
                <w:b w:val="1"/>
                <w:bCs w:val="1"/>
                <w:color w:val="auto"/>
              </w:rPr>
              <w:t>2023</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0"/>
        </w:trPr>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641</w:t>
            </w:r>
          </w:p>
        </w:tc>
        <w:tc>
          <w:tcPr>
            <w:tcW w:w="520" w:type="dxa"/>
            <w:vAlign w:val="bottom"/>
            <w:gridSpan w:val="2"/>
          </w:tcPr>
          <w:p>
            <w:pPr>
              <w:jc w:val="right"/>
              <w:ind w:right="240"/>
              <w:spacing w:after="0" w:line="220" w:lineRule="exact"/>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422</w:t>
            </w:r>
          </w:p>
        </w:tc>
      </w:tr>
      <w:tr>
        <w:trPr>
          <w:trHeight w:val="230"/>
        </w:trPr>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486</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159</w:t>
            </w:r>
          </w:p>
        </w:tc>
      </w:tr>
      <w:tr>
        <w:trPr>
          <w:trHeight w:val="220"/>
        </w:trPr>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1,127</w:t>
            </w:r>
          </w:p>
        </w:tc>
        <w:tc>
          <w:tcPr>
            <w:tcW w:w="520" w:type="dxa"/>
            <w:vAlign w:val="bottom"/>
            <w:gridSpan w:val="2"/>
          </w:tcPr>
          <w:p>
            <w:pPr>
              <w:jc w:val="right"/>
              <w:ind w:right="240"/>
              <w:spacing w:after="0" w:line="220" w:lineRule="exact"/>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581</w:t>
            </w:r>
          </w:p>
        </w:tc>
      </w:tr>
    </w:tbl>
    <w:p>
      <w:pPr>
        <w:spacing w:after="0" w:line="636" w:lineRule="exact"/>
        <w:rPr>
          <w:sz w:val="20"/>
          <w:szCs w:val="20"/>
          <w:color w:val="auto"/>
        </w:rPr>
      </w:pPr>
    </w:p>
    <w:p>
      <w:pPr>
        <w:sectPr>
          <w:pgSz w:w="12240" w:h="15840" w:orient="portrait"/>
          <w:cols w:equalWidth="0" w:num="2">
            <w:col w:w="6420" w:space="720"/>
            <w:col w:w="3300"/>
          </w:cols>
          <w:pgMar w:left="900" w:top="949" w:right="900" w:bottom="181"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2160" w:type="dxa"/>
            <w:vAlign w:val="bottom"/>
            <w:gridSpan w:val="3"/>
          </w:tcPr>
          <w:p>
            <w:pPr>
              <w:jc w:val="center"/>
              <w:ind w:left="912"/>
              <w:spacing w:after="0"/>
              <w:rPr>
                <w:sz w:val="20"/>
                <w:szCs w:val="20"/>
                <w:color w:val="auto"/>
              </w:rPr>
            </w:pPr>
            <w:r>
              <w:rPr>
                <w:rFonts w:ascii="Arial" w:cs="Arial" w:eastAsia="Arial" w:hAnsi="Arial"/>
                <w:sz w:val="16"/>
                <w:szCs w:val="16"/>
                <w:b w:val="1"/>
                <w:bCs w:val="1"/>
                <w:color w:val="auto"/>
                <w:w w:val="95"/>
              </w:rPr>
              <w:t>Year Ended</w:t>
            </w:r>
          </w:p>
        </w:tc>
        <w:tc>
          <w:tcPr>
            <w:tcW w:w="1180" w:type="dxa"/>
            <w:vAlign w:val="bottom"/>
          </w:tcPr>
          <w:p>
            <w:pPr>
              <w:spacing w:after="0"/>
              <w:rPr>
                <w:sz w:val="15"/>
                <w:szCs w:val="15"/>
                <w:color w:val="auto"/>
              </w:rPr>
            </w:pPr>
          </w:p>
        </w:tc>
      </w:tr>
      <w:tr>
        <w:trPr>
          <w:trHeight w:val="183"/>
        </w:trPr>
        <w:tc>
          <w:tcPr>
            <w:tcW w:w="710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912"/>
              <w:spacing w:after="0" w:line="182" w:lineRule="exact"/>
              <w:rPr>
                <w:sz w:val="20"/>
                <w:szCs w:val="20"/>
                <w:color w:val="auto"/>
              </w:rPr>
            </w:pPr>
            <w:r>
              <w:rPr>
                <w:rFonts w:ascii="Arial" w:cs="Arial" w:eastAsia="Arial" w:hAnsi="Arial"/>
                <w:sz w:val="16"/>
                <w:szCs w:val="16"/>
                <w:b w:val="1"/>
                <w:bCs w:val="1"/>
                <w:color w:val="auto"/>
                <w:w w:val="88"/>
              </w:rPr>
              <w:t>December 31,</w:t>
            </w:r>
          </w:p>
        </w:tc>
        <w:tc>
          <w:tcPr>
            <w:tcW w:w="1180" w:type="dxa"/>
            <w:vAlign w:val="bottom"/>
            <w:tcBorders>
              <w:bottom w:val="single" w:sz="8" w:color="auto"/>
            </w:tcBorders>
          </w:tcPr>
          <w:p>
            <w:pPr>
              <w:spacing w:after="0"/>
              <w:rPr>
                <w:sz w:val="15"/>
                <w:szCs w:val="15"/>
                <w:color w:val="auto"/>
              </w:rPr>
            </w:pPr>
          </w:p>
        </w:tc>
      </w:tr>
      <w:tr>
        <w:trPr>
          <w:trHeight w:val="174"/>
        </w:trPr>
        <w:tc>
          <w:tcPr>
            <w:tcW w:w="7100" w:type="dxa"/>
            <w:vAlign w:val="bottom"/>
          </w:tcPr>
          <w:p>
            <w:pPr>
              <w:spacing w:after="0"/>
              <w:rPr>
                <w:sz w:val="15"/>
                <w:szCs w:val="15"/>
                <w:color w:val="auto"/>
              </w:rPr>
            </w:pPr>
          </w:p>
        </w:tc>
        <w:tc>
          <w:tcPr>
            <w:tcW w:w="1600" w:type="dxa"/>
            <w:vAlign w:val="bottom"/>
            <w:tcBorders>
              <w:bottom w:val="single" w:sz="8" w:color="auto"/>
            </w:tcBorders>
          </w:tcPr>
          <w:p>
            <w:pPr>
              <w:jc w:val="right"/>
              <w:ind w:right="652"/>
              <w:spacing w:after="0" w:line="175"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7"/>
              <w:spacing w:after="0" w:line="175" w:lineRule="exact"/>
              <w:rPr>
                <w:sz w:val="20"/>
                <w:szCs w:val="20"/>
                <w:color w:val="auto"/>
              </w:rPr>
            </w:pPr>
            <w:r>
              <w:rPr>
                <w:rFonts w:ascii="Arial" w:cs="Arial" w:eastAsia="Arial" w:hAnsi="Arial"/>
                <w:sz w:val="16"/>
                <w:szCs w:val="16"/>
                <w:b w:val="1"/>
                <w:bCs w:val="1"/>
                <w:color w:val="auto"/>
              </w:rPr>
              <w:t>2023</w:t>
            </w:r>
          </w:p>
        </w:tc>
      </w:tr>
      <w:tr>
        <w:trPr>
          <w:trHeight w:val="218"/>
        </w:trPr>
        <w:tc>
          <w:tcPr>
            <w:tcW w:w="7100" w:type="dxa"/>
            <w:vAlign w:val="bottom"/>
          </w:tcPr>
          <w:p>
            <w:pPr>
              <w:spacing w:after="0" w:line="218" w:lineRule="exact"/>
              <w:rPr>
                <w:sz w:val="20"/>
                <w:szCs w:val="20"/>
                <w:color w:val="auto"/>
              </w:rPr>
            </w:pPr>
            <w:r>
              <w:rPr>
                <w:rFonts w:ascii="Arial" w:cs="Arial" w:eastAsia="Arial" w:hAnsi="Arial"/>
                <w:sz w:val="20"/>
                <w:szCs w:val="20"/>
                <w:b w:val="1"/>
                <w:bCs w:val="1"/>
                <w:color w:val="auto"/>
              </w:rPr>
              <w:t>Weighted-average remaining lease term</w:t>
            </w:r>
          </w:p>
        </w:tc>
        <w:tc>
          <w:tcPr>
            <w:tcW w:w="2160" w:type="dxa"/>
            <w:vAlign w:val="bottom"/>
            <w:gridSpan w:val="3"/>
          </w:tcPr>
          <w:p>
            <w:pPr>
              <w:ind w:left="700"/>
              <w:spacing w:after="0" w:line="218" w:lineRule="exact"/>
              <w:rPr>
                <w:sz w:val="20"/>
                <w:szCs w:val="20"/>
                <w:color w:val="auto"/>
              </w:rPr>
            </w:pPr>
            <w:r>
              <w:rPr>
                <w:rFonts w:ascii="Arial" w:cs="Arial" w:eastAsia="Arial" w:hAnsi="Arial"/>
                <w:sz w:val="20"/>
                <w:szCs w:val="20"/>
                <w:b w:val="1"/>
                <w:bCs w:val="1"/>
                <w:color w:val="auto"/>
              </w:rPr>
              <w:t>3.5 years</w:t>
            </w:r>
          </w:p>
        </w:tc>
        <w:tc>
          <w:tcPr>
            <w:tcW w:w="1180" w:type="dxa"/>
            <w:vAlign w:val="bottom"/>
          </w:tcPr>
          <w:p>
            <w:pPr>
              <w:jc w:val="right"/>
              <w:ind w:right="87"/>
              <w:spacing w:after="0" w:line="218" w:lineRule="exact"/>
              <w:rPr>
                <w:sz w:val="20"/>
                <w:szCs w:val="20"/>
                <w:color w:val="auto"/>
              </w:rPr>
            </w:pPr>
            <w:r>
              <w:rPr>
                <w:rFonts w:ascii="Arial" w:cs="Arial" w:eastAsia="Arial" w:hAnsi="Arial"/>
                <w:sz w:val="20"/>
                <w:szCs w:val="20"/>
                <w:b w:val="1"/>
                <w:bCs w:val="1"/>
                <w:color w:val="auto"/>
              </w:rPr>
              <w:t>2.9 years</w:t>
            </w:r>
          </w:p>
        </w:tc>
      </w:tr>
      <w:tr>
        <w:trPr>
          <w:trHeight w:val="230"/>
        </w:trPr>
        <w:tc>
          <w:tcPr>
            <w:tcW w:w="7100" w:type="dxa"/>
            <w:vAlign w:val="bottom"/>
          </w:tcPr>
          <w:p>
            <w:pPr>
              <w:spacing w:after="0"/>
              <w:rPr>
                <w:sz w:val="20"/>
                <w:szCs w:val="20"/>
                <w:color w:val="auto"/>
              </w:rPr>
            </w:pPr>
            <w:r>
              <w:rPr>
                <w:rFonts w:ascii="Arial" w:cs="Arial" w:eastAsia="Arial" w:hAnsi="Arial"/>
                <w:sz w:val="20"/>
                <w:szCs w:val="20"/>
                <w:b w:val="1"/>
                <w:bCs w:val="1"/>
                <w:color w:val="auto"/>
              </w:rPr>
              <w:t>Weighted-average discount rate</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10.3%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-309880</wp:posOffset>
            </wp:positionV>
            <wp:extent cx="6663690" cy="3257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48">
                      <a:extLst>
                        <a:ext uri="{28A0092B-C50C-407E-A947-70E740481C1C}"/>
                      </a:extLst>
                    </a:blip>
                    <a:srcRect/>
                    <a:stretch>
                      <a:fillRect/>
                    </a:stretch>
                  </pic:blipFill>
                  <pic:spPr bwMode="auto">
                    <a:xfrm>
                      <a:off x="0" y="0"/>
                      <a:ext cx="6663690" cy="325755"/>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type w:val="continuous"/>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128</w:t>
      </w:r>
    </w:p>
    <w:p>
      <w:pPr>
        <w:sectPr>
          <w:pgSz w:w="12240" w:h="15840" w:orient="portrait"/>
          <w:cols w:equalWidth="0" w:num="1">
            <w:col w:w="10440"/>
          </w:cols>
          <w:pgMar w:left="900" w:top="949" w:right="900" w:bottom="181" w:gutter="0" w:footer="0" w:header="0"/>
          <w:type w:val="continuous"/>
        </w:sectPr>
      </w:pPr>
    </w:p>
    <w:bookmarkStart w:id="138" w:name="page139"/>
    <w:bookmarkEnd w:id="138"/>
    <w:p>
      <w:pPr>
        <w:ind w:right="160" w:firstLine="490"/>
        <w:spacing w:after="0" w:line="233" w:lineRule="auto"/>
        <w:rPr>
          <w:sz w:val="20"/>
          <w:szCs w:val="20"/>
          <w:color w:val="auto"/>
        </w:rPr>
      </w:pPr>
      <w:r>
        <w:rPr>
          <w:rFonts w:ascii="Arial" w:cs="Arial" w:eastAsia="Arial" w:hAnsi="Arial"/>
          <w:sz w:val="20"/>
          <w:szCs w:val="20"/>
          <w:b w:val="1"/>
          <w:bCs w:val="1"/>
          <w:color w:val="auto"/>
        </w:rPr>
        <w:t>The following table presents the future minimum lease payments under the Company's lease liabilities as of December 31, 2024,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w w:val="95"/>
              </w:rPr>
              <w:t>Operating Leases</w:t>
            </w:r>
          </w:p>
        </w:tc>
      </w:tr>
      <w:tr>
        <w:trPr>
          <w:trHeight w:val="220"/>
        </w:trPr>
        <w:tc>
          <w:tcPr>
            <w:tcW w:w="8580" w:type="dxa"/>
            <w:vAlign w:val="bottom"/>
          </w:tcPr>
          <w:p>
            <w:pPr>
              <w:spacing w:after="0" w:line="220" w:lineRule="exact"/>
              <w:rPr>
                <w:sz w:val="20"/>
                <w:szCs w:val="20"/>
                <w:color w:val="auto"/>
              </w:rPr>
            </w:pPr>
            <w:r>
              <w:rPr>
                <w:rFonts w:ascii="Arial" w:cs="Arial" w:eastAsia="Arial" w:hAnsi="Arial"/>
                <w:sz w:val="20"/>
                <w:szCs w:val="20"/>
                <w:b w:val="1"/>
                <w:bCs w:val="1"/>
                <w:color w:val="auto"/>
              </w:rPr>
              <w:t>2025</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68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324</w:t>
            </w:r>
          </w:p>
        </w:tc>
      </w:tr>
      <w:tr>
        <w:trPr>
          <w:trHeight w:val="230"/>
        </w:trPr>
        <w:tc>
          <w:tcPr>
            <w:tcW w:w="858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180" w:type="dxa"/>
            <w:vAlign w:val="bottom"/>
          </w:tcPr>
          <w:p>
            <w:pPr>
              <w:spacing w:after="0"/>
              <w:rPr>
                <w:sz w:val="20"/>
                <w:szCs w:val="20"/>
                <w:color w:val="auto"/>
              </w:rPr>
            </w:pPr>
          </w:p>
        </w:tc>
        <w:tc>
          <w:tcPr>
            <w:tcW w:w="1680" w:type="dxa"/>
            <w:vAlign w:val="bottom"/>
          </w:tcPr>
          <w:p>
            <w:pPr>
              <w:jc w:val="right"/>
              <w:ind w:right="3"/>
              <w:spacing w:after="0"/>
              <w:rPr>
                <w:sz w:val="20"/>
                <w:szCs w:val="20"/>
                <w:color w:val="auto"/>
              </w:rPr>
            </w:pPr>
            <w:r>
              <w:rPr>
                <w:rFonts w:ascii="Arial" w:cs="Arial" w:eastAsia="Arial" w:hAnsi="Arial"/>
                <w:sz w:val="20"/>
                <w:szCs w:val="20"/>
                <w:b w:val="1"/>
                <w:bCs w:val="1"/>
                <w:color w:val="auto"/>
              </w:rPr>
              <w:t>768</w:t>
            </w:r>
          </w:p>
        </w:tc>
      </w:tr>
      <w:tr>
        <w:trPr>
          <w:trHeight w:val="230"/>
        </w:trPr>
        <w:tc>
          <w:tcPr>
            <w:tcW w:w="858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180" w:type="dxa"/>
            <w:vAlign w:val="bottom"/>
          </w:tcPr>
          <w:p>
            <w:pPr>
              <w:spacing w:after="0"/>
              <w:rPr>
                <w:sz w:val="20"/>
                <w:szCs w:val="20"/>
                <w:color w:val="auto"/>
              </w:rPr>
            </w:pPr>
          </w:p>
        </w:tc>
        <w:tc>
          <w:tcPr>
            <w:tcW w:w="1680" w:type="dxa"/>
            <w:vAlign w:val="bottom"/>
          </w:tcPr>
          <w:p>
            <w:pPr>
              <w:jc w:val="right"/>
              <w:ind w:right="3"/>
              <w:spacing w:after="0"/>
              <w:rPr>
                <w:sz w:val="20"/>
                <w:szCs w:val="20"/>
                <w:color w:val="auto"/>
              </w:rPr>
            </w:pPr>
            <w:r>
              <w:rPr>
                <w:rFonts w:ascii="Arial" w:cs="Arial" w:eastAsia="Arial" w:hAnsi="Arial"/>
                <w:sz w:val="20"/>
                <w:szCs w:val="20"/>
                <w:b w:val="1"/>
                <w:bCs w:val="1"/>
                <w:color w:val="auto"/>
              </w:rPr>
              <w:t>285</w:t>
            </w:r>
          </w:p>
        </w:tc>
      </w:tr>
      <w:tr>
        <w:trPr>
          <w:trHeight w:val="230"/>
        </w:trPr>
        <w:tc>
          <w:tcPr>
            <w:tcW w:w="858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180" w:type="dxa"/>
            <w:vAlign w:val="bottom"/>
          </w:tcPr>
          <w:p>
            <w:pPr>
              <w:spacing w:after="0"/>
              <w:rPr>
                <w:sz w:val="20"/>
                <w:szCs w:val="20"/>
                <w:color w:val="auto"/>
              </w:rPr>
            </w:pPr>
          </w:p>
        </w:tc>
        <w:tc>
          <w:tcPr>
            <w:tcW w:w="1680" w:type="dxa"/>
            <w:vAlign w:val="bottom"/>
          </w:tcPr>
          <w:p>
            <w:pPr>
              <w:jc w:val="right"/>
              <w:ind w:right="3"/>
              <w:spacing w:after="0"/>
              <w:rPr>
                <w:sz w:val="20"/>
                <w:szCs w:val="20"/>
                <w:color w:val="auto"/>
              </w:rPr>
            </w:pPr>
            <w:r>
              <w:rPr>
                <w:rFonts w:ascii="Arial" w:cs="Arial" w:eastAsia="Arial" w:hAnsi="Arial"/>
                <w:sz w:val="20"/>
                <w:szCs w:val="20"/>
                <w:b w:val="1"/>
                <w:bCs w:val="1"/>
                <w:color w:val="auto"/>
              </w:rPr>
              <w:t>389</w:t>
            </w:r>
          </w:p>
        </w:tc>
      </w:tr>
      <w:tr>
        <w:trPr>
          <w:trHeight w:val="229"/>
        </w:trPr>
        <w:tc>
          <w:tcPr>
            <w:tcW w:w="8580" w:type="dxa"/>
            <w:vAlign w:val="bottom"/>
          </w:tcPr>
          <w:p>
            <w:pPr>
              <w:spacing w:after="0" w:line="228" w:lineRule="exact"/>
              <w:rPr>
                <w:sz w:val="20"/>
                <w:szCs w:val="20"/>
                <w:color w:val="auto"/>
              </w:rPr>
            </w:pPr>
            <w:r>
              <w:rPr>
                <w:rFonts w:ascii="Arial" w:cs="Arial" w:eastAsia="Arial" w:hAnsi="Arial"/>
                <w:sz w:val="20"/>
                <w:szCs w:val="20"/>
                <w:b w:val="1"/>
                <w:bCs w:val="1"/>
                <w:color w:val="auto"/>
              </w:rPr>
              <w:t>2029</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
              <w:spacing w:after="0" w:line="228" w:lineRule="exact"/>
              <w:rPr>
                <w:sz w:val="20"/>
                <w:szCs w:val="20"/>
                <w:color w:val="auto"/>
              </w:rPr>
            </w:pPr>
            <w:r>
              <w:rPr>
                <w:rFonts w:ascii="Arial" w:cs="Arial" w:eastAsia="Arial" w:hAnsi="Arial"/>
                <w:sz w:val="20"/>
                <w:szCs w:val="20"/>
                <w:b w:val="1"/>
                <w:bCs w:val="1"/>
                <w:color w:val="auto"/>
              </w:rPr>
              <w:t>401</w:t>
            </w:r>
          </w:p>
        </w:tc>
      </w:tr>
      <w:tr>
        <w:trPr>
          <w:trHeight w:val="219"/>
        </w:trPr>
        <w:tc>
          <w:tcPr>
            <w:tcW w:w="8580" w:type="dxa"/>
            <w:vAlign w:val="bottom"/>
          </w:tcPr>
          <w:p>
            <w:pPr>
              <w:ind w:left="100"/>
              <w:spacing w:after="0" w:line="219" w:lineRule="exact"/>
              <w:rPr>
                <w:sz w:val="20"/>
                <w:szCs w:val="20"/>
                <w:color w:val="auto"/>
              </w:rPr>
            </w:pPr>
            <w:r>
              <w:rPr>
                <w:rFonts w:ascii="Arial" w:cs="Arial" w:eastAsia="Arial" w:hAnsi="Arial"/>
                <w:sz w:val="20"/>
                <w:szCs w:val="20"/>
                <w:b w:val="1"/>
                <w:bCs w:val="1"/>
                <w:color w:val="auto"/>
              </w:rPr>
              <w:t>Total minimum lease payments</w:t>
            </w:r>
          </w:p>
        </w:tc>
        <w:tc>
          <w:tcPr>
            <w:tcW w:w="1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680" w:type="dxa"/>
            <w:vAlign w:val="bottom"/>
            <w:tcBorders>
              <w:bottom w:val="single" w:sz="8" w:color="auto"/>
            </w:tcBorders>
          </w:tcPr>
          <w:p>
            <w:pPr>
              <w:jc w:val="right"/>
              <w:ind w:right="3"/>
              <w:spacing w:after="0" w:line="219" w:lineRule="exact"/>
              <w:rPr>
                <w:sz w:val="20"/>
                <w:szCs w:val="20"/>
                <w:color w:val="auto"/>
              </w:rPr>
            </w:pPr>
            <w:r>
              <w:rPr>
                <w:rFonts w:ascii="Arial" w:cs="Arial" w:eastAsia="Arial" w:hAnsi="Arial"/>
                <w:sz w:val="20"/>
                <w:szCs w:val="20"/>
                <w:b w:val="1"/>
                <w:bCs w:val="1"/>
                <w:color w:val="auto"/>
              </w:rPr>
              <w:t>2,167</w:t>
            </w:r>
          </w:p>
        </w:tc>
      </w:tr>
      <w:tr>
        <w:trPr>
          <w:trHeight w:val="220"/>
        </w:trPr>
        <w:tc>
          <w:tcPr>
            <w:tcW w:w="8580" w:type="dxa"/>
            <w:vAlign w:val="bottom"/>
          </w:tcPr>
          <w:p>
            <w:pPr>
              <w:spacing w:after="0" w:line="220" w:lineRule="exact"/>
              <w:rPr>
                <w:sz w:val="20"/>
                <w:szCs w:val="20"/>
                <w:color w:val="auto"/>
              </w:rPr>
            </w:pPr>
            <w:r>
              <w:rPr>
                <w:rFonts w:ascii="Arial" w:cs="Arial" w:eastAsia="Arial" w:hAnsi="Arial"/>
                <w:sz w:val="20"/>
                <w:szCs w:val="20"/>
                <w:b w:val="1"/>
                <w:bCs w:val="1"/>
                <w:color w:val="auto"/>
              </w:rPr>
              <w:t>Less: imputed interest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(489)</w:t>
            </w:r>
          </w:p>
        </w:tc>
      </w:tr>
      <w:tr>
        <w:trPr>
          <w:trHeight w:val="220"/>
        </w:trPr>
        <w:tc>
          <w:tcPr>
            <w:tcW w:w="8580" w:type="dxa"/>
            <w:vAlign w:val="bottom"/>
          </w:tcPr>
          <w:p>
            <w:pPr>
              <w:spacing w:after="0" w:line="220" w:lineRule="exact"/>
              <w:rPr>
                <w:sz w:val="20"/>
                <w:szCs w:val="20"/>
                <w:color w:val="auto"/>
              </w:rPr>
            </w:pPr>
            <w:r>
              <w:rPr>
                <w:rFonts w:ascii="Arial" w:cs="Arial" w:eastAsia="Arial" w:hAnsi="Arial"/>
                <w:sz w:val="20"/>
                <w:szCs w:val="20"/>
                <w:b w:val="1"/>
                <w:bCs w:val="1"/>
                <w:color w:val="auto"/>
              </w:rPr>
              <w:t>Lease liabilities</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68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1,678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-1204595</wp:posOffset>
            </wp:positionV>
            <wp:extent cx="6663690" cy="12490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49">
                      <a:extLst>
                        <a:ext uri="{28A0092B-C50C-407E-A947-70E740481C1C}"/>
                      </a:extLst>
                    </a:blip>
                    <a:srcRect/>
                    <a:stretch>
                      <a:fillRect/>
                    </a:stretch>
                  </pic:blipFill>
                  <pic:spPr bwMode="auto">
                    <a:xfrm>
                      <a:off x="0" y="0"/>
                      <a:ext cx="6663690" cy="124904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Operating lease maturity amounts in the table above include tenant improvement allowance reimbursements of $0.5 million which are expected to be received in 2025. The table does not include contractual rent payments under the forward-starting lease which are expected to total $1.0 million, net of a tenant improvement allowance of $0.3 million on an undiscounted basis.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Long-Term Debt</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100"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69"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9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Company recorded debt discount and debt issuance costs of $1.8 million upon closing of the Hercules Loan Agreement. The Hercules Loan Agreement also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consolidated balance sheets. As of December 31, 2024, the amount accrued for the End of Term Charge was $0.1 million.</w:t>
      </w:r>
    </w:p>
    <w:p>
      <w:pPr>
        <w:spacing w:after="0" w:line="93"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8"/>
          <w:szCs w:val="18"/>
          <w:b w:val="1"/>
          <w:bCs w:val="1"/>
          <w:color w:val="auto"/>
        </w:rPr>
        <w:t>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December 31, 2024 related to the Company's right to borrow additional amounts in the future. Interest expense for the year ended December 31, 2024 was $0.6 million.</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As of December 31, 2024, the carrying value of the Term Loan Facility approximates its fair value.</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129</w:t>
      </w:r>
    </w:p>
    <w:p>
      <w:pPr>
        <w:sectPr>
          <w:pgSz w:w="12240" w:h="15840" w:orient="portrait"/>
          <w:cols w:equalWidth="0" w:num="1">
            <w:col w:w="10440"/>
          </w:cols>
          <w:pgMar w:left="900" w:top="960" w:right="900" w:bottom="181" w:gutter="0" w:footer="0" w:header="0"/>
          <w:type w:val="continuous"/>
        </w:sectPr>
      </w:pPr>
    </w:p>
    <w:bookmarkStart w:id="139" w:name="page140"/>
    <w:bookmarkEnd w:id="139"/>
    <w:p>
      <w:pPr>
        <w:ind w:left="480"/>
        <w:spacing w:after="0"/>
        <w:rPr>
          <w:sz w:val="20"/>
          <w:szCs w:val="20"/>
          <w:color w:val="auto"/>
        </w:rPr>
      </w:pPr>
      <w:r>
        <w:rPr>
          <w:rFonts w:ascii="Arial" w:cs="Arial" w:eastAsia="Arial" w:hAnsi="Arial"/>
          <w:sz w:val="18"/>
          <w:szCs w:val="18"/>
          <w:b w:val="1"/>
          <w:bCs w:val="1"/>
          <w:color w:val="auto"/>
        </w:rPr>
        <w:t>The obligations under the Term Loan Facility as of December 31, 2024 consisted of the following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tcPr>
          <w:p>
            <w:pPr>
              <w:jc w:val="right"/>
              <w:ind w:right="787"/>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78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1107"/>
              <w:spacing w:after="0"/>
              <w:rPr>
                <w:sz w:val="20"/>
                <w:szCs w:val="20"/>
                <w:color w:val="auto"/>
              </w:rPr>
            </w:pPr>
            <w:r>
              <w:rPr>
                <w:rFonts w:ascii="Arial" w:cs="Arial" w:eastAsia="Arial" w:hAnsi="Arial"/>
                <w:sz w:val="16"/>
                <w:szCs w:val="16"/>
                <w:b w:val="1"/>
                <w:bCs w:val="1"/>
                <w:color w:val="auto"/>
              </w:rPr>
              <w:t>2024</w:t>
            </w:r>
          </w:p>
        </w:tc>
      </w:tr>
      <w:tr>
        <w:trPr>
          <w:trHeight w:val="220"/>
        </w:trPr>
        <w:tc>
          <w:tcPr>
            <w:tcW w:w="7820" w:type="dxa"/>
            <w:vAlign w:val="bottom"/>
          </w:tcPr>
          <w:p>
            <w:pPr>
              <w:spacing w:after="0" w:line="220" w:lineRule="exact"/>
              <w:rPr>
                <w:sz w:val="20"/>
                <w:szCs w:val="20"/>
                <w:color w:val="auto"/>
              </w:rPr>
            </w:pPr>
            <w:r>
              <w:rPr>
                <w:rFonts w:ascii="Arial" w:cs="Arial" w:eastAsia="Arial" w:hAnsi="Arial"/>
                <w:sz w:val="20"/>
                <w:szCs w:val="20"/>
                <w:b w:val="1"/>
                <w:bCs w:val="1"/>
                <w:color w:val="auto"/>
              </w:rPr>
              <w:t>Principal term loan balance</w:t>
            </w:r>
          </w:p>
        </w:tc>
        <w:tc>
          <w:tcPr>
            <w:tcW w:w="460" w:type="dxa"/>
            <w:vAlign w:val="bottom"/>
          </w:tcPr>
          <w:p>
            <w:pPr>
              <w:jc w:val="right"/>
              <w:ind w:right="260"/>
              <w:spacing w:after="0" w:line="220" w:lineRule="exact"/>
              <w:rPr>
                <w:sz w:val="20"/>
                <w:szCs w:val="20"/>
                <w:color w:val="auto"/>
              </w:rPr>
            </w:pPr>
            <w:r>
              <w:rPr>
                <w:rFonts w:ascii="Arial" w:cs="Arial" w:eastAsia="Arial" w:hAnsi="Arial"/>
                <w:sz w:val="20"/>
                <w:szCs w:val="20"/>
                <w:b w:val="1"/>
                <w:bCs w:val="1"/>
                <w:color w:val="auto"/>
                <w:w w:val="71"/>
              </w:rPr>
              <w:t>$</w:t>
            </w:r>
          </w:p>
        </w:tc>
        <w:tc>
          <w:tcPr>
            <w:tcW w:w="216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30,000</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Unamortized debt discount and issuance costs</w:t>
            </w:r>
          </w:p>
        </w:tc>
        <w:tc>
          <w:tcPr>
            <w:tcW w:w="4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(1,746)</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Accrued end of term fee</w:t>
            </w:r>
          </w:p>
        </w:tc>
        <w:tc>
          <w:tcPr>
            <w:tcW w:w="4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68</w:t>
            </w:r>
          </w:p>
        </w:tc>
      </w:tr>
      <w:tr>
        <w:trPr>
          <w:trHeight w:val="220"/>
        </w:trPr>
        <w:tc>
          <w:tcPr>
            <w:tcW w:w="7820" w:type="dxa"/>
            <w:vAlign w:val="bottom"/>
          </w:tcPr>
          <w:p>
            <w:pPr>
              <w:spacing w:after="0" w:line="220" w:lineRule="exact"/>
              <w:rPr>
                <w:sz w:val="20"/>
                <w:szCs w:val="20"/>
                <w:color w:val="auto"/>
              </w:rPr>
            </w:pPr>
            <w:r>
              <w:rPr>
                <w:rFonts w:ascii="Arial" w:cs="Arial" w:eastAsia="Arial" w:hAnsi="Arial"/>
                <w:sz w:val="20"/>
                <w:szCs w:val="20"/>
                <w:b w:val="1"/>
                <w:bCs w:val="1"/>
                <w:color w:val="auto"/>
              </w:rPr>
              <w:t>Long-term debt, net</w:t>
            </w:r>
          </w:p>
        </w:tc>
        <w:tc>
          <w:tcPr>
            <w:tcW w:w="460" w:type="dxa"/>
            <w:vAlign w:val="bottom"/>
          </w:tcPr>
          <w:p>
            <w:pPr>
              <w:jc w:val="right"/>
              <w:ind w:right="260"/>
              <w:spacing w:after="0" w:line="220" w:lineRule="exact"/>
              <w:rPr>
                <w:sz w:val="20"/>
                <w:szCs w:val="20"/>
                <w:color w:val="auto"/>
              </w:rPr>
            </w:pPr>
            <w:r>
              <w:rPr>
                <w:rFonts w:ascii="Arial" w:cs="Arial" w:eastAsia="Arial" w:hAnsi="Arial"/>
                <w:sz w:val="20"/>
                <w:szCs w:val="20"/>
                <w:b w:val="1"/>
                <w:bCs w:val="1"/>
                <w:color w:val="auto"/>
                <w:w w:val="71"/>
              </w:rPr>
              <w:t>$</w:t>
            </w:r>
          </w:p>
        </w:tc>
        <w:tc>
          <w:tcPr>
            <w:tcW w:w="216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28,322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-610235</wp:posOffset>
            </wp:positionV>
            <wp:extent cx="6663690" cy="6534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0">
                      <a:extLst>
                        <a:ext uri="{28A0092B-C50C-407E-A947-70E740481C1C}"/>
                      </a:extLst>
                    </a:blip>
                    <a:srcRect/>
                    <a:stretch>
                      <a:fillRect/>
                    </a:stretch>
                  </pic:blipFill>
                  <pic:spPr bwMode="auto">
                    <a:xfrm>
                      <a:off x="0" y="0"/>
                      <a:ext cx="6663690" cy="653415"/>
                    </a:xfrm>
                    <a:prstGeom prst="rect">
                      <a:avLst/>
                    </a:prstGeom>
                    <a:noFill/>
                  </pic:spPr>
                </pic:pic>
              </a:graphicData>
            </a:graphic>
          </wp:anchor>
        </w:drawing>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The annual principal payments due under the Term Loan Facility as of December 31, 2024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6663690" cy="9385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1">
                      <a:extLst>
                        <a:ext uri="{28A0092B-C50C-407E-A947-70E740481C1C}"/>
                      </a:extLst>
                    </a:blip>
                    <a:srcRect/>
                    <a:stretch>
                      <a:fillRect/>
                    </a:stretch>
                  </pic:blipFill>
                  <pic:spPr bwMode="auto">
                    <a:xfrm>
                      <a:off x="0" y="0"/>
                      <a:ext cx="6663690" cy="93853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jc w:val="right"/>
              <w:ind w:right="7320"/>
              <w:spacing w:after="0"/>
              <w:rPr>
                <w:sz w:val="20"/>
                <w:szCs w:val="20"/>
                <w:color w:val="auto"/>
              </w:rPr>
            </w:pPr>
            <w:r>
              <w:rPr>
                <w:rFonts w:ascii="Arial" w:cs="Arial" w:eastAsia="Arial" w:hAnsi="Arial"/>
                <w:sz w:val="20"/>
                <w:szCs w:val="20"/>
                <w:b w:val="1"/>
                <w:bCs w:val="1"/>
                <w:color w:val="auto"/>
                <w:w w:val="85"/>
              </w:rPr>
              <w:t>2025</w:t>
            </w:r>
          </w:p>
        </w:tc>
        <w:tc>
          <w:tcPr>
            <w:tcW w:w="1040" w:type="dxa"/>
            <w:vAlign w:val="bottom"/>
          </w:tcPr>
          <w:p>
            <w:pPr>
              <w:jc w:val="right"/>
              <w:ind w:right="840"/>
              <w:spacing w:after="0"/>
              <w:rPr>
                <w:sz w:val="20"/>
                <w:szCs w:val="20"/>
                <w:color w:val="auto"/>
              </w:rPr>
            </w:pPr>
            <w:r>
              <w:rPr>
                <w:rFonts w:ascii="Arial" w:cs="Arial" w:eastAsia="Arial" w:hAnsi="Arial"/>
                <w:sz w:val="20"/>
                <w:szCs w:val="20"/>
                <w:b w:val="1"/>
                <w:bCs w:val="1"/>
                <w:color w:val="auto"/>
                <w:w w:val="71"/>
              </w:rPr>
              <w:t>$</w:t>
            </w:r>
          </w:p>
        </w:tc>
        <w:tc>
          <w:tcPr>
            <w:tcW w:w="15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7820" w:type="dxa"/>
            <w:vAlign w:val="bottom"/>
          </w:tcPr>
          <w:p>
            <w:pPr>
              <w:jc w:val="right"/>
              <w:ind w:right="7320"/>
              <w:spacing w:after="0"/>
              <w:rPr>
                <w:sz w:val="20"/>
                <w:szCs w:val="20"/>
                <w:color w:val="auto"/>
              </w:rPr>
            </w:pPr>
            <w:r>
              <w:rPr>
                <w:rFonts w:ascii="Arial" w:cs="Arial" w:eastAsia="Arial" w:hAnsi="Arial"/>
                <w:sz w:val="20"/>
                <w:szCs w:val="20"/>
                <w:b w:val="1"/>
                <w:bCs w:val="1"/>
                <w:color w:val="auto"/>
                <w:w w:val="85"/>
              </w:rPr>
              <w:t>2026</w:t>
            </w:r>
          </w:p>
        </w:tc>
        <w:tc>
          <w:tcPr>
            <w:tcW w:w="1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7820" w:type="dxa"/>
            <w:vAlign w:val="bottom"/>
          </w:tcPr>
          <w:p>
            <w:pPr>
              <w:jc w:val="right"/>
              <w:ind w:right="7320"/>
              <w:spacing w:after="0"/>
              <w:rPr>
                <w:sz w:val="20"/>
                <w:szCs w:val="20"/>
                <w:color w:val="auto"/>
              </w:rPr>
            </w:pPr>
            <w:r>
              <w:rPr>
                <w:rFonts w:ascii="Arial" w:cs="Arial" w:eastAsia="Arial" w:hAnsi="Arial"/>
                <w:sz w:val="20"/>
                <w:szCs w:val="20"/>
                <w:b w:val="1"/>
                <w:bCs w:val="1"/>
                <w:color w:val="auto"/>
                <w:w w:val="85"/>
              </w:rPr>
              <w:t>2027</w:t>
            </w:r>
          </w:p>
        </w:tc>
        <w:tc>
          <w:tcPr>
            <w:tcW w:w="1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28"/>
        </w:trPr>
        <w:tc>
          <w:tcPr>
            <w:tcW w:w="7820" w:type="dxa"/>
            <w:vAlign w:val="bottom"/>
          </w:tcPr>
          <w:p>
            <w:pPr>
              <w:jc w:val="right"/>
              <w:ind w:right="7320"/>
              <w:spacing w:after="0" w:line="228" w:lineRule="exact"/>
              <w:rPr>
                <w:sz w:val="20"/>
                <w:szCs w:val="20"/>
                <w:color w:val="auto"/>
              </w:rPr>
            </w:pPr>
            <w:r>
              <w:rPr>
                <w:rFonts w:ascii="Arial" w:cs="Arial" w:eastAsia="Arial" w:hAnsi="Arial"/>
                <w:sz w:val="20"/>
                <w:szCs w:val="20"/>
                <w:b w:val="1"/>
                <w:bCs w:val="1"/>
                <w:color w:val="auto"/>
                <w:w w:val="85"/>
              </w:rPr>
              <w:t>2028</w:t>
            </w:r>
          </w:p>
        </w:tc>
        <w:tc>
          <w:tcPr>
            <w:tcW w:w="1040" w:type="dxa"/>
            <w:vAlign w:val="bottom"/>
          </w:tcPr>
          <w:p>
            <w:pPr>
              <w:spacing w:after="0"/>
              <w:rPr>
                <w:sz w:val="19"/>
                <w:szCs w:val="19"/>
                <w:color w:val="auto"/>
              </w:rPr>
            </w:pPr>
          </w:p>
        </w:tc>
        <w:tc>
          <w:tcPr>
            <w:tcW w:w="15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2,200</w:t>
            </w:r>
          </w:p>
        </w:tc>
      </w:tr>
      <w:tr>
        <w:trPr>
          <w:trHeight w:val="230"/>
        </w:trPr>
        <w:tc>
          <w:tcPr>
            <w:tcW w:w="7820" w:type="dxa"/>
            <w:vAlign w:val="bottom"/>
          </w:tcPr>
          <w:p>
            <w:pPr>
              <w:jc w:val="right"/>
              <w:ind w:right="7320"/>
              <w:spacing w:after="0"/>
              <w:rPr>
                <w:sz w:val="20"/>
                <w:szCs w:val="20"/>
                <w:color w:val="auto"/>
              </w:rPr>
            </w:pPr>
            <w:r>
              <w:rPr>
                <w:rFonts w:ascii="Arial" w:cs="Arial" w:eastAsia="Arial" w:hAnsi="Arial"/>
                <w:sz w:val="20"/>
                <w:szCs w:val="20"/>
                <w:b w:val="1"/>
                <w:bCs w:val="1"/>
                <w:color w:val="auto"/>
                <w:w w:val="85"/>
              </w:rPr>
              <w:t>2029</w:t>
            </w: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27,800</w:t>
            </w:r>
          </w:p>
        </w:tc>
      </w:tr>
      <w:tr>
        <w:trPr>
          <w:trHeight w:val="220"/>
        </w:trPr>
        <w:tc>
          <w:tcPr>
            <w:tcW w:w="7820" w:type="dxa"/>
            <w:vAlign w:val="bottom"/>
          </w:tcPr>
          <w:p>
            <w:pPr>
              <w:jc w:val="right"/>
              <w:ind w:right="7200"/>
              <w:spacing w:after="0" w:line="220" w:lineRule="exact"/>
              <w:rPr>
                <w:sz w:val="20"/>
                <w:szCs w:val="20"/>
                <w:color w:val="auto"/>
              </w:rPr>
            </w:pPr>
            <w:r>
              <w:rPr>
                <w:rFonts w:ascii="Arial" w:cs="Arial" w:eastAsia="Arial" w:hAnsi="Arial"/>
                <w:sz w:val="20"/>
                <w:szCs w:val="20"/>
                <w:b w:val="1"/>
                <w:bCs w:val="1"/>
                <w:color w:val="auto"/>
              </w:rPr>
              <w:t>Total</w:t>
            </w:r>
          </w:p>
        </w:tc>
        <w:tc>
          <w:tcPr>
            <w:tcW w:w="1040" w:type="dxa"/>
            <w:vAlign w:val="bottom"/>
          </w:tcPr>
          <w:p>
            <w:pPr>
              <w:jc w:val="right"/>
              <w:ind w:right="840"/>
              <w:spacing w:after="0" w:line="220" w:lineRule="exact"/>
              <w:rPr>
                <w:sz w:val="20"/>
                <w:szCs w:val="20"/>
                <w:color w:val="auto"/>
              </w:rPr>
            </w:pPr>
            <w:r>
              <w:rPr>
                <w:rFonts w:ascii="Arial" w:cs="Arial" w:eastAsia="Arial" w:hAnsi="Arial"/>
                <w:sz w:val="20"/>
                <w:szCs w:val="20"/>
                <w:b w:val="1"/>
                <w:bCs w:val="1"/>
                <w:color w:val="auto"/>
                <w:w w:val="71"/>
              </w:rPr>
              <w:t>$</w:t>
            </w:r>
          </w:p>
        </w:tc>
        <w:tc>
          <w:tcPr>
            <w:tcW w:w="15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30,000</w:t>
            </w:r>
          </w:p>
        </w:tc>
      </w:tr>
    </w:tbl>
    <w:p>
      <w:pPr>
        <w:spacing w:after="0" w:line="297"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table of future principal payments excludes the End of Term Charge of $2.0 million, which is due upon the maturity of the loan.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Development and License Agreements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Oak Bay Biosciences, Inc. (“OBB”)</w:t>
      </w:r>
    </w:p>
    <w:p>
      <w:pPr>
        <w:spacing w:after="0" w:line="121"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b w:val="1"/>
          <w:bCs w:val="1"/>
          <w:color w:val="auto"/>
        </w:rPr>
        <w:t>In December 2024, the Company entered into an out-license agreement with OBB pursuant to which the Company granted an exclusive license, with the right to grant sublicenses, to certain Gemini IP. Under the terms of the agreement, the Company received an upfront payment of $ 0.2 million with additional consideration receivable upon the achievement of certain clinical, regulatory and sales milestones up to $7.0 million, $35.0 million, and $160.0 million, respectively. As of December 31, 2024, none of the milestones had been achieved and are not considered probable of achievement.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and Stock Purchase Agreement with AbbVie Deutschland GmbH &amp; Co. KG (“AbbVie”)</w:t>
      </w:r>
    </w:p>
    <w:p>
      <w:pPr>
        <w:spacing w:after="0" w:line="13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In September 2019, the Company entered into an agreement with AbbVie, pursuant to which AbbVie granted the Company an exclusive license, with the right to grant sublicenses, to certain AbbVie intellectual property.</w:t>
      </w:r>
    </w:p>
    <w:p>
      <w:pPr>
        <w:spacing w:after="0" w:line="1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2024, none of the milestones had been achieved.</w:t>
      </w:r>
    </w:p>
    <w:p>
      <w:pPr>
        <w:spacing w:after="0" w:line="9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 The Company made the first milestone payment associated with the license agreement with AbbVie in January 2025, refer to Note 18 – Subsequent Events for additional details.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F. Hoffmann-La Roche Ltd and Hoffmann-La Roche Inc. (collectively “Roche”)</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12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reverse merger with Gemini, the Company issued 482,313 shares of the Company to Roche for no consideration.</w:t>
      </w:r>
    </w:p>
    <w:p>
      <w:pPr>
        <w:sectPr>
          <w:pgSz w:w="12240" w:h="15840" w:orient="portrait"/>
          <w:cols w:equalWidth="0" w:num="1">
            <w:col w:w="10440"/>
          </w:cols>
          <w:pgMar w:left="900" w:top="960" w:right="900" w:bottom="181"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130</w:t>
      </w:r>
    </w:p>
    <w:p>
      <w:pPr>
        <w:sectPr>
          <w:pgSz w:w="12240" w:h="15840" w:orient="portrait"/>
          <w:cols w:equalWidth="0" w:num="1">
            <w:col w:w="10440"/>
          </w:cols>
          <w:pgMar w:left="900" w:top="960" w:right="900" w:bottom="181" w:gutter="0" w:footer="0" w:header="0"/>
          <w:type w:val="continuous"/>
        </w:sectPr>
      </w:pPr>
    </w:p>
    <w:bookmarkStart w:id="140" w:name="page141"/>
    <w:bookmarkEnd w:id="140"/>
    <w:p>
      <w:pPr>
        <w:jc w:val="both"/>
        <w:ind w:firstLine="490"/>
        <w:spacing w:after="0" w:line="273" w:lineRule="auto"/>
        <w:rPr>
          <w:sz w:val="20"/>
          <w:szCs w:val="20"/>
          <w:color w:val="auto"/>
        </w:rPr>
      </w:pPr>
      <w:r>
        <w:rPr>
          <w:rFonts w:ascii="Arial" w:cs="Arial" w:eastAsia="Arial" w:hAnsi="Arial"/>
          <w:sz w:val="18"/>
          <w:szCs w:val="18"/>
          <w:b w:val="1"/>
          <w:bCs w:val="1"/>
          <w:color w:val="auto"/>
        </w:rPr>
        <w:t>The next potential milestone payments include $10.0 million due upon the initiation of the first Phase 3 clinical trial with a licensed product in a first indication and $15.0 million due upon regulatory approval in the United States with a licensed product in a first indication. As of December 31, 2024, none of the milestones had been achieved.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Mabwell Therapeutics, Inc. ("Mabwell")</w:t>
      </w:r>
    </w:p>
    <w:p>
      <w:pPr>
        <w:spacing w:after="0" w:line="126" w:lineRule="exact"/>
        <w:rPr>
          <w:sz w:val="20"/>
          <w:szCs w:val="20"/>
          <w:color w:val="auto"/>
        </w:rPr>
      </w:pPr>
    </w:p>
    <w:p>
      <w:pPr>
        <w:jc w:val="both"/>
        <w:ind w:firstLine="490"/>
        <w:spacing w:after="0" w:line="251" w:lineRule="auto"/>
        <w:rPr>
          <w:sz w:val="20"/>
          <w:szCs w:val="20"/>
          <w:color w:val="auto"/>
        </w:rPr>
      </w:pPr>
      <w:r>
        <w:rPr>
          <w:rFonts w:ascii="Arial" w:cs="Arial" w:eastAsia="Arial" w:hAnsi="Arial"/>
          <w:sz w:val="19"/>
          <w:szCs w:val="19"/>
          <w:b w:val="1"/>
          <w:bCs w:val="1"/>
          <w:color w:val="auto"/>
        </w:rPr>
        <w:t>In January 2023, the Company entered into an exclusive license agreement with Mabwell, pursuant to which Mabwell granted the Company an exclusive and sublicensable license to certain Mabwell intellectual property.</w:t>
      </w:r>
    </w:p>
    <w:p>
      <w:pPr>
        <w:spacing w:after="0" w:line="12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In connection with the agreement, the Company paid Mabwell an upfront payment of $10.0 million in March 2023. In October 2023, the Company dosed the first patient in the Phase 1 clinical trial for DISC-3405, resulting in a milestone payment of $5.0 million to Mabwell. The next potential milestone payments include $10.0 million due upon the initiation of a Phase 2 clinical trial for DISC-3405 and $5.0 million due upon the initiation of a Phase 1b clinical trial with a licensed product in a second indication. As of December 31, 2024, neither of these milestones had been achieved.</w:t>
      </w:r>
    </w:p>
    <w:p>
      <w:pPr>
        <w:spacing w:after="0" w:line="10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9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During the years ended December 31, 2024 and 2023, the Company recorded research and development expense related to its arrangement with Mabwell of less than $0.1 million and $15.0 million,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Stockholders' Equity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Company was authorized to issue up to 10,000,000 shares of preferred stock with a par value of $0.0001 per share. As of December 31, 2024 no shares or preferred stock were issued or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3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The Company was authorized to issue up to 100,000,000 shares of common stock with a par value of $0.0001 per share. As of December 31, 2024, 29,865,030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ATM Programs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Cantor Fitzgerald &amp; Co. (“Cantor”)</w:t>
      </w:r>
    </w:p>
    <w:p>
      <w:pPr>
        <w:spacing w:after="0" w:line="12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 As of December 31, 2024, there been had no issuances or sales under the Cantor ATM Agreement.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Jefferies LLC</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 On November 15, 2024, the Company terminated the ATM Agreement. In connection with the termination, the Company recognized the remaining capitalized issuance costs of $0.6 million as selling, general and administrative expense in the consolidated statements of operations and comprehensive loss for the year ended December 31, 2024.</w:t>
      </w:r>
    </w:p>
    <w:p>
      <w:pPr>
        <w:spacing w:after="0" w:line="96"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During the years ended December 31, 2024 and 2023, the Company had sold an aggregate of 234,449 and 141,914 shares of common stock in ATM offerings under the November 2023 Shelf and pursuant to the ATM Agreement, respectively. During the</w:t>
      </w:r>
    </w:p>
    <w:p>
      <w:pPr>
        <w:sectPr>
          <w:pgSz w:w="12240" w:h="15840" w:orient="portrait"/>
          <w:cols w:equalWidth="0" w:num="1">
            <w:col w:w="10440"/>
          </w:cols>
          <w:pgMar w:left="900" w:top="960" w:right="900" w:bottom="181"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131</w:t>
      </w:r>
    </w:p>
    <w:p>
      <w:pPr>
        <w:sectPr>
          <w:pgSz w:w="12240" w:h="15840" w:orient="portrait"/>
          <w:cols w:equalWidth="0" w:num="1">
            <w:col w:w="10440"/>
          </w:cols>
          <w:pgMar w:left="900" w:top="960" w:right="900" w:bottom="181" w:gutter="0" w:footer="0" w:header="0"/>
          <w:type w:val="continuous"/>
        </w:sectPr>
      </w:pPr>
    </w:p>
    <w:bookmarkStart w:id="141" w:name="page142"/>
    <w:bookmarkEnd w:id="141"/>
    <w:p>
      <w:pPr>
        <w:jc w:val="both"/>
        <w:spacing w:after="0" w:line="289" w:lineRule="auto"/>
        <w:rPr>
          <w:sz w:val="20"/>
          <w:szCs w:val="20"/>
          <w:color w:val="auto"/>
        </w:rPr>
      </w:pPr>
      <w:r>
        <w:rPr>
          <w:rFonts w:ascii="Arial" w:cs="Arial" w:eastAsia="Arial" w:hAnsi="Arial"/>
          <w:sz w:val="17"/>
          <w:szCs w:val="17"/>
          <w:b w:val="1"/>
          <w:bCs w:val="1"/>
          <w:color w:val="auto"/>
        </w:rPr>
        <w:t>years ended December 31, 2024 and 2023, aggregate gross proceeds from the transactions were $15.3 million and $7.2 million, respectively, and the Company received $14.8 million and $7.0 million in net proceeds, after deducting placement agent fees and offering expenses, respectively. In total, the Company sold an aggregate of 376,363 shares of common stock in ATM offerings under the November 2023 Shelf and pursuant to the ATM Agreement for aggregate gross proceeds of $22.5 million and aggregate net proceeds received of $21.8 million, after deducting placement agent fees and offering expenses.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SVB Securities LLC</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selling, general and administrative expense in the consolidated statements of operations and comprehensive loss for the year ended December 31, 2023.</w:t>
      </w:r>
    </w:p>
    <w:p>
      <w:pPr>
        <w:spacing w:after="0" w:line="9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During the year ended December 31, 2023, the Company had sold an aggregate of 825,350 shares of common stock in ATM offerings under the January 2023 Shelf and pursuant to the Sales Agreement. During the year ended December 31, 2023, aggregate gross proceeds from the transactions were $20.0 million and the Company received $19.5 million in net proceeds, after deducting placement agent fees and offering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Underwritten Offering</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June 2024, the Company entered into an underwriting agreement with Leerink Partners LLC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Follow-On Public Offering</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2024, none of the 204,081 pre-funded warrants had been exercised.</w:t>
      </w:r>
    </w:p>
    <w:p>
      <w:pPr>
        <w:spacing w:after="0" w:line="108"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Registered Direct Offering</w:t>
      </w:r>
    </w:p>
    <w:p>
      <w:pPr>
        <w:spacing w:after="0" w:line="12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106"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The pre-funded warrants provide that the holder would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w:t>
      </w:r>
    </w:p>
    <w:p>
      <w:pPr>
        <w:sectPr>
          <w:pgSz w:w="12240" w:h="15840" w:orient="portrait"/>
          <w:cols w:equalWidth="0" w:num="1">
            <w:col w:w="10440"/>
          </w:cols>
          <w:pgMar w:left="900" w:top="960" w:right="900" w:bottom="181"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132</w:t>
      </w:r>
    </w:p>
    <w:p>
      <w:pPr>
        <w:sectPr>
          <w:pgSz w:w="12240" w:h="15840" w:orient="portrait"/>
          <w:cols w:equalWidth="0" w:num="1">
            <w:col w:w="10440"/>
          </w:cols>
          <w:pgMar w:left="900" w:top="960" w:right="900" w:bottom="181" w:gutter="0" w:footer="0" w:header="0"/>
          <w:type w:val="continuous"/>
        </w:sectPr>
      </w:pPr>
    </w:p>
    <w:bookmarkStart w:id="142" w:name="page143"/>
    <w:bookmarkEnd w:id="142"/>
    <w:p>
      <w:pPr>
        <w:jc w:val="both"/>
        <w:spacing w:after="0" w:line="235" w:lineRule="auto"/>
        <w:rPr>
          <w:sz w:val="20"/>
          <w:szCs w:val="20"/>
          <w:color w:val="auto"/>
        </w:rPr>
      </w:pPr>
      <w:r>
        <w:rPr>
          <w:rFonts w:ascii="Arial" w:cs="Arial" w:eastAsia="Arial" w:hAnsi="Arial"/>
          <w:sz w:val="20"/>
          <w:szCs w:val="20"/>
          <w:b w:val="1"/>
          <w:bCs w:val="1"/>
          <w:color w:val="auto"/>
        </w:rPr>
        <w:t>of 19.99%. The investors or their affiliates were beneficial holders of more than 5% of the Company’s capital stock. The pre-funded warrants meet the condition for equity classification and were therefore recorded as a component of stockholders’ equity within additional paid-in capital at the time of their issuance.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Statements Resulting from the Merger</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Stock Option and Grant Plan (the "Private Disc Plan")</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Private Disc adopted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 Upon completion of the merger in December 2022, the Company ceased granting awards under the Private Disc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Stock Option and Incentive Plan</w:t>
      </w:r>
    </w:p>
    <w:p>
      <w:pPr>
        <w:spacing w:after="0" w:line="12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(the "2017 Gemini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As of December 31, 2024, 1,643,165 shares remained available for future issuance under the 2021 Plan.</w:t>
      </w:r>
    </w:p>
    <w:p>
      <w:pPr>
        <w:spacing w:after="0" w:line="102"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 with awards generally vesting over a four-year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Employee Stock Purchase Plan</w:t>
      </w:r>
    </w:p>
    <w:p>
      <w:pPr>
        <w:spacing w:after="0" w:line="131"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In July 2021, Gemini’s board of directors approved the 2021 Employee Stock Purchase Plan (the "2021 ESPP"). The first offering period under the 2021 ESPP began on December 1, 2021.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w:t>
      </w:r>
    </w:p>
    <w:p>
      <w:pPr>
        <w:sectPr>
          <w:pgSz w:w="12240" w:h="15840" w:orient="portrait"/>
          <w:cols w:equalWidth="0" w:num="1">
            <w:col w:w="10440"/>
          </w:cols>
          <w:pgMar w:left="900" w:top="960" w:right="900" w:bottom="181"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133</w:t>
      </w:r>
    </w:p>
    <w:p>
      <w:pPr>
        <w:sectPr>
          <w:pgSz w:w="12240" w:h="15840" w:orient="portrait"/>
          <w:cols w:equalWidth="0" w:num="1">
            <w:col w:w="10440"/>
          </w:cols>
          <w:pgMar w:left="900" w:top="960" w:right="900" w:bottom="181" w:gutter="0" w:footer="0" w:header="0"/>
          <w:type w:val="continuous"/>
        </w:sectPr>
      </w:pPr>
    </w:p>
    <w:bookmarkStart w:id="143" w:name="page144"/>
    <w:bookmarkEnd w:id="143"/>
    <w:p>
      <w:pPr>
        <w:jc w:val="both"/>
        <w:spacing w:after="0" w:line="235" w:lineRule="auto"/>
        <w:rPr>
          <w:sz w:val="20"/>
          <w:szCs w:val="20"/>
          <w:color w:val="auto"/>
        </w:rPr>
      </w:pPr>
      <w:r>
        <w:rPr>
          <w:rFonts w:ascii="Arial" w:cs="Arial" w:eastAsia="Arial" w:hAnsi="Arial"/>
          <w:sz w:val="20"/>
          <w:szCs w:val="20"/>
          <w:b w:val="1"/>
          <w:bCs w:val="1"/>
          <w:color w:val="auto"/>
        </w:rPr>
        <w:t>on the last day of the calendar month before the date of each automatic increase, (b) 43,055 shares of common stock, or (c) such number of shares determined by the Company’s board of directors. As of December 31, 2024, 254,926 shares remained available for future issuance under the 2021 ESPP.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Inducement Plan</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2024, the Company had not granted awards under the 2021 Inducement Plan. As of December 31, 2024, 161,689 shares remained available for future issuance under the plan.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Out-of-Plan Inducement Grants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 The inducement grants typically include nonqualified stock options to purchase shares of the Company's common stock, as well as restricted stock unit grants representing shares of the Company's common stock. The option awards have a ten-year term, with 25% of the underlying shares vesting and becoming exercisable on the one-year anniversary of the date of grant, and the balance of each option award vesting in equal monthly installments over 36 months thereafter. The restricted stock unit awards vest with respect to 25% of the underlying shares on each of the first, second, third and fourth anniversaries of the vesting date as set by the Company policy. The inducement grants are included in the stock option and restricted stock unit tables below. During the year ended December 31, 2024, the Company granted 220,000 nonqualified stock options to purchase shares of the Company's common stock, and 146,664 restricted stock units under employment inducement grants. The Company made no employment inducement grants during the year ended December 31, 2023.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13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weighted-average assumptions used to estimate the fair value of stock options granted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560" w:type="dxa"/>
            <w:vAlign w:val="bottom"/>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6"/>
                <w:szCs w:val="16"/>
                <w:b w:val="1"/>
                <w:bCs w:val="1"/>
                <w:color w:val="auto"/>
                <w:w w:val="88"/>
              </w:rPr>
              <w:t>December 31,</w:t>
            </w:r>
          </w:p>
        </w:tc>
        <w:tc>
          <w:tcPr>
            <w:tcW w:w="1560" w:type="dxa"/>
            <w:vAlign w:val="bottom"/>
            <w:tcBorders>
              <w:bottom w:val="single" w:sz="8" w:color="auto"/>
            </w:tcBorders>
          </w:tcPr>
          <w:p>
            <w:pPr>
              <w:spacing w:after="0"/>
              <w:rPr>
                <w:sz w:val="15"/>
                <w:szCs w:val="15"/>
                <w:color w:val="auto"/>
              </w:rPr>
            </w:pPr>
          </w:p>
        </w:tc>
      </w:tr>
      <w:tr>
        <w:trPr>
          <w:trHeight w:val="174"/>
        </w:trPr>
        <w:tc>
          <w:tcPr>
            <w:tcW w:w="6000" w:type="dxa"/>
            <w:vAlign w:val="bottom"/>
          </w:tcPr>
          <w:p>
            <w:pPr>
              <w:spacing w:after="0"/>
              <w:rPr>
                <w:sz w:val="15"/>
                <w:szCs w:val="15"/>
                <w:color w:val="auto"/>
              </w:rPr>
            </w:pPr>
          </w:p>
        </w:tc>
        <w:tc>
          <w:tcPr>
            <w:tcW w:w="1300" w:type="dxa"/>
            <w:vAlign w:val="bottom"/>
            <w:tcBorders>
              <w:bottom w:val="single" w:sz="8" w:color="auto"/>
            </w:tcBorders>
          </w:tcPr>
          <w:p>
            <w:pPr>
              <w:jc w:val="right"/>
              <w:ind w:right="70"/>
              <w:spacing w:after="0" w:line="175" w:lineRule="exact"/>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84"/>
              <w:spacing w:after="0" w:line="175" w:lineRule="exact"/>
              <w:rPr>
                <w:sz w:val="20"/>
                <w:szCs w:val="20"/>
                <w:color w:val="auto"/>
              </w:rPr>
            </w:pPr>
            <w:r>
              <w:rPr>
                <w:rFonts w:ascii="Arial" w:cs="Arial" w:eastAsia="Arial" w:hAnsi="Arial"/>
                <w:sz w:val="16"/>
                <w:szCs w:val="16"/>
                <w:b w:val="1"/>
                <w:bCs w:val="1"/>
                <w:color w:val="auto"/>
              </w:rPr>
              <w:t>2023</w:t>
            </w:r>
          </w:p>
        </w:tc>
      </w:tr>
      <w:tr>
        <w:trPr>
          <w:trHeight w:val="220"/>
        </w:trPr>
        <w:tc>
          <w:tcPr>
            <w:tcW w:w="6000" w:type="dxa"/>
            <w:vAlign w:val="bottom"/>
          </w:tcPr>
          <w:p>
            <w:pPr>
              <w:spacing w:after="0" w:line="220" w:lineRule="exact"/>
              <w:rPr>
                <w:sz w:val="20"/>
                <w:szCs w:val="20"/>
                <w:color w:val="auto"/>
              </w:rPr>
            </w:pPr>
            <w:r>
              <w:rPr>
                <w:rFonts w:ascii="Arial" w:cs="Arial" w:eastAsia="Arial" w:hAnsi="Arial"/>
                <w:sz w:val="20"/>
                <w:szCs w:val="20"/>
                <w:b w:val="1"/>
                <w:bCs w:val="1"/>
                <w:color w:val="auto"/>
              </w:rPr>
              <w:t>Risk-free interest rate</w:t>
            </w:r>
          </w:p>
        </w:tc>
        <w:tc>
          <w:tcPr>
            <w:tcW w:w="130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4.03%</w:t>
            </w:r>
          </w:p>
        </w:tc>
      </w:tr>
      <w:tr>
        <w:trPr>
          <w:trHeight w:val="230"/>
        </w:trPr>
        <w:tc>
          <w:tcPr>
            <w:tcW w:w="6000" w:type="dxa"/>
            <w:vAlign w:val="bottom"/>
          </w:tcPr>
          <w:p>
            <w:pPr>
              <w:spacing w:after="0"/>
              <w:rPr>
                <w:sz w:val="20"/>
                <w:szCs w:val="20"/>
                <w:color w:val="auto"/>
              </w:rPr>
            </w:pPr>
            <w:r>
              <w:rPr>
                <w:rFonts w:ascii="Arial" w:cs="Arial" w:eastAsia="Arial" w:hAnsi="Arial"/>
                <w:sz w:val="20"/>
                <w:szCs w:val="20"/>
                <w:b w:val="1"/>
                <w:bCs w:val="1"/>
                <w:color w:val="auto"/>
              </w:rPr>
              <w:t>Expected term (in years)</w:t>
            </w:r>
          </w:p>
        </w:tc>
        <w:tc>
          <w:tcPr>
            <w:tcW w:w="1300" w:type="dxa"/>
            <w:vAlign w:val="bottom"/>
          </w:tcPr>
          <w:p>
            <w:pPr>
              <w:spacing w:after="0"/>
              <w:rPr>
                <w:sz w:val="20"/>
                <w:szCs w:val="20"/>
                <w:color w:val="auto"/>
              </w:rPr>
            </w:pPr>
          </w:p>
        </w:tc>
        <w:tc>
          <w:tcPr>
            <w:tcW w:w="820" w:type="dxa"/>
            <w:vAlign w:val="bottom"/>
          </w:tcPr>
          <w:p>
            <w:pPr>
              <w:jc w:val="right"/>
              <w:ind w:right="86"/>
              <w:spacing w:after="0"/>
              <w:rPr>
                <w:sz w:val="20"/>
                <w:szCs w:val="20"/>
                <w:color w:val="auto"/>
              </w:rPr>
            </w:pPr>
            <w:r>
              <w:rPr>
                <w:rFonts w:ascii="Arial" w:cs="Arial" w:eastAsia="Arial" w:hAnsi="Arial"/>
                <w:sz w:val="20"/>
                <w:szCs w:val="20"/>
                <w:b w:val="1"/>
                <w:bCs w:val="1"/>
                <w:color w:val="auto"/>
              </w:rPr>
              <w:t>6.35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ind w:right="84"/>
              <w:spacing w:after="0"/>
              <w:rPr>
                <w:sz w:val="20"/>
                <w:szCs w:val="20"/>
                <w:color w:val="auto"/>
              </w:rPr>
            </w:pPr>
            <w:r>
              <w:rPr>
                <w:rFonts w:ascii="Arial" w:cs="Arial" w:eastAsia="Arial" w:hAnsi="Arial"/>
                <w:sz w:val="20"/>
                <w:szCs w:val="20"/>
                <w:b w:val="1"/>
                <w:bCs w:val="1"/>
                <w:color w:val="auto"/>
              </w:rPr>
              <w:t>6.88</w:t>
            </w:r>
          </w:p>
        </w:tc>
      </w:tr>
      <w:tr>
        <w:trPr>
          <w:trHeight w:val="228"/>
        </w:trPr>
        <w:tc>
          <w:tcPr>
            <w:tcW w:w="6000" w:type="dxa"/>
            <w:vAlign w:val="bottom"/>
          </w:tcPr>
          <w:p>
            <w:pPr>
              <w:spacing w:after="0" w:line="228" w:lineRule="exact"/>
              <w:rPr>
                <w:sz w:val="20"/>
                <w:szCs w:val="20"/>
                <w:color w:val="auto"/>
              </w:rPr>
            </w:pPr>
            <w:r>
              <w:rPr>
                <w:rFonts w:ascii="Arial" w:cs="Arial" w:eastAsia="Arial" w:hAnsi="Arial"/>
                <w:sz w:val="20"/>
                <w:szCs w:val="20"/>
                <w:b w:val="1"/>
                <w:bCs w:val="1"/>
                <w:color w:val="auto"/>
              </w:rPr>
              <w:t>Expected volatility</w:t>
            </w:r>
          </w:p>
        </w:tc>
        <w:tc>
          <w:tcPr>
            <w:tcW w:w="13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60%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59%</w:t>
            </w:r>
          </w:p>
        </w:tc>
      </w:tr>
      <w:tr>
        <w:trPr>
          <w:trHeight w:val="230"/>
        </w:trPr>
        <w:tc>
          <w:tcPr>
            <w:tcW w:w="6000" w:type="dxa"/>
            <w:vAlign w:val="bottom"/>
          </w:tcPr>
          <w:p>
            <w:pPr>
              <w:spacing w:after="0"/>
              <w:rPr>
                <w:sz w:val="20"/>
                <w:szCs w:val="20"/>
                <w:color w:val="auto"/>
              </w:rPr>
            </w:pPr>
            <w:r>
              <w:rPr>
                <w:rFonts w:ascii="Arial" w:cs="Arial" w:eastAsia="Arial" w:hAnsi="Arial"/>
                <w:sz w:val="20"/>
                <w:szCs w:val="20"/>
                <w:b w:val="1"/>
                <w:bCs w:val="1"/>
                <w:color w:val="auto"/>
              </w:rPr>
              <w:t>Expected dividend yield</w:t>
            </w:r>
          </w:p>
        </w:tc>
        <w:tc>
          <w:tcPr>
            <w:tcW w:w="1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0%</w:t>
            </w:r>
          </w:p>
        </w:tc>
      </w:tr>
      <w:tr>
        <w:trPr>
          <w:trHeight w:val="230"/>
        </w:trPr>
        <w:tc>
          <w:tcPr>
            <w:tcW w:w="6000" w:type="dxa"/>
            <w:vAlign w:val="bottom"/>
          </w:tcPr>
          <w:p>
            <w:pPr>
              <w:spacing w:after="0"/>
              <w:rPr>
                <w:sz w:val="20"/>
                <w:szCs w:val="20"/>
                <w:color w:val="auto"/>
              </w:rPr>
            </w:pPr>
            <w:r>
              <w:rPr>
                <w:rFonts w:ascii="Arial" w:cs="Arial" w:eastAsia="Arial" w:hAnsi="Arial"/>
                <w:sz w:val="20"/>
                <w:szCs w:val="20"/>
                <w:b w:val="1"/>
                <w:bCs w:val="1"/>
                <w:color w:val="auto"/>
              </w:rPr>
              <w:t>Fair value per share of common stock</w:t>
            </w:r>
          </w:p>
        </w:tc>
        <w:tc>
          <w:tcPr>
            <w:tcW w:w="1300" w:type="dxa"/>
            <w:vAlign w:val="bottom"/>
          </w:tcPr>
          <w:p>
            <w:pPr>
              <w:jc w:val="right"/>
              <w:ind w:right="1110"/>
              <w:spacing w:after="0"/>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20"/>
                <w:szCs w:val="20"/>
                <w:b w:val="1"/>
                <w:bCs w:val="1"/>
                <w:color w:val="auto"/>
              </w:rPr>
              <w:t>58.99</w:t>
            </w:r>
          </w:p>
        </w:tc>
        <w:tc>
          <w:tcPr>
            <w:tcW w:w="76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rPr>
              <w:t>$</w:t>
            </w:r>
          </w:p>
        </w:tc>
        <w:tc>
          <w:tcPr>
            <w:tcW w:w="1560" w:type="dxa"/>
            <w:vAlign w:val="bottom"/>
          </w:tcPr>
          <w:p>
            <w:pPr>
              <w:jc w:val="right"/>
              <w:ind w:right="84"/>
              <w:spacing w:after="0"/>
              <w:rPr>
                <w:sz w:val="20"/>
                <w:szCs w:val="20"/>
                <w:color w:val="auto"/>
              </w:rPr>
            </w:pPr>
            <w:r>
              <w:rPr>
                <w:rFonts w:ascii="Arial" w:cs="Arial" w:eastAsia="Arial" w:hAnsi="Arial"/>
                <w:sz w:val="20"/>
                <w:szCs w:val="20"/>
                <w:b w:val="1"/>
                <w:bCs w:val="1"/>
                <w:color w:val="auto"/>
              </w:rPr>
              <w:t>43.42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-748665</wp:posOffset>
            </wp:positionV>
            <wp:extent cx="6663690" cy="7645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2">
                      <a:extLst>
                        <a:ext uri="{28A0092B-C50C-407E-A947-70E740481C1C}"/>
                      </a:extLst>
                    </a:blip>
                    <a:srcRect/>
                    <a:stretch>
                      <a:fillRect/>
                    </a:stretch>
                  </pic:blipFill>
                  <pic:spPr bwMode="auto">
                    <a:xfrm>
                      <a:off x="0" y="0"/>
                      <a:ext cx="6663690" cy="764540"/>
                    </a:xfrm>
                    <a:prstGeom prst="rect">
                      <a:avLst/>
                    </a:prstGeom>
                    <a:noFill/>
                  </pic:spPr>
                </pic:pic>
              </a:graphicData>
            </a:graphic>
          </wp:anchor>
        </w:drawing>
      </w:r>
    </w:p>
    <w:p>
      <w:pPr>
        <w:spacing w:after="0" w:line="2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weighted-average grant date fair value of options granted in the years ended December 31, 2024 and 2023 was $35.36 and $26.54 per share, respectively.</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following table summarizes stock option activity for the year ended December 31, 2024.</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134</w:t>
      </w:r>
    </w:p>
    <w:p>
      <w:pPr>
        <w:sectPr>
          <w:pgSz w:w="12240" w:h="15840" w:orient="portrait"/>
          <w:cols w:equalWidth="0" w:num="1">
            <w:col w:w="10440"/>
          </w:cols>
          <w:pgMar w:left="900" w:top="960" w:right="900" w:bottom="181"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227"/>
              <w:spacing w:after="0"/>
              <w:rPr>
                <w:sz w:val="20"/>
                <w:szCs w:val="20"/>
                <w:color w:val="auto"/>
              </w:rPr>
            </w:pPr>
            <w:r>
              <w:rPr>
                <w:rFonts w:ascii="Arial" w:cs="Arial" w:eastAsia="Arial" w:hAnsi="Arial"/>
                <w:sz w:val="16"/>
                <w:szCs w:val="16"/>
                <w:b w:val="1"/>
                <w:bCs w:val="1"/>
                <w:color w:val="auto"/>
                <w:w w:val="90"/>
              </w:rPr>
              <w:t>Weighted-</w:t>
            </w:r>
          </w:p>
        </w:tc>
        <w:tc>
          <w:tcPr>
            <w:tcW w:w="100" w:type="dxa"/>
            <w:vAlign w:val="bottom"/>
          </w:tcPr>
          <w:p>
            <w:pPr>
              <w:spacing w:after="0"/>
              <w:rPr>
                <w:sz w:val="16"/>
                <w:szCs w:val="16"/>
                <w:color w:val="auto"/>
              </w:rPr>
            </w:pPr>
          </w:p>
        </w:tc>
        <w:tc>
          <w:tcPr>
            <w:tcW w:w="138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Aggregate</w:t>
            </w:r>
          </w:p>
        </w:tc>
      </w:tr>
      <w:tr>
        <w:trPr>
          <w:trHeight w:val="182"/>
        </w:trPr>
        <w:tc>
          <w:tcPr>
            <w:tcW w:w="4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227"/>
              <w:spacing w:after="0" w:line="183"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5"/>
                <w:szCs w:val="15"/>
                <w:color w:val="auto"/>
              </w:rPr>
            </w:pPr>
          </w:p>
        </w:tc>
        <w:tc>
          <w:tcPr>
            <w:tcW w:w="1380" w:type="dxa"/>
            <w:vAlign w:val="bottom"/>
          </w:tcPr>
          <w:p>
            <w:pPr>
              <w:jc w:val="center"/>
              <w:ind w:right="20"/>
              <w:spacing w:after="0" w:line="183" w:lineRule="exact"/>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31"/>
              <w:spacing w:after="0" w:line="183" w:lineRule="exact"/>
              <w:rPr>
                <w:sz w:val="20"/>
                <w:szCs w:val="20"/>
                <w:color w:val="auto"/>
              </w:rPr>
            </w:pPr>
            <w:r>
              <w:rPr>
                <w:rFonts w:ascii="Arial" w:cs="Arial" w:eastAsia="Arial" w:hAnsi="Arial"/>
                <w:sz w:val="16"/>
                <w:szCs w:val="16"/>
                <w:b w:val="1"/>
                <w:bCs w:val="1"/>
                <w:color w:val="auto"/>
                <w:w w:val="96"/>
              </w:rPr>
              <w:t>Intrinsic</w:t>
            </w:r>
          </w:p>
        </w:tc>
      </w:tr>
      <w:tr>
        <w:trPr>
          <w:trHeight w:val="185"/>
        </w:trPr>
        <w:tc>
          <w:tcPr>
            <w:tcW w:w="4160" w:type="dxa"/>
            <w:vAlign w:val="bottom"/>
          </w:tcPr>
          <w:p>
            <w:pPr>
              <w:spacing w:after="0"/>
              <w:rPr>
                <w:sz w:val="16"/>
                <w:szCs w:val="16"/>
                <w:color w:val="auto"/>
              </w:rPr>
            </w:pPr>
          </w:p>
        </w:tc>
        <w:tc>
          <w:tcPr>
            <w:tcW w:w="1520" w:type="dxa"/>
            <w:vAlign w:val="bottom"/>
          </w:tcPr>
          <w:p>
            <w:pPr>
              <w:jc w:val="right"/>
              <w:ind w:right="345"/>
              <w:spacing w:after="0"/>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22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6"/>
                <w:szCs w:val="16"/>
                <w:color w:val="auto"/>
              </w:rPr>
            </w:pPr>
          </w:p>
        </w:tc>
        <w:tc>
          <w:tcPr>
            <w:tcW w:w="1380" w:type="dxa"/>
            <w:vAlign w:val="bottom"/>
          </w:tcPr>
          <w:p>
            <w:pPr>
              <w:jc w:val="center"/>
              <w:ind w:right="2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Arial" w:cs="Arial" w:eastAsia="Arial" w:hAnsi="Arial"/>
                <w:sz w:val="16"/>
                <w:szCs w:val="16"/>
                <w:b w:val="1"/>
                <w:bCs w:val="1"/>
                <w:color w:val="auto"/>
                <w:w w:val="93"/>
              </w:rPr>
              <w:t>Value</w:t>
            </w:r>
          </w:p>
        </w:tc>
      </w:tr>
      <w:tr>
        <w:trPr>
          <w:trHeight w:val="183"/>
        </w:trPr>
        <w:tc>
          <w:tcPr>
            <w:tcW w:w="4160" w:type="dxa"/>
            <w:vAlign w:val="bottom"/>
          </w:tcPr>
          <w:p>
            <w:pPr>
              <w:spacing w:after="0"/>
              <w:rPr>
                <w:sz w:val="15"/>
                <w:szCs w:val="15"/>
                <w:color w:val="auto"/>
              </w:rPr>
            </w:pPr>
          </w:p>
        </w:tc>
        <w:tc>
          <w:tcPr>
            <w:tcW w:w="152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Options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6"/>
              </w:rPr>
              <w:t>Price</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6"/>
              </w:rPr>
              <w:t>Term (In Years)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0"/>
              </w:rPr>
              <w:t>(In Thousands)</w:t>
            </w:r>
          </w:p>
        </w:tc>
      </w:tr>
      <w:tr>
        <w:trPr>
          <w:trHeight w:val="220"/>
        </w:trPr>
        <w:tc>
          <w:tcPr>
            <w:tcW w:w="4160" w:type="dxa"/>
            <w:vAlign w:val="bottom"/>
          </w:tcPr>
          <w:p>
            <w:pPr>
              <w:spacing w:after="0" w:line="220" w:lineRule="exact"/>
              <w:rPr>
                <w:sz w:val="20"/>
                <w:szCs w:val="20"/>
                <w:color w:val="auto"/>
              </w:rPr>
            </w:pPr>
            <w:r>
              <w:rPr>
                <w:rFonts w:ascii="Arial" w:cs="Arial" w:eastAsia="Arial" w:hAnsi="Arial"/>
                <w:sz w:val="20"/>
                <w:szCs w:val="20"/>
                <w:b w:val="1"/>
                <w:bCs w:val="1"/>
                <w:color w:val="auto"/>
              </w:rPr>
              <w:t>Outstanding at December 31, 2023</w:t>
            </w:r>
          </w:p>
        </w:tc>
        <w:tc>
          <w:tcPr>
            <w:tcW w:w="15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2,459,037</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26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13.82</w:t>
            </w:r>
          </w:p>
        </w:tc>
        <w:tc>
          <w:tcPr>
            <w:tcW w:w="14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7.81</w:t>
            </w:r>
          </w:p>
        </w:tc>
        <w:tc>
          <w:tcPr>
            <w:tcW w:w="30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11"/>
              <w:spacing w:after="0" w:line="220" w:lineRule="exact"/>
              <w:rPr>
                <w:sz w:val="20"/>
                <w:szCs w:val="20"/>
                <w:color w:val="auto"/>
              </w:rPr>
            </w:pPr>
            <w:r>
              <w:rPr>
                <w:rFonts w:ascii="Arial" w:cs="Arial" w:eastAsia="Arial" w:hAnsi="Arial"/>
                <w:sz w:val="20"/>
                <w:szCs w:val="20"/>
                <w:b w:val="1"/>
                <w:bCs w:val="1"/>
                <w:color w:val="auto"/>
              </w:rPr>
              <w:t>109,078</w:t>
            </w:r>
          </w:p>
        </w:tc>
      </w:tr>
      <w:tr>
        <w:trPr>
          <w:trHeight w:val="230"/>
        </w:trPr>
        <w:tc>
          <w:tcPr>
            <w:tcW w:w="4160" w:type="dxa"/>
            <w:vAlign w:val="bottom"/>
          </w:tcPr>
          <w:p>
            <w:pPr>
              <w:ind w:left="100"/>
              <w:spacing w:after="0"/>
              <w:rPr>
                <w:sz w:val="20"/>
                <w:szCs w:val="20"/>
                <w:color w:val="auto"/>
              </w:rPr>
            </w:pPr>
            <w:r>
              <w:rPr>
                <w:rFonts w:ascii="Arial" w:cs="Arial" w:eastAsia="Arial" w:hAnsi="Arial"/>
                <w:sz w:val="20"/>
                <w:szCs w:val="20"/>
                <w:b w:val="1"/>
                <w:bCs w:val="1"/>
                <w:color w:val="auto"/>
              </w:rPr>
              <w:t>Granted</w:t>
            </w:r>
          </w:p>
        </w:tc>
        <w:tc>
          <w:tcPr>
            <w:tcW w:w="1520" w:type="dxa"/>
            <w:vAlign w:val="bottom"/>
          </w:tcPr>
          <w:p>
            <w:pPr>
              <w:jc w:val="right"/>
              <w:ind w:right="5"/>
              <w:spacing w:after="0"/>
              <w:rPr>
                <w:sz w:val="20"/>
                <w:szCs w:val="20"/>
                <w:color w:val="auto"/>
              </w:rPr>
            </w:pPr>
            <w:r>
              <w:rPr>
                <w:rFonts w:ascii="Arial" w:cs="Arial" w:eastAsia="Arial" w:hAnsi="Arial"/>
                <w:sz w:val="20"/>
                <w:szCs w:val="20"/>
                <w:b w:val="1"/>
                <w:bCs w:val="1"/>
                <w:color w:val="auto"/>
              </w:rPr>
              <w:t>896,275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7"/>
              <w:spacing w:after="0"/>
              <w:rPr>
                <w:sz w:val="20"/>
                <w:szCs w:val="20"/>
                <w:color w:val="auto"/>
              </w:rPr>
            </w:pPr>
            <w:r>
              <w:rPr>
                <w:rFonts w:ascii="Arial" w:cs="Arial" w:eastAsia="Arial" w:hAnsi="Arial"/>
                <w:sz w:val="20"/>
                <w:szCs w:val="20"/>
                <w:b w:val="1"/>
                <w:bCs w:val="1"/>
                <w:color w:val="auto"/>
              </w:rPr>
              <w:t>58.99</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20"/>
                <w:szCs w:val="20"/>
                <w:b w:val="1"/>
                <w:bCs w:val="1"/>
                <w:color w:val="auto"/>
              </w:rPr>
              <w:t>Exercised</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(315,266)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7"/>
              <w:spacing w:after="0"/>
              <w:rPr>
                <w:sz w:val="20"/>
                <w:szCs w:val="20"/>
                <w:color w:val="auto"/>
              </w:rPr>
            </w:pPr>
            <w:r>
              <w:rPr>
                <w:rFonts w:ascii="Arial" w:cs="Arial" w:eastAsia="Arial" w:hAnsi="Arial"/>
                <w:sz w:val="20"/>
                <w:szCs w:val="20"/>
                <w:b w:val="1"/>
                <w:bCs w:val="1"/>
                <w:color w:val="auto"/>
              </w:rPr>
              <w:t>9.46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20"/>
                <w:szCs w:val="20"/>
                <w:b w:val="1"/>
                <w:bCs w:val="1"/>
                <w:color w:val="auto"/>
              </w:rPr>
              <w:t>Forfeited</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(156,930)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7"/>
              <w:spacing w:after="0"/>
              <w:rPr>
                <w:sz w:val="20"/>
                <w:szCs w:val="20"/>
                <w:color w:val="auto"/>
              </w:rPr>
            </w:pPr>
            <w:r>
              <w:rPr>
                <w:rFonts w:ascii="Arial" w:cs="Arial" w:eastAsia="Arial" w:hAnsi="Arial"/>
                <w:sz w:val="20"/>
                <w:szCs w:val="20"/>
                <w:b w:val="1"/>
                <w:bCs w:val="1"/>
                <w:color w:val="auto"/>
              </w:rPr>
              <w:t>40.46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8"/>
        </w:trPr>
        <w:tc>
          <w:tcPr>
            <w:tcW w:w="4160" w:type="dxa"/>
            <w:vAlign w:val="bottom"/>
          </w:tcPr>
          <w:p>
            <w:pPr>
              <w:ind w:left="100"/>
              <w:spacing w:after="0" w:line="228" w:lineRule="exact"/>
              <w:rPr>
                <w:sz w:val="20"/>
                <w:szCs w:val="20"/>
                <w:color w:val="auto"/>
              </w:rPr>
            </w:pPr>
            <w:r>
              <w:rPr>
                <w:rFonts w:ascii="Arial" w:cs="Arial" w:eastAsia="Arial" w:hAnsi="Arial"/>
                <w:sz w:val="20"/>
                <w:szCs w:val="20"/>
                <w:b w:val="1"/>
                <w:bCs w:val="1"/>
                <w:color w:val="auto"/>
              </w:rPr>
              <w:t>Expired</w:t>
            </w:r>
          </w:p>
        </w:tc>
        <w:tc>
          <w:tcPr>
            <w:tcW w:w="15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(12,752)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7"/>
              <w:spacing w:after="0" w:line="228" w:lineRule="exact"/>
              <w:rPr>
                <w:sz w:val="20"/>
                <w:szCs w:val="20"/>
                <w:color w:val="auto"/>
              </w:rPr>
            </w:pPr>
            <w:r>
              <w:rPr>
                <w:rFonts w:ascii="Arial" w:cs="Arial" w:eastAsia="Arial" w:hAnsi="Arial"/>
                <w:sz w:val="20"/>
                <w:szCs w:val="20"/>
                <w:b w:val="1"/>
                <w:bCs w:val="1"/>
                <w:color w:val="auto"/>
              </w:rPr>
              <w:t>110.25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0"/>
        </w:trPr>
        <w:tc>
          <w:tcPr>
            <w:tcW w:w="4160" w:type="dxa"/>
            <w:vAlign w:val="bottom"/>
          </w:tcPr>
          <w:p>
            <w:pPr>
              <w:spacing w:after="0" w:line="220" w:lineRule="exact"/>
              <w:rPr>
                <w:sz w:val="20"/>
                <w:szCs w:val="20"/>
                <w:color w:val="auto"/>
              </w:rPr>
            </w:pPr>
            <w:r>
              <w:rPr>
                <w:rFonts w:ascii="Arial" w:cs="Arial" w:eastAsia="Arial" w:hAnsi="Arial"/>
                <w:sz w:val="20"/>
                <w:szCs w:val="20"/>
                <w:b w:val="1"/>
                <w:bCs w:val="1"/>
                <w:color w:val="auto"/>
              </w:rPr>
              <w:t>Outstanding at December 31, 2024</w:t>
            </w:r>
          </w:p>
        </w:tc>
        <w:tc>
          <w:tcPr>
            <w:tcW w:w="152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2,870,364</w:t>
            </w:r>
          </w:p>
        </w:tc>
        <w:tc>
          <w:tcPr>
            <w:tcW w:w="38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1260" w:type="dxa"/>
            <w:vAlign w:val="bottom"/>
          </w:tcPr>
          <w:p>
            <w:pPr>
              <w:jc w:val="right"/>
              <w:ind w:right="7"/>
              <w:spacing w:after="0" w:line="220" w:lineRule="exact"/>
              <w:rPr>
                <w:sz w:val="20"/>
                <w:szCs w:val="20"/>
                <w:color w:val="auto"/>
              </w:rPr>
            </w:pPr>
            <w:r>
              <w:rPr>
                <w:rFonts w:ascii="Arial" w:cs="Arial" w:eastAsia="Arial" w:hAnsi="Arial"/>
                <w:sz w:val="20"/>
                <w:szCs w:val="20"/>
                <w:b w:val="1"/>
                <w:bCs w:val="1"/>
                <w:color w:val="auto"/>
              </w:rPr>
              <w:t>26.52</w:t>
            </w:r>
          </w:p>
        </w:tc>
        <w:tc>
          <w:tcPr>
            <w:tcW w:w="148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7.44</w:t>
            </w:r>
          </w:p>
        </w:tc>
        <w:tc>
          <w:tcPr>
            <w:tcW w:w="30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11"/>
              <w:spacing w:after="0" w:line="220" w:lineRule="exact"/>
              <w:rPr>
                <w:sz w:val="20"/>
                <w:szCs w:val="20"/>
                <w:color w:val="auto"/>
              </w:rPr>
            </w:pPr>
            <w:r>
              <w:rPr>
                <w:rFonts w:ascii="Arial" w:cs="Arial" w:eastAsia="Arial" w:hAnsi="Arial"/>
                <w:sz w:val="20"/>
                <w:szCs w:val="20"/>
                <w:b w:val="1"/>
                <w:bCs w:val="1"/>
                <w:color w:val="auto"/>
              </w:rPr>
              <w:t>106,766</w:t>
            </w:r>
          </w:p>
        </w:tc>
      </w:tr>
      <w:tr>
        <w:trPr>
          <w:trHeight w:val="276"/>
        </w:trPr>
        <w:tc>
          <w:tcPr>
            <w:tcW w:w="4160" w:type="dxa"/>
            <w:vAlign w:val="bottom"/>
          </w:tcPr>
          <w:p>
            <w:pPr>
              <w:spacing w:after="0"/>
              <w:rPr>
                <w:sz w:val="20"/>
                <w:szCs w:val="20"/>
                <w:color w:val="auto"/>
              </w:rPr>
            </w:pPr>
            <w:r>
              <w:rPr>
                <w:rFonts w:ascii="Arial" w:cs="Arial" w:eastAsia="Arial" w:hAnsi="Arial"/>
                <w:sz w:val="20"/>
                <w:szCs w:val="20"/>
                <w:b w:val="1"/>
                <w:bCs w:val="1"/>
                <w:color w:val="auto"/>
              </w:rPr>
              <w:t>Exercisable at December 31, 2024</w:t>
            </w:r>
          </w:p>
        </w:tc>
        <w:tc>
          <w:tcPr>
            <w:tcW w:w="1520" w:type="dxa"/>
            <w:vAlign w:val="bottom"/>
          </w:tcPr>
          <w:p>
            <w:pPr>
              <w:jc w:val="right"/>
              <w:ind w:right="5"/>
              <w:spacing w:after="0"/>
              <w:rPr>
                <w:sz w:val="20"/>
                <w:szCs w:val="20"/>
                <w:color w:val="auto"/>
              </w:rPr>
            </w:pPr>
            <w:r>
              <w:rPr>
                <w:rFonts w:ascii="Arial" w:cs="Arial" w:eastAsia="Arial" w:hAnsi="Arial"/>
                <w:sz w:val="20"/>
                <w:szCs w:val="20"/>
                <w:b w:val="1"/>
                <w:bCs w:val="1"/>
                <w:color w:val="auto"/>
              </w:rPr>
              <w:t>1,589,968</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20"/>
                <w:szCs w:val="20"/>
                <w:b w:val="1"/>
                <w:bCs w:val="1"/>
                <w:color w:val="auto"/>
              </w:rPr>
              <w:t>14.72</w:t>
            </w:r>
          </w:p>
        </w:tc>
        <w:tc>
          <w:tcPr>
            <w:tcW w:w="14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6.47</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11"/>
              <w:spacing w:after="0"/>
              <w:rPr>
                <w:sz w:val="20"/>
                <w:szCs w:val="20"/>
                <w:color w:val="auto"/>
              </w:rPr>
            </w:pPr>
            <w:r>
              <w:rPr>
                <w:rFonts w:ascii="Arial" w:cs="Arial" w:eastAsia="Arial" w:hAnsi="Arial"/>
                <w:sz w:val="20"/>
                <w:szCs w:val="20"/>
                <w:b w:val="1"/>
                <w:bCs w:val="1"/>
                <w:color w:val="auto"/>
              </w:rPr>
              <w:t>77,702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-1075055</wp:posOffset>
            </wp:positionV>
            <wp:extent cx="6663690" cy="11182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3">
                      <a:extLst>
                        <a:ext uri="{28A0092B-C50C-407E-A947-70E740481C1C}"/>
                      </a:extLst>
                    </a:blip>
                    <a:srcRect/>
                    <a:stretch>
                      <a:fillRect/>
                    </a:stretch>
                  </pic:blipFill>
                  <pic:spPr bwMode="auto">
                    <a:xfrm>
                      <a:off x="0" y="0"/>
                      <a:ext cx="6663690" cy="111823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2024 and 2023 was $14.5 million and $8.3 million, respectively. The total fair value of options vested during the years ended December 31, 2024 and 2023 was $10.0 million and $3.7 million, respectively. The tax benefit from the exercise of options eligible for a tax deduction realized during the years ended December 31, 2024 and 2023 was $11.0 million and $7.2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For purposes of calculating stock-based compensation, the Company determines the fair value of the restricted stock units based on the fair value of the Company’s common stock at the time of grant. The following table summarizes restricted stock unit activity for the year ended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center"/>
              <w:ind w:right="289"/>
              <w:spacing w:after="0"/>
              <w:rPr>
                <w:sz w:val="20"/>
                <w:szCs w:val="20"/>
                <w:color w:val="auto"/>
              </w:rPr>
            </w:pPr>
            <w:r>
              <w:rPr>
                <w:rFonts w:ascii="Arial" w:cs="Arial" w:eastAsia="Arial" w:hAnsi="Arial"/>
                <w:sz w:val="16"/>
                <w:szCs w:val="16"/>
                <w:b w:val="1"/>
                <w:bCs w:val="1"/>
                <w:color w:val="auto"/>
                <w:w w:val="93"/>
              </w:rPr>
              <w:t>Weighted-</w:t>
            </w:r>
          </w:p>
        </w:tc>
      </w:tr>
      <w:tr>
        <w:trPr>
          <w:trHeight w:val="185"/>
        </w:trPr>
        <w:tc>
          <w:tcPr>
            <w:tcW w:w="5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center"/>
              <w:ind w:right="289"/>
              <w:spacing w:after="0"/>
              <w:rPr>
                <w:sz w:val="20"/>
                <w:szCs w:val="20"/>
                <w:color w:val="auto"/>
              </w:rPr>
            </w:pPr>
            <w:r>
              <w:rPr>
                <w:rFonts w:ascii="Arial" w:cs="Arial" w:eastAsia="Arial" w:hAnsi="Arial"/>
                <w:sz w:val="16"/>
                <w:szCs w:val="16"/>
                <w:b w:val="1"/>
                <w:bCs w:val="1"/>
                <w:color w:val="auto"/>
                <w:w w:val="94"/>
              </w:rPr>
              <w:t>Average Grant</w:t>
            </w:r>
          </w:p>
        </w:tc>
      </w:tr>
      <w:tr>
        <w:trPr>
          <w:trHeight w:val="183"/>
        </w:trPr>
        <w:tc>
          <w:tcPr>
            <w:tcW w:w="5960" w:type="dxa"/>
            <w:vAlign w:val="bottom"/>
          </w:tcPr>
          <w:p>
            <w:pPr>
              <w:spacing w:after="0"/>
              <w:rPr>
                <w:sz w:val="15"/>
                <w:szCs w:val="15"/>
                <w:color w:val="auto"/>
              </w:rPr>
            </w:pPr>
          </w:p>
        </w:tc>
        <w:tc>
          <w:tcPr>
            <w:tcW w:w="2160" w:type="dxa"/>
            <w:vAlign w:val="bottom"/>
            <w:tcBorders>
              <w:bottom w:val="single" w:sz="8" w:color="auto"/>
            </w:tcBorders>
          </w:tcPr>
          <w:p>
            <w:pPr>
              <w:jc w:val="right"/>
              <w:ind w:right="464"/>
              <w:spacing w:after="0"/>
              <w:rPr>
                <w:sz w:val="20"/>
                <w:szCs w:val="20"/>
                <w:color w:val="auto"/>
              </w:rPr>
            </w:pPr>
            <w:r>
              <w:rPr>
                <w:rFonts w:ascii="Arial" w:cs="Arial" w:eastAsia="Arial" w:hAnsi="Arial"/>
                <w:sz w:val="16"/>
                <w:szCs w:val="16"/>
                <w:b w:val="1"/>
                <w:bCs w:val="1"/>
                <w:color w:val="auto"/>
              </w:rPr>
              <w:t>Number of Units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289"/>
              <w:spacing w:after="0"/>
              <w:rPr>
                <w:sz w:val="20"/>
                <w:szCs w:val="20"/>
                <w:color w:val="auto"/>
              </w:rPr>
            </w:pPr>
            <w:r>
              <w:rPr>
                <w:rFonts w:ascii="Arial" w:cs="Arial" w:eastAsia="Arial" w:hAnsi="Arial"/>
                <w:sz w:val="16"/>
                <w:szCs w:val="16"/>
                <w:b w:val="1"/>
                <w:bCs w:val="1"/>
                <w:color w:val="auto"/>
                <w:w w:val="93"/>
              </w:rPr>
              <w:t>Date Fair Value</w:t>
            </w:r>
          </w:p>
        </w:tc>
      </w:tr>
      <w:tr>
        <w:trPr>
          <w:trHeight w:val="220"/>
        </w:trPr>
        <w:tc>
          <w:tcPr>
            <w:tcW w:w="5960" w:type="dxa"/>
            <w:vAlign w:val="bottom"/>
          </w:tcPr>
          <w:p>
            <w:pPr>
              <w:spacing w:after="0" w:line="220" w:lineRule="exact"/>
              <w:rPr>
                <w:sz w:val="20"/>
                <w:szCs w:val="20"/>
                <w:color w:val="auto"/>
              </w:rPr>
            </w:pPr>
            <w:r>
              <w:rPr>
                <w:rFonts w:ascii="Arial" w:cs="Arial" w:eastAsia="Arial" w:hAnsi="Arial"/>
                <w:sz w:val="20"/>
                <w:szCs w:val="20"/>
                <w:b w:val="1"/>
                <w:bCs w:val="1"/>
                <w:color w:val="auto"/>
              </w:rPr>
              <w:t>Restricted stock units as of December 31, 2023</w:t>
            </w:r>
          </w:p>
        </w:tc>
        <w:tc>
          <w:tcPr>
            <w:tcW w:w="2160" w:type="dxa"/>
            <w:vAlign w:val="bottom"/>
          </w:tcPr>
          <w:p>
            <w:pPr>
              <w:jc w:val="right"/>
              <w:ind w:right="4"/>
              <w:spacing w:after="0" w:line="220" w:lineRule="exact"/>
              <w:rPr>
                <w:sz w:val="20"/>
                <w:szCs w:val="20"/>
                <w:color w:val="auto"/>
              </w:rPr>
            </w:pPr>
            <w:r>
              <w:rPr>
                <w:rFonts w:ascii="Arial" w:cs="Arial" w:eastAsia="Arial" w:hAnsi="Arial"/>
                <w:sz w:val="20"/>
                <w:szCs w:val="20"/>
                <w:b w:val="1"/>
                <w:bCs w:val="1"/>
                <w:color w:val="auto"/>
              </w:rPr>
              <w:t>—</w:t>
            </w:r>
          </w:p>
        </w:tc>
        <w:tc>
          <w:tcPr>
            <w:tcW w:w="500" w:type="dxa"/>
            <w:vAlign w:val="bottom"/>
            <w:gridSpan w:val="2"/>
          </w:tcPr>
          <w:p>
            <w:pPr>
              <w:jc w:val="right"/>
              <w:ind w:right="180"/>
              <w:spacing w:after="0" w:line="220" w:lineRule="exact"/>
              <w:rPr>
                <w:sz w:val="20"/>
                <w:szCs w:val="20"/>
                <w:color w:val="auto"/>
              </w:rPr>
            </w:pPr>
            <w:r>
              <w:rPr>
                <w:rFonts w:ascii="Arial" w:cs="Arial" w:eastAsia="Arial" w:hAnsi="Arial"/>
                <w:sz w:val="20"/>
                <w:szCs w:val="20"/>
                <w:b w:val="1"/>
                <w:bCs w:val="1"/>
                <w:color w:val="auto"/>
              </w:rPr>
              <w:t>$</w:t>
            </w:r>
          </w:p>
        </w:tc>
        <w:tc>
          <w:tcPr>
            <w:tcW w:w="1820" w:type="dxa"/>
            <w:vAlign w:val="bottom"/>
          </w:tcPr>
          <w:p>
            <w:pPr>
              <w:jc w:val="right"/>
              <w:ind w:right="9"/>
              <w:spacing w:after="0" w:line="220" w:lineRule="exact"/>
              <w:rPr>
                <w:sz w:val="20"/>
                <w:szCs w:val="20"/>
                <w:color w:val="auto"/>
              </w:rPr>
            </w:pPr>
            <w:r>
              <w:rPr>
                <w:rFonts w:ascii="Arial" w:cs="Arial" w:eastAsia="Arial" w:hAnsi="Arial"/>
                <w:sz w:val="20"/>
                <w:szCs w:val="20"/>
                <w:b w:val="1"/>
                <w:bCs w:val="1"/>
                <w:color w:val="auto"/>
              </w:rPr>
              <w:t>—</w:t>
            </w:r>
          </w:p>
        </w:tc>
      </w:tr>
      <w:tr>
        <w:trPr>
          <w:trHeight w:val="230"/>
        </w:trPr>
        <w:tc>
          <w:tcPr>
            <w:tcW w:w="5960" w:type="dxa"/>
            <w:vAlign w:val="bottom"/>
          </w:tcPr>
          <w:p>
            <w:pPr>
              <w:ind w:left="100"/>
              <w:spacing w:after="0"/>
              <w:rPr>
                <w:sz w:val="20"/>
                <w:szCs w:val="20"/>
                <w:color w:val="auto"/>
              </w:rPr>
            </w:pPr>
            <w:r>
              <w:rPr>
                <w:rFonts w:ascii="Arial" w:cs="Arial" w:eastAsia="Arial" w:hAnsi="Arial"/>
                <w:sz w:val="20"/>
                <w:szCs w:val="20"/>
                <w:b w:val="1"/>
                <w:bCs w:val="1"/>
                <w:color w:val="auto"/>
              </w:rPr>
              <w:t>Granted</w:t>
            </w:r>
          </w:p>
        </w:tc>
        <w:tc>
          <w:tcPr>
            <w:tcW w:w="2160" w:type="dxa"/>
            <w:vAlign w:val="bottom"/>
          </w:tcPr>
          <w:p>
            <w:pPr>
              <w:jc w:val="right"/>
              <w:ind w:right="4"/>
              <w:spacing w:after="0"/>
              <w:rPr>
                <w:sz w:val="20"/>
                <w:szCs w:val="20"/>
                <w:color w:val="auto"/>
              </w:rPr>
            </w:pPr>
            <w:r>
              <w:rPr>
                <w:rFonts w:ascii="Arial" w:cs="Arial" w:eastAsia="Arial" w:hAnsi="Arial"/>
                <w:sz w:val="20"/>
                <w:szCs w:val="20"/>
                <w:b w:val="1"/>
                <w:bCs w:val="1"/>
                <w:color w:val="auto"/>
              </w:rPr>
              <w:t>507,303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ind w:right="9"/>
              <w:spacing w:after="0"/>
              <w:rPr>
                <w:sz w:val="20"/>
                <w:szCs w:val="20"/>
                <w:color w:val="auto"/>
              </w:rPr>
            </w:pPr>
            <w:r>
              <w:rPr>
                <w:rFonts w:ascii="Arial" w:cs="Arial" w:eastAsia="Arial" w:hAnsi="Arial"/>
                <w:sz w:val="20"/>
                <w:szCs w:val="20"/>
                <w:b w:val="1"/>
                <w:bCs w:val="1"/>
                <w:color w:val="auto"/>
              </w:rPr>
              <w:t>60.26</w:t>
            </w:r>
          </w:p>
        </w:tc>
      </w:tr>
      <w:tr>
        <w:trPr>
          <w:trHeight w:val="230"/>
        </w:trPr>
        <w:tc>
          <w:tcPr>
            <w:tcW w:w="5960" w:type="dxa"/>
            <w:vAlign w:val="bottom"/>
          </w:tcPr>
          <w:p>
            <w:pPr>
              <w:ind w:left="100"/>
              <w:spacing w:after="0"/>
              <w:rPr>
                <w:sz w:val="20"/>
                <w:szCs w:val="20"/>
                <w:color w:val="auto"/>
              </w:rPr>
            </w:pPr>
            <w:r>
              <w:rPr>
                <w:rFonts w:ascii="Arial" w:cs="Arial" w:eastAsia="Arial" w:hAnsi="Arial"/>
                <w:sz w:val="20"/>
                <w:szCs w:val="20"/>
                <w:b w:val="1"/>
                <w:bCs w:val="1"/>
                <w:color w:val="auto"/>
              </w:rPr>
              <w:t>Forfeited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(32,163)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ind w:right="9"/>
              <w:spacing w:after="0"/>
              <w:rPr>
                <w:sz w:val="20"/>
                <w:szCs w:val="20"/>
                <w:color w:val="auto"/>
              </w:rPr>
            </w:pPr>
            <w:r>
              <w:rPr>
                <w:rFonts w:ascii="Arial" w:cs="Arial" w:eastAsia="Arial" w:hAnsi="Arial"/>
                <w:sz w:val="20"/>
                <w:szCs w:val="20"/>
                <w:b w:val="1"/>
                <w:bCs w:val="1"/>
                <w:color w:val="auto"/>
              </w:rPr>
              <w:t>63.90</w:t>
            </w:r>
          </w:p>
        </w:tc>
      </w:tr>
      <w:tr>
        <w:trPr>
          <w:trHeight w:val="220"/>
        </w:trPr>
        <w:tc>
          <w:tcPr>
            <w:tcW w:w="5960" w:type="dxa"/>
            <w:vAlign w:val="bottom"/>
          </w:tcPr>
          <w:p>
            <w:pPr>
              <w:spacing w:after="0" w:line="220" w:lineRule="exact"/>
              <w:rPr>
                <w:sz w:val="20"/>
                <w:szCs w:val="20"/>
                <w:color w:val="auto"/>
              </w:rPr>
            </w:pPr>
            <w:r>
              <w:rPr>
                <w:rFonts w:ascii="Arial" w:cs="Arial" w:eastAsia="Arial" w:hAnsi="Arial"/>
                <w:sz w:val="20"/>
                <w:szCs w:val="20"/>
                <w:b w:val="1"/>
                <w:bCs w:val="1"/>
                <w:color w:val="auto"/>
              </w:rPr>
              <w:t>Restricted stock units as of December 31, 2024</w:t>
            </w:r>
          </w:p>
        </w:tc>
        <w:tc>
          <w:tcPr>
            <w:tcW w:w="2160" w:type="dxa"/>
            <w:vAlign w:val="bottom"/>
          </w:tcPr>
          <w:p>
            <w:pPr>
              <w:jc w:val="right"/>
              <w:ind w:right="4"/>
              <w:spacing w:after="0" w:line="220" w:lineRule="exact"/>
              <w:rPr>
                <w:sz w:val="20"/>
                <w:szCs w:val="20"/>
                <w:color w:val="auto"/>
              </w:rPr>
            </w:pPr>
            <w:r>
              <w:rPr>
                <w:rFonts w:ascii="Arial" w:cs="Arial" w:eastAsia="Arial" w:hAnsi="Arial"/>
                <w:sz w:val="20"/>
                <w:szCs w:val="20"/>
                <w:b w:val="1"/>
                <w:bCs w:val="1"/>
                <w:color w:val="auto"/>
              </w:rPr>
              <w:t>475,140</w:t>
            </w:r>
          </w:p>
        </w:tc>
        <w:tc>
          <w:tcPr>
            <w:tcW w:w="500" w:type="dxa"/>
            <w:vAlign w:val="bottom"/>
            <w:gridSpan w:val="2"/>
          </w:tcPr>
          <w:p>
            <w:pPr>
              <w:jc w:val="right"/>
              <w:ind w:right="180"/>
              <w:spacing w:after="0" w:line="220" w:lineRule="exact"/>
              <w:rPr>
                <w:sz w:val="20"/>
                <w:szCs w:val="20"/>
                <w:color w:val="auto"/>
              </w:rPr>
            </w:pPr>
            <w:r>
              <w:rPr>
                <w:rFonts w:ascii="Arial" w:cs="Arial" w:eastAsia="Arial" w:hAnsi="Arial"/>
                <w:sz w:val="20"/>
                <w:szCs w:val="20"/>
                <w:b w:val="1"/>
                <w:bCs w:val="1"/>
                <w:color w:val="auto"/>
              </w:rPr>
              <w:t>$</w:t>
            </w:r>
          </w:p>
        </w:tc>
        <w:tc>
          <w:tcPr>
            <w:tcW w:w="1820" w:type="dxa"/>
            <w:vAlign w:val="bottom"/>
          </w:tcPr>
          <w:p>
            <w:pPr>
              <w:jc w:val="right"/>
              <w:ind w:right="9"/>
              <w:spacing w:after="0" w:line="220" w:lineRule="exact"/>
              <w:rPr>
                <w:sz w:val="20"/>
                <w:szCs w:val="20"/>
                <w:color w:val="auto"/>
              </w:rPr>
            </w:pPr>
            <w:r>
              <w:rPr>
                <w:rFonts w:ascii="Arial" w:cs="Arial" w:eastAsia="Arial" w:hAnsi="Arial"/>
                <w:sz w:val="20"/>
                <w:szCs w:val="20"/>
                <w:b w:val="1"/>
                <w:bCs w:val="1"/>
                <w:color w:val="auto"/>
              </w:rPr>
              <w:t>60.01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-610235</wp:posOffset>
            </wp:positionV>
            <wp:extent cx="6663690" cy="653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4">
                      <a:extLst>
                        <a:ext uri="{28A0092B-C50C-407E-A947-70E740481C1C}"/>
                      </a:extLst>
                    </a:blip>
                    <a:srcRect/>
                    <a:stretch>
                      <a:fillRect/>
                    </a:stretch>
                  </pic:blipFill>
                  <pic:spPr bwMode="auto">
                    <a:xfrm>
                      <a:off x="0" y="0"/>
                      <a:ext cx="6663690" cy="65341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of Restricted Common Stock</w:t>
      </w:r>
    </w:p>
    <w:p>
      <w:pPr>
        <w:spacing w:after="0" w:line="131"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As of December 31, 2024,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had the right, but not the obligation to repurchase the unvested shares at the original purchase price. As of December 31, 2023, all awards of restricted common stock were fully vested.</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 summary of restricted common stock activity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2760" w:type="dxa"/>
            <w:vAlign w:val="bottom"/>
            <w:tcBorders>
              <w:bottom w:val="single" w:sz="8" w:color="auto"/>
            </w:tcBorders>
          </w:tcPr>
          <w:p>
            <w:pPr>
              <w:jc w:val="right"/>
              <w:ind w:right="685"/>
              <w:spacing w:after="0"/>
              <w:rPr>
                <w:sz w:val="20"/>
                <w:szCs w:val="20"/>
                <w:color w:val="auto"/>
              </w:rPr>
            </w:pPr>
            <w:r>
              <w:rPr>
                <w:rFonts w:ascii="Arial" w:cs="Arial" w:eastAsia="Arial" w:hAnsi="Arial"/>
                <w:sz w:val="16"/>
                <w:szCs w:val="16"/>
                <w:b w:val="1"/>
                <w:bCs w:val="1"/>
                <w:color w:val="auto"/>
              </w:rPr>
              <w:t>December 31, 2023</w:t>
            </w:r>
          </w:p>
        </w:tc>
      </w:tr>
      <w:tr>
        <w:trPr>
          <w:trHeight w:val="232"/>
        </w:trPr>
        <w:tc>
          <w:tcPr>
            <w:tcW w:w="7680" w:type="dxa"/>
            <w:vAlign w:val="bottom"/>
          </w:tcPr>
          <w:p>
            <w:pPr>
              <w:spacing w:after="0"/>
              <w:rPr>
                <w:sz w:val="20"/>
                <w:szCs w:val="20"/>
                <w:color w:val="auto"/>
              </w:rPr>
            </w:pPr>
            <w:r>
              <w:rPr>
                <w:rFonts w:ascii="Arial" w:cs="Arial" w:eastAsia="Arial" w:hAnsi="Arial"/>
                <w:sz w:val="20"/>
                <w:szCs w:val="20"/>
                <w:b w:val="1"/>
                <w:bCs w:val="1"/>
                <w:color w:val="auto"/>
              </w:rPr>
              <w:t>Unvested at the beginning of the period</w:t>
            </w:r>
          </w:p>
        </w:tc>
        <w:tc>
          <w:tcPr>
            <w:tcW w:w="2760" w:type="dxa"/>
            <w:vAlign w:val="bottom"/>
          </w:tcPr>
          <w:p>
            <w:pPr>
              <w:jc w:val="right"/>
              <w:ind w:right="5"/>
              <w:spacing w:after="0"/>
              <w:rPr>
                <w:sz w:val="20"/>
                <w:szCs w:val="20"/>
                <w:color w:val="auto"/>
              </w:rPr>
            </w:pPr>
            <w:r>
              <w:rPr>
                <w:rFonts w:ascii="Arial" w:cs="Arial" w:eastAsia="Arial" w:hAnsi="Arial"/>
                <w:sz w:val="20"/>
                <w:szCs w:val="20"/>
                <w:b w:val="1"/>
                <w:bCs w:val="1"/>
                <w:color w:val="auto"/>
              </w:rPr>
              <w:t>1,916</w:t>
            </w:r>
          </w:p>
        </w:tc>
      </w:tr>
      <w:tr>
        <w:trPr>
          <w:trHeight w:val="245"/>
        </w:trPr>
        <w:tc>
          <w:tcPr>
            <w:tcW w:w="7680" w:type="dxa"/>
            <w:vAlign w:val="bottom"/>
          </w:tcPr>
          <w:p>
            <w:pPr>
              <w:ind w:left="200"/>
              <w:spacing w:after="0"/>
              <w:rPr>
                <w:sz w:val="20"/>
                <w:szCs w:val="20"/>
                <w:color w:val="auto"/>
              </w:rPr>
            </w:pPr>
            <w:r>
              <w:rPr>
                <w:rFonts w:ascii="Arial" w:cs="Arial" w:eastAsia="Arial" w:hAnsi="Arial"/>
                <w:sz w:val="20"/>
                <w:szCs w:val="20"/>
                <w:b w:val="1"/>
                <w:bCs w:val="1"/>
                <w:color w:val="auto"/>
              </w:rPr>
              <w:t>Vested</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(1,916)</w:t>
            </w:r>
          </w:p>
        </w:tc>
      </w:tr>
      <w:tr>
        <w:trPr>
          <w:trHeight w:val="234"/>
        </w:trPr>
        <w:tc>
          <w:tcPr>
            <w:tcW w:w="7680" w:type="dxa"/>
            <w:vAlign w:val="bottom"/>
          </w:tcPr>
          <w:p>
            <w:pPr>
              <w:spacing w:after="0"/>
              <w:rPr>
                <w:sz w:val="20"/>
                <w:szCs w:val="20"/>
                <w:color w:val="auto"/>
              </w:rPr>
            </w:pPr>
            <w:r>
              <w:rPr>
                <w:rFonts w:ascii="Arial" w:cs="Arial" w:eastAsia="Arial" w:hAnsi="Arial"/>
                <w:sz w:val="20"/>
                <w:szCs w:val="20"/>
                <w:b w:val="1"/>
                <w:bCs w:val="1"/>
                <w:color w:val="auto"/>
              </w:rPr>
              <w:t>Unvested at the end of the period</w:t>
            </w:r>
          </w:p>
        </w:tc>
        <w:tc>
          <w:tcPr>
            <w:tcW w:w="2760" w:type="dxa"/>
            <w:vAlign w:val="bottom"/>
          </w:tcPr>
          <w:p>
            <w:pPr>
              <w:jc w:val="right"/>
              <w:ind w:right="25"/>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-489585</wp:posOffset>
            </wp:positionV>
            <wp:extent cx="6663690" cy="5327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5">
                      <a:extLst>
                        <a:ext uri="{28A0092B-C50C-407E-A947-70E740481C1C}"/>
                      </a:extLst>
                    </a:blip>
                    <a:srcRect/>
                    <a:stretch>
                      <a:fillRect/>
                    </a:stretch>
                  </pic:blipFill>
                  <pic:spPr bwMode="auto">
                    <a:xfrm>
                      <a:off x="0" y="0"/>
                      <a:ext cx="6663690" cy="53276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3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Total stock-based compensation expense recorded as research and development and selling, general and administrative expenses, respectively, for employees, directors and non-employees was as follows (in thousands):</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stock-based compensation expense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wp:posOffset>
                </wp:positionV>
                <wp:extent cx="281813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13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2pt" to="222.35pt,0.2pt" o:allowincell="f" strokecolor="#000000" strokeweight="0.6pt"/>
            </w:pict>
          </mc:Fallback>
        </mc:AlternateConten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640" w:type="dxa"/>
            <w:vAlign w:val="bottom"/>
          </w:tcPr>
          <w:p>
            <w:pPr>
              <w:jc w:val="right"/>
              <w:ind w:right="865"/>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jc w:val="right"/>
              <w:ind w:right="845"/>
              <w:spacing w:after="0"/>
              <w:rPr>
                <w:sz w:val="20"/>
                <w:szCs w:val="20"/>
                <w:color w:val="auto"/>
              </w:rPr>
            </w:pPr>
            <w:r>
              <w:rPr>
                <w:rFonts w:ascii="Arial" w:cs="Arial" w:eastAsia="Arial" w:hAnsi="Arial"/>
                <w:sz w:val="16"/>
                <w:szCs w:val="16"/>
                <w:b w:val="1"/>
                <w:bCs w:val="1"/>
                <w:color w:val="auto"/>
              </w:rPr>
              <w:t>2023</w:t>
            </w: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0"/>
        </w:trPr>
        <w:tc>
          <w:tcPr>
            <w:tcW w:w="480" w:type="dxa"/>
            <w:vAlign w:val="bottom"/>
          </w:tcPr>
          <w:p>
            <w:pPr>
              <w:jc w:val="right"/>
              <w:ind w:right="280"/>
              <w:spacing w:after="0" w:line="220" w:lineRule="exact"/>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7,028</w:t>
            </w:r>
          </w:p>
        </w:tc>
        <w:tc>
          <w:tcPr>
            <w:tcW w:w="680" w:type="dxa"/>
            <w:vAlign w:val="bottom"/>
            <w:gridSpan w:val="2"/>
          </w:tcPr>
          <w:p>
            <w:pPr>
              <w:jc w:val="right"/>
              <w:ind w:right="360"/>
              <w:spacing w:after="0" w:line="220" w:lineRule="exact"/>
              <w:rPr>
                <w:sz w:val="20"/>
                <w:szCs w:val="20"/>
                <w:color w:val="auto"/>
              </w:rPr>
            </w:pPr>
            <w:r>
              <w:rPr>
                <w:rFonts w:ascii="Arial" w:cs="Arial" w:eastAsia="Arial" w:hAnsi="Arial"/>
                <w:sz w:val="20"/>
                <w:szCs w:val="20"/>
                <w:b w:val="1"/>
                <w:bCs w:val="1"/>
                <w:color w:val="auto"/>
              </w:rPr>
              <w:t>$</w:t>
            </w:r>
          </w:p>
        </w:tc>
        <w:tc>
          <w:tcPr>
            <w:tcW w:w="164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1,767</w:t>
            </w:r>
          </w:p>
        </w:tc>
      </w:tr>
      <w:tr>
        <w:trPr>
          <w:trHeight w:val="230"/>
        </w:trPr>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9,787</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3,763</w:t>
            </w:r>
          </w:p>
        </w:tc>
      </w:tr>
      <w:tr>
        <w:trPr>
          <w:trHeight w:val="220"/>
        </w:trPr>
        <w:tc>
          <w:tcPr>
            <w:tcW w:w="480" w:type="dxa"/>
            <w:vAlign w:val="bottom"/>
          </w:tcPr>
          <w:p>
            <w:pPr>
              <w:jc w:val="right"/>
              <w:ind w:right="280"/>
              <w:spacing w:after="0" w:line="220" w:lineRule="exact"/>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16,815</w:t>
            </w:r>
          </w:p>
        </w:tc>
        <w:tc>
          <w:tcPr>
            <w:tcW w:w="680" w:type="dxa"/>
            <w:vAlign w:val="bottom"/>
            <w:gridSpan w:val="2"/>
          </w:tcPr>
          <w:p>
            <w:pPr>
              <w:jc w:val="right"/>
              <w:ind w:right="360"/>
              <w:spacing w:after="0" w:line="220" w:lineRule="exact"/>
              <w:rPr>
                <w:sz w:val="20"/>
                <w:szCs w:val="20"/>
                <w:color w:val="auto"/>
              </w:rPr>
            </w:pPr>
            <w:r>
              <w:rPr>
                <w:rFonts w:ascii="Arial" w:cs="Arial" w:eastAsia="Arial" w:hAnsi="Arial"/>
                <w:sz w:val="20"/>
                <w:szCs w:val="20"/>
                <w:b w:val="1"/>
                <w:bCs w:val="1"/>
                <w:color w:val="auto"/>
              </w:rPr>
              <w:t>$</w:t>
            </w:r>
          </w:p>
        </w:tc>
        <w:tc>
          <w:tcPr>
            <w:tcW w:w="1640" w:type="dxa"/>
            <w:vAlign w:val="bottom"/>
          </w:tcPr>
          <w:p>
            <w:pPr>
              <w:jc w:val="right"/>
              <w:ind w:right="5"/>
              <w:spacing w:after="0" w:line="220" w:lineRule="exact"/>
              <w:rPr>
                <w:sz w:val="20"/>
                <w:szCs w:val="20"/>
                <w:color w:val="auto"/>
              </w:rPr>
            </w:pPr>
            <w:r>
              <w:rPr>
                <w:rFonts w:ascii="Arial" w:cs="Arial" w:eastAsia="Arial" w:hAnsi="Arial"/>
                <w:sz w:val="20"/>
                <w:szCs w:val="20"/>
                <w:b w:val="1"/>
                <w:bCs w:val="1"/>
                <w:color w:val="auto"/>
              </w:rPr>
              <w:t>5,530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-462280</wp:posOffset>
            </wp:positionV>
            <wp:extent cx="6663690" cy="5054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6">
                      <a:extLst>
                        <a:ext uri="{28A0092B-C50C-407E-A947-70E740481C1C}"/>
                      </a:extLst>
                    </a:blip>
                    <a:srcRect/>
                    <a:stretch>
                      <a:fillRect/>
                    </a:stretch>
                  </pic:blipFill>
                  <pic:spPr bwMode="auto">
                    <a:xfrm>
                      <a:off x="0" y="0"/>
                      <a:ext cx="6663690" cy="50546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280" w:space="720"/>
            <w:col w:w="4440"/>
          </w:cols>
          <w:pgMar w:left="900" w:top="949" w:right="90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135</w:t>
      </w:r>
    </w:p>
    <w:p>
      <w:pPr>
        <w:sectPr>
          <w:pgSz w:w="12240" w:h="15840" w:orient="portrait"/>
          <w:cols w:equalWidth="0" w:num="1">
            <w:col w:w="10440"/>
          </w:cols>
          <w:pgMar w:left="900" w:top="949" w:right="900" w:bottom="181" w:gutter="0" w:footer="0" w:header="0"/>
          <w:type w:val="continuous"/>
        </w:sectPr>
      </w:pPr>
    </w:p>
    <w:bookmarkStart w:id="145" w:name="page146"/>
    <w:bookmarkEnd w:id="145"/>
    <w:p>
      <w:pPr>
        <w:ind w:left="480"/>
        <w:spacing w:after="0"/>
        <w:rPr>
          <w:sz w:val="20"/>
          <w:szCs w:val="20"/>
          <w:color w:val="auto"/>
        </w:rPr>
      </w:pPr>
      <w:r>
        <w:rPr>
          <w:rFonts w:ascii="Arial" w:cs="Arial" w:eastAsia="Arial" w:hAnsi="Arial"/>
          <w:sz w:val="19"/>
          <w:szCs w:val="19"/>
          <w:b w:val="1"/>
          <w:bCs w:val="1"/>
          <w:color w:val="auto"/>
        </w:rPr>
        <w:t>The following table summarizes unrecognized stock-based compensation expense as of December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185"/>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182"/>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right"/>
              <w:ind w:right="248"/>
              <w:spacing w:after="0" w:line="182" w:lineRule="exact"/>
              <w:rPr>
                <w:sz w:val="20"/>
                <w:szCs w:val="20"/>
                <w:color w:val="auto"/>
              </w:rPr>
            </w:pPr>
            <w:r>
              <w:rPr>
                <w:rFonts w:ascii="Arial" w:cs="Arial" w:eastAsia="Arial" w:hAnsi="Arial"/>
                <w:sz w:val="16"/>
                <w:szCs w:val="16"/>
                <w:b w:val="1"/>
                <w:bCs w:val="1"/>
                <w:color w:val="auto"/>
                <w:w w:val="89"/>
              </w:rPr>
              <w:t>Unrecognized Expense</w:t>
            </w:r>
          </w:p>
        </w:tc>
        <w:tc>
          <w:tcPr>
            <w:tcW w:w="160" w:type="dxa"/>
            <w:vAlign w:val="bottom"/>
          </w:tcPr>
          <w:p>
            <w:pPr>
              <w:spacing w:after="0"/>
              <w:rPr>
                <w:sz w:val="15"/>
                <w:szCs w:val="15"/>
                <w:color w:val="auto"/>
              </w:rPr>
            </w:pPr>
          </w:p>
        </w:tc>
        <w:tc>
          <w:tcPr>
            <w:tcW w:w="2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Period of Recognition</w:t>
            </w:r>
          </w:p>
        </w:tc>
      </w:tr>
      <w:tr>
        <w:trPr>
          <w:trHeight w:val="183"/>
        </w:trPr>
        <w:tc>
          <w:tcPr>
            <w:tcW w:w="6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8"/>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5"/>
                <w:szCs w:val="15"/>
                <w:color w:val="auto"/>
              </w:rPr>
            </w:pPr>
          </w:p>
        </w:tc>
        <w:tc>
          <w:tcPr>
            <w:tcW w:w="21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5"/>
              </w:rPr>
              <w:t>(In Years)</w:t>
            </w:r>
          </w:p>
        </w:tc>
      </w:tr>
      <w:tr>
        <w:trPr>
          <w:trHeight w:val="220"/>
        </w:trPr>
        <w:tc>
          <w:tcPr>
            <w:tcW w:w="6000" w:type="dxa"/>
            <w:vAlign w:val="bottom"/>
          </w:tcPr>
          <w:p>
            <w:pPr>
              <w:spacing w:after="0" w:line="220" w:lineRule="exact"/>
              <w:rPr>
                <w:sz w:val="20"/>
                <w:szCs w:val="20"/>
                <w:color w:val="auto"/>
              </w:rPr>
            </w:pPr>
            <w:r>
              <w:rPr>
                <w:rFonts w:ascii="Arial" w:cs="Arial" w:eastAsia="Arial" w:hAnsi="Arial"/>
                <w:sz w:val="20"/>
                <w:szCs w:val="20"/>
                <w:b w:val="1"/>
                <w:bCs w:val="1"/>
                <w:color w:val="auto"/>
              </w:rPr>
              <w:t>Restricted stock units</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940" w:type="dxa"/>
            <w:vAlign w:val="bottom"/>
          </w:tcPr>
          <w:p>
            <w:pPr>
              <w:jc w:val="right"/>
              <w:ind w:right="8"/>
              <w:spacing w:after="0" w:line="220" w:lineRule="exact"/>
              <w:rPr>
                <w:sz w:val="20"/>
                <w:szCs w:val="20"/>
                <w:color w:val="auto"/>
              </w:rPr>
            </w:pPr>
            <w:r>
              <w:rPr>
                <w:rFonts w:ascii="Arial" w:cs="Arial" w:eastAsia="Arial" w:hAnsi="Arial"/>
                <w:sz w:val="20"/>
                <w:szCs w:val="20"/>
                <w:b w:val="1"/>
                <w:bCs w:val="1"/>
                <w:color w:val="auto"/>
              </w:rPr>
              <w:t>23,284</w:t>
            </w:r>
          </w:p>
        </w:tc>
        <w:tc>
          <w:tcPr>
            <w:tcW w:w="23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3.29</w:t>
            </w:r>
          </w:p>
        </w:tc>
      </w:tr>
      <w:tr>
        <w:trPr>
          <w:trHeight w:val="230"/>
        </w:trPr>
        <w:tc>
          <w:tcPr>
            <w:tcW w:w="6000" w:type="dxa"/>
            <w:vAlign w:val="bottom"/>
          </w:tcPr>
          <w:p>
            <w:pPr>
              <w:spacing w:after="0"/>
              <w:rPr>
                <w:sz w:val="20"/>
                <w:szCs w:val="20"/>
                <w:color w:val="auto"/>
              </w:rPr>
            </w:pPr>
            <w:r>
              <w:rPr>
                <w:rFonts w:ascii="Arial" w:cs="Arial" w:eastAsia="Arial" w:hAnsi="Arial"/>
                <w:sz w:val="20"/>
                <w:szCs w:val="20"/>
                <w:b w:val="1"/>
                <w:bCs w:val="1"/>
                <w:color w:val="auto"/>
              </w:rPr>
              <w:t>Stock options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b w:val="1"/>
                <w:bCs w:val="1"/>
                <w:color w:val="auto"/>
              </w:rPr>
              <w:t>28,278</w:t>
            </w:r>
          </w:p>
        </w:tc>
        <w:tc>
          <w:tcPr>
            <w:tcW w:w="23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2.85</w:t>
            </w:r>
          </w:p>
        </w:tc>
      </w:tr>
      <w:tr>
        <w:trPr>
          <w:trHeight w:val="220"/>
        </w:trPr>
        <w:tc>
          <w:tcPr>
            <w:tcW w:w="6000" w:type="dxa"/>
            <w:vAlign w:val="bottom"/>
          </w:tcPr>
          <w:p>
            <w:pPr>
              <w:spacing w:after="0" w:line="220" w:lineRule="exact"/>
              <w:rPr>
                <w:sz w:val="20"/>
                <w:szCs w:val="20"/>
                <w:color w:val="auto"/>
              </w:rPr>
            </w:pPr>
            <w:r>
              <w:rPr>
                <w:rFonts w:ascii="Arial" w:cs="Arial" w:eastAsia="Arial" w:hAnsi="Arial"/>
                <w:sz w:val="20"/>
                <w:szCs w:val="20"/>
                <w:b w:val="1"/>
                <w:bCs w:val="1"/>
                <w:color w:val="auto"/>
              </w:rPr>
              <w:t>Total unrecognized equity-based compensation expense</w:t>
            </w: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940" w:type="dxa"/>
            <w:vAlign w:val="bottom"/>
          </w:tcPr>
          <w:p>
            <w:pPr>
              <w:jc w:val="right"/>
              <w:ind w:right="8"/>
              <w:spacing w:after="0" w:line="220" w:lineRule="exact"/>
              <w:rPr>
                <w:sz w:val="20"/>
                <w:szCs w:val="20"/>
                <w:color w:val="auto"/>
              </w:rPr>
            </w:pPr>
            <w:r>
              <w:rPr>
                <w:rFonts w:ascii="Arial" w:cs="Arial" w:eastAsia="Arial" w:hAnsi="Arial"/>
                <w:sz w:val="20"/>
                <w:szCs w:val="20"/>
                <w:b w:val="1"/>
                <w:bCs w:val="1"/>
                <w:color w:val="auto"/>
              </w:rPr>
              <w:t>51,562</w:t>
            </w:r>
          </w:p>
        </w:tc>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-462280</wp:posOffset>
            </wp:positionV>
            <wp:extent cx="6663690" cy="5054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57">
                      <a:extLst>
                        <a:ext uri="{28A0092B-C50C-407E-A947-70E740481C1C}"/>
                      </a:extLst>
                    </a:blip>
                    <a:srcRect/>
                    <a:stretch>
                      <a:fillRect/>
                    </a:stretch>
                  </pic:blipFill>
                  <pic:spPr bwMode="auto">
                    <a:xfrm>
                      <a:off x="0" y="0"/>
                      <a:ext cx="6663690" cy="50546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 reconciliation of the U.S. federal statutory income tax rate to the Company’s effective income tax rate is as follows:</w:t>
      </w:r>
    </w:p>
    <w:p>
      <w:pPr>
        <w:spacing w:after="0" w:line="158"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4504690</wp:posOffset>
                </wp:positionH>
                <wp:positionV relativeFrom="paragraph">
                  <wp:posOffset>3810</wp:posOffset>
                </wp:positionV>
                <wp:extent cx="2129155"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915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7pt,0.3pt" to="522.35pt,0.3pt" o:allowincell="f" strokecolor="#000000" strokeweight="0.6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6"/>
                <w:szCs w:val="16"/>
                <w:b w:val="1"/>
                <w:bCs w:val="1"/>
                <w:color w:val="auto"/>
              </w:rPr>
              <w:t>2023</w:t>
            </w:r>
          </w:p>
        </w:tc>
      </w:tr>
      <w:tr>
        <w:trPr>
          <w:trHeight w:val="237"/>
        </w:trPr>
        <w:tc>
          <w:tcPr>
            <w:tcW w:w="7960" w:type="dxa"/>
            <w:vAlign w:val="bottom"/>
            <w:gridSpan w:val="2"/>
          </w:tcPr>
          <w:p>
            <w:pPr>
              <w:spacing w:after="0"/>
              <w:rPr>
                <w:sz w:val="20"/>
                <w:szCs w:val="20"/>
                <w:color w:val="auto"/>
              </w:rPr>
            </w:pPr>
            <w:r>
              <w:rPr>
                <w:rFonts w:ascii="Arial" w:cs="Arial" w:eastAsia="Arial" w:hAnsi="Arial"/>
                <w:sz w:val="20"/>
                <w:szCs w:val="20"/>
                <w:b w:val="1"/>
                <w:bCs w:val="1"/>
                <w:color w:val="auto"/>
              </w:rPr>
              <w:t>Federal statutory income tax rate</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21.0%</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21.0%</w:t>
            </w:r>
          </w:p>
        </w:tc>
      </w:tr>
      <w:tr>
        <w:trPr>
          <w:trHeight w:val="245"/>
        </w:trPr>
        <w:tc>
          <w:tcPr>
            <w:tcW w:w="7960" w:type="dxa"/>
            <w:vAlign w:val="bottom"/>
            <w:gridSpan w:val="2"/>
          </w:tcPr>
          <w:p>
            <w:pPr>
              <w:ind w:left="200"/>
              <w:spacing w:after="0"/>
              <w:rPr>
                <w:sz w:val="20"/>
                <w:szCs w:val="20"/>
                <w:color w:val="auto"/>
              </w:rPr>
            </w:pPr>
            <w:r>
              <w:rPr>
                <w:rFonts w:ascii="Arial" w:cs="Arial" w:eastAsia="Arial" w:hAnsi="Arial"/>
                <w:sz w:val="20"/>
                <w:szCs w:val="20"/>
                <w:b w:val="1"/>
                <w:bCs w:val="1"/>
                <w:color w:val="auto"/>
              </w:rPr>
              <w:t>State income taxes, net of federal benefit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6.4%</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8.0%</w:t>
            </w:r>
          </w:p>
        </w:tc>
      </w:tr>
      <w:tr>
        <w:trPr>
          <w:trHeight w:val="242"/>
        </w:trPr>
        <w:tc>
          <w:tcPr>
            <w:tcW w:w="7960" w:type="dxa"/>
            <w:vAlign w:val="bottom"/>
            <w:gridSpan w:val="2"/>
          </w:tcPr>
          <w:p>
            <w:pPr>
              <w:ind w:left="200"/>
              <w:spacing w:after="0"/>
              <w:rPr>
                <w:sz w:val="20"/>
                <w:szCs w:val="20"/>
                <w:color w:val="auto"/>
              </w:rPr>
            </w:pPr>
            <w:r>
              <w:rPr>
                <w:rFonts w:ascii="Arial" w:cs="Arial" w:eastAsia="Arial" w:hAnsi="Arial"/>
                <w:sz w:val="20"/>
                <w:szCs w:val="20"/>
                <w:b w:val="1"/>
                <w:bCs w:val="1"/>
                <w:color w:val="auto"/>
              </w:rPr>
              <w:t>Federal and state research and development tax credits</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12.1%</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4.0%</w:t>
            </w:r>
          </w:p>
        </w:tc>
      </w:tr>
      <w:tr>
        <w:trPr>
          <w:trHeight w:val="245"/>
        </w:trPr>
        <w:tc>
          <w:tcPr>
            <w:tcW w:w="7960" w:type="dxa"/>
            <w:vAlign w:val="bottom"/>
            <w:gridSpan w:val="2"/>
          </w:tcPr>
          <w:p>
            <w:pPr>
              <w:ind w:left="200"/>
              <w:spacing w:after="0"/>
              <w:rPr>
                <w:sz w:val="20"/>
                <w:szCs w:val="20"/>
                <w:color w:val="auto"/>
              </w:rPr>
            </w:pPr>
            <w:r>
              <w:rPr>
                <w:rFonts w:ascii="Arial" w:cs="Arial" w:eastAsia="Arial" w:hAnsi="Arial"/>
                <w:sz w:val="20"/>
                <w:szCs w:val="20"/>
                <w:b w:val="1"/>
                <w:bCs w:val="1"/>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1.3%</w:t>
            </w:r>
          </w:p>
        </w:tc>
      </w:tr>
      <w:tr>
        <w:trPr>
          <w:trHeight w:val="245"/>
        </w:trPr>
        <w:tc>
          <w:tcPr>
            <w:tcW w:w="7960" w:type="dxa"/>
            <w:vAlign w:val="bottom"/>
            <w:gridSpan w:val="2"/>
          </w:tcPr>
          <w:p>
            <w:pPr>
              <w:ind w:left="200"/>
              <w:spacing w:after="0"/>
              <w:rPr>
                <w:sz w:val="20"/>
                <w:szCs w:val="20"/>
                <w:color w:val="auto"/>
              </w:rPr>
            </w:pPr>
            <w:r>
              <w:rPr>
                <w:rFonts w:ascii="Arial" w:cs="Arial" w:eastAsia="Arial" w:hAnsi="Arial"/>
                <w:sz w:val="20"/>
                <w:szCs w:val="20"/>
                <w:b w:val="1"/>
                <w:bCs w:val="1"/>
                <w:color w:val="auto"/>
              </w:rPr>
              <w:t>Section 162(m) limitation</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(1.6</w:t>
            </w:r>
            <w:r>
              <w:rPr>
                <w:rFonts w:ascii="Arial" w:cs="Arial" w:eastAsia="Arial" w:hAnsi="Arial"/>
                <w:sz w:val="20"/>
                <w:szCs w:val="20"/>
                <w:b w:val="1"/>
                <w:bCs w:val="1"/>
                <w:color w:val="auto"/>
                <w:shd w:val="clear" w:color="auto" w:fill="E1E1E1"/>
              </w:rPr>
              <w:t>)%</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(0.8</w:t>
            </w:r>
            <w:r>
              <w:rPr>
                <w:rFonts w:ascii="Arial" w:cs="Arial" w:eastAsia="Arial" w:hAnsi="Arial"/>
                <w:sz w:val="20"/>
                <w:szCs w:val="20"/>
                <w:b w:val="1"/>
                <w:bCs w:val="1"/>
                <w:color w:val="auto"/>
                <w:shd w:val="clear" w:color="auto" w:fill="E1E1E1"/>
              </w:rPr>
              <w:t>)%</w:t>
            </w:r>
          </w:p>
        </w:tc>
      </w:tr>
      <w:tr>
        <w:trPr>
          <w:trHeight w:val="242"/>
        </w:trPr>
        <w:tc>
          <w:tcPr>
            <w:tcW w:w="7960" w:type="dxa"/>
            <w:vAlign w:val="bottom"/>
            <w:gridSpan w:val="2"/>
          </w:tcPr>
          <w:p>
            <w:pPr>
              <w:ind w:left="200"/>
              <w:spacing w:after="0"/>
              <w:rPr>
                <w:sz w:val="20"/>
                <w:szCs w:val="20"/>
                <w:color w:val="auto"/>
              </w:rPr>
            </w:pPr>
            <w:r>
              <w:rPr>
                <w:rFonts w:ascii="Arial" w:cs="Arial" w:eastAsia="Arial" w:hAnsi="Arial"/>
                <w:sz w:val="20"/>
                <w:szCs w:val="20"/>
                <w:b w:val="1"/>
                <w:bCs w:val="1"/>
                <w:color w:val="auto"/>
              </w:rPr>
              <w:t>Other</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(0.1</w:t>
            </w:r>
            <w:r>
              <w:rPr>
                <w:rFonts w:ascii="Arial" w:cs="Arial" w:eastAsia="Arial" w:hAnsi="Arial"/>
                <w:sz w:val="20"/>
                <w:szCs w:val="20"/>
                <w:b w:val="1"/>
                <w:bCs w:val="1"/>
                <w:color w:val="auto"/>
                <w:highlight w:val="white"/>
              </w:rPr>
              <w:t>)%</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0.1%</w:t>
            </w:r>
          </w:p>
        </w:tc>
      </w:tr>
      <w:tr>
        <w:trPr>
          <w:trHeight w:val="245"/>
        </w:trPr>
        <w:tc>
          <w:tcPr>
            <w:tcW w:w="7100" w:type="dxa"/>
            <w:vAlign w:val="bottom"/>
          </w:tcPr>
          <w:p>
            <w:pPr>
              <w:ind w:left="200"/>
              <w:spacing w:after="0"/>
              <w:rPr>
                <w:sz w:val="20"/>
                <w:szCs w:val="20"/>
                <w:color w:val="auto"/>
              </w:rPr>
            </w:pPr>
            <w:r>
              <w:rPr>
                <w:rFonts w:ascii="Arial" w:cs="Arial" w:eastAsia="Arial" w:hAnsi="Arial"/>
                <w:sz w:val="20"/>
                <w:szCs w:val="20"/>
                <w:b w:val="1"/>
                <w:bCs w:val="1"/>
                <w:color w:val="auto"/>
              </w:rPr>
              <w:t>Change in deferred tax asset valuation allowance</w:t>
            </w:r>
          </w:p>
        </w:tc>
        <w:tc>
          <w:tcPr>
            <w:tcW w:w="8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(39.4)%</w:t>
            </w:r>
          </w:p>
        </w:tc>
        <w:tc>
          <w:tcPr>
            <w:tcW w:w="14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w:t>
            </w:r>
            <w:r>
              <w:rPr>
                <w:rFonts w:ascii="Arial" w:cs="Arial" w:eastAsia="Arial" w:hAnsi="Arial"/>
                <w:sz w:val="20"/>
                <w:szCs w:val="20"/>
                <w:b w:val="1"/>
                <w:bCs w:val="1"/>
                <w:color w:val="auto"/>
                <w:shd w:val="clear" w:color="auto" w:fill="E1E1E1"/>
              </w:rPr>
              <w:t>)%</w:t>
            </w:r>
          </w:p>
        </w:tc>
      </w:tr>
      <w:tr>
        <w:trPr>
          <w:trHeight w:val="234"/>
        </w:trPr>
        <w:tc>
          <w:tcPr>
            <w:tcW w:w="7960" w:type="dxa"/>
            <w:vAlign w:val="bottom"/>
            <w:gridSpan w:val="2"/>
          </w:tcPr>
          <w:p>
            <w:pPr>
              <w:spacing w:after="0"/>
              <w:rPr>
                <w:sz w:val="20"/>
                <w:szCs w:val="20"/>
                <w:color w:val="auto"/>
              </w:rPr>
            </w:pPr>
            <w:r>
              <w:rPr>
                <w:rFonts w:ascii="Arial" w:cs="Arial" w:eastAsia="Arial" w:hAnsi="Arial"/>
                <w:sz w:val="20"/>
                <w:szCs w:val="20"/>
                <w:b w:val="1"/>
                <w:bCs w:val="1"/>
                <w:color w:val="auto"/>
              </w:rPr>
              <w:t>Effective income tax rate</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(0.3</w:t>
            </w:r>
            <w:r>
              <w:rPr>
                <w:rFonts w:ascii="Arial" w:cs="Arial" w:eastAsia="Arial" w:hAnsi="Arial"/>
                <w:sz w:val="20"/>
                <w:szCs w:val="20"/>
                <w:b w:val="1"/>
                <w:bCs w:val="1"/>
                <w:color w:val="auto"/>
                <w:highlight w:val="white"/>
              </w:rPr>
              <w:t>)%</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-1264285</wp:posOffset>
            </wp:positionV>
            <wp:extent cx="6663690" cy="130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58">
                      <a:extLst>
                        <a:ext uri="{28A0092B-C50C-407E-A947-70E740481C1C}"/>
                      </a:extLst>
                    </a:blip>
                    <a:srcRect/>
                    <a:stretch>
                      <a:fillRect/>
                    </a:stretch>
                  </pic:blipFill>
                  <pic:spPr bwMode="auto">
                    <a:xfrm>
                      <a:off x="0" y="0"/>
                      <a:ext cx="6663690" cy="1306830"/>
                    </a:xfrm>
                    <a:prstGeom prst="rect">
                      <a:avLst/>
                    </a:prstGeom>
                    <a:noFill/>
                  </pic:spPr>
                </pic:pic>
              </a:graphicData>
            </a:graphic>
          </wp:anchor>
        </w:drawing>
      </w:r>
    </w:p>
    <w:p>
      <w:pPr>
        <w:spacing w:after="0" w:line="27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For the years ended December 31, 2024 and 2023 the Company recorded income tax expense of $0.4 million and $0.1 million, respectively, which was primarily due to state income tax resulting from interest income.</w:t>
      </w:r>
    </w:p>
    <w:p>
      <w:pPr>
        <w:spacing w:after="0" w:line="11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74"/>
        </w:trPr>
        <w:tc>
          <w:tcPr>
            <w:tcW w:w="7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3"/>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line="175" w:lineRule="exact"/>
              <w:rPr>
                <w:sz w:val="20"/>
                <w:szCs w:val="20"/>
                <w:color w:val="auto"/>
              </w:rPr>
            </w:pPr>
            <w:r>
              <w:rPr>
                <w:rFonts w:ascii="Arial" w:cs="Arial" w:eastAsia="Arial" w:hAnsi="Arial"/>
                <w:sz w:val="16"/>
                <w:szCs w:val="16"/>
                <w:b w:val="1"/>
                <w:bCs w:val="1"/>
                <w:color w:val="auto"/>
              </w:rPr>
              <w:t>2023</w:t>
            </w:r>
          </w:p>
        </w:tc>
      </w:tr>
      <w:tr>
        <w:trPr>
          <w:trHeight w:val="220"/>
        </w:trPr>
        <w:tc>
          <w:tcPr>
            <w:tcW w:w="7160" w:type="dxa"/>
            <w:vAlign w:val="bottom"/>
          </w:tcPr>
          <w:p>
            <w:pPr>
              <w:spacing w:after="0" w:line="220" w:lineRule="exact"/>
              <w:rPr>
                <w:sz w:val="20"/>
                <w:szCs w:val="20"/>
                <w:color w:val="auto"/>
              </w:rPr>
            </w:pPr>
            <w:r>
              <w:rPr>
                <w:rFonts w:ascii="Arial" w:cs="Arial" w:eastAsia="Arial" w:hAnsi="Arial"/>
                <w:sz w:val="20"/>
                <w:szCs w:val="20"/>
                <w:b w:val="1"/>
                <w:bCs w:val="1"/>
                <w:color w:val="auto"/>
              </w:rPr>
              <w:t>Deferred tax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Net operating loss carryforwards</w:t>
            </w:r>
          </w:p>
        </w:tc>
        <w:tc>
          <w:tcPr>
            <w:tcW w:w="340" w:type="dxa"/>
            <w:vAlign w:val="bottom"/>
          </w:tcPr>
          <w:p>
            <w:pPr>
              <w:jc w:val="right"/>
              <w:ind w:right="140"/>
              <w:spacing w:after="0"/>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ind w:right="3"/>
              <w:spacing w:after="0"/>
              <w:rPr>
                <w:sz w:val="20"/>
                <w:szCs w:val="20"/>
                <w:color w:val="auto"/>
              </w:rPr>
            </w:pPr>
            <w:r>
              <w:rPr>
                <w:rFonts w:ascii="Arial" w:cs="Arial" w:eastAsia="Arial" w:hAnsi="Arial"/>
                <w:sz w:val="20"/>
                <w:szCs w:val="20"/>
                <w:b w:val="1"/>
                <w:bCs w:val="1"/>
                <w:color w:val="auto"/>
              </w:rPr>
              <w:t>33,209</w:t>
            </w:r>
          </w:p>
        </w:tc>
        <w:tc>
          <w:tcPr>
            <w:tcW w:w="62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24,312</w:t>
            </w: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Research and experimental expenditures</w:t>
            </w:r>
          </w:p>
        </w:tc>
        <w:tc>
          <w:tcPr>
            <w:tcW w:w="34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20"/>
                <w:szCs w:val="20"/>
                <w:b w:val="1"/>
                <w:bCs w:val="1"/>
                <w:color w:val="auto"/>
              </w:rPr>
              <w:t>39,463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20,598</w:t>
            </w: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Tax credits</w:t>
            </w:r>
          </w:p>
        </w:tc>
        <w:tc>
          <w:tcPr>
            <w:tcW w:w="34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20"/>
                <w:szCs w:val="20"/>
                <w:b w:val="1"/>
                <w:bCs w:val="1"/>
                <w:color w:val="auto"/>
              </w:rPr>
              <w:t>21,248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7,202</w:t>
            </w:r>
          </w:p>
        </w:tc>
      </w:tr>
      <w:tr>
        <w:trPr>
          <w:trHeight w:val="228"/>
        </w:trPr>
        <w:tc>
          <w:tcPr>
            <w:tcW w:w="71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Capitalized licenses</w:t>
            </w:r>
          </w:p>
        </w:tc>
        <w:tc>
          <w:tcPr>
            <w:tcW w:w="340" w:type="dxa"/>
            <w:vAlign w:val="bottom"/>
          </w:tcPr>
          <w:p>
            <w:pPr>
              <w:spacing w:after="0"/>
              <w:rPr>
                <w:sz w:val="19"/>
                <w:szCs w:val="19"/>
                <w:color w:val="auto"/>
              </w:rPr>
            </w:pPr>
          </w:p>
        </w:tc>
        <w:tc>
          <w:tcPr>
            <w:tcW w:w="1220" w:type="dxa"/>
            <w:vAlign w:val="bottom"/>
          </w:tcPr>
          <w:p>
            <w:pPr>
              <w:jc w:val="right"/>
              <w:ind w:right="3"/>
              <w:spacing w:after="0" w:line="228" w:lineRule="exact"/>
              <w:rPr>
                <w:sz w:val="20"/>
                <w:szCs w:val="20"/>
                <w:color w:val="auto"/>
              </w:rPr>
            </w:pPr>
            <w:r>
              <w:rPr>
                <w:rFonts w:ascii="Arial" w:cs="Arial" w:eastAsia="Arial" w:hAnsi="Arial"/>
                <w:sz w:val="20"/>
                <w:szCs w:val="20"/>
                <w:b w:val="1"/>
                <w:bCs w:val="1"/>
                <w:color w:val="auto"/>
              </w:rPr>
              <w:t>6,225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
              <w:spacing w:after="0" w:line="228" w:lineRule="exact"/>
              <w:rPr>
                <w:sz w:val="20"/>
                <w:szCs w:val="20"/>
                <w:color w:val="auto"/>
              </w:rPr>
            </w:pPr>
            <w:r>
              <w:rPr>
                <w:rFonts w:ascii="Arial" w:cs="Arial" w:eastAsia="Arial" w:hAnsi="Arial"/>
                <w:sz w:val="20"/>
                <w:szCs w:val="20"/>
                <w:b w:val="1"/>
                <w:bCs w:val="1"/>
                <w:color w:val="auto"/>
              </w:rPr>
              <w:t>6,890</w:t>
            </w: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Accrued expenses</w:t>
            </w:r>
          </w:p>
        </w:tc>
        <w:tc>
          <w:tcPr>
            <w:tcW w:w="34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20"/>
                <w:szCs w:val="20"/>
                <w:b w:val="1"/>
                <w:bCs w:val="1"/>
                <w:color w:val="auto"/>
              </w:rPr>
              <w:t>1,137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1,513</w:t>
            </w: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Stock-based compensation</w:t>
            </w:r>
          </w:p>
        </w:tc>
        <w:tc>
          <w:tcPr>
            <w:tcW w:w="34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20"/>
                <w:szCs w:val="20"/>
                <w:b w:val="1"/>
                <w:bCs w:val="1"/>
                <w:color w:val="auto"/>
              </w:rPr>
              <w:t>3,407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b w:val="1"/>
                <w:bCs w:val="1"/>
                <w:color w:val="auto"/>
              </w:rPr>
              <w:t>1,234</w:t>
            </w: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Operating lease liabilities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447</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574</w:t>
            </w:r>
          </w:p>
        </w:tc>
      </w:tr>
      <w:tr>
        <w:trPr>
          <w:trHeight w:val="220"/>
        </w:trPr>
        <w:tc>
          <w:tcPr>
            <w:tcW w:w="716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deferred tax assets</w:t>
            </w:r>
          </w:p>
        </w:tc>
        <w:tc>
          <w:tcPr>
            <w:tcW w:w="340" w:type="dxa"/>
            <w:vAlign w:val="bottom"/>
          </w:tcPr>
          <w:p>
            <w:pPr>
              <w:spacing w:after="0"/>
              <w:rPr>
                <w:sz w:val="19"/>
                <w:szCs w:val="19"/>
                <w:color w:val="auto"/>
              </w:rPr>
            </w:pPr>
          </w:p>
        </w:tc>
        <w:tc>
          <w:tcPr>
            <w:tcW w:w="122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105,136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
              <w:spacing w:after="0" w:line="220" w:lineRule="exact"/>
              <w:rPr>
                <w:sz w:val="20"/>
                <w:szCs w:val="20"/>
                <w:color w:val="auto"/>
              </w:rPr>
            </w:pPr>
            <w:r>
              <w:rPr>
                <w:rFonts w:ascii="Arial" w:cs="Arial" w:eastAsia="Arial" w:hAnsi="Arial"/>
                <w:sz w:val="20"/>
                <w:szCs w:val="20"/>
                <w:b w:val="1"/>
                <w:bCs w:val="1"/>
                <w:color w:val="auto"/>
              </w:rPr>
              <w:t>62,323</w:t>
            </w:r>
          </w:p>
        </w:tc>
      </w:tr>
      <w:tr>
        <w:trPr>
          <w:trHeight w:val="230"/>
        </w:trPr>
        <w:tc>
          <w:tcPr>
            <w:tcW w:w="7160" w:type="dxa"/>
            <w:vAlign w:val="bottom"/>
          </w:tcPr>
          <w:p>
            <w:pPr>
              <w:spacing w:after="0"/>
              <w:rPr>
                <w:sz w:val="20"/>
                <w:szCs w:val="20"/>
                <w:color w:val="auto"/>
              </w:rPr>
            </w:pPr>
            <w:r>
              <w:rPr>
                <w:rFonts w:ascii="Arial" w:cs="Arial" w:eastAsia="Arial" w:hAnsi="Arial"/>
                <w:sz w:val="20"/>
                <w:szCs w:val="20"/>
                <w:b w:val="1"/>
                <w:bCs w:val="1"/>
                <w:color w:val="auto"/>
              </w:rPr>
              <w:t>Valuation allowance</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(104,670)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(61,768)</w:t>
            </w:r>
          </w:p>
        </w:tc>
      </w:tr>
      <w:tr>
        <w:trPr>
          <w:trHeight w:val="220"/>
        </w:trPr>
        <w:tc>
          <w:tcPr>
            <w:tcW w:w="7160" w:type="dxa"/>
            <w:vAlign w:val="bottom"/>
          </w:tcPr>
          <w:p>
            <w:pPr>
              <w:spacing w:after="0" w:line="220" w:lineRule="exact"/>
              <w:rPr>
                <w:sz w:val="20"/>
                <w:szCs w:val="20"/>
                <w:color w:val="auto"/>
              </w:rPr>
            </w:pPr>
            <w:r>
              <w:rPr>
                <w:rFonts w:ascii="Arial" w:cs="Arial" w:eastAsia="Arial" w:hAnsi="Arial"/>
                <w:sz w:val="20"/>
                <w:szCs w:val="20"/>
                <w:b w:val="1"/>
                <w:bCs w:val="1"/>
                <w:color w:val="auto"/>
              </w:rPr>
              <w:t>Total deferred tax assets, net of valuation allowance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line="220" w:lineRule="exact"/>
              <w:rPr>
                <w:sz w:val="20"/>
                <w:szCs w:val="20"/>
                <w:color w:val="auto"/>
              </w:rPr>
            </w:pPr>
            <w:r>
              <w:rPr>
                <w:rFonts w:ascii="Arial" w:cs="Arial" w:eastAsia="Arial" w:hAnsi="Arial"/>
                <w:sz w:val="20"/>
                <w:szCs w:val="20"/>
                <w:b w:val="1"/>
                <w:bCs w:val="1"/>
                <w:color w:val="auto"/>
              </w:rPr>
              <w:t>466</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line="220" w:lineRule="exact"/>
              <w:rPr>
                <w:sz w:val="20"/>
                <w:szCs w:val="20"/>
                <w:color w:val="auto"/>
              </w:rPr>
            </w:pPr>
            <w:r>
              <w:rPr>
                <w:rFonts w:ascii="Arial" w:cs="Arial" w:eastAsia="Arial" w:hAnsi="Arial"/>
                <w:sz w:val="20"/>
                <w:szCs w:val="20"/>
                <w:b w:val="1"/>
                <w:bCs w:val="1"/>
                <w:color w:val="auto"/>
              </w:rPr>
              <w:t>555</w:t>
            </w:r>
          </w:p>
        </w:tc>
      </w:tr>
      <w:tr>
        <w:trPr>
          <w:trHeight w:val="220"/>
        </w:trPr>
        <w:tc>
          <w:tcPr>
            <w:tcW w:w="7160" w:type="dxa"/>
            <w:vAlign w:val="bottom"/>
          </w:tcPr>
          <w:p>
            <w:pPr>
              <w:spacing w:after="0" w:line="220" w:lineRule="exact"/>
              <w:rPr>
                <w:sz w:val="20"/>
                <w:szCs w:val="20"/>
                <w:color w:val="auto"/>
              </w:rPr>
            </w:pPr>
            <w:r>
              <w:rPr>
                <w:rFonts w:ascii="Arial" w:cs="Arial" w:eastAsia="Arial" w:hAnsi="Arial"/>
                <w:sz w:val="20"/>
                <w:szCs w:val="20"/>
                <w:b w:val="1"/>
                <w:bCs w:val="1"/>
                <w:color w:val="auto"/>
              </w:rPr>
              <w:t>Deferred tax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20"/>
                <w:szCs w:val="20"/>
                <w:b w:val="1"/>
                <w:bCs w:val="1"/>
                <w:color w:val="auto"/>
              </w:rPr>
              <w:t>Operating right-of-use assets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(418)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(527)</w:t>
            </w:r>
          </w:p>
        </w:tc>
      </w:tr>
      <w:tr>
        <w:trPr>
          <w:trHeight w:val="228"/>
        </w:trPr>
        <w:tc>
          <w:tcPr>
            <w:tcW w:w="71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Depreciation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(48)</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(28)</w:t>
            </w:r>
          </w:p>
        </w:tc>
      </w:tr>
      <w:tr>
        <w:trPr>
          <w:trHeight w:val="220"/>
        </w:trPr>
        <w:tc>
          <w:tcPr>
            <w:tcW w:w="716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(466)</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(555)</w:t>
            </w:r>
          </w:p>
        </w:tc>
      </w:tr>
      <w:tr>
        <w:trPr>
          <w:trHeight w:val="220"/>
        </w:trPr>
        <w:tc>
          <w:tcPr>
            <w:tcW w:w="7160" w:type="dxa"/>
            <w:vAlign w:val="bottom"/>
          </w:tcPr>
          <w:p>
            <w:pPr>
              <w:spacing w:after="0" w:line="220" w:lineRule="exact"/>
              <w:rPr>
                <w:sz w:val="20"/>
                <w:szCs w:val="20"/>
                <w:color w:val="auto"/>
              </w:rPr>
            </w:pPr>
            <w:r>
              <w:rPr>
                <w:rFonts w:ascii="Arial" w:cs="Arial" w:eastAsia="Arial" w:hAnsi="Arial"/>
                <w:sz w:val="20"/>
                <w:szCs w:val="20"/>
                <w:b w:val="1"/>
                <w:bCs w:val="1"/>
                <w:color w:val="auto"/>
              </w:rPr>
              <w:t>Net deferred tax assets</w:t>
            </w:r>
          </w:p>
        </w:tc>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auto"/>
                <w:w w:val="71"/>
              </w:rPr>
              <w:t>$</w:t>
            </w:r>
          </w:p>
        </w:tc>
        <w:tc>
          <w:tcPr>
            <w:tcW w:w="1220" w:type="dxa"/>
            <w:vAlign w:val="bottom"/>
          </w:tcPr>
          <w:p>
            <w:pPr>
              <w:jc w:val="right"/>
              <w:ind w:right="3"/>
              <w:spacing w:after="0" w:line="220" w:lineRule="exact"/>
              <w:rPr>
                <w:sz w:val="20"/>
                <w:szCs w:val="20"/>
                <w:color w:val="auto"/>
              </w:rPr>
            </w:pPr>
            <w:r>
              <w:rPr>
                <w:rFonts w:ascii="Arial" w:cs="Arial" w:eastAsia="Arial" w:hAnsi="Arial"/>
                <w:sz w:val="20"/>
                <w:szCs w:val="20"/>
                <w:b w:val="1"/>
                <w:bCs w:val="1"/>
                <w:color w:val="auto"/>
              </w:rPr>
              <w:t>—</w:t>
            </w:r>
          </w:p>
        </w:tc>
        <w:tc>
          <w:tcPr>
            <w:tcW w:w="620" w:type="dxa"/>
            <w:vAlign w:val="bottom"/>
            <w:gridSpan w:val="2"/>
          </w:tcPr>
          <w:p>
            <w:pPr>
              <w:jc w:val="right"/>
              <w:ind w:right="340"/>
              <w:spacing w:after="0" w:line="220"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2"/>
              <w:spacing w:after="0" w:line="220" w:lineRule="exact"/>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-2385695</wp:posOffset>
            </wp:positionV>
            <wp:extent cx="6663690" cy="2430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59">
                      <a:extLst>
                        <a:ext uri="{28A0092B-C50C-407E-A947-70E740481C1C}"/>
                      </a:extLst>
                    </a:blip>
                    <a:srcRect/>
                    <a:stretch>
                      <a:fillRect/>
                    </a:stretch>
                  </pic:blipFill>
                  <pic:spPr bwMode="auto">
                    <a:xfrm>
                      <a:off x="0" y="0"/>
                      <a:ext cx="6663690" cy="243014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Company's income tax provision for the twelve months ended December 31, 2024 related to state and foreign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2024, the valuation allowance increased by $42.9 million primarily due to the increase in the Company’s net operating loss, capitalized expenditures and tax credit carryforwards during the period.</w:t>
      </w:r>
    </w:p>
    <w:p>
      <w:pPr>
        <w:spacing w:after="0" w:line="108"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As of December 31, 2024, the Company had $117.9 million and $133.8 million of federal and state operating loss carryforwards, respectively. Substantially all of the federal NOLs are not subject to expiration and the state NOLs begin to expire in 2037. These loss carryforwards are available to reduce future federal taxable income, if any. As of December 31, 2024, the</w:t>
      </w:r>
    </w:p>
    <w:p>
      <w:pPr>
        <w:sectPr>
          <w:pgSz w:w="12240" w:h="15840" w:orient="portrait"/>
          <w:cols w:equalWidth="0" w:num="1">
            <w:col w:w="10440"/>
          </w:cols>
          <w:pgMar w:left="900" w:top="960" w:right="900" w:bottom="181"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136</w:t>
      </w:r>
    </w:p>
    <w:p>
      <w:pPr>
        <w:sectPr>
          <w:pgSz w:w="12240" w:h="15840" w:orient="portrait"/>
          <w:cols w:equalWidth="0" w:num="1">
            <w:col w:w="10440"/>
          </w:cols>
          <w:pgMar w:left="900" w:top="960" w:right="900" w:bottom="181" w:gutter="0" w:footer="0" w:header="0"/>
          <w:type w:val="continuous"/>
        </w:sectPr>
      </w:pPr>
    </w:p>
    <w:bookmarkStart w:id="146" w:name="page147"/>
    <w:bookmarkEnd w:id="146"/>
    <w:p>
      <w:pPr>
        <w:jc w:val="both"/>
        <w:ind w:left="7"/>
        <w:spacing w:after="0" w:line="235" w:lineRule="auto"/>
        <w:rPr>
          <w:sz w:val="20"/>
          <w:szCs w:val="20"/>
          <w:color w:val="auto"/>
        </w:rPr>
      </w:pPr>
      <w:r>
        <w:rPr>
          <w:rFonts w:ascii="Arial" w:cs="Arial" w:eastAsia="Arial" w:hAnsi="Arial"/>
          <w:sz w:val="20"/>
          <w:szCs w:val="20"/>
          <w:b w:val="1"/>
          <w:bCs w:val="1"/>
          <w:color w:val="auto"/>
        </w:rPr>
        <w:t>Company also had federal and state research and development tax credit carryforwards of $19.0 million and $2.8 million respectively, to offset future income taxes, which will begin to expire in December 2034. These loss carryforwards are subject to review and possible adjustment by the appropriate taxing authorities.</w:t>
      </w:r>
    </w:p>
    <w:p>
      <w:pPr>
        <w:spacing w:after="0" w:line="133" w:lineRule="exact"/>
        <w:rPr>
          <w:sz w:val="20"/>
          <w:szCs w:val="20"/>
          <w:color w:val="auto"/>
        </w:rPr>
      </w:pPr>
    </w:p>
    <w:p>
      <w:pPr>
        <w:jc w:val="both"/>
        <w:ind w:left="7" w:firstLine="490"/>
        <w:spacing w:after="0" w:line="320" w:lineRule="auto"/>
        <w:rPr>
          <w:sz w:val="20"/>
          <w:szCs w:val="20"/>
          <w:color w:val="auto"/>
        </w:rPr>
      </w:pPr>
      <w:r>
        <w:rPr>
          <w:rFonts w:ascii="Arial" w:cs="Arial" w:eastAsia="Arial" w:hAnsi="Arial"/>
          <w:sz w:val="15"/>
          <w:szCs w:val="15"/>
          <w:b w:val="1"/>
          <w:bCs w:val="1"/>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w:t>
      </w:r>
    </w:p>
    <w:p>
      <w:pPr>
        <w:spacing w:after="0" w:line="1" w:lineRule="exact"/>
        <w:rPr>
          <w:sz w:val="20"/>
          <w:szCs w:val="20"/>
          <w:color w:val="auto"/>
        </w:rPr>
      </w:pPr>
    </w:p>
    <w:p>
      <w:pPr>
        <w:jc w:val="both"/>
        <w:ind w:left="7" w:hanging="7"/>
        <w:spacing w:after="0" w:line="237" w:lineRule="auto"/>
        <w:tabs>
          <w:tab w:leader="none" w:pos="41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has not yet conducted an analysis under Section 382 to determine if historical changes in ownership through December 31, 2024, would limit or otherwise restrict its ability to utilize its NOL and research and development credit carryforwards. In addition, future changes in ownership occurring after December 31, 2024 could affect the limitation in future years, and any limitation may result in expiration of a portion of the NOL or research and development credit carryforwards before utilization.</w:t>
      </w:r>
    </w:p>
    <w:p>
      <w:pPr>
        <w:spacing w:after="0" w:line="134" w:lineRule="exact"/>
        <w:rPr>
          <w:sz w:val="20"/>
          <w:szCs w:val="20"/>
          <w:color w:val="auto"/>
        </w:rPr>
      </w:pPr>
    </w:p>
    <w:p>
      <w:pPr>
        <w:jc w:val="both"/>
        <w:ind w:left="7" w:firstLine="490"/>
        <w:spacing w:after="0" w:line="269" w:lineRule="auto"/>
        <w:rPr>
          <w:sz w:val="20"/>
          <w:szCs w:val="20"/>
          <w:color w:val="auto"/>
        </w:rPr>
      </w:pPr>
      <w:r>
        <w:rPr>
          <w:rFonts w:ascii="Arial" w:cs="Arial" w:eastAsia="Arial" w:hAnsi="Arial"/>
          <w:sz w:val="18"/>
          <w:szCs w:val="18"/>
          <w:b w:val="1"/>
          <w:bCs w:val="1"/>
          <w:color w:val="auto"/>
        </w:rPr>
        <w:t>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108" w:lineRule="exact"/>
        <w:rPr>
          <w:sz w:val="20"/>
          <w:szCs w:val="20"/>
          <w:color w:val="auto"/>
        </w:rPr>
      </w:pPr>
    </w:p>
    <w:p>
      <w:pPr>
        <w:jc w:val="both"/>
        <w:ind w:left="7" w:firstLine="490"/>
        <w:spacing w:after="0" w:line="289" w:lineRule="auto"/>
        <w:rPr>
          <w:sz w:val="20"/>
          <w:szCs w:val="20"/>
          <w:color w:val="auto"/>
        </w:rPr>
      </w:pPr>
      <w:r>
        <w:rPr>
          <w:rFonts w:ascii="Arial" w:cs="Arial" w:eastAsia="Arial" w:hAnsi="Arial"/>
          <w:sz w:val="17"/>
          <w:szCs w:val="17"/>
          <w:b w:val="1"/>
          <w:bCs w:val="1"/>
          <w:color w:val="auto"/>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spacing w:after="0" w:line="93" w:lineRule="exact"/>
        <w:rPr>
          <w:sz w:val="20"/>
          <w:szCs w:val="20"/>
          <w:color w:val="auto"/>
        </w:rPr>
      </w:pPr>
    </w:p>
    <w:p>
      <w:pPr>
        <w:jc w:val="both"/>
        <w:ind w:left="7" w:firstLine="490"/>
        <w:spacing w:after="0" w:line="329" w:lineRule="auto"/>
        <w:rPr>
          <w:sz w:val="20"/>
          <w:szCs w:val="20"/>
          <w:color w:val="auto"/>
        </w:rPr>
      </w:pPr>
      <w:r>
        <w:rPr>
          <w:rFonts w:ascii="Arial" w:cs="Arial" w:eastAsia="Arial" w:hAnsi="Arial"/>
          <w:sz w:val="15"/>
          <w:szCs w:val="15"/>
          <w:b w:val="1"/>
          <w:bCs w:val="1"/>
          <w:color w:val="auto"/>
        </w:rPr>
        <w:t>The Company follows the provisions of ASC Topic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2024 and 2023,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2024 and 2023, the Company had no reserves for uncertain tax positions. For the years ended December 31, 2024 and 2023, no estimated interest or penalties were recognized on uncertain tax positions.</w:t>
      </w:r>
    </w:p>
    <w:p>
      <w:pPr>
        <w:spacing w:after="0" w:line="69" w:lineRule="exact"/>
        <w:rPr>
          <w:sz w:val="20"/>
          <w:szCs w:val="20"/>
          <w:color w:val="auto"/>
        </w:rPr>
      </w:pPr>
    </w:p>
    <w:p>
      <w:pPr>
        <w:jc w:val="both"/>
        <w:ind w:left="7" w:firstLine="490"/>
        <w:spacing w:after="0" w:line="296" w:lineRule="auto"/>
        <w:rPr>
          <w:sz w:val="20"/>
          <w:szCs w:val="20"/>
          <w:color w:val="auto"/>
        </w:rPr>
      </w:pPr>
      <w:r>
        <w:rPr>
          <w:rFonts w:ascii="Arial" w:cs="Arial" w:eastAsia="Arial" w:hAnsi="Arial"/>
          <w:sz w:val="17"/>
          <w:szCs w:val="17"/>
          <w:b w:val="1"/>
          <w:bCs w:val="1"/>
          <w:color w:val="auto"/>
        </w:rPr>
        <w:t>The Company files federal income tax returns in the United States, the Netherlands and Australia and state income tax returns in Massachusetts and various other state jurisdictions. The Company’s tax returns for the years ended December 31, 2019 to December 31, 2024 remain open and subject to examination by the Internal Revenue Service and state taxing authorities.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14. Net Loss Per Share</w:t>
      </w:r>
    </w:p>
    <w:p>
      <w:pPr>
        <w:spacing w:after="0" w:line="131" w:lineRule="exact"/>
        <w:rPr>
          <w:sz w:val="20"/>
          <w:szCs w:val="20"/>
          <w:color w:val="auto"/>
        </w:rPr>
      </w:pPr>
    </w:p>
    <w:p>
      <w:pPr>
        <w:jc w:val="both"/>
        <w:ind w:left="7" w:firstLine="490"/>
        <w:spacing w:after="0" w:line="330" w:lineRule="auto"/>
        <w:rPr>
          <w:sz w:val="20"/>
          <w:szCs w:val="20"/>
          <w:color w:val="auto"/>
        </w:rPr>
      </w:pPr>
      <w:r>
        <w:rPr>
          <w:rFonts w:ascii="Arial" w:cs="Arial" w:eastAsia="Arial" w:hAnsi="Arial"/>
          <w:sz w:val="15"/>
          <w:szCs w:val="15"/>
          <w:b w:val="1"/>
          <w:bCs w:val="1"/>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September 2023, 1,229,224 of the pre-funded warrants were exercised in a cashless transaction which resulted in 1,229,221 shares of common stock being issued to the investor. As of December 31, 2024, 204,081 pre-funded warrants were outstanding. The following table sets forth the computation of the Company’s basic and diluted net loss per share (in thousands, except share and per share data):</w:t>
      </w:r>
    </w:p>
    <w:p>
      <w:pPr>
        <w:spacing w:after="0" w:line="74" w:lineRule="exact"/>
        <w:rPr>
          <w:sz w:val="20"/>
          <w:szCs w:val="20"/>
          <w:color w:val="auto"/>
        </w:rPr>
      </w:pPr>
    </w:p>
    <w:p>
      <w:pPr>
        <w:ind w:left="8327"/>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287"/>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4540885</wp:posOffset>
                </wp:positionH>
                <wp:positionV relativeFrom="paragraph">
                  <wp:posOffset>2540</wp:posOffset>
                </wp:positionV>
                <wp:extent cx="2097405"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740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5pt,0.2pt" to="522.7pt,0.2pt" o:allowincell="f" strokecolor="#000000" strokeweight="0.6pt"/>
            </w:pict>
          </mc:Fallback>
        </mc:AlternateContent>
      </w:r>
    </w:p>
    <w:p>
      <w:pPr>
        <w:spacing w:after="0" w:line="26"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85"/>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8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
        </w:trPr>
        <w:tc>
          <w:tcPr>
            <w:tcW w:w="7140" w:type="dxa"/>
            <w:vAlign w:val="bottom"/>
            <w:vMerge w:val="restart"/>
          </w:tcPr>
          <w:p>
            <w:pPr>
              <w:spacing w:after="0"/>
              <w:rPr>
                <w:sz w:val="20"/>
                <w:szCs w:val="20"/>
                <w:color w:val="auto"/>
              </w:rPr>
            </w:pPr>
            <w:r>
              <w:rPr>
                <w:rFonts w:ascii="Arial" w:cs="Arial" w:eastAsia="Arial" w:hAnsi="Arial"/>
                <w:sz w:val="20"/>
                <w:szCs w:val="20"/>
                <w:b w:val="1"/>
                <w:bCs w:val="1"/>
                <w:color w:val="auto"/>
              </w:rPr>
              <w:t>Numerator:</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7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40" w:type="dxa"/>
            <w:vAlign w:val="bottom"/>
          </w:tcPr>
          <w:p>
            <w:pPr>
              <w:ind w:left="200"/>
              <w:spacing w:after="0"/>
              <w:rPr>
                <w:sz w:val="20"/>
                <w:szCs w:val="20"/>
                <w:color w:val="auto"/>
              </w:rPr>
            </w:pPr>
            <w:r>
              <w:rPr>
                <w:rFonts w:ascii="Arial" w:cs="Arial" w:eastAsia="Arial" w:hAnsi="Arial"/>
                <w:sz w:val="20"/>
                <w:szCs w:val="20"/>
                <w:b w:val="1"/>
                <w:bCs w:val="1"/>
                <w:color w:val="auto"/>
              </w:rPr>
              <w:t>Net loss</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(109,357)</w:t>
            </w:r>
          </w:p>
        </w:tc>
        <w:tc>
          <w:tcPr>
            <w:tcW w:w="50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highlight w:val="white"/>
              </w:rPr>
              <w:t>)</w:t>
            </w:r>
          </w:p>
        </w:tc>
        <w:tc>
          <w:tcPr>
            <w:tcW w:w="0" w:type="dxa"/>
            <w:vAlign w:val="bottom"/>
          </w:tcPr>
          <w:p>
            <w:pPr>
              <w:spacing w:after="0"/>
              <w:rPr>
                <w:sz w:val="1"/>
                <w:szCs w:val="1"/>
                <w:color w:val="auto"/>
              </w:rPr>
            </w:pPr>
          </w:p>
        </w:tc>
      </w:tr>
      <w:tr>
        <w:trPr>
          <w:trHeight w:val="245"/>
        </w:trPr>
        <w:tc>
          <w:tcPr>
            <w:tcW w:w="7140" w:type="dxa"/>
            <w:vAlign w:val="bottom"/>
          </w:tcPr>
          <w:p>
            <w:pPr>
              <w:spacing w:after="0"/>
              <w:rPr>
                <w:sz w:val="20"/>
                <w:szCs w:val="20"/>
                <w:color w:val="auto"/>
              </w:rPr>
            </w:pPr>
            <w:r>
              <w:rPr>
                <w:rFonts w:ascii="Arial" w:cs="Arial" w:eastAsia="Arial" w:hAnsi="Arial"/>
                <w:sz w:val="20"/>
                <w:szCs w:val="20"/>
                <w:b w:val="1"/>
                <w:bCs w:val="1"/>
                <w:color w:val="auto"/>
              </w:rPr>
              <w:t>Denominator:</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140" w:type="dxa"/>
            <w:vAlign w:val="bottom"/>
          </w:tcPr>
          <w:p>
            <w:pPr>
              <w:ind w:left="200"/>
              <w:spacing w:after="0"/>
              <w:rPr>
                <w:sz w:val="20"/>
                <w:szCs w:val="20"/>
                <w:color w:val="auto"/>
              </w:rPr>
            </w:pPr>
            <w:r>
              <w:rPr>
                <w:rFonts w:ascii="Arial" w:cs="Arial" w:eastAsia="Arial" w:hAnsi="Arial"/>
                <w:sz w:val="20"/>
                <w:szCs w:val="20"/>
                <w:b w:val="1"/>
                <w:bCs w:val="1"/>
                <w:color w:val="auto"/>
              </w:rPr>
              <w:t>Weighted-average common shares outstanding, basic and diluted</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b w:val="1"/>
                <w:bCs w:val="1"/>
                <w:color w:val="auto"/>
              </w:rPr>
              <w:t>27,606,022</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b w:val="1"/>
                <w:bCs w:val="1"/>
                <w:color w:val="auto"/>
              </w:rPr>
              <w:t>22,315,877</w:t>
            </w:r>
          </w:p>
        </w:tc>
        <w:tc>
          <w:tcPr>
            <w:tcW w:w="0" w:type="dxa"/>
            <w:vAlign w:val="bottom"/>
          </w:tcPr>
          <w:p>
            <w:pPr>
              <w:spacing w:after="0"/>
              <w:rPr>
                <w:sz w:val="1"/>
                <w:szCs w:val="1"/>
                <w:color w:val="auto"/>
              </w:rPr>
            </w:pPr>
          </w:p>
        </w:tc>
      </w:tr>
      <w:tr>
        <w:trPr>
          <w:trHeight w:val="234"/>
        </w:trPr>
        <w:tc>
          <w:tcPr>
            <w:tcW w:w="7140" w:type="dxa"/>
            <w:vAlign w:val="bottom"/>
          </w:tcPr>
          <w:p>
            <w:pPr>
              <w:ind w:left="200"/>
              <w:spacing w:after="0"/>
              <w:rPr>
                <w:sz w:val="20"/>
                <w:szCs w:val="20"/>
                <w:color w:val="auto"/>
              </w:rPr>
            </w:pPr>
            <w:r>
              <w:rPr>
                <w:rFonts w:ascii="Arial" w:cs="Arial" w:eastAsia="Arial" w:hAnsi="Arial"/>
                <w:sz w:val="20"/>
                <w:szCs w:val="20"/>
                <w:b w:val="1"/>
                <w:bCs w:val="1"/>
                <w:color w:val="auto"/>
              </w:rPr>
              <w:t>Net loss per share, basic and diluted</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(3.96)</w:t>
            </w:r>
          </w:p>
        </w:tc>
        <w:tc>
          <w:tcPr>
            <w:tcW w:w="50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(3.42</w:t>
            </w:r>
            <w:r>
              <w:rPr>
                <w:rFonts w:ascii="Arial" w:cs="Arial" w:eastAsia="Arial" w:hAnsi="Arial"/>
                <w:sz w:val="20"/>
                <w:szCs w:val="20"/>
                <w:b w:val="1"/>
                <w:bCs w:val="1"/>
                <w:color w:val="auto"/>
                <w:shd w:val="clear" w:color="auto" w:fill="E1E1E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-800735</wp:posOffset>
            </wp:positionV>
            <wp:extent cx="6663690" cy="8439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0">
                      <a:extLst>
                        <a:ext uri="{28A0092B-C50C-407E-A947-70E740481C1C}"/>
                      </a:extLst>
                    </a:blip>
                    <a:srcRect/>
                    <a:stretch>
                      <a:fillRect/>
                    </a:stretch>
                  </pic:blipFill>
                  <pic:spPr bwMode="auto">
                    <a:xfrm>
                      <a:off x="0" y="0"/>
                      <a:ext cx="6663690" cy="843915"/>
                    </a:xfrm>
                    <a:prstGeom prst="rect">
                      <a:avLst/>
                    </a:prstGeom>
                    <a:noFill/>
                  </pic:spPr>
                </pic:pic>
              </a:graphicData>
            </a:graphic>
          </wp:anchor>
        </w:drawing>
      </w:r>
    </w:p>
    <w:p>
      <w:pPr>
        <w:sectPr>
          <w:pgSz w:w="12240" w:h="15840" w:orient="portrait"/>
          <w:cols w:equalWidth="0" w:num="1">
            <w:col w:w="10447"/>
          </w:cols>
          <w:pgMar w:left="893"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137</w:t>
      </w:r>
    </w:p>
    <w:p>
      <w:pPr>
        <w:sectPr>
          <w:pgSz w:w="12240" w:h="15840" w:orient="portrait"/>
          <w:cols w:equalWidth="0" w:num="1">
            <w:col w:w="10447"/>
          </w:cols>
          <w:pgMar w:left="893" w:top="960" w:right="900" w:bottom="181" w:gutter="0" w:footer="0" w:header="0"/>
          <w:type w:val="continuous"/>
        </w:sectPr>
      </w:pPr>
    </w:p>
    <w:bookmarkStart w:id="147" w:name="page148"/>
    <w:bookmarkEnd w:id="147"/>
    <w:p>
      <w:pPr>
        <w:jc w:val="both"/>
        <w:ind w:firstLine="490"/>
        <w:spacing w:after="0" w:line="351" w:lineRule="auto"/>
        <w:rPr>
          <w:sz w:val="20"/>
          <w:szCs w:val="20"/>
          <w:color w:val="auto"/>
        </w:rPr>
      </w:pPr>
      <w:r>
        <w:rPr>
          <w:rFonts w:ascii="Arial" w:cs="Arial" w:eastAsia="Arial" w:hAnsi="Arial"/>
          <w:sz w:val="15"/>
          <w:szCs w:val="15"/>
          <w:b w:val="1"/>
          <w:bCs w:val="1"/>
          <w:color w:val="auto"/>
        </w:rPr>
        <w:t>The Company has generated a net loss in all periods presented, so the basic and diluted net loss per share are the same, as the inclusion of the potentially dilutive securities would be anti-dilutive. The Company excluded the following potential common shares from the computation of diluted net loss per share because including them would have had an anti-dilutive effect: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20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w w:val="99"/>
              </w:rPr>
              <w:t>December 31,</w:t>
            </w:r>
          </w:p>
        </w:tc>
        <w:tc>
          <w:tcPr>
            <w:tcW w:w="1140" w:type="dxa"/>
            <w:vAlign w:val="bottom"/>
            <w:tcBorders>
              <w:bottom w:val="single" w:sz="8" w:color="auto"/>
            </w:tcBorders>
          </w:tcPr>
          <w:p>
            <w:pPr>
              <w:spacing w:after="0"/>
              <w:rPr>
                <w:sz w:val="16"/>
                <w:szCs w:val="16"/>
                <w:color w:val="auto"/>
              </w:rPr>
            </w:pPr>
          </w:p>
        </w:tc>
      </w:tr>
      <w:tr>
        <w:trPr>
          <w:trHeight w:val="189"/>
        </w:trPr>
        <w:tc>
          <w:tcPr>
            <w:tcW w:w="7100" w:type="dxa"/>
            <w:vAlign w:val="bottom"/>
          </w:tcPr>
          <w:p>
            <w:pPr>
              <w:spacing w:after="0"/>
              <w:rPr>
                <w:sz w:val="16"/>
                <w:szCs w:val="16"/>
                <w:color w:val="auto"/>
              </w:rPr>
            </w:pPr>
          </w:p>
        </w:tc>
        <w:tc>
          <w:tcPr>
            <w:tcW w:w="1600" w:type="dxa"/>
            <w:vAlign w:val="bottom"/>
            <w:tcBorders>
              <w:bottom w:val="single" w:sz="8" w:color="auto"/>
            </w:tcBorders>
          </w:tcPr>
          <w:p>
            <w:pPr>
              <w:jc w:val="right"/>
              <w:ind w:right="608"/>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b w:val="1"/>
                <w:bCs w:val="1"/>
                <w:color w:val="auto"/>
              </w:rPr>
              <w:t>2023</w:t>
            </w:r>
          </w:p>
        </w:tc>
      </w:tr>
      <w:tr>
        <w:trPr>
          <w:trHeight w:val="223"/>
        </w:trPr>
        <w:tc>
          <w:tcPr>
            <w:tcW w:w="7100" w:type="dxa"/>
            <w:vAlign w:val="bottom"/>
          </w:tcPr>
          <w:p>
            <w:pPr>
              <w:spacing w:after="0" w:line="223" w:lineRule="exact"/>
              <w:rPr>
                <w:sz w:val="20"/>
                <w:szCs w:val="20"/>
                <w:color w:val="auto"/>
              </w:rPr>
            </w:pPr>
            <w:r>
              <w:rPr>
                <w:rFonts w:ascii="Arial" w:cs="Arial" w:eastAsia="Arial" w:hAnsi="Arial"/>
                <w:sz w:val="20"/>
                <w:szCs w:val="20"/>
                <w:b w:val="1"/>
                <w:bCs w:val="1"/>
                <w:color w:val="auto"/>
              </w:rPr>
              <w:t>Restricted stock units</w:t>
            </w:r>
          </w:p>
        </w:tc>
        <w:tc>
          <w:tcPr>
            <w:tcW w:w="1600" w:type="dxa"/>
            <w:vAlign w:val="bottom"/>
          </w:tcPr>
          <w:p>
            <w:pPr>
              <w:jc w:val="right"/>
              <w:ind w:right="28"/>
              <w:spacing w:after="0" w:line="223" w:lineRule="exact"/>
              <w:rPr>
                <w:sz w:val="20"/>
                <w:szCs w:val="20"/>
                <w:color w:val="auto"/>
              </w:rPr>
            </w:pPr>
            <w:r>
              <w:rPr>
                <w:rFonts w:ascii="Arial" w:cs="Arial" w:eastAsia="Arial" w:hAnsi="Arial"/>
                <w:sz w:val="20"/>
                <w:szCs w:val="20"/>
                <w:b w:val="1"/>
                <w:bCs w:val="1"/>
                <w:color w:val="auto"/>
              </w:rPr>
              <w:t>475,140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25"/>
              <w:spacing w:after="0" w:line="223" w:lineRule="exact"/>
              <w:rPr>
                <w:sz w:val="20"/>
                <w:szCs w:val="20"/>
                <w:color w:val="auto"/>
              </w:rPr>
            </w:pPr>
            <w:r>
              <w:rPr>
                <w:rFonts w:ascii="Arial" w:cs="Arial" w:eastAsia="Arial" w:hAnsi="Arial"/>
                <w:sz w:val="20"/>
                <w:szCs w:val="20"/>
                <w:b w:val="1"/>
                <w:bCs w:val="1"/>
                <w:color w:val="auto"/>
              </w:rPr>
              <w:t>—</w:t>
            </w:r>
          </w:p>
        </w:tc>
      </w:tr>
      <w:tr>
        <w:trPr>
          <w:trHeight w:val="245"/>
        </w:trPr>
        <w:tc>
          <w:tcPr>
            <w:tcW w:w="7100" w:type="dxa"/>
            <w:vAlign w:val="bottom"/>
          </w:tcPr>
          <w:p>
            <w:pPr>
              <w:spacing w:after="0"/>
              <w:rPr>
                <w:sz w:val="20"/>
                <w:szCs w:val="20"/>
                <w:color w:val="auto"/>
              </w:rPr>
            </w:pPr>
            <w:r>
              <w:rPr>
                <w:rFonts w:ascii="Arial" w:cs="Arial" w:eastAsia="Arial" w:hAnsi="Arial"/>
                <w:sz w:val="20"/>
                <w:szCs w:val="20"/>
                <w:b w:val="1"/>
                <w:bCs w:val="1"/>
                <w:color w:val="auto"/>
              </w:rPr>
              <w:t>Options to purchase common stock</w:t>
            </w:r>
          </w:p>
        </w:tc>
        <w:tc>
          <w:tcPr>
            <w:tcW w:w="1600" w:type="dxa"/>
            <w:vAlign w:val="bottom"/>
          </w:tcPr>
          <w:p>
            <w:pPr>
              <w:jc w:val="right"/>
              <w:ind w:right="28"/>
              <w:spacing w:after="0"/>
              <w:rPr>
                <w:sz w:val="20"/>
                <w:szCs w:val="20"/>
                <w:color w:val="auto"/>
              </w:rPr>
            </w:pPr>
            <w:r>
              <w:rPr>
                <w:rFonts w:ascii="Arial" w:cs="Arial" w:eastAsia="Arial" w:hAnsi="Arial"/>
                <w:sz w:val="20"/>
                <w:szCs w:val="20"/>
                <w:b w:val="1"/>
                <w:bCs w:val="1"/>
                <w:color w:val="auto"/>
              </w:rPr>
              <w:t>2,870,364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25"/>
              <w:spacing w:after="0"/>
              <w:rPr>
                <w:sz w:val="20"/>
                <w:szCs w:val="20"/>
                <w:color w:val="auto"/>
              </w:rPr>
            </w:pPr>
            <w:r>
              <w:rPr>
                <w:rFonts w:ascii="Arial" w:cs="Arial" w:eastAsia="Arial" w:hAnsi="Arial"/>
                <w:sz w:val="20"/>
                <w:szCs w:val="20"/>
                <w:b w:val="1"/>
                <w:bCs w:val="1"/>
                <w:color w:val="auto"/>
              </w:rPr>
              <w:t>2,459,037</w:t>
            </w:r>
          </w:p>
        </w:tc>
      </w:tr>
      <w:tr>
        <w:trPr>
          <w:trHeight w:val="242"/>
        </w:trPr>
        <w:tc>
          <w:tcPr>
            <w:tcW w:w="7100" w:type="dxa"/>
            <w:vAlign w:val="bottom"/>
          </w:tcPr>
          <w:p>
            <w:pPr>
              <w:spacing w:after="0"/>
              <w:rPr>
                <w:sz w:val="20"/>
                <w:szCs w:val="20"/>
                <w:color w:val="auto"/>
              </w:rPr>
            </w:pPr>
            <w:r>
              <w:rPr>
                <w:rFonts w:ascii="Arial" w:cs="Arial" w:eastAsia="Arial" w:hAnsi="Arial"/>
                <w:sz w:val="20"/>
                <w:szCs w:val="20"/>
                <w:b w:val="1"/>
                <w:bCs w:val="1"/>
                <w:color w:val="auto"/>
              </w:rPr>
              <w:t>Employee stock purchase program</w:t>
            </w:r>
          </w:p>
        </w:tc>
        <w:tc>
          <w:tcPr>
            <w:tcW w:w="1600" w:type="dxa"/>
            <w:vAlign w:val="bottom"/>
          </w:tcPr>
          <w:p>
            <w:pPr>
              <w:jc w:val="right"/>
              <w:ind w:right="28"/>
              <w:spacing w:after="0"/>
              <w:rPr>
                <w:sz w:val="20"/>
                <w:szCs w:val="20"/>
                <w:color w:val="auto"/>
              </w:rPr>
            </w:pPr>
            <w:r>
              <w:rPr>
                <w:rFonts w:ascii="Arial" w:cs="Arial" w:eastAsia="Arial" w:hAnsi="Arial"/>
                <w:sz w:val="20"/>
                <w:szCs w:val="20"/>
                <w:b w:val="1"/>
                <w:bCs w:val="1"/>
                <w:color w:val="auto"/>
              </w:rPr>
              <w:t>9,003</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25"/>
              <w:spacing w:after="0"/>
              <w:rPr>
                <w:sz w:val="20"/>
                <w:szCs w:val="20"/>
                <w:color w:val="auto"/>
              </w:rPr>
            </w:pPr>
            <w:r>
              <w:rPr>
                <w:rFonts w:ascii="Arial" w:cs="Arial" w:eastAsia="Arial" w:hAnsi="Arial"/>
                <w:sz w:val="20"/>
                <w:szCs w:val="20"/>
                <w:b w:val="1"/>
                <w:bCs w:val="1"/>
                <w:color w:val="auto"/>
              </w:rPr>
              <w:t>4,878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-476250</wp:posOffset>
            </wp:positionV>
            <wp:extent cx="6663690" cy="4914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1">
                      <a:extLst>
                        <a:ext uri="{28A0092B-C50C-407E-A947-70E740481C1C}"/>
                      </a:extLst>
                    </a:blip>
                    <a:srcRect/>
                    <a:stretch>
                      <a:fillRect/>
                    </a:stretch>
                  </pic:blipFill>
                  <pic:spPr bwMode="auto">
                    <a:xfrm>
                      <a:off x="0" y="0"/>
                      <a:ext cx="6663690" cy="4914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Commitments and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Agreements</w:t>
      </w:r>
    </w:p>
    <w:p>
      <w:pPr>
        <w:spacing w:after="0" w:line="12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The Company, from time to time, may be party to litigation arising in the ordinary course of business. The Company was not subject to any material legal proceedings during the years ended December 31, 2024 and 2023 and, to the best of its knowledge, no material legal proceedings are currently pending or threatened.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Upon Termination</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December 31, 2024, the Company has not recognized any amounts related to these contingencies as the amount and timing of such payments are not fixed and estimable.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Related Party Transactions</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June 2024, certain existing investors participated in the Company's underwritten offering (see Note 11 - Stockholders' Equity).</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 June 2023, an existing investor participated in the Company’s follow-on offering (see Note 11 - Stockholders' Equity).</w:t>
      </w:r>
    </w:p>
    <w:p>
      <w:pPr>
        <w:spacing w:after="0" w:line="15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12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February 2023, certain existing investors participated in the Company’s registered direct offering (see Note 11 - Stockholders' Equity).</w:t>
      </w:r>
    </w:p>
    <w:p>
      <w:pPr>
        <w:spacing w:after="0" w:line="13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landlord of the Company’s leased office space in Watertown, Massachusetts is a related party of the Company due to its equity ownership.</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Segment Information</w:t>
      </w:r>
    </w:p>
    <w:p>
      <w:pPr>
        <w:spacing w:after="0" w:line="129"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The Company manages its operations as a single operating segment for the purposes of assessing performance and making operating decisions, resulting in a single reportable segment. The Company has determined that its Chief Operating Decision Maker</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138</w:t>
      </w:r>
    </w:p>
    <w:p>
      <w:pPr>
        <w:sectPr>
          <w:pgSz w:w="12240" w:h="15840" w:orient="portrait"/>
          <w:cols w:equalWidth="0" w:num="1">
            <w:col w:w="10440"/>
          </w:cols>
          <w:pgMar w:left="900" w:top="960" w:right="900" w:bottom="181" w:gutter="0" w:footer="0" w:header="0"/>
          <w:type w:val="continuous"/>
        </w:sectPr>
      </w:pPr>
    </w:p>
    <w:bookmarkStart w:id="148" w:name="page149"/>
    <w:bookmarkEnd w:id="148"/>
    <w:p>
      <w:pPr>
        <w:jc w:val="both"/>
        <w:spacing w:after="0" w:line="233" w:lineRule="auto"/>
        <w:rPr>
          <w:sz w:val="20"/>
          <w:szCs w:val="20"/>
          <w:color w:val="auto"/>
        </w:rPr>
      </w:pPr>
      <w:r>
        <w:rPr>
          <w:rFonts w:ascii="Arial" w:cs="Arial" w:eastAsia="Arial" w:hAnsi="Arial"/>
          <w:sz w:val="20"/>
          <w:szCs w:val="20"/>
          <w:b w:val="1"/>
          <w:bCs w:val="1"/>
          <w:color w:val="auto"/>
        </w:rPr>
        <w:t>("CODM") is its Chief Executive Officer. The Company’s CODM reviews the Company’s financial information on a consolidated basis for purposes of allocating resources and assessing financial performance.</w:t>
      </w:r>
    </w:p>
    <w:p>
      <w:pPr>
        <w:spacing w:after="0" w:line="13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The Company has assembled a portfolio of clinical and preclinical product candidates that aim to modify fundamental biological pathways associated with the formation and function of red blood cells, specifically heme biosynthesis and iron homeostasis. The Company has not generated any revenue since its inception and does not expect to generate any revenue from the sale of products in the near future. The Company primarily incurs expenses in connection with the research and development of its product candidates as well as selling, general and administrative costs consisting of salaries and related costs for personnel in executive, finance, commercial, corporate and business development, and administrative functions, as well as legal, consulting, commercial planning, market research and professional fees.</w:t>
      </w:r>
    </w:p>
    <w:p>
      <w:pPr>
        <w:spacing w:after="0" w:line="9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key measure of segment profit or loss that the CODM uses to allocate resources and assess performance is the Company’s consolidated net loss, as reported on the consolidated statements of operations and comprehensive loss. In addition, the CODM is regularly provided the following significant segment expense categories which are reviewed against budgeted expectations to assist in resource allocation decision-making:</w:t>
      </w:r>
    </w:p>
    <w:p>
      <w:pPr>
        <w:spacing w:after="0" w:line="12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Year Ended</w:t>
      </w:r>
    </w:p>
    <w:p>
      <w:pPr>
        <w:ind w:left="7140"/>
        <w:spacing w:after="0" w:line="237" w:lineRule="auto"/>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3101340</wp:posOffset>
                </wp:positionH>
                <wp:positionV relativeFrom="paragraph">
                  <wp:posOffset>4445</wp:posOffset>
                </wp:positionV>
                <wp:extent cx="3532505"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3250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pt,0.35pt" to="522.35pt,0.35pt" o:allowincell="f" strokecolor="#000000" strokeweight="0.6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162"/>
              <w:spacing w:after="0"/>
              <w:rPr>
                <w:sz w:val="20"/>
                <w:szCs w:val="20"/>
                <w:color w:val="auto"/>
              </w:rPr>
            </w:pPr>
            <w:r>
              <w:rPr>
                <w:rFonts w:ascii="Arial" w:cs="Arial" w:eastAsia="Arial" w:hAnsi="Arial"/>
                <w:sz w:val="16"/>
                <w:szCs w:val="16"/>
                <w:b w:val="1"/>
                <w:bCs w:val="1"/>
                <w:color w:val="auto"/>
              </w:rPr>
              <w:t>2023</w:t>
            </w:r>
          </w:p>
        </w:tc>
      </w:tr>
      <w:tr>
        <w:trPr>
          <w:trHeight w:val="232"/>
        </w:trPr>
        <w:tc>
          <w:tcPr>
            <w:tcW w:w="4880" w:type="dxa"/>
            <w:vAlign w:val="bottom"/>
          </w:tcPr>
          <w:p>
            <w:pPr>
              <w:spacing w:after="0"/>
              <w:rPr>
                <w:sz w:val="20"/>
                <w:szCs w:val="20"/>
                <w:color w:val="auto"/>
              </w:rPr>
            </w:pPr>
            <w:r>
              <w:rPr>
                <w:rFonts w:ascii="Arial" w:cs="Arial" w:eastAsia="Arial" w:hAnsi="Arial"/>
                <w:sz w:val="20"/>
                <w:szCs w:val="20"/>
                <w:b w:val="1"/>
                <w:bCs w:val="1"/>
                <w:color w:val="auto"/>
              </w:rPr>
              <w:t>Bitopertin program external expense</w:t>
            </w:r>
          </w:p>
        </w:tc>
        <w:tc>
          <w:tcPr>
            <w:tcW w:w="1680" w:type="dxa"/>
            <w:vAlign w:val="bottom"/>
          </w:tcPr>
          <w:p>
            <w:pPr>
              <w:jc w:val="right"/>
              <w:ind w:right="1484"/>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(28,105</w:t>
            </w:r>
            <w:r>
              <w:rPr>
                <w:rFonts w:ascii="Arial" w:cs="Arial" w:eastAsia="Arial" w:hAnsi="Arial"/>
                <w:sz w:val="20"/>
                <w:szCs w:val="20"/>
                <w:b w:val="1"/>
                <w:bCs w:val="1"/>
                <w:color w:val="auto"/>
                <w:shd w:val="clear" w:color="auto" w:fill="E1E1E1"/>
              </w:rPr>
              <w:t>)</w:t>
            </w:r>
          </w:p>
        </w:tc>
        <w:tc>
          <w:tcPr>
            <w:tcW w:w="74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w:t>
            </w: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(17,271</w:t>
            </w:r>
            <w:r>
              <w:rPr>
                <w:rFonts w:ascii="Arial" w:cs="Arial" w:eastAsia="Arial" w:hAnsi="Arial"/>
                <w:sz w:val="20"/>
                <w:szCs w:val="20"/>
                <w:b w:val="1"/>
                <w:bCs w:val="1"/>
                <w:color w:val="auto"/>
                <w:shd w:val="clear" w:color="auto" w:fill="E1E1E1"/>
              </w:rPr>
              <w:t>)</w:t>
            </w:r>
          </w:p>
        </w:tc>
      </w:tr>
      <w:tr>
        <w:trPr>
          <w:trHeight w:val="245"/>
        </w:trPr>
        <w:tc>
          <w:tcPr>
            <w:tcW w:w="4880" w:type="dxa"/>
            <w:vAlign w:val="bottom"/>
          </w:tcPr>
          <w:p>
            <w:pPr>
              <w:spacing w:after="0"/>
              <w:rPr>
                <w:sz w:val="20"/>
                <w:szCs w:val="20"/>
                <w:color w:val="auto"/>
              </w:rPr>
            </w:pPr>
            <w:r>
              <w:rPr>
                <w:rFonts w:ascii="Arial" w:cs="Arial" w:eastAsia="Arial" w:hAnsi="Arial"/>
                <w:sz w:val="20"/>
                <w:szCs w:val="20"/>
                <w:b w:val="1"/>
                <w:bCs w:val="1"/>
                <w:color w:val="auto"/>
              </w:rPr>
              <w:t>DISC-0974 program external expense</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(16,943</w:t>
            </w:r>
            <w:r>
              <w:rPr>
                <w:rFonts w:ascii="Arial" w:cs="Arial" w:eastAsia="Arial" w:hAnsi="Arial"/>
                <w:sz w:val="20"/>
                <w:szCs w:val="20"/>
                <w:b w:val="1"/>
                <w:bCs w:val="1"/>
                <w:color w:val="auto"/>
                <w:highlight w:val="white"/>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(9,136)</w:t>
            </w:r>
          </w:p>
        </w:tc>
      </w:tr>
      <w:tr>
        <w:trPr>
          <w:trHeight w:val="245"/>
        </w:trPr>
        <w:tc>
          <w:tcPr>
            <w:tcW w:w="4880" w:type="dxa"/>
            <w:vAlign w:val="bottom"/>
          </w:tcPr>
          <w:p>
            <w:pPr>
              <w:spacing w:after="0"/>
              <w:rPr>
                <w:sz w:val="20"/>
                <w:szCs w:val="20"/>
                <w:color w:val="auto"/>
              </w:rPr>
            </w:pPr>
            <w:r>
              <w:rPr>
                <w:rFonts w:ascii="Arial" w:cs="Arial" w:eastAsia="Arial" w:hAnsi="Arial"/>
                <w:sz w:val="20"/>
                <w:szCs w:val="20"/>
                <w:b w:val="1"/>
                <w:bCs w:val="1"/>
                <w:color w:val="auto"/>
              </w:rPr>
              <w:t>DISC-3405 program external expense</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(13,934</w:t>
            </w:r>
            <w:r>
              <w:rPr>
                <w:rFonts w:ascii="Arial" w:cs="Arial" w:eastAsia="Arial" w:hAnsi="Arial"/>
                <w:sz w:val="20"/>
                <w:szCs w:val="20"/>
                <w:b w:val="1"/>
                <w:bCs w:val="1"/>
                <w:color w:val="auto"/>
                <w:shd w:val="clear" w:color="auto" w:fill="E1E1E1"/>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(20,168</w:t>
            </w:r>
            <w:r>
              <w:rPr>
                <w:rFonts w:ascii="Arial" w:cs="Arial" w:eastAsia="Arial" w:hAnsi="Arial"/>
                <w:sz w:val="20"/>
                <w:szCs w:val="20"/>
                <w:b w:val="1"/>
                <w:bCs w:val="1"/>
                <w:color w:val="auto"/>
                <w:shd w:val="clear" w:color="auto" w:fill="E1E1E1"/>
              </w:rPr>
              <w:t>)</w:t>
            </w:r>
          </w:p>
        </w:tc>
      </w:tr>
      <w:tr>
        <w:trPr>
          <w:trHeight w:val="242"/>
        </w:trPr>
        <w:tc>
          <w:tcPr>
            <w:tcW w:w="4880" w:type="dxa"/>
            <w:vAlign w:val="bottom"/>
          </w:tcPr>
          <w:p>
            <w:pPr>
              <w:spacing w:after="0"/>
              <w:rPr>
                <w:sz w:val="20"/>
                <w:szCs w:val="20"/>
                <w:color w:val="auto"/>
              </w:rPr>
            </w:pPr>
            <w:r>
              <w:rPr>
                <w:rFonts w:ascii="Arial" w:cs="Arial" w:eastAsia="Arial" w:hAnsi="Arial"/>
                <w:sz w:val="20"/>
                <w:szCs w:val="20"/>
                <w:b w:val="1"/>
                <w:bCs w:val="1"/>
                <w:color w:val="auto"/>
              </w:rPr>
              <w:t>Other external research and development expense</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(6,879)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(4,752)</w:t>
            </w:r>
          </w:p>
        </w:tc>
      </w:tr>
      <w:tr>
        <w:trPr>
          <w:trHeight w:val="245"/>
        </w:trPr>
        <w:tc>
          <w:tcPr>
            <w:tcW w:w="4880" w:type="dxa"/>
            <w:vAlign w:val="bottom"/>
          </w:tcPr>
          <w:p>
            <w:pPr>
              <w:spacing w:after="0"/>
              <w:rPr>
                <w:sz w:val="20"/>
                <w:szCs w:val="20"/>
                <w:color w:val="auto"/>
              </w:rPr>
            </w:pPr>
            <w:r>
              <w:rPr>
                <w:rFonts w:ascii="Arial" w:cs="Arial" w:eastAsia="Arial" w:hAnsi="Arial"/>
                <w:sz w:val="20"/>
                <w:szCs w:val="20"/>
                <w:b w:val="1"/>
                <w:bCs w:val="1"/>
                <w:color w:val="auto"/>
                <w:w w:val="94"/>
              </w:rPr>
              <w:t>Internal and other research and development expense</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(23,782</w:t>
            </w:r>
            <w:r>
              <w:rPr>
                <w:rFonts w:ascii="Arial" w:cs="Arial" w:eastAsia="Arial" w:hAnsi="Arial"/>
                <w:sz w:val="20"/>
                <w:szCs w:val="20"/>
                <w:b w:val="1"/>
                <w:bCs w:val="1"/>
                <w:color w:val="auto"/>
                <w:shd w:val="clear" w:color="auto" w:fill="E1E1E1"/>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(16,170</w:t>
            </w:r>
            <w:r>
              <w:rPr>
                <w:rFonts w:ascii="Arial" w:cs="Arial" w:eastAsia="Arial" w:hAnsi="Arial"/>
                <w:sz w:val="20"/>
                <w:szCs w:val="20"/>
                <w:b w:val="1"/>
                <w:bCs w:val="1"/>
                <w:color w:val="auto"/>
                <w:shd w:val="clear" w:color="auto" w:fill="E1E1E1"/>
              </w:rPr>
              <w:t>)</w:t>
            </w:r>
          </w:p>
        </w:tc>
      </w:tr>
      <w:tr>
        <w:trPr>
          <w:trHeight w:val="487"/>
        </w:trPr>
        <w:tc>
          <w:tcPr>
            <w:tcW w:w="4880" w:type="dxa"/>
            <w:vAlign w:val="bottom"/>
          </w:tcPr>
          <w:p>
            <w:pPr>
              <w:spacing w:after="0"/>
              <w:rPr>
                <w:sz w:val="20"/>
                <w:szCs w:val="20"/>
                <w:color w:val="auto"/>
              </w:rPr>
            </w:pPr>
            <w:r>
              <w:rPr>
                <w:rFonts w:ascii="Arial" w:cs="Arial" w:eastAsia="Arial" w:hAnsi="Arial"/>
                <w:sz w:val="20"/>
                <w:szCs w:val="20"/>
                <w:b w:val="1"/>
                <w:bCs w:val="1"/>
                <w:color w:val="auto"/>
              </w:rPr>
              <w:t>Selling, general and administrative expense</w:t>
            </w:r>
          </w:p>
        </w:tc>
        <w:tc>
          <w:tcPr>
            <w:tcW w:w="1680" w:type="dxa"/>
            <w:vAlign w:val="bottom"/>
          </w:tcPr>
          <w:p>
            <w:pPr>
              <w:jc w:val="right"/>
              <w:ind w:right="1484"/>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(23,262</w:t>
            </w:r>
            <w:r>
              <w:rPr>
                <w:rFonts w:ascii="Arial" w:cs="Arial" w:eastAsia="Arial" w:hAnsi="Arial"/>
                <w:sz w:val="20"/>
                <w:szCs w:val="20"/>
                <w:b w:val="1"/>
                <w:bCs w:val="1"/>
                <w:color w:val="auto"/>
                <w:shd w:val="clear" w:color="auto" w:fill="E1E1E1"/>
              </w:rPr>
              <w:t>)</w:t>
            </w:r>
          </w:p>
        </w:tc>
        <w:tc>
          <w:tcPr>
            <w:tcW w:w="74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w:t>
            </w: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(18,098</w:t>
            </w:r>
            <w:r>
              <w:rPr>
                <w:rFonts w:ascii="Arial" w:cs="Arial" w:eastAsia="Arial" w:hAnsi="Arial"/>
                <w:sz w:val="20"/>
                <w:szCs w:val="20"/>
                <w:b w:val="1"/>
                <w:bCs w:val="1"/>
                <w:color w:val="auto"/>
                <w:shd w:val="clear" w:color="auto" w:fill="E1E1E1"/>
              </w:rPr>
              <w:t>)</w:t>
            </w:r>
          </w:p>
        </w:tc>
      </w:tr>
      <w:tr>
        <w:trPr>
          <w:trHeight w:val="490"/>
        </w:trPr>
        <w:tc>
          <w:tcPr>
            <w:tcW w:w="4880" w:type="dxa"/>
            <w:vAlign w:val="bottom"/>
          </w:tcPr>
          <w:p>
            <w:pPr>
              <w:spacing w:after="0"/>
              <w:rPr>
                <w:sz w:val="20"/>
                <w:szCs w:val="20"/>
                <w:color w:val="auto"/>
              </w:rPr>
            </w:pPr>
            <w:r>
              <w:rPr>
                <w:rFonts w:ascii="Arial" w:cs="Arial" w:eastAsia="Arial" w:hAnsi="Arial"/>
                <w:sz w:val="20"/>
                <w:szCs w:val="20"/>
                <w:b w:val="1"/>
                <w:bCs w:val="1"/>
                <w:color w:val="auto"/>
              </w:rPr>
              <w:t>Stock-based compensation expense</w:t>
            </w:r>
          </w:p>
        </w:tc>
        <w:tc>
          <w:tcPr>
            <w:tcW w:w="1680" w:type="dxa"/>
            <w:vAlign w:val="bottom"/>
          </w:tcPr>
          <w:p>
            <w:pPr>
              <w:jc w:val="right"/>
              <w:ind w:right="1484"/>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(16,815</w:t>
            </w:r>
            <w:r>
              <w:rPr>
                <w:rFonts w:ascii="Arial" w:cs="Arial" w:eastAsia="Arial" w:hAnsi="Arial"/>
                <w:sz w:val="20"/>
                <w:szCs w:val="20"/>
                <w:b w:val="1"/>
                <w:bCs w:val="1"/>
                <w:color w:val="auto"/>
                <w:shd w:val="clear" w:color="auto" w:fill="E1E1E1"/>
              </w:rPr>
              <w:t>)</w:t>
            </w:r>
          </w:p>
        </w:tc>
        <w:tc>
          <w:tcPr>
            <w:tcW w:w="74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w:t>
            </w: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(5,530)</w:t>
            </w:r>
          </w:p>
        </w:tc>
      </w:tr>
      <w:tr>
        <w:trPr>
          <w:trHeight w:val="487"/>
        </w:trPr>
        <w:tc>
          <w:tcPr>
            <w:tcW w:w="4880" w:type="dxa"/>
            <w:vAlign w:val="bottom"/>
          </w:tcPr>
          <w:p>
            <w:pPr>
              <w:spacing w:after="0"/>
              <w:rPr>
                <w:sz w:val="20"/>
                <w:szCs w:val="20"/>
                <w:color w:val="auto"/>
              </w:rPr>
            </w:pPr>
            <w:r>
              <w:rPr>
                <w:rFonts w:ascii="Arial" w:cs="Arial" w:eastAsia="Arial" w:hAnsi="Arial"/>
                <w:sz w:val="20"/>
                <w:szCs w:val="20"/>
                <w:b w:val="1"/>
                <w:bCs w:val="1"/>
                <w:color w:val="auto"/>
              </w:rPr>
              <w:t>Other segment items*</w:t>
            </w:r>
          </w:p>
        </w:tc>
        <w:tc>
          <w:tcPr>
            <w:tcW w:w="1680" w:type="dxa"/>
            <w:vAlign w:val="bottom"/>
          </w:tcPr>
          <w:p>
            <w:pPr>
              <w:jc w:val="right"/>
              <w:ind w:right="1484"/>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20"/>
                <w:szCs w:val="20"/>
                <w:b w:val="1"/>
                <w:bCs w:val="1"/>
                <w:color w:val="auto"/>
              </w:rPr>
              <w:t>20,363</w:t>
            </w:r>
          </w:p>
        </w:tc>
        <w:tc>
          <w:tcPr>
            <w:tcW w:w="74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w:t>
            </w:r>
          </w:p>
        </w:tc>
        <w:tc>
          <w:tcPr>
            <w:tcW w:w="2100" w:type="dxa"/>
            <w:vAlign w:val="bottom"/>
          </w:tcPr>
          <w:p>
            <w:pPr>
              <w:jc w:val="right"/>
              <w:ind w:right="22"/>
              <w:spacing w:after="0"/>
              <w:rPr>
                <w:sz w:val="20"/>
                <w:szCs w:val="20"/>
                <w:color w:val="auto"/>
              </w:rPr>
            </w:pPr>
            <w:r>
              <w:rPr>
                <w:rFonts w:ascii="Arial" w:cs="Arial" w:eastAsia="Arial" w:hAnsi="Arial"/>
                <w:sz w:val="20"/>
                <w:szCs w:val="20"/>
                <w:b w:val="1"/>
                <w:bCs w:val="1"/>
                <w:color w:val="auto"/>
              </w:rPr>
              <w:t>14,696</w:t>
            </w:r>
          </w:p>
        </w:tc>
      </w:tr>
      <w:tr>
        <w:trPr>
          <w:trHeight w:val="245"/>
        </w:trPr>
        <w:tc>
          <w:tcPr>
            <w:tcW w:w="488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r>
      <w:tr>
        <w:trPr>
          <w:trHeight w:val="232"/>
        </w:trPr>
        <w:tc>
          <w:tcPr>
            <w:tcW w:w="488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680" w:type="dxa"/>
            <w:vAlign w:val="bottom"/>
          </w:tcPr>
          <w:p>
            <w:pPr>
              <w:jc w:val="right"/>
              <w:ind w:right="1484"/>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(109,357)</w:t>
            </w:r>
          </w:p>
        </w:tc>
        <w:tc>
          <w:tcPr>
            <w:tcW w:w="74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w:t>
            </w:r>
          </w:p>
        </w:tc>
        <w:tc>
          <w:tcPr>
            <w:tcW w:w="2100" w:type="dxa"/>
            <w:vAlign w:val="bottom"/>
          </w:tcPr>
          <w:p>
            <w:pPr>
              <w:jc w:val="right"/>
              <w:spacing w:after="0"/>
              <w:rPr>
                <w:sz w:val="20"/>
                <w:szCs w:val="20"/>
                <w:color w:val="auto"/>
              </w:rPr>
            </w:pPr>
            <w:r>
              <w:rPr>
                <w:rFonts w:ascii="Arial" w:cs="Arial" w:eastAsia="Arial" w:hAnsi="Arial"/>
                <w:sz w:val="20"/>
                <w:szCs w:val="20"/>
                <w:b w:val="1"/>
                <w:bCs w:val="1"/>
                <w:color w:val="auto"/>
              </w:rPr>
              <w:t>(76,429</w:t>
            </w:r>
            <w:r>
              <w:rPr>
                <w:rFonts w:ascii="Arial" w:cs="Arial" w:eastAsia="Arial" w:hAnsi="Arial"/>
                <w:sz w:val="20"/>
                <w:szCs w:val="20"/>
                <w:b w:val="1"/>
                <w:bCs w:val="1"/>
                <w:color w:val="auto"/>
                <w:shd w:val="clear" w:color="auto" w:fill="E1E1E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-2038350</wp:posOffset>
            </wp:positionV>
            <wp:extent cx="6663690" cy="20828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2">
                      <a:extLst>
                        <a:ext uri="{28A0092B-C50C-407E-A947-70E740481C1C}"/>
                      </a:extLst>
                    </a:blip>
                    <a:srcRect/>
                    <a:stretch>
                      <a:fillRect/>
                    </a:stretch>
                  </pic:blipFill>
                  <pic:spPr bwMode="auto">
                    <a:xfrm>
                      <a:off x="0" y="0"/>
                      <a:ext cx="6663690" cy="2082800"/>
                    </a:xfrm>
                    <a:prstGeom prst="rect">
                      <a:avLst/>
                    </a:prstGeom>
                    <a:noFill/>
                  </pic:spPr>
                </pic:pic>
              </a:graphicData>
            </a:graphic>
          </wp:anchor>
        </w:drawing>
      </w:r>
    </w:p>
    <w:p>
      <w:pPr>
        <w:spacing w:after="0" w:line="157"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*Other segment items include interest income, interest expense, other expense, and income tax expense as reported on the consolidated statements of operations and comprehensive loss.</w:t>
      </w:r>
    </w:p>
    <w:p>
      <w:pPr>
        <w:spacing w:after="0" w:line="132"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Assets regularly provided to the CODM are consistent with those reported on the consolidated balance sheets with particular emphasis on the Company’s available liquidity, including its cash, cash equivalents and marketable securities balances. All of the Company’s tangible assets are held in the United States.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Subsequent Events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Milestone Payment</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January 2025, the Company dosed the first patient in the Phase 2 clinical trial of DISC-0974. Per the license agreement, a milestone payment of $3.0 million was paid to AbbVie on January 31, 2025. For additional details on the license agreement with AbbVie, refer to Note 10 - Development and License Agreements.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Underwritten Offering</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On January 22, 2025, the Company entered into an Underwriting Agreement (the “Underwriting Agreement”) with Jefferies LLC, Leerink Partners LLC, Stifel, Nicolaus &amp; Company, Incorporated and Cantor Fitzgerald &amp; Co. as representatives of the several underwriters listed on Schedule I thereto (the “Underwriters”) related to an underwritten offering of (i) 3,918,182 shares of common stock of the Company, par value $0.0001 per share ("Common Stock”) at a price to the public of $55.00 per share and (ii) pre-funded warrants to purchase an aggregate of 181,818 shares of Common Stock (the “Pre-Funded Warrants”), at a price to the public of $54.9999 per Pre-Funded Warrant, which represents the per share public offering price for the Common Stock less the $0.0001 per share exercise price for each such Pre-Funded Warrant. In addition, the Company granted the Underwriters an option exercisable for 30 days from the date of the underwriting agreement to purchase, at the public offering price less any underwriting discounts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139</w:t>
      </w:r>
    </w:p>
    <w:p>
      <w:pPr>
        <w:sectPr>
          <w:pgSz w:w="12240" w:h="15840" w:orient="portrait"/>
          <w:cols w:equalWidth="0" w:num="1">
            <w:col w:w="10440"/>
          </w:cols>
          <w:pgMar w:left="900" w:top="960" w:right="900" w:bottom="181" w:gutter="0" w:footer="0" w:header="0"/>
          <w:type w:val="continuous"/>
        </w:sectPr>
      </w:pPr>
    </w:p>
    <w:bookmarkStart w:id="149" w:name="page150"/>
    <w:bookmarkEnd w:id="149"/>
    <w:p>
      <w:pPr>
        <w:jc w:val="both"/>
        <w:spacing w:after="0" w:line="233" w:lineRule="auto"/>
        <w:rPr>
          <w:sz w:val="20"/>
          <w:szCs w:val="20"/>
          <w:color w:val="auto"/>
        </w:rPr>
      </w:pPr>
      <w:r>
        <w:rPr>
          <w:rFonts w:ascii="Arial" w:cs="Arial" w:eastAsia="Arial" w:hAnsi="Arial"/>
          <w:sz w:val="20"/>
          <w:szCs w:val="20"/>
          <w:b w:val="1"/>
          <w:bCs w:val="1"/>
          <w:color w:val="auto"/>
        </w:rPr>
        <w:t>and commissions, up to an additional 615,000 shares of Common Stock, which the Underwriters exercised in full on January 23, 2025.</w:t>
      </w:r>
    </w:p>
    <w:p>
      <w:pPr>
        <w:spacing w:after="0" w:line="132"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The net proceeds from the Offering are expected to be approximately $243.3 million, which includes the proceeds from the Underwriters' exercise in full of their option to purchase additional shares, after deducting the underwriting discount and estimated offering expenses. The Company will receive nominal proceeds, if any, from the exercise of the Pre-Funded Warrants.</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140</w:t>
      </w:r>
    </w:p>
    <w:p>
      <w:pPr>
        <w:sectPr>
          <w:pgSz w:w="12240" w:h="15840" w:orient="portrait"/>
          <w:cols w:equalWidth="0" w:num="1">
            <w:col w:w="10440"/>
          </w:cols>
          <w:pgMar w:left="900" w:top="960" w:right="900" w:bottom="181" w:gutter="0" w:footer="0" w:header="0"/>
          <w:type w:val="continuous"/>
        </w:sectPr>
      </w:pPr>
    </w:p>
    <w:bookmarkStart w:id="150" w:name="page151"/>
    <w:bookmarkEnd w:id="150"/>
    <w:p>
      <w:pPr>
        <w:jc w:val="both"/>
        <w:ind w:left="1100" w:hanging="1108"/>
        <w:spacing w:after="0" w:line="233" w:lineRule="auto"/>
        <w:tabs>
          <w:tab w:leader="none" w:pos="10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1"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Principal Executive Officer and Principal Financial Officer concluded that, as of such date, our disclosure controls and procedures were not effective at the reasonable assurance level due to the material weakness in the design and maintenance of effective Information Technology General Controls (“ITGC”) over certain key financial IT systems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Weakness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We identified a material weakness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 This material weakness did not result in any identified misstatements to our financial statements.</w:t>
      </w:r>
    </w:p>
    <w:p>
      <w:pPr>
        <w:spacing w:after="0" w:line="9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Notwithstanding the material weaknesses in our internal control over financial reporting, our management has concluded that our consolidated financial statements and related notes thereto included in this Annual Report fairly present in all material respects the financial condition, results of operations and cash flows of the Company and have been prepared in accordance with generally accepted accounting principles. Our Principal Executive Officer and Principal Financial Officer have certified that, based on each such officer’s knowledge, the financial statements, as well as the other financial information included in this Annual Report, fairly present in all material respects the financial condition, results of operations and cash flows of the Company as of, and for, the periods presented in this Annual Report. Ernst &amp; Young LLP has issued an unqualified opinion on our financial statements, which is included in Part IV of this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Plan for Remediation of the Material Weakness</w:t>
      </w:r>
    </w:p>
    <w:p>
      <w:pPr>
        <w:spacing w:after="0" w:line="12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Management, with the oversight of the audit committee of the board of directors, is committed to maintaining a strong internal control environment. In response to the material weakness identified above, we have identified and begun to implement remediation efforts which include: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11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We believe that these actions, when fully implemented, will remediate the material weakness. However, the material weakness will not be considered fully remediated until management designs and implements effective controls that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ectPr>
          <w:pgSz w:w="12240" w:h="15840" w:orient="portrait"/>
          <w:cols w:equalWidth="0" w:num="1">
            <w:col w:w="10440"/>
          </w:cols>
          <w:pgMar w:left="900" w:top="960" w:right="900" w:bottom="181"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141</w:t>
      </w:r>
    </w:p>
    <w:p>
      <w:pPr>
        <w:sectPr>
          <w:pgSz w:w="12240" w:h="15840" w:orient="portrait"/>
          <w:cols w:equalWidth="0" w:num="1">
            <w:col w:w="10440"/>
          </w:cols>
          <w:pgMar w:left="900" w:top="960" w:right="900" w:bottom="181"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107"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Management assessed the effectiveness of our internal control over financial reporting as of December 31, 2024. In making this assessment, it used the criteria established in Internal Control—Integrated Framework (2013) issued by the Committee of Sponsoring Organizations of the Treadway Commission (COSO). Based on such assessment, and as a result of the material weakness described above, our Principal Executive Officer and Principal Financial Officer concluded that, as of December 31, 2024, our disclosure controls and procedures were not effective at the reasonable assurance level. However, after giving full consideration to this material weakness, our management has concluded that our consolidated financial statements present fairly, in all material respects, our financial position, results of operations and cash flows for the periods disclosed in conformity with U.S. GAAP.</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Other than as discussed above, there have not been any changes in our internal control over financial reporting (as defined in Rules 13a-15(f) and 15d-15(f) under the Exchange Act) occurred during the twelve months ended December 31, 2024 that has materially affected, or is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Disc Medicine, Inc.</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We have audited Disc Medicine,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Disc Medicine, Inc. (the Company) has not maintained effective internal control over financial reporting as of December 31, 2024, based on the COSO criteria.</w:t>
      </w:r>
    </w:p>
    <w:p>
      <w:pPr>
        <w:spacing w:after="0" w:line="93"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ineffective information technology general controls, or ITGCs, due to a lack of design and maintenance of effective user access and program change management controls over certain key financial IT systems. Consequently, the related IT application controls and IT dependent manual controls that are dependent on or use information from the systems impacted, were also deemed ineffective.</w:t>
      </w:r>
    </w:p>
    <w:p>
      <w:pPr>
        <w:spacing w:after="0" w:line="94"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two years in the period ended December 31, 2024, and the related notes. This material weakness was considered in determining the nature, timing and extent of audit tests applied in our audit of the 2024 consolidated financial statements, and this report does not affect our report dated February 27, 2025, which expressed an unqualified opinion thereon.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3"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Our audit included obtaining an understanding of internal control over financial reporting, assessing the risk that a material weakness exists, testing and evaluating the design and operating effectiveness of internal control based on the assessed risk, and</w:t>
      </w:r>
    </w:p>
    <w:p>
      <w:pPr>
        <w:sectPr>
          <w:pgSz w:w="12240" w:h="15840" w:orient="portrait"/>
          <w:cols w:equalWidth="0" w:num="1">
            <w:col w:w="10440"/>
          </w:cols>
          <w:pgMar w:left="900" w:top="949" w:right="900" w:bottom="181"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142</w:t>
      </w:r>
    </w:p>
    <w:p>
      <w:pPr>
        <w:sectPr>
          <w:pgSz w:w="12240" w:h="15840" w:orient="portrait"/>
          <w:cols w:equalWidth="0" w:num="1">
            <w:col w:w="10440"/>
          </w:cols>
          <w:pgMar w:left="900" w:top="949" w:right="900" w:bottom="181" w:gutter="0" w:footer="0" w:header="0"/>
          <w:type w:val="continuous"/>
        </w:sectPr>
      </w:pPr>
    </w:p>
    <w:bookmarkStart w:id="152" w:name="page153"/>
    <w:bookmarkEnd w:id="152"/>
    <w:p>
      <w:pPr>
        <w:jc w:val="both"/>
        <w:ind w:left="7"/>
        <w:spacing w:after="0" w:line="233" w:lineRule="auto"/>
        <w:rPr>
          <w:sz w:val="20"/>
          <w:szCs w:val="20"/>
          <w:color w:val="auto"/>
        </w:rPr>
      </w:pPr>
      <w:r>
        <w:rPr>
          <w:rFonts w:ascii="Arial" w:cs="Arial" w:eastAsia="Arial" w:hAnsi="Arial"/>
          <w:sz w:val="20"/>
          <w:szCs w:val="20"/>
          <w:b w:val="1"/>
          <w:bCs w:val="1"/>
          <w:color w:val="auto"/>
        </w:rPr>
        <w:t>performing such other procedures as we considered necessary in the circumstances. We believe that our audit provides a reasonable basis for our opinion.</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1" w:lineRule="exact"/>
        <w:rPr>
          <w:sz w:val="20"/>
          <w:szCs w:val="20"/>
          <w:color w:val="auto"/>
        </w:rPr>
      </w:pPr>
    </w:p>
    <w:p>
      <w:pPr>
        <w:jc w:val="both"/>
        <w:ind w:left="7" w:firstLine="490"/>
        <w:spacing w:after="0" w:line="320" w:lineRule="auto"/>
        <w:rPr>
          <w:sz w:val="20"/>
          <w:szCs w:val="20"/>
          <w:color w:val="auto"/>
        </w:rPr>
      </w:pPr>
      <w:r>
        <w:rPr>
          <w:rFonts w:ascii="Arial" w:cs="Arial" w:eastAsia="Arial" w:hAnsi="Arial"/>
          <w:sz w:val="15"/>
          <w:szCs w:val="15"/>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left="7" w:hanging="7"/>
        <w:spacing w:after="0" w:line="269" w:lineRule="auto"/>
        <w:tabs>
          <w:tab w:leader="none" w:pos="2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ind w:left="7" w:firstLine="490"/>
        <w:spacing w:after="0" w:line="296" w:lineRule="auto"/>
        <w:rPr>
          <w:sz w:val="20"/>
          <w:szCs w:val="20"/>
          <w:color w:val="auto"/>
        </w:rPr>
      </w:pPr>
      <w:r>
        <w:rPr>
          <w:rFonts w:ascii="Arial" w:cs="Arial" w:eastAsia="Arial" w:hAnsi="Arial"/>
          <w:sz w:val="17"/>
          <w:szCs w:val="17"/>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 Ernst &amp; Young LLP</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Boston, Massachusetts</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February 27, 2025</w:t>
      </w:r>
    </w:p>
    <w:p>
      <w:pPr>
        <w:spacing w:after="0" w:line="238" w:lineRule="exact"/>
        <w:rPr>
          <w:sz w:val="20"/>
          <w:szCs w:val="20"/>
          <w:color w:val="auto"/>
        </w:rPr>
      </w:pPr>
    </w:p>
    <w:p>
      <w:pPr>
        <w:ind w:left="7"/>
        <w:spacing w:after="0"/>
        <w:tabs>
          <w:tab w:leader="none" w:pos="1207"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131" w:lineRule="exact"/>
        <w:rPr>
          <w:sz w:val="20"/>
          <w:szCs w:val="20"/>
          <w:color w:val="auto"/>
        </w:rPr>
      </w:pPr>
    </w:p>
    <w:p>
      <w:pPr>
        <w:jc w:val="both"/>
        <w:ind w:left="7" w:right="40" w:firstLine="490"/>
        <w:spacing w:after="0" w:line="253" w:lineRule="auto"/>
        <w:rPr>
          <w:sz w:val="20"/>
          <w:szCs w:val="20"/>
          <w:color w:val="auto"/>
        </w:rPr>
      </w:pPr>
      <w:r>
        <w:rPr>
          <w:rFonts w:ascii="Arial" w:cs="Arial" w:eastAsia="Arial" w:hAnsi="Arial"/>
          <w:sz w:val="19"/>
          <w:szCs w:val="19"/>
          <w:b w:val="1"/>
          <w:bCs w:val="1"/>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2024:</w:t>
      </w:r>
    </w:p>
    <w:p>
      <w:pPr>
        <w:sectPr>
          <w:pgSz w:w="12240" w:h="15840" w:orient="portrait"/>
          <w:cols w:equalWidth="0" w:num="1">
            <w:col w:w="10447"/>
          </w:cols>
          <w:pgMar w:left="893" w:top="960" w:right="900" w:bottom="181" w:gutter="0" w:footer="0" w:header="0"/>
        </w:sectPr>
      </w:pPr>
    </w:p>
    <w:p>
      <w:pPr>
        <w:spacing w:after="0" w:line="309"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Name and Title</w:t>
            </w:r>
          </w:p>
        </w:tc>
        <w:tc>
          <w:tcPr>
            <w:tcW w:w="140" w:type="dxa"/>
            <w:vAlign w:val="bottom"/>
          </w:tcPr>
          <w:p>
            <w:pPr>
              <w:spacing w:after="0"/>
              <w:rPr>
                <w:sz w:val="16"/>
                <w:szCs w:val="16"/>
                <w:color w:val="auto"/>
              </w:rPr>
            </w:pPr>
          </w:p>
        </w:tc>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Type of Trading Arrangement</w:t>
            </w:r>
          </w:p>
        </w:tc>
        <w:tc>
          <w:tcPr>
            <w:tcW w:w="14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b w:val="1"/>
                <w:bCs w:val="1"/>
                <w:color w:val="auto"/>
              </w:rPr>
              <w:t>Action Taken</w:t>
            </w:r>
          </w:p>
        </w:tc>
        <w:tc>
          <w:tcPr>
            <w:tcW w:w="14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rPr>
              <w:t>Duration or End</w:t>
            </w:r>
          </w:p>
        </w:tc>
        <w:tc>
          <w:tcPr>
            <w:tcW w:w="0" w:type="dxa"/>
            <w:vAlign w:val="bottom"/>
          </w:tcPr>
          <w:p>
            <w:pPr>
              <w:spacing w:after="0"/>
              <w:rPr>
                <w:sz w:val="1"/>
                <w:szCs w:val="1"/>
                <w:color w:val="auto"/>
              </w:rPr>
            </w:pPr>
          </w:p>
        </w:tc>
      </w:tr>
      <w:tr>
        <w:trPr>
          <w:trHeight w:val="91"/>
        </w:trPr>
        <w:tc>
          <w:tcPr>
            <w:tcW w:w="2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restart"/>
          </w:tcPr>
          <w:p>
            <w:pPr>
              <w:spacing w:after="0" w:line="182" w:lineRule="exact"/>
              <w:rPr>
                <w:sz w:val="20"/>
                <w:szCs w:val="20"/>
                <w:color w:val="auto"/>
              </w:rPr>
            </w:pPr>
            <w:r>
              <w:rPr>
                <w:rFonts w:ascii="Arial" w:cs="Arial" w:eastAsia="Arial" w:hAnsi="Arial"/>
                <w:sz w:val="16"/>
                <w:szCs w:val="16"/>
                <w:b w:val="1"/>
                <w:bCs w:val="1"/>
                <w:color w:val="auto"/>
              </w:rPr>
              <w:t>(Date of Action)</w:t>
            </w:r>
          </w:p>
        </w:tc>
        <w:tc>
          <w:tcPr>
            <w:tcW w:w="140" w:type="dxa"/>
            <w:vAlign w:val="bottom"/>
          </w:tcPr>
          <w:p>
            <w:pPr>
              <w:spacing w:after="0"/>
              <w:rPr>
                <w:sz w:val="7"/>
                <w:szCs w:val="7"/>
                <w:color w:val="auto"/>
              </w:rPr>
            </w:pPr>
          </w:p>
        </w:tc>
        <w:tc>
          <w:tcPr>
            <w:tcW w:w="1360" w:type="dxa"/>
            <w:vAlign w:val="bottom"/>
            <w:vMerge w:val="restart"/>
          </w:tcPr>
          <w:p>
            <w:pPr>
              <w:spacing w:after="0" w:line="182"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91"/>
        </w:trPr>
        <w:tc>
          <w:tcPr>
            <w:tcW w:w="2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r>
              <w:rPr>
                <w:rFonts w:ascii="Arial" w:cs="Arial" w:eastAsia="Arial" w:hAnsi="Arial"/>
                <w:sz w:val="20"/>
                <w:szCs w:val="20"/>
                <w:b w:val="1"/>
                <w:bCs w:val="1"/>
                <w:color w:val="auto"/>
              </w:rPr>
              <w:t>William Savage, M.D.,</w:t>
            </w: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20"/>
                <w:szCs w:val="20"/>
                <w:b w:val="1"/>
                <w:bCs w:val="1"/>
                <w:color w:val="auto"/>
              </w:rPr>
              <w:t>Trading plan intended to</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20"/>
                <w:szCs w:val="20"/>
                <w:b w:val="1"/>
                <w:bCs w:val="1"/>
                <w:color w:val="auto"/>
              </w:rPr>
              <w:t>Adoption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20"/>
                <w:szCs w:val="20"/>
                <w:b w:val="1"/>
                <w:bCs w:val="1"/>
                <w:color w:val="auto"/>
              </w:rPr>
              <w:t>End Date</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20"/>
                <w:szCs w:val="20"/>
                <w:b w:val="1"/>
                <w:bCs w:val="1"/>
                <w:color w:val="auto"/>
              </w:rPr>
              <w:t>Ph.D.</w:t>
            </w: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20"/>
                <w:szCs w:val="20"/>
                <w:b w:val="1"/>
                <w:bCs w:val="1"/>
                <w:color w:val="auto"/>
                <w:w w:val="85"/>
              </w:rPr>
              <w:t>satisfy the affirmative defense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20"/>
                <w:szCs w:val="20"/>
                <w:b w:val="1"/>
                <w:bCs w:val="1"/>
                <w:color w:val="auto"/>
                <w:w w:val="95"/>
              </w:rPr>
              <w:t>(November 18,</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20"/>
                <w:szCs w:val="20"/>
                <w:b w:val="1"/>
                <w:bCs w:val="1"/>
                <w:color w:val="auto"/>
                <w:w w:val="98"/>
              </w:rPr>
              <w:t>(May 30, 2025)</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20"/>
                <w:szCs w:val="20"/>
                <w:b w:val="1"/>
                <w:bCs w:val="1"/>
                <w:color w:val="auto"/>
              </w:rPr>
              <w:t>Chief Medical Officer</w:t>
            </w: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20"/>
                <w:szCs w:val="20"/>
                <w:b w:val="1"/>
                <w:bCs w:val="1"/>
                <w:color w:val="auto"/>
              </w:rPr>
              <w:t>conditions of Securities</w:t>
            </w:r>
          </w:p>
        </w:tc>
        <w:tc>
          <w:tcPr>
            <w:tcW w:w="1480" w:type="dxa"/>
            <w:vAlign w:val="bottom"/>
            <w:gridSpan w:val="2"/>
          </w:tcPr>
          <w:p>
            <w:pPr>
              <w:ind w:left="140"/>
              <w:spacing w:after="0"/>
              <w:rPr>
                <w:sz w:val="20"/>
                <w:szCs w:val="20"/>
                <w:color w:val="auto"/>
              </w:rPr>
            </w:pPr>
            <w:r>
              <w:rPr>
                <w:rFonts w:ascii="Arial" w:cs="Arial" w:eastAsia="Arial" w:hAnsi="Arial"/>
                <w:sz w:val="20"/>
                <w:szCs w:val="20"/>
                <w:b w:val="1"/>
                <w:bCs w:val="1"/>
                <w:color w:val="auto"/>
              </w:rPr>
              <w:t>2024)</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20"/>
                <w:szCs w:val="20"/>
                <w:b w:val="1"/>
                <w:bCs w:val="1"/>
                <w:color w:val="auto"/>
                <w:w w:val="88"/>
              </w:rPr>
              <w:t>Exchange Act Rule 10b5-1(c)</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6663690" cy="6261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3">
                      <a:extLst>
                        <a:ext uri="{28A0092B-C50C-407E-A947-70E740481C1C}"/>
                      </a:extLst>
                    </a:blip>
                    <a:srcRect/>
                    <a:stretch>
                      <a:fillRect/>
                    </a:stretch>
                  </pic:blipFill>
                  <pic:spPr bwMode="auto">
                    <a:xfrm>
                      <a:off x="0" y="0"/>
                      <a:ext cx="666369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6"/>
                <w:szCs w:val="16"/>
                <w:color w:val="auto"/>
              </w:rPr>
            </w:pPr>
          </w:p>
        </w:tc>
        <w:tc>
          <w:tcPr>
            <w:tcW w:w="1280" w:type="dxa"/>
            <w:vAlign w:val="bottom"/>
            <w:vMerge w:val="restart"/>
          </w:tcPr>
          <w:p>
            <w:pPr>
              <w:spacing w:after="0"/>
              <w:rPr>
                <w:sz w:val="20"/>
                <w:szCs w:val="20"/>
                <w:color w:val="auto"/>
              </w:rPr>
            </w:pPr>
            <w:r>
              <w:rPr>
                <w:rFonts w:ascii="Arial" w:cs="Arial" w:eastAsia="Arial" w:hAnsi="Arial"/>
                <w:sz w:val="16"/>
                <w:szCs w:val="16"/>
                <w:b w:val="1"/>
                <w:bCs w:val="1"/>
                <w:color w:val="auto"/>
              </w:rPr>
              <w:t>Description of</w:t>
            </w:r>
          </w:p>
        </w:tc>
        <w:tc>
          <w:tcPr>
            <w:tcW w:w="0" w:type="dxa"/>
            <w:vAlign w:val="bottom"/>
          </w:tcPr>
          <w:p>
            <w:pPr>
              <w:spacing w:after="0"/>
              <w:rPr>
                <w:sz w:val="1"/>
                <w:szCs w:val="1"/>
                <w:color w:val="auto"/>
              </w:rPr>
            </w:pPr>
          </w:p>
        </w:tc>
      </w:tr>
      <w:tr>
        <w:trPr>
          <w:trHeight w:val="91"/>
        </w:trPr>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restart"/>
          </w:tcPr>
          <w:p>
            <w:pPr>
              <w:spacing w:after="0"/>
              <w:rPr>
                <w:sz w:val="20"/>
                <w:szCs w:val="20"/>
                <w:color w:val="auto"/>
              </w:rPr>
            </w:pPr>
            <w:r>
              <w:rPr>
                <w:rFonts w:ascii="Arial" w:cs="Arial" w:eastAsia="Arial" w:hAnsi="Arial"/>
                <w:sz w:val="16"/>
                <w:szCs w:val="16"/>
                <w:b w:val="1"/>
                <w:bCs w:val="1"/>
                <w:color w:val="auto"/>
              </w:rPr>
              <w:t>Trading</w:t>
            </w:r>
          </w:p>
        </w:tc>
        <w:tc>
          <w:tcPr>
            <w:tcW w:w="0" w:type="dxa"/>
            <w:vAlign w:val="bottom"/>
          </w:tcPr>
          <w:p>
            <w:pPr>
              <w:spacing w:after="0"/>
              <w:rPr>
                <w:sz w:val="1"/>
                <w:szCs w:val="1"/>
                <w:color w:val="auto"/>
              </w:rPr>
            </w:pPr>
          </w:p>
        </w:tc>
      </w:tr>
      <w:tr>
        <w:trPr>
          <w:trHeight w:val="148"/>
        </w:trPr>
        <w:tc>
          <w:tcPr>
            <w:tcW w:w="110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87"/>
              </w:rPr>
              <w:t>Securities to be</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Sold</w:t>
            </w:r>
          </w:p>
        </w:tc>
        <w:tc>
          <w:tcPr>
            <w:tcW w:w="140" w:type="dxa"/>
            <w:vAlign w:val="bottom"/>
          </w:tcPr>
          <w:p>
            <w:pPr>
              <w:spacing w:after="0"/>
              <w:rPr>
                <w:sz w:val="15"/>
                <w:szCs w:val="15"/>
                <w:color w:val="auto"/>
              </w:rPr>
            </w:pPr>
          </w:p>
        </w:tc>
        <w:tc>
          <w:tcPr>
            <w:tcW w:w="1280" w:type="dxa"/>
            <w:vAlign w:val="bottom"/>
          </w:tcPr>
          <w:p>
            <w:pPr>
              <w:spacing w:after="0" w:line="178" w:lineRule="exact"/>
              <w:rPr>
                <w:sz w:val="20"/>
                <w:szCs w:val="20"/>
                <w:color w:val="auto"/>
              </w:rPr>
            </w:pPr>
            <w:r>
              <w:rPr>
                <w:rFonts w:ascii="Arial" w:cs="Arial" w:eastAsia="Arial" w:hAnsi="Arial"/>
                <w:sz w:val="16"/>
                <w:szCs w:val="16"/>
                <w:b w:val="1"/>
                <w:bCs w:val="1"/>
                <w:color w:val="auto"/>
              </w:rPr>
              <w:t>Arrangement</w:t>
            </w:r>
          </w:p>
        </w:tc>
        <w:tc>
          <w:tcPr>
            <w:tcW w:w="0" w:type="dxa"/>
            <w:vAlign w:val="bottom"/>
          </w:tcPr>
          <w:p>
            <w:pPr>
              <w:spacing w:after="0"/>
              <w:rPr>
                <w:sz w:val="1"/>
                <w:szCs w:val="1"/>
                <w:color w:val="auto"/>
              </w:rPr>
            </w:pPr>
          </w:p>
        </w:tc>
      </w:tr>
      <w:tr>
        <w:trPr>
          <w:trHeight w:val="42"/>
        </w:trPr>
        <w:tc>
          <w:tcPr>
            <w:tcW w:w="110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88"/>
              </w:rPr>
              <w:t>Up to 21,870</w:t>
            </w:r>
          </w:p>
        </w:tc>
        <w:tc>
          <w:tcPr>
            <w:tcW w:w="1420" w:type="dxa"/>
            <w:vAlign w:val="bottom"/>
            <w:gridSpan w:val="2"/>
          </w:tcPr>
          <w:p>
            <w:pPr>
              <w:ind w:left="140"/>
              <w:spacing w:after="0"/>
              <w:rPr>
                <w:sz w:val="20"/>
                <w:szCs w:val="20"/>
                <w:color w:val="auto"/>
              </w:rPr>
            </w:pPr>
            <w:r>
              <w:rPr>
                <w:rFonts w:ascii="Arial" w:cs="Arial" w:eastAsia="Arial" w:hAnsi="Arial"/>
                <w:sz w:val="20"/>
                <w:szCs w:val="20"/>
                <w:b w:val="1"/>
                <w:bCs w:val="1"/>
                <w:color w:val="auto"/>
              </w:rPr>
              <w:t>Sale</w:t>
            </w:r>
          </w:p>
        </w:tc>
        <w:tc>
          <w:tcPr>
            <w:tcW w:w="0" w:type="dxa"/>
            <w:vAlign w:val="bottom"/>
          </w:tcPr>
          <w:p>
            <w:pPr>
              <w:spacing w:after="0"/>
              <w:rPr>
                <w:sz w:val="1"/>
                <w:szCs w:val="1"/>
                <w:color w:val="auto"/>
              </w:rPr>
            </w:pPr>
          </w:p>
        </w:tc>
      </w:tr>
    </w:tbl>
    <w:p>
      <w:pPr>
        <w:spacing w:after="0" w:line="891" w:lineRule="exact"/>
        <w:rPr>
          <w:sz w:val="20"/>
          <w:szCs w:val="20"/>
          <w:color w:val="auto"/>
        </w:rPr>
      </w:pPr>
    </w:p>
    <w:p>
      <w:pPr>
        <w:sectPr>
          <w:pgSz w:w="12240" w:h="15840" w:orient="portrait"/>
          <w:cols w:equalWidth="0" w:num="2">
            <w:col w:w="7807" w:space="120"/>
            <w:col w:w="2520"/>
          </w:cols>
          <w:pgMar w:left="893" w:top="960" w:right="900" w:bottom="181" w:gutter="0" w:footer="0" w:header="0"/>
          <w:type w:val="continuous"/>
        </w:sectPr>
      </w:pPr>
    </w:p>
    <w:p>
      <w:pPr>
        <w:spacing w:after="0" w:line="40" w:lineRule="exact"/>
        <w:rPr>
          <w:sz w:val="20"/>
          <w:szCs w:val="20"/>
          <w:color w:val="auto"/>
        </w:rPr>
      </w:pPr>
    </w:p>
    <w:p>
      <w:pPr>
        <w:ind w:left="7"/>
        <w:spacing w:after="0"/>
        <w:tabs>
          <w:tab w:leader="none" w:pos="1207"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20"/>
          <w:szCs w:val="20"/>
          <w:b w:val="1"/>
          <w:bCs w:val="1"/>
          <w:color w:val="auto"/>
        </w:rPr>
        <w:t>DISCLOSURE REGARDING FOREIGN JURISDICTIONS THAT PREVENT INSPECTIONS</w:t>
      </w:r>
    </w:p>
    <w:p>
      <w:pPr>
        <w:spacing w:after="0" w:line="118" w:lineRule="exact"/>
        <w:rPr>
          <w:sz w:val="20"/>
          <w:szCs w:val="20"/>
          <w:color w:val="auto"/>
        </w:rPr>
      </w:pPr>
    </w:p>
    <w:p>
      <w:pPr>
        <w:ind w:left="487"/>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10447"/>
          </w:cols>
          <w:pgMar w:left="893" w:top="960" w:right="90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143</w:t>
      </w:r>
    </w:p>
    <w:p>
      <w:pPr>
        <w:sectPr>
          <w:pgSz w:w="12240" w:h="15840" w:orient="portrait"/>
          <w:cols w:equalWidth="0" w:num="1">
            <w:col w:w="10447"/>
          </w:cols>
          <w:pgMar w:left="893" w:top="960" w:right="900" w:bottom="181"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PART III</w:t>
      </w:r>
    </w:p>
    <w:p>
      <w:pPr>
        <w:spacing w:after="0" w:line="23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DIRECTORS, EXECUTIVE OFFICERS AND CORPORATE GOVERNANCE</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information required under this item is incorporated herein by reference to our definitive proxy statement pursuant to Regulation 14A, which proxy statement will be filed with the Securities and Exchange Commission, or SEC, not later than 120 days after the close of our fiscal year ended December 31, 2024.</w:t>
      </w:r>
    </w:p>
    <w:p>
      <w:pPr>
        <w:spacing w:after="0" w:line="24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131"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The information required by this item regarding executive compensation will be included in our definitive proxy statement for our 2025 Annual Meeting of Stockholders, which we intend to file with the SEC within 120 days after December 31, 2024, and such information is incorporated herein by reference (excluding pay versus performance disclosure).</w:t>
      </w:r>
    </w:p>
    <w:p>
      <w:pPr>
        <w:spacing w:after="0" w:line="206" w:lineRule="exact"/>
        <w:rPr>
          <w:sz w:val="20"/>
          <w:szCs w:val="20"/>
          <w:color w:val="auto"/>
        </w:rPr>
      </w:pPr>
    </w:p>
    <w:p>
      <w:pPr>
        <w:jc w:val="both"/>
        <w:ind w:left="1220" w:hanging="1223"/>
        <w:spacing w:after="0" w:line="234" w:lineRule="auto"/>
        <w:tabs>
          <w:tab w:leader="none" w:pos="120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20"/>
          <w:szCs w:val="20"/>
          <w:b w:val="1"/>
          <w:bCs w:val="1"/>
          <w:color w:val="auto"/>
        </w:rPr>
        <w:t>SECURITY OWNERSHIP OF CERTAIN BENEFICIAL OWNERS AND MANAGEMENT AND RELATED STOCKHOLDER MATTERS</w:t>
      </w:r>
    </w:p>
    <w:p>
      <w:pPr>
        <w:spacing w:after="0" w:line="132"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The information required by this item regarding security ownership of certain beneficial owners and management and related stockholder matters will be included in our definitive proxy statement for our 2025 Annual Meeting of Stockholders, which we intend to file with the SEC within 120 days after December 31, 2024, and such information is incorporated herein by reference.</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20"/>
          <w:szCs w:val="20"/>
          <w:b w:val="1"/>
          <w:bCs w:val="1"/>
          <w:color w:val="auto"/>
        </w:rPr>
        <w:t>CERTAIN RELATIONSHIPS AND RELATED TRANSACTIONS, AND DIRECTOR INDEPENDENCE</w:t>
      </w:r>
    </w:p>
    <w:p>
      <w:pPr>
        <w:spacing w:after="0" w:line="131"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The information required by this item regarding certain relationships and related transactions, and director independence will be included in our definitive proxy statement for our 2025 Annual Meeting of Stockholders, which we intend to file with the SEC within 120 days after December 31, 2024, and such information is incorporated herein by reference.</w:t>
      </w:r>
    </w:p>
    <w:p>
      <w:pPr>
        <w:spacing w:after="0" w:line="19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20"/>
          <w:szCs w:val="20"/>
          <w:b w:val="1"/>
          <w:bCs w:val="1"/>
          <w:color w:val="auto"/>
        </w:rPr>
        <w:t>PRINCIPAL ACCOUNTING FEES AND SERVICES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independent public accounting firm is Ernst &amp; Young, LLP, Boston, MA, PCAOB Auditor ID: 42.</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information required by this item will be included in our definitive proxy statement for our 2025 Annual Meeting of Stockholders, which we intend to file with the SEC within 120 days after December 31, 2024, and such information is incorporated herein by reference.</w:t>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144</w:t>
      </w:r>
    </w:p>
    <w:p>
      <w:pPr>
        <w:sectPr>
          <w:pgSz w:w="12240" w:h="15840" w:orient="portrait"/>
          <w:cols w:equalWidth="0" w:num="1">
            <w:col w:w="10440"/>
          </w:cols>
          <w:pgMar w:left="900" w:top="949" w:right="900" w:bottom="181" w:gutter="0" w:footer="0" w:header="0"/>
          <w:type w:val="continuous"/>
        </w:sectPr>
      </w:pPr>
    </w:p>
    <w:bookmarkStart w:id="154" w:name="page155"/>
    <w:bookmarkEnd w:id="154"/>
    <w:p>
      <w:pPr>
        <w:jc w:val="center"/>
        <w:ind w:right="-6"/>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ind w:left="7"/>
        <w:spacing w:after="0"/>
        <w:tabs>
          <w:tab w:leader="none" w:pos="1207"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FINANCIAL STATEMENT SCHEDULES</w:t>
      </w:r>
    </w:p>
    <w:p>
      <w:pPr>
        <w:spacing w:after="0" w:line="120" w:lineRule="exact"/>
        <w:rPr>
          <w:sz w:val="20"/>
          <w:szCs w:val="20"/>
          <w:color w:val="auto"/>
        </w:rPr>
      </w:pPr>
    </w:p>
    <w:p>
      <w:pPr>
        <w:ind w:left="727" w:hanging="727"/>
        <w:spacing w:after="0"/>
        <w:tabs>
          <w:tab w:leader="none" w:pos="727"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w:t>
      </w:r>
    </w:p>
    <w:p>
      <w:pPr>
        <w:spacing w:after="0" w:line="131" w:lineRule="exact"/>
        <w:rPr>
          <w:sz w:val="20"/>
          <w:szCs w:val="20"/>
          <w:color w:val="auto"/>
        </w:rPr>
      </w:pPr>
    </w:p>
    <w:p>
      <w:pPr>
        <w:ind w:left="7" w:firstLine="490"/>
        <w:spacing w:after="0" w:line="234" w:lineRule="auto"/>
        <w:rPr>
          <w:sz w:val="20"/>
          <w:szCs w:val="20"/>
          <w:color w:val="auto"/>
        </w:rPr>
      </w:pPr>
      <w:r>
        <w:rPr>
          <w:rFonts w:ascii="Arial" w:cs="Arial" w:eastAsia="Arial" w:hAnsi="Arial"/>
          <w:sz w:val="20"/>
          <w:szCs w:val="20"/>
          <w:b w:val="1"/>
          <w:bCs w:val="1"/>
          <w:color w:val="auto"/>
        </w:rPr>
        <w:t>For a list of the financial statements included herein, see Index to the Consolidated Financial Statements on page 112 of this Annual Report on Form 10-K, incorporated into this Item by reference.</w:t>
      </w:r>
    </w:p>
    <w:p>
      <w:pPr>
        <w:spacing w:after="0" w:line="242" w:lineRule="exact"/>
        <w:rPr>
          <w:sz w:val="20"/>
          <w:szCs w:val="20"/>
          <w:color w:val="auto"/>
        </w:rPr>
      </w:pPr>
    </w:p>
    <w:p>
      <w:pPr>
        <w:ind w:left="727" w:hanging="727"/>
        <w:spacing w:after="0"/>
        <w:tabs>
          <w:tab w:leader="none" w:pos="727"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131" w:lineRule="exact"/>
        <w:rPr>
          <w:sz w:val="20"/>
          <w:szCs w:val="20"/>
          <w:color w:val="auto"/>
        </w:rPr>
      </w:pPr>
    </w:p>
    <w:p>
      <w:pPr>
        <w:ind w:left="7" w:firstLine="490"/>
        <w:spacing w:after="0" w:line="233" w:lineRule="auto"/>
        <w:rPr>
          <w:sz w:val="20"/>
          <w:szCs w:val="20"/>
          <w:color w:val="auto"/>
        </w:rPr>
      </w:pPr>
      <w:r>
        <w:rPr>
          <w:rFonts w:ascii="Arial" w:cs="Arial" w:eastAsia="Arial" w:hAnsi="Arial"/>
          <w:sz w:val="20"/>
          <w:szCs w:val="20"/>
          <w:b w:val="1"/>
          <w:bCs w:val="1"/>
          <w:color w:val="auto"/>
        </w:rPr>
        <w:t>Financial statement schedules have been omitted because they are either not required or not applicable or the information is included in the consolidated financial statements or the notes thereto.</w:t>
      </w:r>
    </w:p>
    <w:p>
      <w:pPr>
        <w:spacing w:after="0" w:line="241" w:lineRule="exact"/>
        <w:rPr>
          <w:sz w:val="20"/>
          <w:szCs w:val="20"/>
          <w:color w:val="auto"/>
        </w:rPr>
      </w:pPr>
    </w:p>
    <w:p>
      <w:pPr>
        <w:ind w:left="727" w:hanging="727"/>
        <w:spacing w:after="0"/>
        <w:tabs>
          <w:tab w:leader="none" w:pos="727"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131" w:lineRule="exact"/>
        <w:rPr>
          <w:sz w:val="20"/>
          <w:szCs w:val="20"/>
          <w:color w:val="auto"/>
        </w:rPr>
      </w:pPr>
    </w:p>
    <w:p>
      <w:pPr>
        <w:jc w:val="both"/>
        <w:ind w:left="7" w:firstLine="490"/>
        <w:spacing w:after="0" w:line="236" w:lineRule="auto"/>
        <w:rPr>
          <w:sz w:val="20"/>
          <w:szCs w:val="20"/>
          <w:color w:val="auto"/>
        </w:rPr>
      </w:pPr>
      <w:r>
        <w:rPr>
          <w:rFonts w:ascii="Arial" w:cs="Arial" w:eastAsia="Arial" w:hAnsi="Arial"/>
          <w:sz w:val="20"/>
          <w:szCs w:val="20"/>
          <w:b w:val="1"/>
          <w:bCs w:val="1"/>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ectPr>
          <w:pgSz w:w="12240" w:h="15840" w:orient="portrait"/>
          <w:cols w:equalWidth="0" w:num="1">
            <w:col w:w="10447"/>
          </w:cols>
          <w:pgMar w:left="893"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145</w:t>
      </w:r>
    </w:p>
    <w:p>
      <w:pPr>
        <w:sectPr>
          <w:pgSz w:w="12240" w:h="15840" w:orient="portrait"/>
          <w:cols w:equalWidth="0" w:num="1">
            <w:col w:w="10447"/>
          </w:cols>
          <w:pgMar w:left="893" w:top="949" w:right="900" w:bottom="181"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Exhibit Index</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9300" w:type="dxa"/>
            <w:vAlign w:val="bottom"/>
          </w:tcPr>
          <w:p>
            <w:pPr>
              <w:spacing w:after="0"/>
              <w:rPr>
                <w:sz w:val="16"/>
                <w:szCs w:val="16"/>
                <w:color w:val="auto"/>
              </w:rPr>
            </w:pPr>
          </w:p>
        </w:tc>
      </w:tr>
      <w:tr>
        <w:trPr>
          <w:trHeight w:val="183"/>
        </w:trPr>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5"/>
                <w:szCs w:val="15"/>
                <w:color w:val="auto"/>
              </w:rPr>
            </w:pPr>
          </w:p>
        </w:tc>
        <w:tc>
          <w:tcPr>
            <w:tcW w:w="9300" w:type="dxa"/>
            <w:vAlign w:val="bottom"/>
            <w:tcBorders>
              <w:bottom w:val="single" w:sz="8" w:color="auto"/>
            </w:tcBorders>
          </w:tcPr>
          <w:p>
            <w:pPr>
              <w:ind w:left="4320"/>
              <w:spacing w:after="0"/>
              <w:rPr>
                <w:sz w:val="20"/>
                <w:szCs w:val="20"/>
                <w:color w:val="auto"/>
              </w:rPr>
            </w:pPr>
            <w:r>
              <w:rPr>
                <w:rFonts w:ascii="Arial" w:cs="Arial" w:eastAsia="Arial" w:hAnsi="Arial"/>
                <w:sz w:val="16"/>
                <w:szCs w:val="16"/>
                <w:b w:val="1"/>
                <w:bCs w:val="1"/>
                <w:color w:val="auto"/>
              </w:rPr>
              <w:t>Description</w:t>
            </w:r>
          </w:p>
        </w:tc>
      </w:tr>
      <w:tr>
        <w:trPr>
          <w:trHeight w:val="335"/>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2.1†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Agreement and Plan of Merger and reorganization, dated as of August 9, 2022, by and among Gemini Therapeutics,</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Inc. Gemstone Merger Sub, Inc. and Disc Medicine, Inc. (incorporated by reference to Exhibit 2.1 to the Registrant’s</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rPr>
              <w:t>Proxy Statement/Prospectus on Form S-4 filed on September 2,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3.1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Amended and Restated Certificate of Incorporation of Disc Medicine, Inc. (incorporated by reference to Annex B to</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4"/>
              </w:rPr>
              <w:t>Gemini Therapeutics, Inc.’s Proxy Statement/Prospectus on Form S-4/A (Registration No. 333-249785)).</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3.2</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Certificate of Amendment to the Amended and Restated Certificate of Incorporation of Disc Medicine, Inc., dated</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w w:val="86"/>
              </w:rPr>
              <w:t>December 28, 2022 (incorporated by reference to Exhibit 3.1 to the Registrant’s Current Report on Form 8-K filed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on December 29,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3.3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Certificate of Amendment to the Amended and Restated Certificate of Incorporation of Disc Medicine, Inc., dated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December 29, 2022 (incorporated by reference to Exhibit 3.2 to the Registrant’s Current Report on Form 8-K filed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on December 29,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3.4</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4"/>
              </w:rPr>
              <w:t>Amended and Restated By-laws of Disc Medicine, Inc. (incorporated by reference to Annex C to Gemini</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Therapeutics, Inc.’s Proxy Statement/Prospectus on Form S-4/A (Registration No. 333-249785)).</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4.1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Description of the Registrant’s Securities Registered Pursuant to Section 12 of the Exchange Act (incorporated by</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0"/>
              </w:rPr>
              <w:t>reference to Exhibit 4.4 to Gemini Therapeutics, Inc.’s Annual Report on Form 10-K filed on March 10,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4.2</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Registration Rights Agreement, among Disc Medicine, Inc. and certain of its stockholders, dated December 28, 2022</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7"/>
              </w:rPr>
              <w:t>(incorporated by reference to Exhibit 10.1 to the Registrant’s Current Report on Form 8-K filed on December 29,</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4.3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3"/>
              </w:rPr>
              <w:t>Registration Rights Agreement, dated February 5, 2021, by and among Gemini Therapeutics, Inc. and the stockholder</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5"/>
              </w:rPr>
              <w:t>parties thereto (incorporated by reference to Exhibit 10.1 on Form 8-A12B/A filed on February 5, 2021).</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4.4</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Form of Pre-Funded Warrant (incorporated by reference to Exhibit 4.1 to the Registrant’s Current Report on Form 8-</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K (File No. 001-39438) filed February 14, 2023).</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4.5</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Form of Pre-Funded Warrant (incorporated by reference to Exhibit 4.1 to the Registrant's Current Report on Form 8-</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K (File No. 001-39438) filed on January 24, 2025).</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License Agreement by and among Disc Medicine, Inc., F. Hoffmann-La Roche Ltd and Hoffmann-La Roche Inc.,</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3"/>
              </w:rPr>
              <w:t>dated May 7, 2021 (incorporated by reference to Exhibit 10.2 to the Registrant’s Proxy Statement/Prospectus on Form</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S-4 filed on September 2,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10.2††</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License Agreement by and between Disc Medicine, Inc. and AbbVie Deutschland GmbH &amp; Co, KG, dated September</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3"/>
              </w:rPr>
              <w:t>13, 2019 (incorporated by reference to Exhibit 10.3 to the Registrant’s Proxy Statement/Prospectus on Form S-4 filed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on November 23,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4"/>
              </w:rPr>
              <w:t>Exclusive License Agreement, dated January 19, 2023, by and between Disc Medicine, Inc. and Mabwell</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Therapeutics, Inc. (incorporated by reference to Exhibit 10.1 to the Registrant’s Quarterly Report on Form 10-Q (File</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No. 001-39438) filed on May 15, 2023)</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Lease by and between Disc Medicine, Inc. and ARE-MA Region No. 75, LLC, dated October 29, 2021 (incorporated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3"/>
              </w:rPr>
              <w:t>by reference to Exhibit 10.4 to the Registrant’s Proxy Statement/Prospectus on Form S-4 filed on September 2,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10.4</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Addendum to License Agreement by and among Disc Medicine, Inc., F. Hoffmann-La Roche Ltd and Hoffmann-La</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4"/>
              </w:rPr>
              <w:t>Roche Inc., dated December 7, 2021 (incorporated by reference to Exhibit 10.5 to the Registrant’s Proxy</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Statement/Prospectus on Form S-4 filed on September 2, 2022).</w:t>
            </w:r>
          </w:p>
        </w:tc>
      </w:tr>
    </w:tbl>
    <w:p>
      <w:pPr>
        <w:spacing w:after="0" w:line="200" w:lineRule="exact"/>
        <w:rPr>
          <w:sz w:val="20"/>
          <w:szCs w:val="20"/>
          <w:color w:val="auto"/>
        </w:rPr>
      </w:pP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146</w:t>
      </w:r>
    </w:p>
    <w:p>
      <w:pPr>
        <w:sectPr>
          <w:pgSz w:w="12240" w:h="15840" w:orient="portrait"/>
          <w:cols w:equalWidth="0" w:num="1">
            <w:col w:w="10440"/>
          </w:cols>
          <w:pgMar w:left="900" w:top="949" w:right="900" w:bottom="181"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184"/>
        </w:trPr>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9300" w:type="dxa"/>
            <w:vAlign w:val="bottom"/>
          </w:tcPr>
          <w:p>
            <w:pPr>
              <w:spacing w:after="0"/>
              <w:rPr>
                <w:sz w:val="16"/>
                <w:szCs w:val="16"/>
                <w:color w:val="auto"/>
              </w:rPr>
            </w:pPr>
          </w:p>
        </w:tc>
      </w:tr>
      <w:tr>
        <w:trPr>
          <w:trHeight w:val="183"/>
        </w:trPr>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5"/>
                <w:szCs w:val="15"/>
                <w:color w:val="auto"/>
              </w:rPr>
            </w:pPr>
          </w:p>
        </w:tc>
        <w:tc>
          <w:tcPr>
            <w:tcW w:w="9300" w:type="dxa"/>
            <w:vAlign w:val="bottom"/>
            <w:tcBorders>
              <w:bottom w:val="single" w:sz="8" w:color="auto"/>
            </w:tcBorders>
          </w:tcPr>
          <w:p>
            <w:pPr>
              <w:ind w:left="4320"/>
              <w:spacing w:after="0"/>
              <w:rPr>
                <w:sz w:val="20"/>
                <w:szCs w:val="20"/>
                <w:color w:val="auto"/>
              </w:rPr>
            </w:pPr>
            <w:r>
              <w:rPr>
                <w:rFonts w:ascii="Arial" w:cs="Arial" w:eastAsia="Arial" w:hAnsi="Arial"/>
                <w:sz w:val="16"/>
                <w:szCs w:val="16"/>
                <w:b w:val="1"/>
                <w:bCs w:val="1"/>
                <w:color w:val="auto"/>
              </w:rPr>
              <w:t>Description</w:t>
            </w:r>
          </w:p>
        </w:tc>
      </w:tr>
      <w:tr>
        <w:trPr>
          <w:trHeight w:val="220"/>
        </w:trPr>
        <w:tc>
          <w:tcPr>
            <w:tcW w:w="980" w:type="dxa"/>
            <w:vAlign w:val="bottom"/>
          </w:tcPr>
          <w:p>
            <w:pPr>
              <w:ind w:left="140"/>
              <w:spacing w:after="0" w:line="220" w:lineRule="exact"/>
              <w:rPr>
                <w:sz w:val="20"/>
                <w:szCs w:val="20"/>
                <w:color w:val="auto"/>
              </w:rPr>
            </w:pPr>
            <w:r>
              <w:rPr>
                <w:rFonts w:ascii="Arial" w:cs="Arial" w:eastAsia="Arial" w:hAnsi="Arial"/>
                <w:sz w:val="20"/>
                <w:szCs w:val="20"/>
                <w:b w:val="1"/>
                <w:bCs w:val="1"/>
                <w:color w:val="auto"/>
              </w:rPr>
              <w:t>10.5</w:t>
            </w:r>
          </w:p>
        </w:tc>
        <w:tc>
          <w:tcPr>
            <w:tcW w:w="9460" w:type="dxa"/>
            <w:vAlign w:val="bottom"/>
            <w:gridSpan w:val="2"/>
          </w:tcPr>
          <w:p>
            <w:pPr>
              <w:ind w:left="160"/>
              <w:spacing w:after="0" w:line="220" w:lineRule="exact"/>
              <w:rPr>
                <w:sz w:val="20"/>
                <w:szCs w:val="20"/>
                <w:color w:val="auto"/>
              </w:rPr>
            </w:pPr>
            <w:r>
              <w:rPr>
                <w:rFonts w:ascii="Arial" w:cs="Arial" w:eastAsia="Arial" w:hAnsi="Arial"/>
                <w:sz w:val="20"/>
                <w:szCs w:val="20"/>
                <w:b w:val="1"/>
                <w:bCs w:val="1"/>
                <w:color w:val="auto"/>
                <w:w w:val="84"/>
              </w:rPr>
              <w:t>Amendment to Addendum to License Agreement by and among Disc Medicine, Inc., F. Hoffmann-La Roche Ltd and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Hoffmann-La Roche Inc., dated February 28, 2022 (incorporated by reference to Exhibit 10.6 to the Registrant’s</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Proxy Statement/Prospectus on Form S-4 filed on September 2,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10.6</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Second Amendment to Addendum to License Agreement by and among Disc Medicine, Inc., F. Hoffmann-La Roche</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Ltd and Hoffmann-La Roche Inc., dated May 31, 2022 (incorporated by reference to Exhibit 10.7 to the Registrant’s</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Proxy Statement/Prospectus on Form S-4 filed on September 2,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10.7</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Third Amendment to Addendum to License Agreement by and among Disc Medicine, Inc., F. Hoffmann-La Roche</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1"/>
              </w:rPr>
              <w:t>Ltd and Hoffmann-La Roche Inc., dated October 19, 2022 (incorporated by reference to Exhibit 10.21 to the</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rPr>
              <w:t>Registrant’s Proxy Statement/Prospectus on Form S-4 filed on November 3,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10.8</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Common Stock Issuance Agreement, dated as of December 29, 2022, by and between Disc Medicine Opco, Inc., F.</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Hoffmann-La Roche Ltd. and Hoffmann-La Roche Inc. (incorporated by reference to Exhibit 10.5 to the Registrant’s</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Current Report on Form 8-K filed on December 29,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10.9††</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7"/>
              </w:rPr>
              <w:t>Stock Purchase and Restriction Agreement, dated September 13, 2019, by and between Disc Medicine, Inc. and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2"/>
              </w:rPr>
              <w:t>AbbVie Deutschland GmbH &amp; Co. KG (incorporated by reference to Exhibit 10.22 to the Registrant’s Proxy</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Statement/Prospectus on Form S-4 filed on November 23,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10.10#</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Disc Medicine, Inc. Amended and Restated 2021 Stock Option and Incentive Plan (incorporated by reference to</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w w:val="95"/>
              </w:rPr>
              <w:t>Exhibit 99.1 of Disc Medicine, Inc.’s Form S-8 filed on January 18, 2023 (Registration No. 333-269271)).</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4"/>
              </w:rPr>
              <w:t>Forms of Award Agreements under the Disc Medicine, Inc. Amended and Restated 2021 Stock Option and Incentive</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2"/>
              </w:rPr>
              <w:t>Plan (incorporated by reference to Exhibit 99.2 of Disc Medicine, Inc.’s Form S-8 filed on January 18, 2023</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(Registration No. 333-269271)).</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10.12#</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3"/>
              </w:rPr>
              <w:t>Disc Medicine, Inc. Amended and Restated 2021 Employee Stock Purchase Plan (incorporated by reference to Exhibit</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99.3 of Disc Medicine, Inc.’s Form S-8 filed on January 18, 2023 (Registration No. 333-269271)).</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2017 Stock Option and Grant Plan of Disc Medicine, Inc., and form of award agreements thereunder (incorporated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4"/>
              </w:rPr>
              <w:t>by reference to Exhibit 10.9 to the Registrant’s Current Report on Form 8-K filed on December 29,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10.14#</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2021 Inducement Plan (incorporated by reference to Exhibit 99.3 of Gemini Therapeutics, Inc.’s Form S-8 filed on</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April 13, 2021 (Registration No. 333-255194)).</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10.15#</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Form of Indemnification Agreement for Directors of Disc Medicine, Inc. (incorporated by reference to Exhibit 10.3</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to the Registrant’s Current Report on Form 8-K filed on December 29, 2022).</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10.16#</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Form of Indemnification Agreement for Officers of Disc Medicine, Inc. (incorporated by reference to Exhibit 10.4 to</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the Registrant’s Current Report on Form 8-K filed on December 29,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10.17#</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Employment Agreement, dated as of December 29, 2022, by and between Disc Medicine, Inc. and John Quisel, J.D.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Ph.D. (incorporated by reference to Exhibit 10.6 to the Registrant’s Current Report on Form 8-K filed on December</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rPr>
              <w:t>29, 2022).</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10.18#</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Transition and Separation Agreement, dated as of November 27, 2023, by and between Disc Medicine, Inc. and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Joanne Bryce. (incorporated by reference to Exhibit 10.18 to the Registrant’s Annual Report on Form 10-K (File No.</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001-39438) filed on March 21, 2024).</w:t>
            </w:r>
          </w:p>
        </w:tc>
      </w:tr>
      <w:tr>
        <w:trPr>
          <w:trHeight w:val="458"/>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10.19#</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Employment Agreement, dated as of December 29, 2022, by and between Disc Medicine, Inc. and William Savage,</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7"/>
              </w:rPr>
              <w:t>M.D., Ph.D. (incorporated by reference to Exhibit 10.19 to the Registrant’s Annual Report on Form 10-K (File No.</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001-39438) filed on March 31, 2023).</w:t>
            </w:r>
          </w:p>
        </w:tc>
      </w:tr>
      <w:tr>
        <w:trPr>
          <w:trHeight w:val="461"/>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10.20#</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Employment Agreement, dated as of December 29, 2022, by and between Disc Medicine, Inc. and Jonathan Yu</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w w:val="87"/>
              </w:rPr>
              <w:t>(incorporated by reference to Exhibit 10.20 to the Registrant’s Annual Report on Form 10-K (File No. 001-39438)</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filed on March 31, 2023).</w:t>
            </w:r>
          </w:p>
        </w:tc>
      </w:tr>
    </w:tbl>
    <w:p>
      <w:pPr>
        <w:spacing w:after="0" w:line="200" w:lineRule="exact"/>
        <w:rPr>
          <w:sz w:val="20"/>
          <w:szCs w:val="20"/>
          <w:color w:val="auto"/>
        </w:rPr>
      </w:pPr>
    </w:p>
    <w:p>
      <w:pPr>
        <w:sectPr>
          <w:pgSz w:w="12240" w:h="15840" w:orient="portrait"/>
          <w:cols w:equalWidth="0" w:num="1">
            <w:col w:w="10440"/>
          </w:cols>
          <w:pgMar w:left="900" w:top="949" w:right="900" w:bottom="181"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147</w:t>
      </w:r>
    </w:p>
    <w:p>
      <w:pPr>
        <w:sectPr>
          <w:pgSz w:w="12240" w:h="15840" w:orient="portrait"/>
          <w:cols w:equalWidth="0" w:num="1">
            <w:col w:w="10440"/>
          </w:cols>
          <w:pgMar w:left="900" w:top="949" w:right="900" w:bottom="181" w:gutter="0" w:footer="0" w:header="0"/>
          <w:type w:val="continuous"/>
        </w:sectPr>
      </w:pPr>
    </w:p>
    <w:bookmarkStart w:id="157" w:name="page158"/>
    <w:bookmarkEnd w:id="157"/>
    <w:tbl>
      <w:tblPr>
        <w:tblLayout w:type="fixed"/>
        <w:tblInd w:w="7" w:type="dxa"/>
        <w:tblCellMar>
          <w:top w:w="0" w:type="dxa"/>
          <w:left w:w="0" w:type="dxa"/>
          <w:bottom w:w="0" w:type="dxa"/>
          <w:right w:w="0" w:type="dxa"/>
        </w:tblCellMar>
      </w:tblPr>
      <w:tr>
        <w:trPr>
          <w:trHeight w:val="184"/>
        </w:trPr>
        <w:tc>
          <w:tcPr>
            <w:tcW w:w="980" w:type="dxa"/>
            <w:vAlign w:val="bottom"/>
          </w:tcPr>
          <w:p>
            <w:pPr>
              <w:jc w:val="right"/>
              <w:ind w:right="148"/>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9300" w:type="dxa"/>
            <w:vAlign w:val="bottom"/>
          </w:tcPr>
          <w:p>
            <w:pPr>
              <w:spacing w:after="0"/>
              <w:rPr>
                <w:sz w:val="16"/>
                <w:szCs w:val="16"/>
                <w:color w:val="auto"/>
              </w:rPr>
            </w:pPr>
          </w:p>
        </w:tc>
      </w:tr>
      <w:tr>
        <w:trPr>
          <w:trHeight w:val="183"/>
        </w:trPr>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5"/>
                <w:szCs w:val="15"/>
                <w:color w:val="auto"/>
              </w:rPr>
            </w:pPr>
          </w:p>
        </w:tc>
        <w:tc>
          <w:tcPr>
            <w:tcW w:w="9300" w:type="dxa"/>
            <w:vAlign w:val="bottom"/>
            <w:tcBorders>
              <w:bottom w:val="single" w:sz="8" w:color="auto"/>
            </w:tcBorders>
          </w:tcPr>
          <w:p>
            <w:pPr>
              <w:ind w:left="4320"/>
              <w:spacing w:after="0"/>
              <w:rPr>
                <w:sz w:val="20"/>
                <w:szCs w:val="20"/>
                <w:color w:val="auto"/>
              </w:rPr>
            </w:pPr>
            <w:r>
              <w:rPr>
                <w:rFonts w:ascii="Arial" w:cs="Arial" w:eastAsia="Arial" w:hAnsi="Arial"/>
                <w:sz w:val="16"/>
                <w:szCs w:val="16"/>
                <w:b w:val="1"/>
                <w:bCs w:val="1"/>
                <w:color w:val="auto"/>
              </w:rPr>
              <w:t>Description</w:t>
            </w:r>
          </w:p>
        </w:tc>
      </w:tr>
      <w:tr>
        <w:trPr>
          <w:trHeight w:val="450"/>
        </w:trPr>
        <w:tc>
          <w:tcPr>
            <w:tcW w:w="980" w:type="dxa"/>
            <w:vAlign w:val="bottom"/>
          </w:tcPr>
          <w:p>
            <w:pPr>
              <w:jc w:val="right"/>
              <w:ind w:right="208"/>
              <w:spacing w:after="0"/>
              <w:rPr>
                <w:sz w:val="20"/>
                <w:szCs w:val="20"/>
                <w:color w:val="auto"/>
              </w:rPr>
            </w:pPr>
            <w:r>
              <w:rPr>
                <w:rFonts w:ascii="Arial" w:cs="Arial" w:eastAsia="Arial" w:hAnsi="Arial"/>
                <w:sz w:val="20"/>
                <w:szCs w:val="20"/>
                <w:b w:val="1"/>
                <w:bCs w:val="1"/>
                <w:color w:val="auto"/>
              </w:rPr>
              <w:t>10.21#</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8"/>
              </w:rPr>
              <w:t>Employment Agreement, dated as of February 7, 2024, by and between Disc Medicine, Inc. and Jean M. Franchi</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(incorporated by reference to Exhibit 10.1 to the Registrant’s Current Report on Form 8-K (File No. 001-39438) filed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on February 7, 2024).</w:t>
            </w:r>
          </w:p>
        </w:tc>
      </w:tr>
      <w:tr>
        <w:trPr>
          <w:trHeight w:val="458"/>
        </w:trPr>
        <w:tc>
          <w:tcPr>
            <w:tcW w:w="980" w:type="dxa"/>
            <w:vAlign w:val="bottom"/>
          </w:tcPr>
          <w:p>
            <w:pPr>
              <w:jc w:val="right"/>
              <w:ind w:right="208"/>
              <w:spacing w:after="0"/>
              <w:rPr>
                <w:sz w:val="20"/>
                <w:szCs w:val="20"/>
                <w:color w:val="auto"/>
              </w:rPr>
            </w:pPr>
            <w:r>
              <w:rPr>
                <w:rFonts w:ascii="Arial" w:cs="Arial" w:eastAsia="Arial" w:hAnsi="Arial"/>
                <w:sz w:val="20"/>
                <w:szCs w:val="20"/>
                <w:b w:val="1"/>
                <w:bCs w:val="1"/>
                <w:color w:val="auto"/>
              </w:rPr>
              <w:t>10.22#</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93"/>
              </w:rPr>
              <w:t>Form of Non-Qualified Stock Option Agreement Non-Plan Inducement Grant Restricted Stock Unit Award</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6"/>
              </w:rPr>
              <w:t>Agreement Non-Plan Inducement Grant (incorporated by reference to Exhibit 99.5 to the Registrant’s Registration</w:t>
            </w:r>
          </w:p>
        </w:tc>
      </w:tr>
      <w:tr>
        <w:trPr>
          <w:trHeight w:val="230"/>
        </w:trPr>
        <w:tc>
          <w:tcPr>
            <w:tcW w:w="980" w:type="dxa"/>
            <w:vAlign w:val="bottom"/>
          </w:tcPr>
          <w:p>
            <w:pPr>
              <w:spacing w:after="0"/>
              <w:rPr>
                <w:sz w:val="20"/>
                <w:szCs w:val="20"/>
                <w:color w:val="auto"/>
              </w:rPr>
            </w:pP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rPr>
              <w:t>Statement on Form S-8 (File No 333-278129) filed on March 21, 2024).</w:t>
            </w:r>
          </w:p>
        </w:tc>
      </w:tr>
      <w:tr>
        <w:trPr>
          <w:trHeight w:val="461"/>
        </w:trPr>
        <w:tc>
          <w:tcPr>
            <w:tcW w:w="980" w:type="dxa"/>
            <w:vAlign w:val="bottom"/>
          </w:tcPr>
          <w:p>
            <w:pPr>
              <w:jc w:val="right"/>
              <w:ind w:right="208"/>
              <w:spacing w:after="0"/>
              <w:rPr>
                <w:sz w:val="20"/>
                <w:szCs w:val="20"/>
                <w:color w:val="auto"/>
              </w:rPr>
            </w:pPr>
            <w:r>
              <w:rPr>
                <w:rFonts w:ascii="Arial" w:cs="Arial" w:eastAsia="Arial" w:hAnsi="Arial"/>
                <w:sz w:val="20"/>
                <w:szCs w:val="20"/>
                <w:b w:val="1"/>
                <w:bCs w:val="1"/>
                <w:color w:val="auto"/>
              </w:rPr>
              <w:t>10.23#</w:t>
            </w:r>
          </w:p>
        </w:tc>
        <w:tc>
          <w:tcPr>
            <w:tcW w:w="9460" w:type="dxa"/>
            <w:vAlign w:val="bottom"/>
            <w:gridSpan w:val="2"/>
          </w:tcPr>
          <w:p>
            <w:pPr>
              <w:ind w:left="160"/>
              <w:spacing w:after="0"/>
              <w:rPr>
                <w:sz w:val="20"/>
                <w:szCs w:val="20"/>
                <w:color w:val="auto"/>
              </w:rPr>
            </w:pPr>
            <w:r>
              <w:rPr>
                <w:rFonts w:ascii="Arial" w:cs="Arial" w:eastAsia="Arial" w:hAnsi="Arial"/>
                <w:sz w:val="20"/>
                <w:szCs w:val="20"/>
                <w:b w:val="1"/>
                <w:bCs w:val="1"/>
                <w:color w:val="auto"/>
                <w:w w:val="85"/>
              </w:rPr>
              <w:t>Form of Restricted Stock Unit Award Agreement Non-Plan Inducement Grant (incorporated by reference to Exhibit</w:t>
            </w:r>
          </w:p>
        </w:tc>
      </w:tr>
      <w:tr>
        <w:trPr>
          <w:trHeight w:val="228"/>
        </w:trPr>
        <w:tc>
          <w:tcPr>
            <w:tcW w:w="980" w:type="dxa"/>
            <w:vAlign w:val="bottom"/>
          </w:tcPr>
          <w:p>
            <w:pPr>
              <w:spacing w:after="0"/>
              <w:rPr>
                <w:sz w:val="19"/>
                <w:szCs w:val="19"/>
                <w:color w:val="auto"/>
              </w:rPr>
            </w:pPr>
          </w:p>
        </w:tc>
        <w:tc>
          <w:tcPr>
            <w:tcW w:w="946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w w:val="92"/>
              </w:rPr>
              <w:t>99.6 to the Registrant’s Registration Statement on Form S-8 (File No 333-278129) filed on March 21, 2024).</w:t>
            </w:r>
          </w:p>
        </w:tc>
      </w:tr>
    </w:tbl>
    <w:p>
      <w:pPr>
        <w:spacing w:after="0" w:line="231" w:lineRule="exact"/>
        <w:rPr>
          <w:sz w:val="20"/>
          <w:szCs w:val="20"/>
          <w:color w:val="auto"/>
        </w:rPr>
      </w:pPr>
    </w:p>
    <w:p>
      <w:pPr>
        <w:ind w:left="147"/>
        <w:spacing w:after="0"/>
        <w:tabs>
          <w:tab w:leader="none" w:pos="1127" w:val="left"/>
        </w:tabs>
        <w:rPr>
          <w:sz w:val="20"/>
          <w:szCs w:val="20"/>
          <w:color w:val="auto"/>
        </w:rPr>
      </w:pPr>
      <w:r>
        <w:rPr>
          <w:rFonts w:ascii="Arial" w:cs="Arial" w:eastAsia="Arial" w:hAnsi="Arial"/>
          <w:sz w:val="20"/>
          <w:szCs w:val="20"/>
          <w:b w:val="1"/>
          <w:bCs w:val="1"/>
          <w:color w:val="auto"/>
        </w:rPr>
        <w:t>10.24</w:t>
      </w:r>
      <w:r>
        <w:rPr>
          <w:sz w:val="20"/>
          <w:szCs w:val="20"/>
          <w:color w:val="auto"/>
        </w:rPr>
        <w:tab/>
      </w:r>
      <w:r>
        <w:rPr>
          <w:rFonts w:ascii="Arial" w:cs="Arial" w:eastAsia="Arial" w:hAnsi="Arial"/>
          <w:sz w:val="17"/>
          <w:szCs w:val="17"/>
          <w:b w:val="1"/>
          <w:bCs w:val="1"/>
          <w:color w:val="auto"/>
        </w:rPr>
        <w:t>Second Amendment to Lease, dated August 29, 2024, by and between Disc Medicine, Inc. and ARE-MA Region No.</w:t>
      </w:r>
    </w:p>
    <w:p>
      <w:pPr>
        <w:spacing w:after="0" w:line="11" w:lineRule="exact"/>
        <w:rPr>
          <w:sz w:val="20"/>
          <w:szCs w:val="20"/>
          <w:color w:val="auto"/>
        </w:rPr>
      </w:pPr>
    </w:p>
    <w:p>
      <w:pPr>
        <w:ind w:left="1147" w:hanging="10"/>
        <w:spacing w:after="0" w:line="234" w:lineRule="auto"/>
        <w:tabs>
          <w:tab w:leader="none" w:pos="1474"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LLC (incorporated by reference to Exhibit 10.1 to the Registrant’s Quarterly Report on Form 10-Q filed on November 12, 2024).</w:t>
      </w:r>
    </w:p>
    <w:p>
      <w:pPr>
        <w:spacing w:after="0" w:line="230" w:lineRule="exact"/>
        <w:rPr>
          <w:sz w:val="20"/>
          <w:szCs w:val="20"/>
          <w:color w:val="auto"/>
        </w:rPr>
      </w:pPr>
    </w:p>
    <w:tbl>
      <w:tblPr>
        <w:tblLayout w:type="fixed"/>
        <w:tblInd w:w="147"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20"/>
                <w:szCs w:val="20"/>
                <w:b w:val="1"/>
                <w:bCs w:val="1"/>
                <w:color w:val="auto"/>
              </w:rPr>
              <w:t>10.25††+</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4"/>
              </w:rPr>
              <w:t>Loan and Security Agreement, dated as of November 6, 2024, by and among Disc Medicine, Inc., the other Borrower</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5"/>
              </w:rPr>
              <w:t>party thereto, the Lenders party thereto, and Hercules Capital, Inc., as Agent (incorporated by reference to Exhibit</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97"/>
              </w:rPr>
              <w:t>10.2 to the Registrant's Current Report on Form 8-K (File No. 001-39438) filed on November 8, 2024).</w:t>
            </w:r>
          </w:p>
        </w:tc>
      </w:tr>
      <w:tr>
        <w:trPr>
          <w:trHeight w:val="469"/>
        </w:trPr>
        <w:tc>
          <w:tcPr>
            <w:tcW w:w="880" w:type="dxa"/>
            <w:vAlign w:val="bottom"/>
          </w:tcPr>
          <w:p>
            <w:pPr>
              <w:spacing w:after="0"/>
              <w:rPr>
                <w:sz w:val="20"/>
                <w:szCs w:val="20"/>
                <w:color w:val="auto"/>
              </w:rPr>
            </w:pPr>
            <w:r>
              <w:rPr>
                <w:rFonts w:ascii="Arial" w:cs="Arial" w:eastAsia="Arial" w:hAnsi="Arial"/>
                <w:sz w:val="20"/>
                <w:szCs w:val="20"/>
                <w:b w:val="1"/>
                <w:bCs w:val="1"/>
                <w:color w:val="auto"/>
              </w:rPr>
              <w:t>10.26</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5"/>
              </w:rPr>
              <w:t>Controlled Equity Offering</w:t>
            </w:r>
            <w:r>
              <w:rPr>
                <w:rFonts w:ascii="Arial" w:cs="Arial" w:eastAsia="Arial" w:hAnsi="Arial"/>
                <w:sz w:val="25"/>
                <w:szCs w:val="25"/>
                <w:b w:val="1"/>
                <w:bCs w:val="1"/>
                <w:color w:val="auto"/>
                <w:w w:val="85"/>
                <w:vertAlign w:val="superscript"/>
              </w:rPr>
              <w:t>SM</w:t>
            </w:r>
            <w:r>
              <w:rPr>
                <w:rFonts w:ascii="Arial" w:cs="Arial" w:eastAsia="Arial" w:hAnsi="Arial"/>
                <w:sz w:val="20"/>
                <w:szCs w:val="20"/>
                <w:b w:val="1"/>
                <w:bCs w:val="1"/>
                <w:color w:val="auto"/>
                <w:w w:val="85"/>
              </w:rPr>
              <w:t xml:space="preserve"> Sales Agreement, dated November 15, 2024, by and between Disc Medicine, Inc. and</w:t>
            </w:r>
          </w:p>
        </w:tc>
      </w:tr>
      <w:tr>
        <w:trPr>
          <w:trHeight w:val="219"/>
        </w:trPr>
        <w:tc>
          <w:tcPr>
            <w:tcW w:w="880" w:type="dxa"/>
            <w:vAlign w:val="bottom"/>
          </w:tcPr>
          <w:p>
            <w:pPr>
              <w:spacing w:after="0"/>
              <w:rPr>
                <w:sz w:val="19"/>
                <w:szCs w:val="19"/>
                <w:color w:val="auto"/>
              </w:rPr>
            </w:pPr>
          </w:p>
        </w:tc>
        <w:tc>
          <w:tcPr>
            <w:tcW w:w="9420" w:type="dxa"/>
            <w:vAlign w:val="bottom"/>
          </w:tcPr>
          <w:p>
            <w:pPr>
              <w:ind w:left="120"/>
              <w:spacing w:after="0" w:line="220" w:lineRule="exact"/>
              <w:rPr>
                <w:sz w:val="20"/>
                <w:szCs w:val="20"/>
                <w:color w:val="auto"/>
              </w:rPr>
            </w:pPr>
            <w:r>
              <w:rPr>
                <w:rFonts w:ascii="Arial" w:cs="Arial" w:eastAsia="Arial" w:hAnsi="Arial"/>
                <w:sz w:val="20"/>
                <w:szCs w:val="20"/>
                <w:b w:val="1"/>
                <w:bCs w:val="1"/>
                <w:color w:val="auto"/>
                <w:w w:val="87"/>
              </w:rPr>
              <w:t>Cantor Fitzgerald &amp; Co. (incorporated by reference to Exhibit 1.1 to the Registrant's Current Report on Form 8-K</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(File No. 001-39438) filed on November 15, 2024).</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10.27*††</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5"/>
              </w:rPr>
              <w:t>Side Letter Agreement dated December 24, 2024 by and among Disc Medicine, Inc., Mabwell Therapeutics, Inc. and</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Mabwell (Shanghai) Bioscience, Inc.</w:t>
            </w:r>
          </w:p>
        </w:tc>
      </w:tr>
      <w:tr>
        <w:trPr>
          <w:trHeight w:val="458"/>
        </w:trPr>
        <w:tc>
          <w:tcPr>
            <w:tcW w:w="880" w:type="dxa"/>
            <w:vAlign w:val="bottom"/>
          </w:tcPr>
          <w:p>
            <w:pPr>
              <w:spacing w:after="0"/>
              <w:rPr>
                <w:sz w:val="20"/>
                <w:szCs w:val="20"/>
                <w:color w:val="auto"/>
              </w:rPr>
            </w:pPr>
            <w:r>
              <w:rPr>
                <w:rFonts w:ascii="Arial" w:cs="Arial" w:eastAsia="Arial" w:hAnsi="Arial"/>
                <w:sz w:val="20"/>
                <w:szCs w:val="20"/>
                <w:b w:val="1"/>
                <w:bCs w:val="1"/>
                <w:color w:val="auto"/>
              </w:rPr>
              <w:t>14.1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9"/>
              </w:rPr>
              <w:t>Code of Business Conduct and Ethics of Disc Medicine, Inc. (incorporated by reference to Exhibit 14.1 to the</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Registrant’s Current Report on Form 8-K filed on December 29, 2022).</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19.1*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Insider Trading Policy</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21.1*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List of Subsidiaries of Disc Medicine, Inc.</w:t>
            </w:r>
          </w:p>
        </w:tc>
      </w:tr>
      <w:tr>
        <w:trPr>
          <w:trHeight w:val="458"/>
        </w:trPr>
        <w:tc>
          <w:tcPr>
            <w:tcW w:w="880" w:type="dxa"/>
            <w:vAlign w:val="bottom"/>
          </w:tcPr>
          <w:p>
            <w:pPr>
              <w:spacing w:after="0"/>
              <w:rPr>
                <w:sz w:val="20"/>
                <w:szCs w:val="20"/>
                <w:color w:val="auto"/>
              </w:rPr>
            </w:pPr>
            <w:r>
              <w:rPr>
                <w:rFonts w:ascii="Arial" w:cs="Arial" w:eastAsia="Arial" w:hAnsi="Arial"/>
                <w:sz w:val="20"/>
                <w:szCs w:val="20"/>
                <w:b w:val="1"/>
                <w:bCs w:val="1"/>
                <w:color w:val="auto"/>
              </w:rPr>
              <w:t>23.1*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Consent of Ernst &amp; Young LLP, independent registered accounting firm.</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31.1*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96"/>
              </w:rPr>
              <w:t>Certification of Principal Executive Officer pursuant to Section 302 of the Sarbanes-Oxley Act of 2002</w:t>
            </w:r>
          </w:p>
        </w:tc>
      </w:tr>
      <w:tr>
        <w:trPr>
          <w:trHeight w:val="458"/>
        </w:trPr>
        <w:tc>
          <w:tcPr>
            <w:tcW w:w="880" w:type="dxa"/>
            <w:vAlign w:val="bottom"/>
          </w:tcPr>
          <w:p>
            <w:pPr>
              <w:spacing w:after="0"/>
              <w:rPr>
                <w:sz w:val="20"/>
                <w:szCs w:val="20"/>
                <w:color w:val="auto"/>
              </w:rPr>
            </w:pPr>
            <w:r>
              <w:rPr>
                <w:rFonts w:ascii="Arial" w:cs="Arial" w:eastAsia="Arial" w:hAnsi="Arial"/>
                <w:sz w:val="20"/>
                <w:szCs w:val="20"/>
                <w:b w:val="1"/>
                <w:bCs w:val="1"/>
                <w:color w:val="auto"/>
              </w:rPr>
              <w:t>31.2*</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97"/>
              </w:rPr>
              <w:t>Certification of Principal Financial Officer pursuant to Section 302 of the Sarbanes-Oxley Act of 2002</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32.1**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w w:val="85"/>
              </w:rPr>
              <w:t>Certification pursuant to 18 U.S.C. Section 1350, as adopted pursuant to Section 906 of the Sarbanes-Oxley Act of</w:t>
            </w:r>
          </w:p>
        </w:tc>
      </w:tr>
      <w:tr>
        <w:trPr>
          <w:trHeight w:val="230"/>
        </w:trPr>
        <w:tc>
          <w:tcPr>
            <w:tcW w:w="88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2002</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97.1*</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Compensation Recovery Policy</w:t>
            </w:r>
          </w:p>
        </w:tc>
      </w:tr>
      <w:tr>
        <w:trPr>
          <w:trHeight w:val="458"/>
        </w:trPr>
        <w:tc>
          <w:tcPr>
            <w:tcW w:w="880" w:type="dxa"/>
            <w:vAlign w:val="bottom"/>
          </w:tcPr>
          <w:p>
            <w:pPr>
              <w:spacing w:after="0"/>
              <w:rPr>
                <w:sz w:val="20"/>
                <w:szCs w:val="20"/>
                <w:color w:val="auto"/>
              </w:rPr>
            </w:pPr>
            <w:r>
              <w:rPr>
                <w:rFonts w:ascii="Arial" w:cs="Arial" w:eastAsia="Arial" w:hAnsi="Arial"/>
                <w:sz w:val="20"/>
                <w:szCs w:val="20"/>
                <w:b w:val="1"/>
                <w:bCs w:val="1"/>
                <w:color w:val="auto"/>
              </w:rPr>
              <w:t>101.INS</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Inline XBRL Instance Document</w:t>
            </w:r>
          </w:p>
        </w:tc>
      </w:tr>
      <w:tr>
        <w:trPr>
          <w:trHeight w:val="461"/>
        </w:trPr>
        <w:tc>
          <w:tcPr>
            <w:tcW w:w="880" w:type="dxa"/>
            <w:vAlign w:val="bottom"/>
          </w:tcPr>
          <w:p>
            <w:pPr>
              <w:spacing w:after="0"/>
              <w:rPr>
                <w:sz w:val="20"/>
                <w:szCs w:val="20"/>
                <w:color w:val="auto"/>
              </w:rPr>
            </w:pPr>
            <w:r>
              <w:rPr>
                <w:rFonts w:ascii="Arial" w:cs="Arial" w:eastAsia="Arial" w:hAnsi="Arial"/>
                <w:sz w:val="20"/>
                <w:szCs w:val="20"/>
                <w:b w:val="1"/>
                <w:bCs w:val="1"/>
                <w:color w:val="auto"/>
              </w:rPr>
              <w:t>101.SCH</w:t>
            </w:r>
          </w:p>
        </w:tc>
        <w:tc>
          <w:tcPr>
            <w:tcW w:w="942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Schema With Embedded Linkbase Documents</w:t>
            </w:r>
          </w:p>
        </w:tc>
      </w:tr>
    </w:tbl>
    <w:p>
      <w:pPr>
        <w:spacing w:after="0" w:line="241" w:lineRule="exact"/>
        <w:rPr>
          <w:sz w:val="20"/>
          <w:szCs w:val="20"/>
          <w:color w:val="auto"/>
        </w:rPr>
      </w:pPr>
    </w:p>
    <w:p>
      <w:pPr>
        <w:ind w:left="7" w:right="2900" w:firstLine="137"/>
        <w:spacing w:after="0" w:line="301" w:lineRule="auto"/>
        <w:tabs>
          <w:tab w:leader="none" w:pos="1145" w:val="left"/>
        </w:tabs>
        <w:numPr>
          <w:ilvl w:val="1"/>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Cover Page Interactive Data File (embedded within the Inline XBRL document) * Filed herewith.</w:t>
      </w:r>
    </w:p>
    <w:p>
      <w:pPr>
        <w:ind w:left="247" w:hanging="247"/>
        <w:spacing w:after="0"/>
        <w:tabs>
          <w:tab w:leader="none" w:pos="247"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Furnished herewith.</w:t>
      </w:r>
    </w:p>
    <w:p>
      <w:pPr>
        <w:ind w:left="7"/>
        <w:spacing w:after="0"/>
        <w:rPr>
          <w:sz w:val="20"/>
          <w:szCs w:val="20"/>
          <w:color w:val="auto"/>
        </w:rPr>
      </w:pPr>
      <w:r>
        <w:rPr>
          <w:rFonts w:ascii="Arial" w:cs="Arial" w:eastAsia="Arial" w:hAnsi="Arial"/>
          <w:sz w:val="20"/>
          <w:szCs w:val="20"/>
          <w:b w:val="1"/>
          <w:bCs w:val="1"/>
          <w:color w:val="auto"/>
        </w:rPr>
        <w:t># Indicates a management contract or compensatory plan.</w:t>
      </w:r>
    </w:p>
    <w:p>
      <w:pPr>
        <w:spacing w:after="0" w:line="11" w:lineRule="exact"/>
        <w:rPr>
          <w:sz w:val="20"/>
          <w:szCs w:val="20"/>
          <w:color w:val="auto"/>
        </w:rPr>
      </w:pPr>
    </w:p>
    <w:p>
      <w:pPr>
        <w:jc w:val="both"/>
        <w:ind w:left="7" w:hanging="7"/>
        <w:spacing w:after="0" w:line="235" w:lineRule="auto"/>
        <w:tabs>
          <w:tab w:leader="none" w:pos="149"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sectPr>
          <w:pgSz w:w="12240" w:h="15840" w:orient="portrait"/>
          <w:cols w:equalWidth="0" w:num="1">
            <w:col w:w="10447"/>
          </w:cols>
          <w:pgMar w:left="893" w:top="949" w:right="900" w:bottom="181"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148</w:t>
      </w:r>
    </w:p>
    <w:p>
      <w:pPr>
        <w:sectPr>
          <w:pgSz w:w="12240" w:h="15840" w:orient="portrait"/>
          <w:cols w:equalWidth="0" w:num="1">
            <w:col w:w="10447"/>
          </w:cols>
          <w:pgMar w:left="893" w:top="949" w:right="900" w:bottom="181" w:gutter="0" w:footer="0" w:header="0"/>
          <w:type w:val="continuous"/>
        </w:sectPr>
      </w:pPr>
    </w:p>
    <w:bookmarkStart w:id="158" w:name="page159"/>
    <w:bookmarkEnd w:id="158"/>
    <w:p>
      <w:pPr>
        <w:ind w:left="7" w:hanging="7"/>
        <w:spacing w:after="0" w:line="233" w:lineRule="auto"/>
        <w:tabs>
          <w:tab w:leader="none" w:pos="264"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Portions of this exhibit (indicated by asterisks) have been omitted in accordance with the rules of the Securities and Exchange Commission.</w:t>
      </w:r>
    </w:p>
    <w:p>
      <w:pPr>
        <w:spacing w:after="0" w:line="1" w:lineRule="exact"/>
        <w:rPr>
          <w:rFonts w:ascii="Arial" w:cs="Arial" w:eastAsia="Arial" w:hAnsi="Arial"/>
          <w:sz w:val="20"/>
          <w:szCs w:val="20"/>
          <w:b w:val="1"/>
          <w:bCs w:val="1"/>
          <w:color w:val="auto"/>
        </w:rPr>
      </w:pPr>
    </w:p>
    <w:p>
      <w:pPr>
        <w:ind w:left="7"/>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Portions of this exhibit are redacted in accordance with Item 601(b)(10)(iv) of Regulation S-K.</w:t>
      </w:r>
    </w:p>
    <w:p>
      <w:pPr>
        <w:spacing w:after="0" w:line="240" w:lineRule="exact"/>
        <w:rPr>
          <w:sz w:val="20"/>
          <w:szCs w:val="20"/>
          <w:color w:val="auto"/>
        </w:rPr>
      </w:pPr>
    </w:p>
    <w:p>
      <w:pPr>
        <w:ind w:left="7"/>
        <w:spacing w:after="0"/>
        <w:tabs>
          <w:tab w:leader="none" w:pos="1207"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20"/>
          <w:szCs w:val="20"/>
          <w:b w:val="1"/>
          <w:bCs w:val="1"/>
          <w:color w:val="auto"/>
        </w:rPr>
        <w:t>FORM 10-K SUMMARY</w:t>
      </w:r>
    </w:p>
    <w:p>
      <w:pPr>
        <w:spacing w:after="0" w:line="120" w:lineRule="exact"/>
        <w:rPr>
          <w:sz w:val="20"/>
          <w:szCs w:val="20"/>
          <w:color w:val="auto"/>
        </w:rPr>
      </w:pPr>
    </w:p>
    <w:p>
      <w:pPr>
        <w:ind w:left="487"/>
        <w:spacing w:after="0"/>
        <w:rPr>
          <w:sz w:val="20"/>
          <w:szCs w:val="20"/>
          <w:color w:val="auto"/>
        </w:rPr>
      </w:pPr>
      <w:r>
        <w:rPr>
          <w:rFonts w:ascii="Arial" w:cs="Arial" w:eastAsia="Arial" w:hAnsi="Arial"/>
          <w:sz w:val="20"/>
          <w:szCs w:val="20"/>
          <w:b w:val="1"/>
          <w:bCs w:val="1"/>
          <w:color w:val="auto"/>
        </w:rPr>
        <w:t>None.</w:t>
      </w:r>
    </w:p>
    <w:p>
      <w:pPr>
        <w:sectPr>
          <w:pgSz w:w="12240" w:h="15840" w:orient="portrait"/>
          <w:cols w:equalWidth="0" w:num="1">
            <w:col w:w="10447"/>
          </w:cols>
          <w:pgMar w:left="893" w:top="960"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6"/>
        <w:spacing w:after="0"/>
        <w:rPr>
          <w:sz w:val="20"/>
          <w:szCs w:val="20"/>
          <w:color w:val="auto"/>
        </w:rPr>
      </w:pPr>
      <w:r>
        <w:rPr>
          <w:rFonts w:ascii="Arial" w:cs="Arial" w:eastAsia="Arial" w:hAnsi="Arial"/>
          <w:sz w:val="17"/>
          <w:szCs w:val="17"/>
          <w:b w:val="1"/>
          <w:bCs w:val="1"/>
          <w:color w:val="auto"/>
        </w:rPr>
        <w:t>149</w:t>
      </w:r>
    </w:p>
    <w:p>
      <w:pPr>
        <w:sectPr>
          <w:pgSz w:w="12240" w:h="15840" w:orient="portrait"/>
          <w:cols w:equalWidth="0" w:num="1">
            <w:col w:w="10447"/>
          </w:cols>
          <w:pgMar w:left="893" w:top="960" w:right="900" w:bottom="181"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SIGNATURES</w:t>
      </w:r>
    </w:p>
    <w:p>
      <w:pPr>
        <w:spacing w:after="0" w:line="248" w:lineRule="exact"/>
        <w:rPr>
          <w:sz w:val="20"/>
          <w:szCs w:val="20"/>
          <w:color w:val="auto"/>
        </w:rPr>
      </w:pPr>
    </w:p>
    <w:p>
      <w:pPr>
        <w:ind w:firstLine="490"/>
        <w:spacing w:after="0" w:line="254"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5580" w:type="dxa"/>
            <w:vAlign w:val="bottom"/>
          </w:tcPr>
          <w:p>
            <w:pPr>
              <w:ind w:left="1540"/>
              <w:spacing w:after="0"/>
              <w:rPr>
                <w:sz w:val="20"/>
                <w:szCs w:val="20"/>
                <w:color w:val="auto"/>
              </w:rPr>
            </w:pPr>
            <w:r>
              <w:rPr>
                <w:rFonts w:ascii="Arial" w:cs="Arial" w:eastAsia="Arial" w:hAnsi="Arial"/>
                <w:sz w:val="20"/>
                <w:szCs w:val="20"/>
                <w:b w:val="1"/>
                <w:bCs w:val="1"/>
                <w:color w:val="auto"/>
              </w:rPr>
              <w:t>DISC MEDICINE, INC.</w:t>
            </w:r>
          </w:p>
        </w:tc>
        <w:tc>
          <w:tcPr>
            <w:tcW w:w="0" w:type="dxa"/>
            <w:vAlign w:val="bottom"/>
          </w:tcPr>
          <w:p>
            <w:pPr>
              <w:spacing w:after="0"/>
              <w:rPr>
                <w:sz w:val="1"/>
                <w:szCs w:val="1"/>
                <w:color w:val="auto"/>
              </w:rPr>
            </w:pPr>
          </w:p>
        </w:tc>
      </w:tr>
      <w:tr>
        <w:trPr>
          <w:trHeight w:val="475"/>
        </w:trPr>
        <w:tc>
          <w:tcPr>
            <w:tcW w:w="3500" w:type="dxa"/>
            <w:vAlign w:val="bottom"/>
            <w:vMerge w:val="restart"/>
          </w:tcPr>
          <w:p>
            <w:pPr>
              <w:spacing w:after="0"/>
              <w:rPr>
                <w:sz w:val="20"/>
                <w:szCs w:val="20"/>
                <w:color w:val="auto"/>
              </w:rPr>
            </w:pPr>
            <w:r>
              <w:rPr>
                <w:rFonts w:ascii="Arial" w:cs="Arial" w:eastAsia="Arial" w:hAnsi="Arial"/>
                <w:sz w:val="20"/>
                <w:szCs w:val="20"/>
                <w:b w:val="1"/>
                <w:bCs w:val="1"/>
                <w:color w:val="auto"/>
              </w:rPr>
              <w:t>Date: February 27, 2025</w:t>
            </w:r>
          </w:p>
        </w:tc>
        <w:tc>
          <w:tcPr>
            <w:tcW w:w="5580" w:type="dxa"/>
            <w:vAlign w:val="bottom"/>
          </w:tcPr>
          <w:p>
            <w:pPr>
              <w:ind w:left="1540"/>
              <w:spacing w:after="0"/>
              <w:rPr>
                <w:sz w:val="20"/>
                <w:szCs w:val="20"/>
                <w:color w:val="auto"/>
              </w:rPr>
            </w:pPr>
            <w:r>
              <w:rPr>
                <w:rFonts w:ascii="Arial" w:cs="Arial" w:eastAsia="Arial" w:hAnsi="Arial"/>
                <w:sz w:val="20"/>
                <w:szCs w:val="20"/>
                <w:b w:val="1"/>
                <w:bCs w:val="1"/>
                <w:color w:val="auto"/>
              </w:rPr>
              <w:t>By:  /s/ Jean Franchi</w:t>
            </w:r>
          </w:p>
        </w:tc>
        <w:tc>
          <w:tcPr>
            <w:tcW w:w="0" w:type="dxa"/>
            <w:vAlign w:val="bottom"/>
          </w:tcPr>
          <w:p>
            <w:pPr>
              <w:spacing w:after="0"/>
              <w:rPr>
                <w:sz w:val="1"/>
                <w:szCs w:val="1"/>
                <w:color w:val="auto"/>
              </w:rPr>
            </w:pPr>
          </w:p>
        </w:tc>
      </w:tr>
      <w:tr>
        <w:trPr>
          <w:trHeight w:val="79"/>
        </w:trPr>
        <w:tc>
          <w:tcPr>
            <w:tcW w:w="3500" w:type="dxa"/>
            <w:vAlign w:val="bottom"/>
            <w:vMerge w:val="continue"/>
          </w:tcPr>
          <w:p>
            <w:pPr>
              <w:spacing w:after="0"/>
              <w:rPr>
                <w:sz w:val="6"/>
                <w:szCs w:val="6"/>
                <w:color w:val="auto"/>
              </w:rPr>
            </w:pPr>
          </w:p>
        </w:tc>
        <w:tc>
          <w:tcPr>
            <w:tcW w:w="5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5580" w:type="dxa"/>
            <w:vAlign w:val="bottom"/>
          </w:tcPr>
          <w:p>
            <w:pPr>
              <w:ind w:left="1980"/>
              <w:spacing w:after="0"/>
              <w:rPr>
                <w:sz w:val="20"/>
                <w:szCs w:val="20"/>
                <w:color w:val="auto"/>
              </w:rPr>
            </w:pPr>
            <w:r>
              <w:rPr>
                <w:rFonts w:ascii="Arial" w:cs="Arial" w:eastAsia="Arial" w:hAnsi="Arial"/>
                <w:sz w:val="20"/>
                <w:szCs w:val="20"/>
                <w:b w:val="1"/>
                <w:bCs w:val="1"/>
                <w:color w:val="auto"/>
              </w:rPr>
              <w:t>Jean Franchi</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5580" w:type="dxa"/>
            <w:vAlign w:val="bottom"/>
          </w:tcPr>
          <w:p>
            <w:pPr>
              <w:ind w:left="1980"/>
              <w:spacing w:after="0"/>
              <w:rPr>
                <w:sz w:val="20"/>
                <w:szCs w:val="20"/>
                <w:color w:val="auto"/>
              </w:rPr>
            </w:pPr>
            <w:r>
              <w:rPr>
                <w:rFonts w:ascii="Arial" w:cs="Arial" w:eastAsia="Arial" w:hAnsi="Arial"/>
                <w:sz w:val="20"/>
                <w:szCs w:val="20"/>
                <w:b w:val="1"/>
                <w:bCs w:val="1"/>
                <w:color w:val="auto"/>
              </w:rPr>
              <w:t>Chief Financial Officer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5580" w:type="dxa"/>
            <w:vAlign w:val="bottom"/>
          </w:tcPr>
          <w:p>
            <w:pPr>
              <w:ind w:left="1980"/>
              <w:spacing w:after="0"/>
              <w:rPr>
                <w:sz w:val="20"/>
                <w:szCs w:val="20"/>
                <w:color w:val="auto"/>
              </w:rPr>
            </w:pPr>
            <w:r>
              <w:rPr>
                <w:rFonts w:ascii="Arial" w:cs="Arial" w:eastAsia="Arial" w:hAnsi="Arial"/>
                <w:sz w:val="20"/>
                <w:szCs w:val="20"/>
                <w:b w:val="1"/>
                <w:bCs w:val="1"/>
                <w:color w:val="auto"/>
                <w:w w:val="85"/>
              </w:rPr>
              <w:t>(Principal Financial and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-475615</wp:posOffset>
            </wp:positionV>
            <wp:extent cx="3153410" cy="139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64">
                      <a:extLst>
                        <a:ext uri="{28A0092B-C50C-407E-A947-70E740481C1C}"/>
                      </a:extLst>
                    </a:blip>
                    <a:srcRect/>
                    <a:stretch>
                      <a:fillRect/>
                    </a:stretch>
                  </pic:blipFill>
                  <pic:spPr bwMode="auto">
                    <a:xfrm>
                      <a:off x="0" y="0"/>
                      <a:ext cx="3153410" cy="1397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150</w:t>
      </w:r>
    </w:p>
    <w:p>
      <w:pPr>
        <w:sectPr>
          <w:pgSz w:w="12240" w:h="15840" w:orient="portrait"/>
          <w:cols w:equalWidth="0" w:num="1">
            <w:col w:w="10440"/>
          </w:cols>
          <w:pgMar w:left="900" w:top="949" w:right="900" w:bottom="181"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48"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6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ind w:left="1680"/>
              <w:spacing w:after="0"/>
              <w:rPr>
                <w:sz w:val="20"/>
                <w:szCs w:val="20"/>
                <w:color w:val="auto"/>
              </w:rPr>
            </w:pPr>
            <w:r>
              <w:rPr>
                <w:rFonts w:ascii="Arial" w:cs="Arial" w:eastAsia="Arial" w:hAnsi="Arial"/>
                <w:sz w:val="16"/>
                <w:szCs w:val="16"/>
                <w:b w:val="1"/>
                <w:bCs w:val="1"/>
                <w:color w:val="auto"/>
              </w:rPr>
              <w:t>Signature</w:t>
            </w:r>
          </w:p>
        </w:tc>
        <w:tc>
          <w:tcPr>
            <w:tcW w:w="5120" w:type="dxa"/>
            <w:vAlign w:val="bottom"/>
          </w:tcPr>
          <w:p>
            <w:pPr>
              <w:ind w:left="2940"/>
              <w:spacing w:after="0"/>
              <w:rPr>
                <w:sz w:val="20"/>
                <w:szCs w:val="20"/>
                <w:color w:val="auto"/>
              </w:rPr>
            </w:pPr>
            <w:r>
              <w:rPr>
                <w:rFonts w:ascii="Arial" w:cs="Arial" w:eastAsia="Arial" w:hAnsi="Arial"/>
                <w:sz w:val="16"/>
                <w:szCs w:val="16"/>
                <w:b w:val="1"/>
                <w:bCs w:val="1"/>
                <w:color w:val="auto"/>
              </w:rPr>
              <w:t>Title</w:t>
            </w:r>
          </w:p>
        </w:tc>
        <w:tc>
          <w:tcPr>
            <w:tcW w:w="1840" w:type="dxa"/>
            <w:vAlign w:val="bottom"/>
          </w:tcPr>
          <w:p>
            <w:pPr>
              <w:ind w:left="10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04"/>
        </w:trPr>
        <w:tc>
          <w:tcPr>
            <w:tcW w:w="3260" w:type="dxa"/>
            <w:vAlign w:val="bottom"/>
          </w:tcPr>
          <w:p>
            <w:pPr>
              <w:spacing w:after="0"/>
              <w:rPr>
                <w:sz w:val="20"/>
                <w:szCs w:val="20"/>
                <w:color w:val="auto"/>
              </w:rPr>
            </w:pPr>
            <w:r>
              <w:rPr>
                <w:rFonts w:ascii="Arial" w:cs="Arial" w:eastAsia="Arial" w:hAnsi="Arial"/>
                <w:sz w:val="20"/>
                <w:szCs w:val="20"/>
                <w:b w:val="1"/>
                <w:bCs w:val="1"/>
                <w:color w:val="auto"/>
              </w:rPr>
              <w:t>/s/ John Quisel</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w w:val="94"/>
              </w:rPr>
              <w:t>President, Chief Executive Officer and 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230"/>
        </w:trPr>
        <w:tc>
          <w:tcPr>
            <w:tcW w:w="3260" w:type="dxa"/>
            <w:vAlign w:val="bottom"/>
            <w:vMerge w:val="restart"/>
          </w:tcPr>
          <w:p>
            <w:pPr>
              <w:spacing w:after="0"/>
              <w:rPr>
                <w:sz w:val="20"/>
                <w:szCs w:val="20"/>
                <w:color w:val="auto"/>
              </w:rPr>
            </w:pPr>
            <w:r>
              <w:rPr>
                <w:rFonts w:ascii="Arial" w:cs="Arial" w:eastAsia="Arial" w:hAnsi="Arial"/>
                <w:sz w:val="20"/>
                <w:szCs w:val="20"/>
                <w:b w:val="1"/>
                <w:bCs w:val="1"/>
                <w:color w:val="auto"/>
              </w:rPr>
              <w:t>John Quisel, J.D., Ph.D.</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(Principal Executive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3260" w:type="dxa"/>
            <w:vAlign w:val="bottom"/>
            <w:vMerge w:val="continue"/>
          </w:tcPr>
          <w:p>
            <w:pPr>
              <w:spacing w:after="0"/>
              <w:rPr>
                <w:sz w:val="7"/>
                <w:szCs w:val="7"/>
                <w:color w:val="auto"/>
              </w:rPr>
            </w:pPr>
          </w:p>
        </w:tc>
        <w:tc>
          <w:tcPr>
            <w:tcW w:w="5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3"/>
        </w:trPr>
        <w:tc>
          <w:tcPr>
            <w:tcW w:w="3260" w:type="dxa"/>
            <w:vAlign w:val="bottom"/>
          </w:tcPr>
          <w:p>
            <w:pPr>
              <w:spacing w:after="0"/>
              <w:rPr>
                <w:sz w:val="20"/>
                <w:szCs w:val="20"/>
                <w:color w:val="auto"/>
              </w:rPr>
            </w:pPr>
            <w:r>
              <w:rPr>
                <w:rFonts w:ascii="Arial" w:cs="Arial" w:eastAsia="Arial" w:hAnsi="Arial"/>
                <w:sz w:val="20"/>
                <w:szCs w:val="20"/>
                <w:b w:val="1"/>
                <w:bCs w:val="1"/>
                <w:color w:val="auto"/>
              </w:rPr>
              <w:t>/s/ Jean Franchi</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Chief Financial Officer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230"/>
        </w:trPr>
        <w:tc>
          <w:tcPr>
            <w:tcW w:w="3260" w:type="dxa"/>
            <w:vAlign w:val="bottom"/>
            <w:vMerge w:val="restart"/>
          </w:tcPr>
          <w:p>
            <w:pPr>
              <w:spacing w:after="0"/>
              <w:rPr>
                <w:sz w:val="20"/>
                <w:szCs w:val="20"/>
                <w:color w:val="auto"/>
              </w:rPr>
            </w:pPr>
            <w:r>
              <w:rPr>
                <w:rFonts w:ascii="Arial" w:cs="Arial" w:eastAsia="Arial" w:hAnsi="Arial"/>
                <w:sz w:val="20"/>
                <w:szCs w:val="20"/>
                <w:b w:val="1"/>
                <w:bCs w:val="1"/>
                <w:color w:val="auto"/>
              </w:rPr>
              <w:t>Jean Franchi</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(Principal Financial and Accounting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Donald Nicholson</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Donald Nicholson, Ph.D.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Kevin Bitterman</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Kevin Bitterman, Ph.D.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Liam Ratcliffe</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Liam Ratcliffe, M.D., Ph.D.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William White</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William White MPP, J.D.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Mona Ashiya</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Mona Ashiya, Ph.D.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Mark Chin</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Mark Chin, MS, MBA</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0"/>
                <w:szCs w:val="20"/>
                <w:color w:val="auto"/>
              </w:rPr>
            </w:pPr>
            <w:r>
              <w:rPr>
                <w:rFonts w:ascii="Arial" w:cs="Arial" w:eastAsia="Arial" w:hAnsi="Arial"/>
                <w:sz w:val="20"/>
                <w:szCs w:val="20"/>
                <w:b w:val="1"/>
                <w:bCs w:val="1"/>
                <w:color w:val="auto"/>
              </w:rPr>
              <w:t>/s/ Georges Gemayel</w:t>
            </w:r>
          </w:p>
        </w:tc>
        <w:tc>
          <w:tcPr>
            <w:tcW w:w="5120" w:type="dxa"/>
            <w:vAlign w:val="bottom"/>
          </w:tcPr>
          <w:p>
            <w:pPr>
              <w:ind w:left="920"/>
              <w:spacing w:after="0"/>
              <w:rPr>
                <w:sz w:val="20"/>
                <w:szCs w:val="20"/>
                <w:color w:val="auto"/>
              </w:rPr>
            </w:pPr>
            <w:r>
              <w:rPr>
                <w:rFonts w:ascii="Arial" w:cs="Arial" w:eastAsia="Arial" w:hAnsi="Arial"/>
                <w:sz w:val="20"/>
                <w:szCs w:val="20"/>
                <w:b w:val="1"/>
                <w:bCs w:val="1"/>
                <w:color w:val="auto"/>
              </w:rPr>
              <w:t>Director</w:t>
            </w:r>
          </w:p>
        </w:tc>
        <w:tc>
          <w:tcPr>
            <w:tcW w:w="1840" w:type="dxa"/>
            <w:vAlign w:val="bottom"/>
          </w:tcPr>
          <w:p>
            <w:pPr>
              <w:ind w:left="380"/>
              <w:spacing w:after="0"/>
              <w:rPr>
                <w:sz w:val="20"/>
                <w:szCs w:val="20"/>
                <w:color w:val="auto"/>
              </w:rPr>
            </w:pPr>
            <w:r>
              <w:rPr>
                <w:rFonts w:ascii="Arial" w:cs="Arial" w:eastAsia="Arial" w:hAnsi="Arial"/>
                <w:sz w:val="20"/>
                <w:szCs w:val="20"/>
                <w:b w:val="1"/>
                <w:bCs w:val="1"/>
                <w:color w:val="auto"/>
                <w:w w:val="85"/>
              </w:rPr>
              <w:t>February 27, 2025</w:t>
            </w: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20"/>
                <w:szCs w:val="20"/>
                <w:b w:val="1"/>
                <w:bCs w:val="1"/>
                <w:color w:val="auto"/>
              </w:rPr>
              <w:t>Georges Gemayel, Ph.D.</w:t>
            </w:r>
          </w:p>
        </w:tc>
        <w:tc>
          <w:tcPr>
            <w:tcW w:w="5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-3780790</wp:posOffset>
            </wp:positionV>
            <wp:extent cx="6640195"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65">
                      <a:extLst>
                        <a:ext uri="{28A0092B-C50C-407E-A947-70E740481C1C}"/>
                      </a:extLst>
                    </a:blip>
                    <a:srcRect/>
                    <a:stretch>
                      <a:fillRect/>
                    </a:stretch>
                  </pic:blipFill>
                  <pic:spPr bwMode="auto">
                    <a:xfrm>
                      <a:off x="0" y="0"/>
                      <a:ext cx="664019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-3511550</wp:posOffset>
            </wp:positionV>
            <wp:extent cx="2576830" cy="15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66">
                      <a:extLst>
                        <a:ext uri="{28A0092B-C50C-407E-A947-70E740481C1C}"/>
                      </a:extLst>
                    </a:blip>
                    <a:srcRect/>
                    <a:stretch>
                      <a:fillRect/>
                    </a:stretch>
                  </pic:blipFill>
                  <pic:spPr bwMode="auto">
                    <a:xfrm>
                      <a:off x="0" y="0"/>
                      <a:ext cx="2576830"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-3094990</wp:posOffset>
            </wp:positionV>
            <wp:extent cx="2576830" cy="152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67">
                      <a:extLst>
                        <a:ext uri="{28A0092B-C50C-407E-A947-70E740481C1C}"/>
                      </a:extLst>
                    </a:blip>
                    <a:srcRect/>
                    <a:stretch>
                      <a:fillRect/>
                    </a:stretch>
                  </pic:blipFill>
                  <pic:spPr bwMode="auto">
                    <a:xfrm>
                      <a:off x="0" y="0"/>
                      <a:ext cx="2576830"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-2679065</wp:posOffset>
            </wp:positionV>
            <wp:extent cx="2576830" cy="139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68">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-2263140</wp:posOffset>
            </wp:positionV>
            <wp:extent cx="2576830" cy="139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69">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-1847215</wp:posOffset>
            </wp:positionV>
            <wp:extent cx="2576830" cy="139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0">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-1431290</wp:posOffset>
            </wp:positionV>
            <wp:extent cx="2576830" cy="139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1">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-1014730</wp:posOffset>
            </wp:positionV>
            <wp:extent cx="2576830" cy="139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2">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-598805</wp:posOffset>
            </wp:positionV>
            <wp:extent cx="2576830" cy="139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3">
                      <a:extLst>
                        <a:ext uri="{28A0092B-C50C-407E-A947-70E740481C1C}"/>
                      </a:extLst>
                    </a:blip>
                    <a:srcRect/>
                    <a:stretch>
                      <a:fillRect/>
                    </a:stretch>
                  </pic:blipFill>
                  <pic:spPr bwMode="auto">
                    <a:xfrm>
                      <a:off x="0" y="0"/>
                      <a:ext cx="257683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-184150</wp:posOffset>
            </wp:positionV>
            <wp:extent cx="2576830"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74">
                      <a:extLst>
                        <a:ext uri="{28A0092B-C50C-407E-A947-70E740481C1C}"/>
                      </a:extLst>
                    </a:blip>
                    <a:srcRect/>
                    <a:stretch>
                      <a:fillRect/>
                    </a:stretch>
                  </pic:blipFill>
                  <pic:spPr bwMode="auto">
                    <a:xfrm>
                      <a:off x="0" y="0"/>
                      <a:ext cx="2576830" cy="15240"/>
                    </a:xfrm>
                    <a:prstGeom prst="rect">
                      <a:avLst/>
                    </a:prstGeom>
                    <a:noFill/>
                  </pic:spPr>
                </pic:pic>
              </a:graphicData>
            </a:graphic>
          </wp:anchor>
        </w:drawing>
      </w:r>
    </w:p>
    <w:p>
      <w:pPr>
        <w:sectPr>
          <w:pgSz w:w="12240" w:h="15840" w:orient="portrait"/>
          <w:cols w:equalWidth="0" w:num="1">
            <w:col w:w="10440"/>
          </w:cols>
          <w:pgMar w:left="900" w:top="949"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151</w:t>
      </w:r>
    </w:p>
    <w:p>
      <w:pPr>
        <w:sectPr>
          <w:pgSz w:w="12240" w:h="15840" w:orient="portrait"/>
          <w:cols w:equalWidth="0" w:num="1">
            <w:col w:w="10440"/>
          </w:cols>
          <w:pgMar w:left="900" w:top="949" w:right="900" w:bottom="181" w:gutter="0" w:footer="0" w:header="0"/>
          <w:type w:val="continuous"/>
        </w:sectPr>
      </w:pPr>
    </w:p>
    <w:bookmarkStart w:id="161" w:name="page162"/>
    <w:bookmarkEnd w:id="161"/>
    <w:tbl>
      <w:tblPr>
        <w:tblLayout w:type="fixed"/>
        <w:tblInd w:w="10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6"/>
                <w:szCs w:val="16"/>
                <w:b w:val="1"/>
                <w:bCs w:val="1"/>
                <w:color w:val="auto"/>
              </w:rPr>
              <w:t>OARD OF</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IRECTORS</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XECUTIVE</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FFICERS</w:t>
            </w:r>
          </w:p>
        </w:tc>
      </w:tr>
      <w:tr>
        <w:trPr>
          <w:trHeight w:val="470"/>
        </w:trPr>
        <w:tc>
          <w:tcPr>
            <w:tcW w:w="3000" w:type="dxa"/>
            <w:vAlign w:val="bottom"/>
          </w:tcPr>
          <w:p>
            <w:pPr>
              <w:spacing w:after="0"/>
              <w:rPr>
                <w:sz w:val="20"/>
                <w:szCs w:val="20"/>
                <w:color w:val="auto"/>
              </w:rPr>
            </w:pPr>
            <w:r>
              <w:rPr>
                <w:rFonts w:ascii="Arial" w:cs="Arial" w:eastAsia="Arial" w:hAnsi="Arial"/>
                <w:sz w:val="20"/>
                <w:szCs w:val="20"/>
                <w:b w:val="1"/>
                <w:bCs w:val="1"/>
                <w:color w:val="auto"/>
              </w:rPr>
              <w:t>John Quisel, J.D., Ph.D.</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John Quisel, J.D., Ph.D.</w:t>
            </w: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w w:val="92"/>
              </w:rPr>
              <w:t>President, Chief Executive Officer</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w w:val="85"/>
              </w:rPr>
              <w:t>President, Chief Executive Officer</w:t>
            </w: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and Director</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and Director</w:t>
            </w:r>
          </w:p>
        </w:tc>
      </w:tr>
      <w:tr>
        <w:trPr>
          <w:trHeight w:val="468"/>
        </w:trPr>
        <w:tc>
          <w:tcPr>
            <w:tcW w:w="3000" w:type="dxa"/>
            <w:vAlign w:val="bottom"/>
          </w:tcPr>
          <w:p>
            <w:pPr>
              <w:spacing w:after="0"/>
              <w:rPr>
                <w:sz w:val="20"/>
                <w:szCs w:val="20"/>
                <w:color w:val="auto"/>
              </w:rPr>
            </w:pPr>
            <w:r>
              <w:rPr>
                <w:rFonts w:ascii="Arial" w:cs="Arial" w:eastAsia="Arial" w:hAnsi="Arial"/>
                <w:sz w:val="20"/>
                <w:szCs w:val="20"/>
                <w:b w:val="1"/>
                <w:bCs w:val="1"/>
                <w:color w:val="auto"/>
              </w:rPr>
              <w:t>Donald Nicholson, Ph.D.</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Jean Franchi</w:t>
            </w: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w w:val="94"/>
              </w:rPr>
              <w:t>Executive Chairman of the Board</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Chief Financial Officer</w:t>
            </w: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of Directors, Former Chief</w:t>
            </w:r>
          </w:p>
        </w:tc>
        <w:tc>
          <w:tcPr>
            <w:tcW w:w="2880" w:type="dxa"/>
            <w:vAlign w:val="bottom"/>
          </w:tcPr>
          <w:p>
            <w:pPr>
              <w:spacing w:after="0"/>
              <w:rPr>
                <w:sz w:val="20"/>
                <w:szCs w:val="20"/>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Executive Officer, Nimbus</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Jonathan Yu, M.B.A.</w:t>
            </w: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Therapeutics, LLC</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Chief Operating Officer</w:t>
            </w:r>
          </w:p>
        </w:tc>
      </w:tr>
      <w:tr>
        <w:trPr>
          <w:trHeight w:val="467"/>
        </w:trPr>
        <w:tc>
          <w:tcPr>
            <w:tcW w:w="3000" w:type="dxa"/>
            <w:vAlign w:val="bottom"/>
          </w:tcPr>
          <w:p>
            <w:pPr>
              <w:spacing w:after="0"/>
              <w:rPr>
                <w:sz w:val="20"/>
                <w:szCs w:val="20"/>
                <w:color w:val="auto"/>
              </w:rPr>
            </w:pPr>
            <w:r>
              <w:rPr>
                <w:rFonts w:ascii="Arial" w:cs="Arial" w:eastAsia="Arial" w:hAnsi="Arial"/>
                <w:sz w:val="20"/>
                <w:szCs w:val="20"/>
                <w:b w:val="1"/>
                <w:bCs w:val="1"/>
                <w:color w:val="auto"/>
              </w:rPr>
              <w:t>Mona Ashiya, Ph.D.</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William Savage, M.D., Ph.D.</w:t>
            </w:r>
          </w:p>
        </w:tc>
      </w:tr>
      <w:tr>
        <w:trPr>
          <w:trHeight w:val="231"/>
        </w:trPr>
        <w:tc>
          <w:tcPr>
            <w:tcW w:w="3000" w:type="dxa"/>
            <w:vAlign w:val="bottom"/>
          </w:tcPr>
          <w:p>
            <w:pPr>
              <w:spacing w:after="0" w:line="222" w:lineRule="exact"/>
              <w:rPr>
                <w:sz w:val="20"/>
                <w:szCs w:val="20"/>
                <w:color w:val="auto"/>
              </w:rPr>
            </w:pPr>
            <w:r>
              <w:rPr>
                <w:rFonts w:ascii="Arial" w:cs="Arial" w:eastAsia="Arial" w:hAnsi="Arial"/>
                <w:sz w:val="20"/>
                <w:szCs w:val="20"/>
                <w:b w:val="1"/>
                <w:bCs w:val="1"/>
                <w:color w:val="auto"/>
              </w:rPr>
              <w:t>Partner, OrbiMed Advisors LLC</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Chief Medical Officer</w:t>
            </w:r>
          </w:p>
        </w:tc>
      </w:tr>
      <w:tr>
        <w:trPr>
          <w:trHeight w:val="460"/>
        </w:trPr>
        <w:tc>
          <w:tcPr>
            <w:tcW w:w="3000" w:type="dxa"/>
            <w:vAlign w:val="bottom"/>
          </w:tcPr>
          <w:p>
            <w:pPr>
              <w:spacing w:after="0"/>
              <w:rPr>
                <w:sz w:val="20"/>
                <w:szCs w:val="20"/>
                <w:color w:val="auto"/>
              </w:rPr>
            </w:pPr>
            <w:r>
              <w:rPr>
                <w:rFonts w:ascii="Arial" w:cs="Arial" w:eastAsia="Arial" w:hAnsi="Arial"/>
                <w:sz w:val="20"/>
                <w:szCs w:val="20"/>
                <w:b w:val="1"/>
                <w:bCs w:val="1"/>
                <w:color w:val="auto"/>
              </w:rPr>
              <w:t>Kevin Bitterman, Ph.D.</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Pamela Stephenson, MPH</w:t>
            </w:r>
          </w:p>
        </w:tc>
      </w:tr>
      <w:tr>
        <w:trPr>
          <w:trHeight w:val="241"/>
        </w:trPr>
        <w:tc>
          <w:tcPr>
            <w:tcW w:w="3000" w:type="dxa"/>
            <w:vAlign w:val="bottom"/>
          </w:tcPr>
          <w:p>
            <w:pPr>
              <w:spacing w:after="0" w:line="222" w:lineRule="exact"/>
              <w:rPr>
                <w:sz w:val="20"/>
                <w:szCs w:val="20"/>
                <w:color w:val="auto"/>
              </w:rPr>
            </w:pPr>
            <w:r>
              <w:rPr>
                <w:rFonts w:ascii="Arial" w:cs="Arial" w:eastAsia="Arial" w:hAnsi="Arial"/>
                <w:sz w:val="20"/>
                <w:szCs w:val="20"/>
                <w:b w:val="1"/>
                <w:bCs w:val="1"/>
                <w:color w:val="auto"/>
              </w:rPr>
              <w:t>Partner, Atlas Venture</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Chief Commercial Officer</w:t>
            </w:r>
          </w:p>
        </w:tc>
      </w:tr>
      <w:tr>
        <w:trPr>
          <w:trHeight w:val="448"/>
        </w:trPr>
        <w:tc>
          <w:tcPr>
            <w:tcW w:w="3000" w:type="dxa"/>
            <w:vAlign w:val="bottom"/>
          </w:tcPr>
          <w:p>
            <w:pPr>
              <w:spacing w:after="0"/>
              <w:rPr>
                <w:sz w:val="20"/>
                <w:szCs w:val="20"/>
                <w:color w:val="auto"/>
              </w:rPr>
            </w:pPr>
            <w:r>
              <w:rPr>
                <w:rFonts w:ascii="Arial" w:cs="Arial" w:eastAsia="Arial" w:hAnsi="Arial"/>
                <w:sz w:val="20"/>
                <w:szCs w:val="20"/>
                <w:b w:val="1"/>
                <w:bCs w:val="1"/>
                <w:color w:val="auto"/>
              </w:rPr>
              <w:t>Mark Chin, M.S., M.B.A.</w:t>
            </w:r>
          </w:p>
        </w:tc>
        <w:tc>
          <w:tcPr>
            <w:tcW w:w="2880" w:type="dxa"/>
            <w:vAlign w:val="bottom"/>
          </w:tcPr>
          <w:p>
            <w:pPr>
              <w:ind w:left="120"/>
              <w:spacing w:after="0"/>
              <w:rPr>
                <w:sz w:val="20"/>
                <w:szCs w:val="20"/>
                <w:color w:val="auto"/>
              </w:rPr>
            </w:pPr>
            <w:r>
              <w:rPr>
                <w:rFonts w:ascii="Arial" w:cs="Arial" w:eastAsia="Arial" w:hAnsi="Arial"/>
                <w:sz w:val="20"/>
                <w:szCs w:val="20"/>
                <w:b w:val="1"/>
                <w:bCs w:val="1"/>
                <w:color w:val="auto"/>
              </w:rPr>
              <w:t>Rahul Khara, Pharm.D., J.D.</w:t>
            </w: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b w:val="1"/>
                <w:bCs w:val="1"/>
                <w:color w:val="auto"/>
              </w:rPr>
              <w:t>Partner, Avoro Capital</w:t>
            </w:r>
          </w:p>
        </w:tc>
        <w:tc>
          <w:tcPr>
            <w:tcW w:w="2880" w:type="dxa"/>
            <w:vAlign w:val="bottom"/>
          </w:tcPr>
          <w:p>
            <w:pPr>
              <w:spacing w:after="0"/>
              <w:rPr>
                <w:sz w:val="19"/>
                <w:szCs w:val="19"/>
                <w:color w:val="auto"/>
              </w:rPr>
            </w:pPr>
          </w:p>
        </w:tc>
      </w:tr>
      <w:tr>
        <w:trPr>
          <w:trHeight w:val="461"/>
        </w:trPr>
        <w:tc>
          <w:tcPr>
            <w:tcW w:w="3000" w:type="dxa"/>
            <w:vAlign w:val="bottom"/>
          </w:tcPr>
          <w:p>
            <w:pPr>
              <w:spacing w:after="0"/>
              <w:rPr>
                <w:sz w:val="20"/>
                <w:szCs w:val="20"/>
                <w:color w:val="auto"/>
              </w:rPr>
            </w:pPr>
            <w:r>
              <w:rPr>
                <w:rFonts w:ascii="Arial" w:cs="Arial" w:eastAsia="Arial" w:hAnsi="Arial"/>
                <w:sz w:val="20"/>
                <w:szCs w:val="20"/>
                <w:b w:val="1"/>
                <w:bCs w:val="1"/>
                <w:color w:val="auto"/>
              </w:rPr>
              <w:t>Georges Gemayel, Ph.D.</w:t>
            </w:r>
          </w:p>
        </w:tc>
        <w:tc>
          <w:tcPr>
            <w:tcW w:w="288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w w:val="91"/>
              </w:rPr>
              <w:t>Former President, Chief Executive</w:t>
            </w:r>
          </w:p>
        </w:tc>
        <w:tc>
          <w:tcPr>
            <w:tcW w:w="2880" w:type="dxa"/>
            <w:vAlign w:val="bottom"/>
          </w:tcPr>
          <w:p>
            <w:pPr>
              <w:spacing w:after="0"/>
              <w:rPr>
                <w:sz w:val="20"/>
                <w:szCs w:val="20"/>
                <w:color w:val="auto"/>
              </w:rPr>
            </w:pPr>
          </w:p>
        </w:tc>
      </w:tr>
      <w:tr>
        <w:trPr>
          <w:trHeight w:val="228"/>
        </w:trPr>
        <w:tc>
          <w:tcPr>
            <w:tcW w:w="3000" w:type="dxa"/>
            <w:vAlign w:val="bottom"/>
          </w:tcPr>
          <w:p>
            <w:pPr>
              <w:spacing w:after="0" w:line="228" w:lineRule="exact"/>
              <w:rPr>
                <w:sz w:val="20"/>
                <w:szCs w:val="20"/>
                <w:color w:val="auto"/>
              </w:rPr>
            </w:pPr>
            <w:r>
              <w:rPr>
                <w:rFonts w:ascii="Arial" w:cs="Arial" w:eastAsia="Arial" w:hAnsi="Arial"/>
                <w:sz w:val="20"/>
                <w:szCs w:val="20"/>
                <w:b w:val="1"/>
                <w:bCs w:val="1"/>
                <w:color w:val="auto"/>
                <w:w w:val="91"/>
              </w:rPr>
              <w:t>Officer and Executive Chairman of</w:t>
            </w:r>
          </w:p>
        </w:tc>
        <w:tc>
          <w:tcPr>
            <w:tcW w:w="288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the Board of Directors, Gemini</w:t>
            </w:r>
          </w:p>
        </w:tc>
        <w:tc>
          <w:tcPr>
            <w:tcW w:w="2880" w:type="dxa"/>
            <w:vAlign w:val="bottom"/>
          </w:tcPr>
          <w:p>
            <w:pPr>
              <w:spacing w:after="0"/>
              <w:rPr>
                <w:sz w:val="20"/>
                <w:szCs w:val="20"/>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Therapeutics, Inc.</w:t>
            </w:r>
          </w:p>
        </w:tc>
        <w:tc>
          <w:tcPr>
            <w:tcW w:w="2880" w:type="dxa"/>
            <w:vAlign w:val="bottom"/>
          </w:tcPr>
          <w:p>
            <w:pPr>
              <w:spacing w:after="0"/>
              <w:rPr>
                <w:sz w:val="20"/>
                <w:szCs w:val="20"/>
                <w:color w:val="auto"/>
              </w:rPr>
            </w:pPr>
          </w:p>
        </w:tc>
      </w:tr>
      <w:tr>
        <w:trPr>
          <w:trHeight w:val="461"/>
        </w:trPr>
        <w:tc>
          <w:tcPr>
            <w:tcW w:w="3000" w:type="dxa"/>
            <w:vAlign w:val="bottom"/>
          </w:tcPr>
          <w:p>
            <w:pPr>
              <w:spacing w:after="0"/>
              <w:rPr>
                <w:sz w:val="20"/>
                <w:szCs w:val="20"/>
                <w:color w:val="auto"/>
              </w:rPr>
            </w:pPr>
            <w:r>
              <w:rPr>
                <w:rFonts w:ascii="Arial" w:cs="Arial" w:eastAsia="Arial" w:hAnsi="Arial"/>
                <w:sz w:val="20"/>
                <w:szCs w:val="20"/>
                <w:b w:val="1"/>
                <w:bCs w:val="1"/>
                <w:color w:val="auto"/>
              </w:rPr>
              <w:t>Liam Ratcliffe, M.D., Ph.D.</w:t>
            </w:r>
          </w:p>
        </w:tc>
        <w:tc>
          <w:tcPr>
            <w:tcW w:w="288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w w:val="99"/>
              </w:rPr>
              <w:t>Head of Biotechnology, Access</w:t>
            </w:r>
          </w:p>
        </w:tc>
        <w:tc>
          <w:tcPr>
            <w:tcW w:w="2880" w:type="dxa"/>
            <w:vAlign w:val="bottom"/>
          </w:tcPr>
          <w:p>
            <w:pPr>
              <w:spacing w:after="0"/>
              <w:rPr>
                <w:sz w:val="20"/>
                <w:szCs w:val="20"/>
                <w:color w:val="auto"/>
              </w:rPr>
            </w:pPr>
          </w:p>
        </w:tc>
      </w:tr>
      <w:tr>
        <w:trPr>
          <w:trHeight w:val="228"/>
        </w:trPr>
        <w:tc>
          <w:tcPr>
            <w:tcW w:w="3000" w:type="dxa"/>
            <w:vAlign w:val="bottom"/>
          </w:tcPr>
          <w:p>
            <w:pPr>
              <w:spacing w:after="0" w:line="228" w:lineRule="exact"/>
              <w:rPr>
                <w:sz w:val="20"/>
                <w:szCs w:val="20"/>
                <w:color w:val="auto"/>
              </w:rPr>
            </w:pPr>
            <w:r>
              <w:rPr>
                <w:rFonts w:ascii="Arial" w:cs="Arial" w:eastAsia="Arial" w:hAnsi="Arial"/>
                <w:sz w:val="20"/>
                <w:szCs w:val="20"/>
                <w:b w:val="1"/>
                <w:bCs w:val="1"/>
                <w:color w:val="auto"/>
              </w:rPr>
              <w:t>Industries</w:t>
            </w:r>
          </w:p>
        </w:tc>
        <w:tc>
          <w:tcPr>
            <w:tcW w:w="2880" w:type="dxa"/>
            <w:vAlign w:val="bottom"/>
          </w:tcPr>
          <w:p>
            <w:pPr>
              <w:spacing w:after="0"/>
              <w:rPr>
                <w:sz w:val="19"/>
                <w:szCs w:val="19"/>
                <w:color w:val="auto"/>
              </w:rPr>
            </w:pPr>
          </w:p>
        </w:tc>
      </w:tr>
      <w:tr>
        <w:trPr>
          <w:trHeight w:val="461"/>
        </w:trPr>
        <w:tc>
          <w:tcPr>
            <w:tcW w:w="3000" w:type="dxa"/>
            <w:vAlign w:val="bottom"/>
          </w:tcPr>
          <w:p>
            <w:pPr>
              <w:spacing w:after="0"/>
              <w:rPr>
                <w:sz w:val="20"/>
                <w:szCs w:val="20"/>
                <w:color w:val="auto"/>
              </w:rPr>
            </w:pPr>
            <w:r>
              <w:rPr>
                <w:rFonts w:ascii="Arial" w:cs="Arial" w:eastAsia="Arial" w:hAnsi="Arial"/>
                <w:sz w:val="20"/>
                <w:szCs w:val="20"/>
                <w:b w:val="1"/>
                <w:bCs w:val="1"/>
                <w:color w:val="auto"/>
              </w:rPr>
              <w:t>William White, M.P.P., J.D.</w:t>
            </w:r>
          </w:p>
        </w:tc>
        <w:tc>
          <w:tcPr>
            <w:tcW w:w="288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Chief Financial Officer, Head of</w:t>
            </w:r>
          </w:p>
        </w:tc>
        <w:tc>
          <w:tcPr>
            <w:tcW w:w="2880" w:type="dxa"/>
            <w:vAlign w:val="bottom"/>
          </w:tcPr>
          <w:p>
            <w:pPr>
              <w:spacing w:after="0"/>
              <w:rPr>
                <w:sz w:val="20"/>
                <w:szCs w:val="20"/>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20"/>
                <w:szCs w:val="20"/>
                <w:b w:val="1"/>
                <w:bCs w:val="1"/>
                <w:color w:val="auto"/>
              </w:rPr>
              <w:t>Corporate Development and</w:t>
            </w:r>
          </w:p>
        </w:tc>
        <w:tc>
          <w:tcPr>
            <w:tcW w:w="2880" w:type="dxa"/>
            <w:vAlign w:val="bottom"/>
          </w:tcPr>
          <w:p>
            <w:pPr>
              <w:spacing w:after="0"/>
              <w:rPr>
                <w:sz w:val="20"/>
                <w:szCs w:val="20"/>
                <w:color w:val="auto"/>
              </w:rPr>
            </w:pPr>
          </w:p>
        </w:tc>
      </w:tr>
      <w:tr>
        <w:trPr>
          <w:trHeight w:val="228"/>
        </w:trPr>
        <w:tc>
          <w:tcPr>
            <w:tcW w:w="3000" w:type="dxa"/>
            <w:vAlign w:val="bottom"/>
          </w:tcPr>
          <w:p>
            <w:pPr>
              <w:spacing w:after="0" w:line="228" w:lineRule="exact"/>
              <w:rPr>
                <w:sz w:val="20"/>
                <w:szCs w:val="20"/>
                <w:color w:val="auto"/>
              </w:rPr>
            </w:pPr>
            <w:r>
              <w:rPr>
                <w:rFonts w:ascii="Arial" w:cs="Arial" w:eastAsia="Arial" w:hAnsi="Arial"/>
                <w:sz w:val="20"/>
                <w:szCs w:val="20"/>
                <w:b w:val="1"/>
                <w:bCs w:val="1"/>
                <w:color w:val="auto"/>
                <w:w w:val="88"/>
              </w:rPr>
              <w:t>Treasurer, Akero Therapeutics, Inc.</w:t>
            </w:r>
          </w:p>
        </w:tc>
        <w:tc>
          <w:tcPr>
            <w:tcW w:w="2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-2300605</wp:posOffset>
            </wp:positionV>
            <wp:extent cx="1011555" cy="142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75">
                      <a:extLst>
                        <a:ext uri="{28A0092B-C50C-407E-A947-70E740481C1C}"/>
                      </a:extLst>
                    </a:blip>
                    <a:srcRect/>
                    <a:stretch>
                      <a:fillRect/>
                    </a:stretch>
                  </pic:blipFill>
                  <pic:spPr bwMode="auto">
                    <a:xfrm>
                      <a:off x="0" y="0"/>
                      <a:ext cx="1011555"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ORPORATE</w:t>
      </w:r>
      <w:r>
        <w:rPr>
          <w:rFonts w:ascii="Arial" w:cs="Arial" w:eastAsia="Arial" w:hAnsi="Arial"/>
          <w:sz w:val="19"/>
          <w:szCs w:val="19"/>
          <w:b w:val="1"/>
          <w:bCs w:val="1"/>
          <w:color w:val="auto"/>
        </w:rPr>
        <w:t xml:space="preserve"> H</w:t>
      </w:r>
      <w:r>
        <w:rPr>
          <w:rFonts w:ascii="Arial" w:cs="Arial" w:eastAsia="Arial" w:hAnsi="Arial"/>
          <w:sz w:val="15"/>
          <w:szCs w:val="15"/>
          <w:b w:val="1"/>
          <w:bCs w:val="1"/>
          <w:color w:val="auto"/>
        </w:rPr>
        <w:t>EADQUARTERS</w:t>
      </w:r>
    </w:p>
    <w:p>
      <w:pPr>
        <w:spacing w:after="0" w:line="12" w:lineRule="exact"/>
        <w:rPr>
          <w:sz w:val="20"/>
          <w:szCs w:val="20"/>
          <w:color w:val="auto"/>
        </w:rPr>
      </w:pPr>
    </w:p>
    <w:p>
      <w:pPr>
        <w:ind w:right="660"/>
        <w:spacing w:after="0" w:line="256" w:lineRule="auto"/>
        <w:rPr>
          <w:sz w:val="20"/>
          <w:szCs w:val="20"/>
          <w:color w:val="auto"/>
        </w:rPr>
      </w:pPr>
      <w:r>
        <w:rPr>
          <w:rFonts w:ascii="Arial" w:cs="Arial" w:eastAsia="Arial" w:hAnsi="Arial"/>
          <w:sz w:val="19"/>
          <w:szCs w:val="19"/>
          <w:b w:val="1"/>
          <w:bCs w:val="1"/>
          <w:color w:val="auto"/>
        </w:rPr>
        <w:t>321 Arsenal Street, Suite 101 Watertown, MA 02472</w:t>
      </w:r>
    </w:p>
    <w:p>
      <w:pPr>
        <w:spacing w:after="0" w:line="223" w:lineRule="exact"/>
        <w:rPr>
          <w:sz w:val="20"/>
          <w:szCs w:val="20"/>
          <w:color w:val="auto"/>
        </w:rPr>
      </w:pPr>
    </w:p>
    <w:p>
      <w:pPr>
        <w:ind w:right="720"/>
        <w:spacing w:after="0" w:line="235"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NDEPENDENT</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EGISTERED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UBLIC</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CCOUNTING</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IRM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Ernst &amp; Young LLP</w:t>
      </w:r>
    </w:p>
    <w:p>
      <w:pPr>
        <w:spacing w:after="0"/>
        <w:rPr>
          <w:sz w:val="20"/>
          <w:szCs w:val="20"/>
          <w:color w:val="auto"/>
        </w:rPr>
      </w:pPr>
      <w:r>
        <w:rPr>
          <w:rFonts w:ascii="Arial" w:cs="Arial" w:eastAsia="Arial" w:hAnsi="Arial"/>
          <w:sz w:val="20"/>
          <w:szCs w:val="20"/>
          <w:b w:val="1"/>
          <w:bCs w:val="1"/>
          <w:color w:val="auto"/>
        </w:rPr>
        <w:t>Boston, MA</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RANSFER</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GENT</w:t>
      </w:r>
    </w:p>
    <w:p>
      <w:pPr>
        <w:spacing w:after="0" w:line="6" w:lineRule="exact"/>
        <w:rPr>
          <w:sz w:val="20"/>
          <w:szCs w:val="20"/>
          <w:color w:val="auto"/>
        </w:rPr>
      </w:pPr>
    </w:p>
    <w:p>
      <w:pPr>
        <w:ind w:right="740"/>
        <w:spacing w:after="0" w:line="238" w:lineRule="auto"/>
        <w:rPr>
          <w:sz w:val="20"/>
          <w:szCs w:val="20"/>
          <w:color w:val="auto"/>
        </w:rPr>
      </w:pPr>
      <w:r>
        <w:rPr>
          <w:rFonts w:ascii="Arial" w:cs="Arial" w:eastAsia="Arial" w:hAnsi="Arial"/>
          <w:sz w:val="20"/>
          <w:szCs w:val="20"/>
          <w:b w:val="1"/>
          <w:bCs w:val="1"/>
          <w:color w:val="auto"/>
        </w:rPr>
        <w:t>Broadridge Corporate Issuer Solutions, Inc. P.O. Box 1342 Brentwood, NY 11717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ISC</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NVESTOR</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ELATIONS</w:t>
      </w:r>
    </w:p>
    <w:p>
      <w:pPr>
        <w:spacing w:after="0"/>
        <w:rPr>
          <w:sz w:val="20"/>
          <w:szCs w:val="20"/>
          <w:color w:val="auto"/>
        </w:rPr>
      </w:pPr>
      <w:r>
        <w:rPr>
          <w:rFonts w:ascii="Arial" w:cs="Arial" w:eastAsia="Arial" w:hAnsi="Arial"/>
          <w:sz w:val="20"/>
          <w:szCs w:val="20"/>
          <w:b w:val="1"/>
          <w:bCs w:val="1"/>
          <w:color w:val="auto"/>
        </w:rPr>
        <w:t>ir@discmedicine.com</w:t>
      </w:r>
    </w:p>
    <w:p>
      <w:pPr>
        <w:sectPr>
          <w:pgSz w:w="12240" w:h="15840" w:orient="portrait"/>
          <w:cols w:equalWidth="0" w:num="2">
            <w:col w:w="5980" w:space="360"/>
            <w:col w:w="3020"/>
          </w:cols>
          <w:pgMar w:left="1440" w:top="1439" w:right="1440" w:bottom="1440" w:gutter="0" w:footer="0" w:header="0"/>
        </w:sectPr>
      </w:pPr>
    </w:p>
    <w:bookmarkStart w:id="162" w:name="page163"/>
    <w:bookmarkEnd w:id="162"/>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60"/>
        <w:spacing w:after="0"/>
        <w:rPr>
          <w:sz w:val="20"/>
          <w:szCs w:val="20"/>
          <w:color w:val="auto"/>
        </w:rPr>
      </w:pPr>
      <w:r>
        <w:rPr>
          <w:rFonts w:ascii="Arial" w:cs="Arial" w:eastAsia="Arial" w:hAnsi="Arial"/>
          <w:sz w:val="15"/>
          <w:szCs w:val="15"/>
          <w:b w:val="1"/>
          <w:bCs w:val="1"/>
          <w:color w:val="auto"/>
        </w:rPr>
        <w:t>BR254604-0425-10K</w:t>
      </w:r>
    </w:p>
    <w:sectPr>
      <w:pgSz w:w="12240" w:h="15840" w:orient="portrait"/>
      <w:cols w:equalWidth="0" w:num="1">
        <w:col w:w="10380"/>
      </w:cols>
      <w:pgMar w:left="1440" w:top="1440" w:right="42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61"/>
    </w:lvl>
  </w:abstractNum>
  <w:abstractNum w:abstractNumId="2">
    <w:nsid w:val="216231B"/>
    <w:multiLevelType w:val="hybridMultilevel"/>
    <w:lvl w:ilvl="0">
      <w:lvlJc w:val="left"/>
      <w:lvlText w:val="%1"/>
      <w:numFmt w:val="upperLetter"/>
      <w:start w:val="34"/>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Roman"/>
      <w:start w:val="3"/>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38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3"/>
    </w:lvl>
  </w:abstractNum>
  <w:abstractNum w:abstractNumId="13">
    <w:nsid w:val="6B68079A"/>
    <w:multiLevelType w:val="hybridMultilevel"/>
    <w:lvl w:ilvl="0">
      <w:lvlJc w:val="left"/>
      <w:lvlText w:val="%1."/>
      <w:numFmt w:val="decimal"/>
      <w:start w:val="75"/>
    </w:lvl>
  </w:abstractNum>
  <w:abstractNum w:abstractNumId="14">
    <w:nsid w:val="4E6AFB66"/>
    <w:multiLevelType w:val="hybridMultilevel"/>
    <w:lvl w:ilvl="0">
      <w:lvlJc w:val="left"/>
      <w:lvlText w:val="*"/>
      <w:numFmt w:val="bullet"/>
      <w:start w:val="1"/>
    </w:lvl>
    <w:lvl w:ilvl="1">
      <w:lvlJc w:val="left"/>
      <w:lvlText w:val="%2"/>
      <w:numFmt w:val="decimal"/>
      <w:start w:val="104"/>
    </w:lvl>
  </w:abstractNum>
  <w:abstractNum w:abstractNumId="15">
    <w:nsid w:val="25E45D32"/>
    <w:multiLevelType w:val="hybridMultilevel"/>
    <w:lvl w:ilvl="0">
      <w:lvlJc w:val="left"/>
      <w:lvlText w:val="**"/>
      <w:numFmt w:val="bullet"/>
      <w:start w:val="1"/>
    </w:lvl>
    <w:lvl w:ilvl="1">
      <w:lvlJc w:val="left"/>
      <w:lvlText w:val="%2"/>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2025-04-24T16:07:22Z</dcterms:created>
  <dcterms:modified xsi:type="dcterms:W3CDTF">2025-04-24T16:07:22Z</dcterms:modified>
</cp:coreProperties>
</file>