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9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26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60" w:type="dxa"/>
            <w:vAlign w:val="bottom"/>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Ashiya Mona</w:t>
              </w:r>
            </w:hyperlink>
          </w:p>
        </w:tc>
        <w:tc>
          <w:tcPr>
            <w:tcW w:w="10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Disc Medicine,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IRON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Borders>
              <w:bottom w:val="single" w:sz="8" w:color="0000EE"/>
            </w:tcBorders>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160" w:type="dxa"/>
            <w:vAlign w:val="bottom"/>
            <w:tcBorders>
              <w:bottom w:val="single" w:sz="8" w:color="0000EE"/>
            </w:tcBorders>
            <w:vMerge w:val="continue"/>
          </w:tcPr>
          <w:p>
            <w:pPr>
              <w:spacing w:after="0"/>
              <w:rPr>
                <w:sz w:val="5"/>
                <w:szCs w:val="5"/>
                <w:color w:val="auto"/>
              </w:rPr>
            </w:pPr>
          </w:p>
        </w:tc>
        <w:tc>
          <w:tcPr>
            <w:tcW w:w="10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8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8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03/24/2025</w:t>
            </w:r>
          </w:p>
        </w:tc>
        <w:tc>
          <w:tcPr>
            <w:tcW w:w="2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DISC MEDICINE, INC.</w:t>
            </w:r>
          </w:p>
        </w:tc>
        <w:tc>
          <w:tcPr>
            <w:tcW w:w="140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20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321 ARSENAL STREET, SUITE 101</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26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26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240" w:type="dxa"/>
            <w:vAlign w:val="bottom"/>
            <w:gridSpan w:val="2"/>
          </w:tcPr>
          <w:p>
            <w:pPr>
              <w:ind w:left="40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4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 or</w:t>
            </w:r>
          </w:p>
        </w:tc>
        <w:tc>
          <w:tcPr>
            <w:tcW w:w="48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Owned Following  Indirect (I)</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1240" w:type="dxa"/>
            <w:vAlign w:val="bottom"/>
            <w:gridSpan w:val="2"/>
            <w:vMerge w:val="restart"/>
          </w:tcPr>
          <w:p>
            <w:pPr>
              <w:ind w:left="400"/>
              <w:spacing w:after="0" w:line="133" w:lineRule="exact"/>
              <w:rPr>
                <w:sz w:val="20"/>
                <w:szCs w:val="20"/>
                <w:color w:val="auto"/>
              </w:rPr>
            </w:pPr>
            <w:r>
              <w:rPr>
                <w:rFonts w:ascii="Arial" w:cs="Arial" w:eastAsia="Arial" w:hAnsi="Arial"/>
                <w:sz w:val="12"/>
                <w:szCs w:val="12"/>
                <w:b w:val="1"/>
                <w:bCs w:val="1"/>
                <w:color w:val="auto"/>
              </w:rPr>
              <w:t>(Instr. 4)</w:t>
            </w:r>
          </w:p>
        </w:tc>
        <w:tc>
          <w:tcPr>
            <w:tcW w:w="12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03/24/2025</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1,956</w:t>
            </w:r>
          </w:p>
        </w:tc>
        <w:tc>
          <w:tcPr>
            <w:tcW w:w="80" w:type="dxa"/>
            <w:vAlign w:val="bottom"/>
          </w:tcPr>
          <w:p>
            <w:pPr>
              <w:spacing w:after="0"/>
              <w:rPr>
                <w:sz w:val="21"/>
                <w:szCs w:val="21"/>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54.11</w:t>
            </w:r>
          </w:p>
        </w:tc>
        <w:tc>
          <w:tcPr>
            <w:tcW w:w="156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482,308</w:t>
            </w:r>
          </w:p>
        </w:tc>
        <w:tc>
          <w:tcPr>
            <w:tcW w:w="4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940" w:type="dxa"/>
            <w:vAlign w:val="bottom"/>
            <w:tcBorders>
              <w:top w:val="single" w:sz="8" w:color="2C2C2C"/>
            </w:tcBorders>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03/24/2025</w:t>
            </w: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3,026</w:t>
            </w: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54.11</w:t>
            </w:r>
          </w:p>
        </w:tc>
        <w:tc>
          <w:tcPr>
            <w:tcW w:w="1560" w:type="dxa"/>
            <w:vAlign w:val="bottom"/>
            <w:tcBorders>
              <w:top w:val="single" w:sz="8" w:color="2C2C2C"/>
            </w:tcBorders>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746,171</w:t>
            </w:r>
          </w:p>
        </w:tc>
        <w:tc>
          <w:tcPr>
            <w:tcW w:w="48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940" w:type="dxa"/>
            <w:vAlign w:val="bottom"/>
            <w:tcBorders>
              <w:top w:val="single" w:sz="8" w:color="2C2C2C"/>
            </w:tcBorders>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03/24/2025</w:t>
            </w: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756</w:t>
            </w: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54.11</w:t>
            </w:r>
          </w:p>
        </w:tc>
        <w:tc>
          <w:tcPr>
            <w:tcW w:w="1560" w:type="dxa"/>
            <w:vAlign w:val="bottom"/>
            <w:tcBorders>
              <w:top w:val="single" w:sz="8" w:color="2C2C2C"/>
            </w:tcBorders>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186,541</w:t>
            </w:r>
          </w:p>
        </w:tc>
        <w:tc>
          <w:tcPr>
            <w:tcW w:w="48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12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6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9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4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 LP ("OPI VI"). OrbiMed Capital GP VI LLC ("GP VI") is the general partner of OPI VI, and OrbiMed Advisors LLC ("OrbiMed Advisors") is the managing member of GP VI. By virtue of such relationships, GP VI and OrbiMed Advisors may be deemed to have voting power and investment power over the securities held by OPI VI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w:t>
      </w:r>
    </w:p>
    <w:p>
      <w:pPr>
        <w:spacing w:after="0" w:line="24" w:lineRule="exact"/>
        <w:rPr>
          <w:rFonts w:ascii="Times New Roman" w:cs="Times New Roman" w:eastAsia="Times New Roman" w:hAnsi="Times New Roman"/>
          <w:sz w:val="13"/>
          <w:szCs w:val="13"/>
          <w:color w:val="008000"/>
        </w:rPr>
      </w:pPr>
    </w:p>
    <w:p>
      <w:pPr>
        <w:jc w:val="both"/>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VIII, LP ("OPI VIII"). OrbiMed Capital GP VIII LLC ("GP VIII") is the general partner of OPI VIII, and OrbiMed Advisors is the managing member of GP VIII. By virtue of such relationships, GP VIII and OrbiMed Advisors may be deemed to have voting power and investment power over the securities held by OPI VIII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VIII.</w:t>
      </w:r>
    </w:p>
    <w:p>
      <w:pPr>
        <w:spacing w:after="0" w:line="24"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Genesis Master Fund, L.P. ("Genesis"). OrbiMed Genesis GP LLC ("Genesis GP") is the general partner of Genesis, and OrbiMed Advisors is the managing member of Genesis GP. By virtue of such relationships, Genesis GP and OrbiMed Advisors may be deemed to have voting power and investment power over the securities held by Genesis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Genesis.</w:t>
      </w:r>
    </w:p>
    <w:p>
      <w:pPr>
        <w:spacing w:after="0" w:line="24"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 OrbiMed Advisors, GP VIII, GP VI, and Genesis GP disclaims beneficial ownership of the securities reported herein for purposes of Rule 16a-1(a) under the Securities Exchange Act of 1934, as amended (the "Exchange Act"), except to the extent of her or its pecuniary interest therein, if any. This report shall not be deemed an admission that any of the Reporting Person, OrbiMed Advisors, GP VIII, GP VI, or Genesis GP is a beneficial owner of such securities for purposes of Section 16 of the Exchange Act, or for any other purpose.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Mona Ashiya</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03/26/2025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2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4070"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2025-03-26T18:13:13Z</dcterms:created>
  <dcterms:modified xsi:type="dcterms:W3CDTF">2025-03-26T18:13:13Z</dcterms:modified>
</cp:coreProperties>
</file>